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30"/>
        <w:rPr>
          <w:rFonts w:ascii="Times New Roman"/>
          <w:sz w:val="21"/>
        </w:rPr>
      </w:pPr>
      <w:r>
        <w:rPr>
          <w:rFonts w:ascii="Times New Roman"/>
          <w:sz w:val="21"/>
        </w:rPr>
        <w:drawing>
          <wp:anchor distT="0" distB="0" distL="0" distR="0" allowOverlap="1" layoutInCell="1" locked="0" behindDoc="0" simplePos="0" relativeHeight="15728640">
            <wp:simplePos x="0" y="0"/>
            <wp:positionH relativeFrom="page">
              <wp:posOffset>263791</wp:posOffset>
            </wp:positionH>
            <wp:positionV relativeFrom="page">
              <wp:posOffset>8430121</wp:posOffset>
            </wp:positionV>
            <wp:extent cx="1269999" cy="121919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69999" cy="1219199"/>
                    </a:xfrm>
                    <a:prstGeom prst="rect">
                      <a:avLst/>
                    </a:prstGeom>
                  </pic:spPr>
                </pic:pic>
              </a:graphicData>
            </a:graphic>
          </wp:anchor>
        </w:drawing>
      </w:r>
      <w:r>
        <w:rPr>
          <w:rFonts w:ascii="Times New Roman"/>
          <w:sz w:val="21"/>
        </w:rPr>
        <mc:AlternateContent>
          <mc:Choice Requires="wps">
            <w:drawing>
              <wp:anchor distT="0" distB="0" distL="0" distR="0" allowOverlap="1" layoutInCell="1" locked="0" behindDoc="0" simplePos="0" relativeHeight="15729152">
                <wp:simplePos x="0" y="0"/>
                <wp:positionH relativeFrom="page">
                  <wp:posOffset>389592</wp:posOffset>
                </wp:positionH>
                <wp:positionV relativeFrom="page">
                  <wp:posOffset>2765985</wp:posOffset>
                </wp:positionV>
                <wp:extent cx="132715" cy="507873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2715" cy="5078730"/>
                        </a:xfrm>
                        <a:prstGeom prst="rect">
                          <a:avLst/>
                        </a:prstGeom>
                      </wps:spPr>
                      <wps:txbx>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wps:txbx>
                      <wps:bodyPr wrap="square" lIns="0" tIns="0" rIns="0" bIns="0" rtlCol="0" vert="vert270">
                        <a:noAutofit/>
                      </wps:bodyPr>
                    </wps:wsp>
                  </a:graphicData>
                </a:graphic>
              </wp:anchor>
            </w:drawing>
          </mc:Choice>
          <mc:Fallback>
            <w:pict>
              <v:shape style="position:absolute;margin-left:30.676601pt;margin-top:217.794098pt;width:10.45pt;height:399.9pt;mso-position-horizontal-relative:page;mso-position-vertical-relative:page;z-index:15729152" type="#_x0000_t202" id="docshape2" filled="false" stroked="false">
                <v:textbox inset="0,0,0,0" style="layout-flow:vertical;mso-layout-flow-alt:bottom-to-top">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v:textbox>
                <w10:wrap type="none"/>
              </v:shape>
            </w:pict>
          </mc:Fallback>
        </mc:AlternateContent>
      </w:r>
    </w:p>
    <w:p>
      <w:pPr>
        <w:spacing w:before="0"/>
        <w:ind w:left="2984" w:right="1893" w:hanging="207"/>
        <w:jc w:val="left"/>
        <w:rPr>
          <w:rFonts w:ascii="Century Gothic" w:hAnsi="Century Gothic"/>
          <w:b/>
          <w:sz w:val="21"/>
        </w:rPr>
      </w:pPr>
      <w:bookmarkStart w:name="IA de GUAGUAS 2025.pdf" w:id="1"/>
      <w:bookmarkEnd w:id="1"/>
      <w:r>
        <w:rPr/>
      </w:r>
      <w:r>
        <w:rPr>
          <w:rFonts w:ascii="Century Gothic" w:hAnsi="Century Gothic"/>
          <w:b/>
          <w:sz w:val="21"/>
          <w:u w:val="single"/>
        </w:rPr>
        <w:t>INFORME</w:t>
      </w:r>
      <w:r>
        <w:rPr>
          <w:rFonts w:ascii="Century Gothic" w:hAnsi="Century Gothic"/>
          <w:b/>
          <w:spacing w:val="-9"/>
          <w:sz w:val="21"/>
          <w:u w:val="single"/>
        </w:rPr>
        <w:t> </w:t>
      </w:r>
      <w:r>
        <w:rPr>
          <w:rFonts w:ascii="Century Gothic" w:hAnsi="Century Gothic"/>
          <w:b/>
          <w:sz w:val="21"/>
          <w:u w:val="single"/>
        </w:rPr>
        <w:t>DE</w:t>
      </w:r>
      <w:r>
        <w:rPr>
          <w:rFonts w:ascii="Century Gothic" w:hAnsi="Century Gothic"/>
          <w:b/>
          <w:spacing w:val="-7"/>
          <w:sz w:val="21"/>
          <w:u w:val="single"/>
        </w:rPr>
        <w:t> </w:t>
      </w:r>
      <w:r>
        <w:rPr>
          <w:rFonts w:ascii="Century Gothic" w:hAnsi="Century Gothic"/>
          <w:b/>
          <w:sz w:val="21"/>
          <w:u w:val="single"/>
        </w:rPr>
        <w:t>AUDITORÍA</w:t>
      </w:r>
      <w:r>
        <w:rPr>
          <w:rFonts w:ascii="Century Gothic" w:hAnsi="Century Gothic"/>
          <w:b/>
          <w:spacing w:val="-7"/>
          <w:sz w:val="21"/>
          <w:u w:val="single"/>
        </w:rPr>
        <w:t> </w:t>
      </w:r>
      <w:r>
        <w:rPr>
          <w:rFonts w:ascii="Century Gothic" w:hAnsi="Century Gothic"/>
          <w:b/>
          <w:sz w:val="21"/>
          <w:u w:val="single"/>
        </w:rPr>
        <w:t>DE</w:t>
      </w:r>
      <w:r>
        <w:rPr>
          <w:rFonts w:ascii="Century Gothic" w:hAnsi="Century Gothic"/>
          <w:b/>
          <w:spacing w:val="-8"/>
          <w:sz w:val="21"/>
          <w:u w:val="single"/>
        </w:rPr>
        <w:t> </w:t>
      </w:r>
      <w:r>
        <w:rPr>
          <w:rFonts w:ascii="Century Gothic" w:hAnsi="Century Gothic"/>
          <w:b/>
          <w:sz w:val="21"/>
          <w:u w:val="single"/>
        </w:rPr>
        <w:t>CUENTAS</w:t>
      </w:r>
      <w:r>
        <w:rPr>
          <w:rFonts w:ascii="Century Gothic" w:hAnsi="Century Gothic"/>
          <w:b/>
          <w:spacing w:val="-7"/>
          <w:sz w:val="21"/>
          <w:u w:val="single"/>
        </w:rPr>
        <w:t> </w:t>
      </w:r>
      <w:r>
        <w:rPr>
          <w:rFonts w:ascii="Century Gothic" w:hAnsi="Century Gothic"/>
          <w:b/>
          <w:sz w:val="21"/>
          <w:u w:val="single"/>
        </w:rPr>
        <w:t>ANUALES</w:t>
      </w:r>
      <w:r>
        <w:rPr>
          <w:rFonts w:ascii="Century Gothic" w:hAnsi="Century Gothic"/>
          <w:b/>
          <w:sz w:val="21"/>
          <w:u w:val="none"/>
        </w:rPr>
        <w:t> </w:t>
      </w:r>
      <w:r>
        <w:rPr>
          <w:rFonts w:ascii="Century Gothic" w:hAnsi="Century Gothic"/>
          <w:b/>
          <w:sz w:val="21"/>
          <w:u w:val="single"/>
        </w:rPr>
        <w:t>EMITIDO POR UN AUDITOR INDEPENDIENTE</w:t>
      </w:r>
      <w:r>
        <w:rPr>
          <w:rFonts w:ascii="Century Gothic" w:hAnsi="Century Gothic"/>
          <w:b/>
          <w:sz w:val="21"/>
          <w:u w:val="none"/>
        </w:rPr>
        <w:t>.</w:t>
      </w:r>
    </w:p>
    <w:p>
      <w:pPr>
        <w:pStyle w:val="BodyText"/>
        <w:rPr>
          <w:rFonts w:ascii="Century Gothic"/>
          <w:b/>
          <w:sz w:val="19"/>
        </w:rPr>
      </w:pPr>
    </w:p>
    <w:p>
      <w:pPr>
        <w:pStyle w:val="BodyText"/>
        <w:spacing w:before="50"/>
        <w:rPr>
          <w:rFonts w:ascii="Century Gothic"/>
          <w:b/>
          <w:sz w:val="19"/>
        </w:rPr>
      </w:pPr>
    </w:p>
    <w:p>
      <w:pPr>
        <w:spacing w:before="0"/>
        <w:ind w:left="338" w:right="0" w:firstLine="0"/>
        <w:jc w:val="left"/>
        <w:rPr>
          <w:rFonts w:ascii="Century Gothic" w:hAnsi="Century Gothic"/>
          <w:b/>
          <w:sz w:val="19"/>
        </w:rPr>
      </w:pPr>
      <w:r>
        <w:rPr>
          <w:rFonts w:ascii="Century Gothic" w:hAnsi="Century Gothic"/>
          <w:sz w:val="19"/>
        </w:rPr>
        <w:t>Al</w:t>
      </w:r>
      <w:r>
        <w:rPr>
          <w:rFonts w:ascii="Century Gothic" w:hAnsi="Century Gothic"/>
          <w:spacing w:val="-10"/>
          <w:sz w:val="19"/>
        </w:rPr>
        <w:t> </w:t>
      </w:r>
      <w:r>
        <w:rPr>
          <w:rFonts w:ascii="Century Gothic" w:hAnsi="Century Gothic"/>
          <w:sz w:val="19"/>
        </w:rPr>
        <w:t>accionista</w:t>
      </w:r>
      <w:r>
        <w:rPr>
          <w:rFonts w:ascii="Century Gothic" w:hAnsi="Century Gothic"/>
          <w:spacing w:val="-8"/>
          <w:sz w:val="19"/>
        </w:rPr>
        <w:t> </w:t>
      </w:r>
      <w:r>
        <w:rPr>
          <w:rFonts w:ascii="Century Gothic" w:hAnsi="Century Gothic"/>
          <w:sz w:val="19"/>
        </w:rPr>
        <w:t>único</w:t>
      </w:r>
      <w:r>
        <w:rPr>
          <w:rFonts w:ascii="Century Gothic" w:hAnsi="Century Gothic"/>
          <w:spacing w:val="-11"/>
          <w:sz w:val="19"/>
        </w:rPr>
        <w:t> </w:t>
      </w:r>
      <w:r>
        <w:rPr>
          <w:rFonts w:ascii="Century Gothic" w:hAnsi="Century Gothic"/>
          <w:sz w:val="19"/>
        </w:rPr>
        <w:t>de</w:t>
      </w:r>
      <w:r>
        <w:rPr>
          <w:rFonts w:ascii="Century Gothic" w:hAnsi="Century Gothic"/>
          <w:spacing w:val="-9"/>
          <w:sz w:val="19"/>
        </w:rPr>
        <w:t> </w:t>
      </w:r>
      <w:r>
        <w:rPr>
          <w:rFonts w:ascii="Century Gothic" w:hAnsi="Century Gothic"/>
          <w:b/>
          <w:sz w:val="19"/>
        </w:rPr>
        <w:t>GUAGUAS</w:t>
      </w:r>
      <w:r>
        <w:rPr>
          <w:rFonts w:ascii="Century Gothic" w:hAnsi="Century Gothic"/>
          <w:b/>
          <w:spacing w:val="-7"/>
          <w:sz w:val="19"/>
        </w:rPr>
        <w:t> </w:t>
      </w:r>
      <w:r>
        <w:rPr>
          <w:rFonts w:ascii="Century Gothic" w:hAnsi="Century Gothic"/>
          <w:b/>
          <w:sz w:val="19"/>
        </w:rPr>
        <w:t>MUNICIPALES,</w:t>
      </w:r>
      <w:r>
        <w:rPr>
          <w:rFonts w:ascii="Century Gothic" w:hAnsi="Century Gothic"/>
          <w:b/>
          <w:spacing w:val="-9"/>
          <w:sz w:val="19"/>
        </w:rPr>
        <w:t> </w:t>
      </w:r>
      <w:r>
        <w:rPr>
          <w:rFonts w:ascii="Century Gothic" w:hAnsi="Century Gothic"/>
          <w:b/>
          <w:spacing w:val="-2"/>
          <w:sz w:val="19"/>
        </w:rPr>
        <w:t>S.A.U.:</w:t>
      </w:r>
    </w:p>
    <w:p>
      <w:pPr>
        <w:pStyle w:val="ListParagraph"/>
        <w:numPr>
          <w:ilvl w:val="0"/>
          <w:numId w:val="1"/>
        </w:numPr>
        <w:tabs>
          <w:tab w:pos="764" w:val="left" w:leader="none"/>
        </w:tabs>
        <w:spacing w:line="240" w:lineRule="auto" w:before="232" w:after="0"/>
        <w:ind w:left="764" w:right="0" w:hanging="219"/>
        <w:jc w:val="left"/>
        <w:rPr>
          <w:rFonts w:ascii="Century Gothic" w:hAnsi="Century Gothic"/>
          <w:b/>
          <w:sz w:val="19"/>
        </w:rPr>
      </w:pPr>
      <w:r>
        <w:rPr>
          <w:rFonts w:ascii="Century Gothic" w:hAnsi="Century Gothic"/>
          <w:b/>
          <w:spacing w:val="-2"/>
          <w:sz w:val="19"/>
        </w:rPr>
        <w:t>Opinión.</w:t>
      </w:r>
    </w:p>
    <w:p>
      <w:pPr>
        <w:pStyle w:val="BodyText"/>
        <w:rPr>
          <w:rFonts w:ascii="Century Gothic"/>
          <w:b/>
          <w:sz w:val="19"/>
        </w:rPr>
      </w:pPr>
    </w:p>
    <w:p>
      <w:pPr>
        <w:spacing w:before="0"/>
        <w:ind w:left="698" w:right="217" w:firstLine="0"/>
        <w:jc w:val="both"/>
        <w:rPr>
          <w:rFonts w:ascii="Century Gothic" w:hAnsi="Century Gothic"/>
          <w:sz w:val="19"/>
        </w:rPr>
      </w:pPr>
      <w:r>
        <w:rPr>
          <w:rFonts w:ascii="Century Gothic" w:hAnsi="Century Gothic"/>
          <w:sz w:val="19"/>
        </w:rPr>
        <w:t>Hemos auditado las cuentas anuales de </w:t>
      </w:r>
      <w:r>
        <w:rPr>
          <w:rFonts w:ascii="Century Gothic" w:hAnsi="Century Gothic"/>
          <w:b/>
          <w:sz w:val="19"/>
        </w:rPr>
        <w:t>GUAGUAS MUNICIPALES, S.A.U. </w:t>
      </w:r>
      <w:r>
        <w:rPr>
          <w:rFonts w:ascii="Century Gothic" w:hAnsi="Century Gothic"/>
          <w:sz w:val="19"/>
        </w:rPr>
        <w:t>(la Sociedad), que comprenden</w:t>
      </w:r>
      <w:r>
        <w:rPr>
          <w:rFonts w:ascii="Century Gothic" w:hAnsi="Century Gothic"/>
          <w:spacing w:val="-2"/>
          <w:sz w:val="19"/>
        </w:rPr>
        <w:t> </w:t>
      </w:r>
      <w:r>
        <w:rPr>
          <w:rFonts w:ascii="Century Gothic" w:hAnsi="Century Gothic"/>
          <w:sz w:val="19"/>
        </w:rPr>
        <w:t>el</w:t>
      </w:r>
      <w:r>
        <w:rPr>
          <w:rFonts w:ascii="Century Gothic" w:hAnsi="Century Gothic"/>
          <w:spacing w:val="-1"/>
          <w:sz w:val="19"/>
        </w:rPr>
        <w:t> </w:t>
      </w:r>
      <w:r>
        <w:rPr>
          <w:rFonts w:ascii="Century Gothic" w:hAnsi="Century Gothic"/>
          <w:sz w:val="19"/>
        </w:rPr>
        <w:t>balance</w:t>
      </w:r>
      <w:r>
        <w:rPr>
          <w:rFonts w:ascii="Century Gothic" w:hAnsi="Century Gothic"/>
          <w:spacing w:val="-4"/>
          <w:sz w:val="19"/>
        </w:rPr>
        <w:t> </w:t>
      </w:r>
      <w:r>
        <w:rPr>
          <w:rFonts w:ascii="Century Gothic" w:hAnsi="Century Gothic"/>
          <w:sz w:val="19"/>
        </w:rPr>
        <w:t>a 31 de</w:t>
      </w:r>
      <w:r>
        <w:rPr>
          <w:rFonts w:ascii="Century Gothic" w:hAnsi="Century Gothic"/>
          <w:spacing w:val="-3"/>
          <w:sz w:val="19"/>
        </w:rPr>
        <w:t> </w:t>
      </w:r>
      <w:r>
        <w:rPr>
          <w:rFonts w:ascii="Century Gothic" w:hAnsi="Century Gothic"/>
          <w:sz w:val="19"/>
        </w:rPr>
        <w:t>diciembre de</w:t>
      </w:r>
      <w:r>
        <w:rPr>
          <w:rFonts w:ascii="Century Gothic" w:hAnsi="Century Gothic"/>
          <w:spacing w:val="-3"/>
          <w:sz w:val="19"/>
        </w:rPr>
        <w:t> </w:t>
      </w:r>
      <w:r>
        <w:rPr>
          <w:rFonts w:ascii="Century Gothic" w:hAnsi="Century Gothic"/>
          <w:sz w:val="19"/>
        </w:rPr>
        <w:t>2025,</w:t>
      </w:r>
      <w:r>
        <w:rPr>
          <w:rFonts w:ascii="Century Gothic" w:hAnsi="Century Gothic"/>
          <w:spacing w:val="-1"/>
          <w:sz w:val="19"/>
        </w:rPr>
        <w:t> </w:t>
      </w:r>
      <w:r>
        <w:rPr>
          <w:rFonts w:ascii="Century Gothic" w:hAnsi="Century Gothic"/>
          <w:sz w:val="19"/>
        </w:rPr>
        <w:t>la</w:t>
      </w:r>
      <w:r>
        <w:rPr>
          <w:rFonts w:ascii="Century Gothic" w:hAnsi="Century Gothic"/>
          <w:spacing w:val="-1"/>
          <w:sz w:val="19"/>
        </w:rPr>
        <w:t> </w:t>
      </w:r>
      <w:r>
        <w:rPr>
          <w:rFonts w:ascii="Century Gothic" w:hAnsi="Century Gothic"/>
          <w:sz w:val="19"/>
        </w:rPr>
        <w:t>cuenta de</w:t>
      </w:r>
      <w:r>
        <w:rPr>
          <w:rFonts w:ascii="Century Gothic" w:hAnsi="Century Gothic"/>
          <w:spacing w:val="-3"/>
          <w:sz w:val="19"/>
        </w:rPr>
        <w:t> </w:t>
      </w:r>
      <w:r>
        <w:rPr>
          <w:rFonts w:ascii="Century Gothic" w:hAnsi="Century Gothic"/>
          <w:sz w:val="19"/>
        </w:rPr>
        <w:t>pérdidas y</w:t>
      </w:r>
      <w:r>
        <w:rPr>
          <w:rFonts w:ascii="Century Gothic" w:hAnsi="Century Gothic"/>
          <w:spacing w:val="-3"/>
          <w:sz w:val="19"/>
        </w:rPr>
        <w:t> </w:t>
      </w:r>
      <w:r>
        <w:rPr>
          <w:rFonts w:ascii="Century Gothic" w:hAnsi="Century Gothic"/>
          <w:sz w:val="19"/>
        </w:rPr>
        <w:t>ganancias, el</w:t>
      </w:r>
      <w:r>
        <w:rPr>
          <w:rFonts w:ascii="Century Gothic" w:hAnsi="Century Gothic"/>
          <w:spacing w:val="-1"/>
          <w:sz w:val="19"/>
        </w:rPr>
        <w:t> </w:t>
      </w:r>
      <w:r>
        <w:rPr>
          <w:rFonts w:ascii="Century Gothic" w:hAnsi="Century Gothic"/>
          <w:sz w:val="19"/>
        </w:rPr>
        <w:t>estado de</w:t>
      </w:r>
      <w:r>
        <w:rPr>
          <w:rFonts w:ascii="Century Gothic" w:hAnsi="Century Gothic"/>
          <w:spacing w:val="-6"/>
          <w:sz w:val="19"/>
        </w:rPr>
        <w:t> </w:t>
      </w:r>
      <w:r>
        <w:rPr>
          <w:rFonts w:ascii="Century Gothic" w:hAnsi="Century Gothic"/>
          <w:sz w:val="19"/>
        </w:rPr>
        <w:t>cambios</w:t>
      </w:r>
      <w:r>
        <w:rPr>
          <w:rFonts w:ascii="Century Gothic" w:hAnsi="Century Gothic"/>
          <w:spacing w:val="-5"/>
          <w:sz w:val="19"/>
        </w:rPr>
        <w:t> </w:t>
      </w:r>
      <w:r>
        <w:rPr>
          <w:rFonts w:ascii="Century Gothic" w:hAnsi="Century Gothic"/>
          <w:sz w:val="19"/>
        </w:rPr>
        <w:t>en</w:t>
      </w:r>
      <w:r>
        <w:rPr>
          <w:rFonts w:ascii="Century Gothic" w:hAnsi="Century Gothic"/>
          <w:spacing w:val="-8"/>
          <w:sz w:val="19"/>
        </w:rPr>
        <w:t> </w:t>
      </w:r>
      <w:r>
        <w:rPr>
          <w:rFonts w:ascii="Century Gothic" w:hAnsi="Century Gothic"/>
          <w:sz w:val="19"/>
        </w:rPr>
        <w:t>el</w:t>
      </w:r>
      <w:r>
        <w:rPr>
          <w:rFonts w:ascii="Century Gothic" w:hAnsi="Century Gothic"/>
          <w:spacing w:val="-7"/>
          <w:sz w:val="19"/>
        </w:rPr>
        <w:t> </w:t>
      </w:r>
      <w:r>
        <w:rPr>
          <w:rFonts w:ascii="Century Gothic" w:hAnsi="Century Gothic"/>
          <w:sz w:val="19"/>
        </w:rPr>
        <w:t>patrimonio</w:t>
      </w:r>
      <w:r>
        <w:rPr>
          <w:rFonts w:ascii="Century Gothic" w:hAnsi="Century Gothic"/>
          <w:spacing w:val="-7"/>
          <w:sz w:val="19"/>
        </w:rPr>
        <w:t> </w:t>
      </w:r>
      <w:r>
        <w:rPr>
          <w:rFonts w:ascii="Century Gothic" w:hAnsi="Century Gothic"/>
          <w:sz w:val="19"/>
        </w:rPr>
        <w:t>neto,</w:t>
      </w:r>
      <w:r>
        <w:rPr>
          <w:rFonts w:ascii="Century Gothic" w:hAnsi="Century Gothic"/>
          <w:spacing w:val="-7"/>
          <w:sz w:val="19"/>
        </w:rPr>
        <w:t> </w:t>
      </w:r>
      <w:r>
        <w:rPr>
          <w:rFonts w:ascii="Century Gothic" w:hAnsi="Century Gothic"/>
          <w:sz w:val="19"/>
        </w:rPr>
        <w:t>el</w:t>
      </w:r>
      <w:r>
        <w:rPr>
          <w:rFonts w:ascii="Century Gothic" w:hAnsi="Century Gothic"/>
          <w:spacing w:val="-7"/>
          <w:sz w:val="19"/>
        </w:rPr>
        <w:t> </w:t>
      </w:r>
      <w:r>
        <w:rPr>
          <w:rFonts w:ascii="Century Gothic" w:hAnsi="Century Gothic"/>
          <w:sz w:val="19"/>
        </w:rPr>
        <w:t>estado</w:t>
      </w:r>
      <w:r>
        <w:rPr>
          <w:rFonts w:ascii="Century Gothic" w:hAnsi="Century Gothic"/>
          <w:spacing w:val="-7"/>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flujos</w:t>
      </w:r>
      <w:r>
        <w:rPr>
          <w:rFonts w:ascii="Century Gothic" w:hAnsi="Century Gothic"/>
          <w:spacing w:val="-5"/>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efectivo</w:t>
      </w:r>
      <w:r>
        <w:rPr>
          <w:rFonts w:ascii="Century Gothic" w:hAnsi="Century Gothic"/>
          <w:spacing w:val="-1"/>
          <w:sz w:val="19"/>
        </w:rPr>
        <w:t> </w:t>
      </w:r>
      <w:r>
        <w:rPr>
          <w:rFonts w:ascii="Century Gothic" w:hAnsi="Century Gothic"/>
          <w:sz w:val="19"/>
        </w:rPr>
        <w:t>y</w:t>
      </w:r>
      <w:r>
        <w:rPr>
          <w:rFonts w:ascii="Century Gothic" w:hAnsi="Century Gothic"/>
          <w:spacing w:val="-8"/>
          <w:sz w:val="19"/>
        </w:rPr>
        <w:t> </w:t>
      </w:r>
      <w:r>
        <w:rPr>
          <w:rFonts w:ascii="Century Gothic" w:hAnsi="Century Gothic"/>
          <w:sz w:val="19"/>
        </w:rPr>
        <w:t>la</w:t>
      </w:r>
      <w:r>
        <w:rPr>
          <w:rFonts w:ascii="Century Gothic" w:hAnsi="Century Gothic"/>
          <w:spacing w:val="-7"/>
          <w:sz w:val="19"/>
        </w:rPr>
        <w:t> </w:t>
      </w:r>
      <w:r>
        <w:rPr>
          <w:rFonts w:ascii="Century Gothic" w:hAnsi="Century Gothic"/>
          <w:sz w:val="19"/>
        </w:rPr>
        <w:t>memoria,</w:t>
      </w:r>
      <w:r>
        <w:rPr>
          <w:rFonts w:ascii="Century Gothic" w:hAnsi="Century Gothic"/>
          <w:spacing w:val="-5"/>
          <w:sz w:val="19"/>
        </w:rPr>
        <w:t> </w:t>
      </w:r>
      <w:r>
        <w:rPr>
          <w:rFonts w:ascii="Century Gothic" w:hAnsi="Century Gothic"/>
          <w:sz w:val="19"/>
        </w:rPr>
        <w:t>correspondientes</w:t>
      </w:r>
      <w:r>
        <w:rPr>
          <w:rFonts w:ascii="Century Gothic" w:hAnsi="Century Gothic"/>
          <w:spacing w:val="-7"/>
          <w:sz w:val="19"/>
        </w:rPr>
        <w:t> </w:t>
      </w:r>
      <w:r>
        <w:rPr>
          <w:rFonts w:ascii="Century Gothic" w:hAnsi="Century Gothic"/>
          <w:sz w:val="19"/>
        </w:rPr>
        <w:t>al ejercicio terminado en dicha fecha.</w:t>
      </w:r>
    </w:p>
    <w:p>
      <w:pPr>
        <w:pStyle w:val="BodyText"/>
        <w:rPr>
          <w:rFonts w:ascii="Century Gothic"/>
          <w:sz w:val="19"/>
        </w:rPr>
      </w:pPr>
    </w:p>
    <w:p>
      <w:pPr>
        <w:spacing w:line="240" w:lineRule="auto" w:before="0"/>
        <w:ind w:left="698" w:right="219" w:firstLine="0"/>
        <w:jc w:val="both"/>
        <w:rPr>
          <w:rFonts w:ascii="Century Gothic" w:hAnsi="Century Gothic"/>
          <w:sz w:val="19"/>
        </w:rPr>
      </w:pPr>
      <w:r>
        <w:rPr>
          <w:rFonts w:ascii="Century Gothic" w:hAnsi="Century Gothic"/>
          <w:sz w:val="19"/>
        </w:rPr>
        <w:t>En nuestra opinión, las cuentas anuales adjuntas expresan, en todos los aspectos significativos, la imagen</w:t>
      </w:r>
      <w:r>
        <w:rPr>
          <w:rFonts w:ascii="Century Gothic" w:hAnsi="Century Gothic"/>
          <w:spacing w:val="-11"/>
          <w:sz w:val="19"/>
        </w:rPr>
        <w:t> </w:t>
      </w:r>
      <w:r>
        <w:rPr>
          <w:rFonts w:ascii="Century Gothic" w:hAnsi="Century Gothic"/>
          <w:sz w:val="19"/>
        </w:rPr>
        <w:t>fiel</w:t>
      </w:r>
      <w:r>
        <w:rPr>
          <w:rFonts w:ascii="Century Gothic" w:hAnsi="Century Gothic"/>
          <w:spacing w:val="-8"/>
          <w:sz w:val="19"/>
        </w:rPr>
        <w:t> </w:t>
      </w:r>
      <w:r>
        <w:rPr>
          <w:rFonts w:ascii="Century Gothic" w:hAnsi="Century Gothic"/>
          <w:sz w:val="19"/>
        </w:rPr>
        <w:t>del</w:t>
      </w:r>
      <w:r>
        <w:rPr>
          <w:rFonts w:ascii="Century Gothic" w:hAnsi="Century Gothic"/>
          <w:spacing w:val="-11"/>
          <w:sz w:val="19"/>
        </w:rPr>
        <w:t> </w:t>
      </w:r>
      <w:r>
        <w:rPr>
          <w:rFonts w:ascii="Century Gothic" w:hAnsi="Century Gothic"/>
          <w:sz w:val="19"/>
        </w:rPr>
        <w:t>patrimonio</w:t>
      </w:r>
      <w:r>
        <w:rPr>
          <w:rFonts w:ascii="Century Gothic" w:hAnsi="Century Gothic"/>
          <w:spacing w:val="-13"/>
          <w:sz w:val="19"/>
        </w:rPr>
        <w:t> </w:t>
      </w:r>
      <w:r>
        <w:rPr>
          <w:rFonts w:ascii="Century Gothic" w:hAnsi="Century Gothic"/>
          <w:sz w:val="19"/>
        </w:rPr>
        <w:t>y</w:t>
      </w:r>
      <w:r>
        <w:rPr>
          <w:rFonts w:ascii="Century Gothic" w:hAnsi="Century Gothic"/>
          <w:spacing w:val="-9"/>
          <w:sz w:val="19"/>
        </w:rPr>
        <w:t> </w:t>
      </w:r>
      <w:r>
        <w:rPr>
          <w:rFonts w:ascii="Century Gothic" w:hAnsi="Century Gothic"/>
          <w:sz w:val="19"/>
        </w:rPr>
        <w:t>de</w:t>
      </w:r>
      <w:r>
        <w:rPr>
          <w:rFonts w:ascii="Century Gothic" w:hAnsi="Century Gothic"/>
          <w:spacing w:val="-12"/>
          <w:sz w:val="19"/>
        </w:rPr>
        <w:t> </w:t>
      </w:r>
      <w:r>
        <w:rPr>
          <w:rFonts w:ascii="Century Gothic" w:hAnsi="Century Gothic"/>
          <w:sz w:val="19"/>
        </w:rPr>
        <w:t>la</w:t>
      </w:r>
      <w:r>
        <w:rPr>
          <w:rFonts w:ascii="Century Gothic" w:hAnsi="Century Gothic"/>
          <w:spacing w:val="-11"/>
          <w:sz w:val="19"/>
        </w:rPr>
        <w:t> </w:t>
      </w:r>
      <w:r>
        <w:rPr>
          <w:rFonts w:ascii="Century Gothic" w:hAnsi="Century Gothic"/>
          <w:sz w:val="19"/>
        </w:rPr>
        <w:t>situación</w:t>
      </w:r>
      <w:r>
        <w:rPr>
          <w:rFonts w:ascii="Century Gothic" w:hAnsi="Century Gothic"/>
          <w:spacing w:val="-11"/>
          <w:sz w:val="19"/>
        </w:rPr>
        <w:t> </w:t>
      </w:r>
      <w:r>
        <w:rPr>
          <w:rFonts w:ascii="Century Gothic" w:hAnsi="Century Gothic"/>
          <w:sz w:val="19"/>
        </w:rPr>
        <w:t>financiera</w:t>
      </w:r>
      <w:r>
        <w:rPr>
          <w:rFonts w:ascii="Century Gothic" w:hAnsi="Century Gothic"/>
          <w:spacing w:val="-11"/>
          <w:sz w:val="19"/>
        </w:rPr>
        <w:t> </w:t>
      </w:r>
      <w:r>
        <w:rPr>
          <w:rFonts w:ascii="Century Gothic" w:hAnsi="Century Gothic"/>
          <w:sz w:val="19"/>
        </w:rPr>
        <w:t>de</w:t>
      </w:r>
      <w:r>
        <w:rPr>
          <w:rFonts w:ascii="Century Gothic" w:hAnsi="Century Gothic"/>
          <w:spacing w:val="-12"/>
          <w:sz w:val="19"/>
        </w:rPr>
        <w:t> </w:t>
      </w:r>
      <w:r>
        <w:rPr>
          <w:rFonts w:ascii="Century Gothic" w:hAnsi="Century Gothic"/>
          <w:sz w:val="19"/>
        </w:rPr>
        <w:t>la</w:t>
      </w:r>
      <w:r>
        <w:rPr>
          <w:rFonts w:ascii="Century Gothic" w:hAnsi="Century Gothic"/>
          <w:spacing w:val="-9"/>
          <w:sz w:val="19"/>
        </w:rPr>
        <w:t> </w:t>
      </w:r>
      <w:r>
        <w:rPr>
          <w:rFonts w:ascii="Century Gothic" w:hAnsi="Century Gothic"/>
          <w:sz w:val="19"/>
        </w:rPr>
        <w:t>Sociedad</w:t>
      </w:r>
      <w:r>
        <w:rPr>
          <w:rFonts w:ascii="Century Gothic" w:hAnsi="Century Gothic"/>
          <w:spacing w:val="-12"/>
          <w:sz w:val="19"/>
        </w:rPr>
        <w:t> </w:t>
      </w:r>
      <w:r>
        <w:rPr>
          <w:rFonts w:ascii="Century Gothic" w:hAnsi="Century Gothic"/>
          <w:sz w:val="19"/>
        </w:rPr>
        <w:t>a</w:t>
      </w:r>
      <w:r>
        <w:rPr>
          <w:rFonts w:ascii="Century Gothic" w:hAnsi="Century Gothic"/>
          <w:spacing w:val="-11"/>
          <w:sz w:val="19"/>
        </w:rPr>
        <w:t> </w:t>
      </w:r>
      <w:r>
        <w:rPr>
          <w:rFonts w:ascii="Century Gothic" w:hAnsi="Century Gothic"/>
          <w:sz w:val="19"/>
        </w:rPr>
        <w:t>31</w:t>
      </w:r>
      <w:r>
        <w:rPr>
          <w:rFonts w:ascii="Century Gothic" w:hAnsi="Century Gothic"/>
          <w:spacing w:val="-10"/>
          <w:sz w:val="19"/>
        </w:rPr>
        <w:t> </w:t>
      </w:r>
      <w:r>
        <w:rPr>
          <w:rFonts w:ascii="Century Gothic" w:hAnsi="Century Gothic"/>
          <w:sz w:val="19"/>
        </w:rPr>
        <w:t>de</w:t>
      </w:r>
      <w:r>
        <w:rPr>
          <w:rFonts w:ascii="Century Gothic" w:hAnsi="Century Gothic"/>
          <w:spacing w:val="-12"/>
          <w:sz w:val="19"/>
        </w:rPr>
        <w:t> </w:t>
      </w:r>
      <w:r>
        <w:rPr>
          <w:rFonts w:ascii="Century Gothic" w:hAnsi="Century Gothic"/>
          <w:sz w:val="19"/>
        </w:rPr>
        <w:t>diciembre</w:t>
      </w:r>
      <w:r>
        <w:rPr>
          <w:rFonts w:ascii="Century Gothic" w:hAnsi="Century Gothic"/>
          <w:spacing w:val="-11"/>
          <w:sz w:val="19"/>
        </w:rPr>
        <w:t> </w:t>
      </w:r>
      <w:r>
        <w:rPr>
          <w:rFonts w:ascii="Century Gothic" w:hAnsi="Century Gothic"/>
          <w:sz w:val="19"/>
        </w:rPr>
        <w:t>de</w:t>
      </w:r>
      <w:r>
        <w:rPr>
          <w:rFonts w:ascii="Century Gothic" w:hAnsi="Century Gothic"/>
          <w:spacing w:val="-12"/>
          <w:sz w:val="19"/>
        </w:rPr>
        <w:t> </w:t>
      </w:r>
      <w:r>
        <w:rPr>
          <w:rFonts w:ascii="Century Gothic" w:hAnsi="Century Gothic"/>
          <w:sz w:val="19"/>
        </w:rPr>
        <w:t>2025,</w:t>
      </w:r>
      <w:r>
        <w:rPr>
          <w:rFonts w:ascii="Century Gothic" w:hAnsi="Century Gothic"/>
          <w:spacing w:val="-11"/>
          <w:sz w:val="19"/>
        </w:rPr>
        <w:t> </w:t>
      </w:r>
      <w:r>
        <w:rPr>
          <w:rFonts w:ascii="Century Gothic" w:hAnsi="Century Gothic"/>
          <w:sz w:val="19"/>
        </w:rPr>
        <w:t>así como</w:t>
      </w:r>
      <w:r>
        <w:rPr>
          <w:rFonts w:ascii="Century Gothic" w:hAnsi="Century Gothic"/>
          <w:spacing w:val="-8"/>
          <w:sz w:val="19"/>
        </w:rPr>
        <w:t> </w:t>
      </w:r>
      <w:r>
        <w:rPr>
          <w:rFonts w:ascii="Century Gothic" w:hAnsi="Century Gothic"/>
          <w:sz w:val="19"/>
        </w:rPr>
        <w:t>de</w:t>
      </w:r>
      <w:r>
        <w:rPr>
          <w:rFonts w:ascii="Century Gothic" w:hAnsi="Century Gothic"/>
          <w:spacing w:val="-10"/>
          <w:sz w:val="19"/>
        </w:rPr>
        <w:t> </w:t>
      </w:r>
      <w:r>
        <w:rPr>
          <w:rFonts w:ascii="Century Gothic" w:hAnsi="Century Gothic"/>
          <w:sz w:val="19"/>
        </w:rPr>
        <w:t>sus</w:t>
      </w:r>
      <w:r>
        <w:rPr>
          <w:rFonts w:ascii="Century Gothic" w:hAnsi="Century Gothic"/>
          <w:spacing w:val="-9"/>
          <w:sz w:val="19"/>
        </w:rPr>
        <w:t> </w:t>
      </w:r>
      <w:r>
        <w:rPr>
          <w:rFonts w:ascii="Century Gothic" w:hAnsi="Century Gothic"/>
          <w:sz w:val="19"/>
        </w:rPr>
        <w:t>resultados</w:t>
      </w:r>
      <w:r>
        <w:rPr>
          <w:rFonts w:ascii="Century Gothic" w:hAnsi="Century Gothic"/>
          <w:spacing w:val="38"/>
          <w:sz w:val="19"/>
        </w:rPr>
        <w:t> </w:t>
      </w:r>
      <w:r>
        <w:rPr>
          <w:rFonts w:ascii="Century Gothic" w:hAnsi="Century Gothic"/>
          <w:sz w:val="19"/>
        </w:rPr>
        <w:t>y</w:t>
      </w:r>
      <w:r>
        <w:rPr>
          <w:rFonts w:ascii="Century Gothic" w:hAnsi="Century Gothic"/>
          <w:spacing w:val="-10"/>
          <w:sz w:val="19"/>
        </w:rPr>
        <w:t> </w:t>
      </w:r>
      <w:r>
        <w:rPr>
          <w:rFonts w:ascii="Century Gothic" w:hAnsi="Century Gothic"/>
          <w:sz w:val="19"/>
        </w:rPr>
        <w:t>flujos</w:t>
      </w:r>
      <w:r>
        <w:rPr>
          <w:rFonts w:ascii="Century Gothic" w:hAnsi="Century Gothic"/>
          <w:spacing w:val="-9"/>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efectivo</w:t>
      </w:r>
      <w:r>
        <w:rPr>
          <w:rFonts w:ascii="Century Gothic" w:hAnsi="Century Gothic"/>
          <w:spacing w:val="-9"/>
          <w:sz w:val="19"/>
        </w:rPr>
        <w:t> </w:t>
      </w:r>
      <w:r>
        <w:rPr>
          <w:rFonts w:ascii="Century Gothic" w:hAnsi="Century Gothic"/>
          <w:sz w:val="19"/>
        </w:rPr>
        <w:t>correspondientes</w:t>
      </w:r>
      <w:r>
        <w:rPr>
          <w:rFonts w:ascii="Century Gothic" w:hAnsi="Century Gothic"/>
          <w:spacing w:val="-9"/>
          <w:sz w:val="19"/>
        </w:rPr>
        <w:t> </w:t>
      </w:r>
      <w:r>
        <w:rPr>
          <w:rFonts w:ascii="Century Gothic" w:hAnsi="Century Gothic"/>
          <w:sz w:val="19"/>
        </w:rPr>
        <w:t>al</w:t>
      </w:r>
      <w:r>
        <w:rPr>
          <w:rFonts w:ascii="Century Gothic" w:hAnsi="Century Gothic"/>
          <w:spacing w:val="-10"/>
          <w:sz w:val="19"/>
        </w:rPr>
        <w:t> </w:t>
      </w:r>
      <w:r>
        <w:rPr>
          <w:rFonts w:ascii="Century Gothic" w:hAnsi="Century Gothic"/>
          <w:sz w:val="19"/>
        </w:rPr>
        <w:t>ejercicio</w:t>
      </w:r>
      <w:r>
        <w:rPr>
          <w:rFonts w:ascii="Century Gothic" w:hAnsi="Century Gothic"/>
          <w:spacing w:val="-8"/>
          <w:sz w:val="19"/>
        </w:rPr>
        <w:t> </w:t>
      </w:r>
      <w:r>
        <w:rPr>
          <w:rFonts w:ascii="Century Gothic" w:hAnsi="Century Gothic"/>
          <w:sz w:val="19"/>
        </w:rPr>
        <w:t>terminado</w:t>
      </w:r>
      <w:r>
        <w:rPr>
          <w:rFonts w:ascii="Century Gothic" w:hAnsi="Century Gothic"/>
          <w:spacing w:val="-8"/>
          <w:sz w:val="19"/>
        </w:rPr>
        <w:t> </w:t>
      </w:r>
      <w:r>
        <w:rPr>
          <w:rFonts w:ascii="Century Gothic" w:hAnsi="Century Gothic"/>
          <w:sz w:val="19"/>
        </w:rPr>
        <w:t>en</w:t>
      </w:r>
      <w:r>
        <w:rPr>
          <w:rFonts w:ascii="Century Gothic" w:hAnsi="Century Gothic"/>
          <w:spacing w:val="-10"/>
          <w:sz w:val="19"/>
        </w:rPr>
        <w:t> </w:t>
      </w:r>
      <w:r>
        <w:rPr>
          <w:rFonts w:ascii="Century Gothic" w:hAnsi="Century Gothic"/>
          <w:sz w:val="19"/>
        </w:rPr>
        <w:t>dicha</w:t>
      </w:r>
      <w:r>
        <w:rPr>
          <w:rFonts w:ascii="Century Gothic" w:hAnsi="Century Gothic"/>
          <w:spacing w:val="-10"/>
          <w:sz w:val="19"/>
        </w:rPr>
        <w:t> </w:t>
      </w:r>
      <w:r>
        <w:rPr>
          <w:rFonts w:ascii="Century Gothic" w:hAnsi="Century Gothic"/>
          <w:sz w:val="19"/>
        </w:rPr>
        <w:t>fecha, de</w:t>
      </w:r>
      <w:r>
        <w:rPr>
          <w:rFonts w:ascii="Century Gothic" w:hAnsi="Century Gothic"/>
          <w:spacing w:val="-2"/>
          <w:sz w:val="19"/>
        </w:rPr>
        <w:t> </w:t>
      </w:r>
      <w:r>
        <w:rPr>
          <w:rFonts w:ascii="Century Gothic" w:hAnsi="Century Gothic"/>
          <w:sz w:val="19"/>
        </w:rPr>
        <w:t>conformidad</w:t>
      </w:r>
      <w:r>
        <w:rPr>
          <w:rFonts w:ascii="Century Gothic" w:hAnsi="Century Gothic"/>
          <w:spacing w:val="-4"/>
          <w:sz w:val="19"/>
        </w:rPr>
        <w:t> </w:t>
      </w:r>
      <w:r>
        <w:rPr>
          <w:rFonts w:ascii="Century Gothic" w:hAnsi="Century Gothic"/>
          <w:sz w:val="19"/>
        </w:rPr>
        <w:t>con</w:t>
      </w:r>
      <w:r>
        <w:rPr>
          <w:rFonts w:ascii="Century Gothic" w:hAnsi="Century Gothic"/>
          <w:spacing w:val="-4"/>
          <w:sz w:val="19"/>
        </w:rPr>
        <w:t> </w:t>
      </w:r>
      <w:r>
        <w:rPr>
          <w:rFonts w:ascii="Century Gothic" w:hAnsi="Century Gothic"/>
          <w:sz w:val="19"/>
        </w:rPr>
        <w:t>el</w:t>
      </w:r>
      <w:r>
        <w:rPr>
          <w:rFonts w:ascii="Century Gothic" w:hAnsi="Century Gothic"/>
          <w:spacing w:val="-3"/>
          <w:sz w:val="19"/>
        </w:rPr>
        <w:t> </w:t>
      </w:r>
      <w:r>
        <w:rPr>
          <w:rFonts w:ascii="Century Gothic" w:hAnsi="Century Gothic"/>
          <w:sz w:val="19"/>
        </w:rPr>
        <w:t>marco</w:t>
      </w:r>
      <w:r>
        <w:rPr>
          <w:rFonts w:ascii="Century Gothic" w:hAnsi="Century Gothic"/>
          <w:spacing w:val="-3"/>
          <w:sz w:val="19"/>
        </w:rPr>
        <w:t> </w:t>
      </w:r>
      <w:r>
        <w:rPr>
          <w:rFonts w:ascii="Century Gothic" w:hAnsi="Century Gothic"/>
          <w:sz w:val="19"/>
        </w:rPr>
        <w:t>normativo</w:t>
      </w:r>
      <w:r>
        <w:rPr>
          <w:rFonts w:ascii="Century Gothic" w:hAnsi="Century Gothic"/>
          <w:spacing w:val="-2"/>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información</w:t>
      </w:r>
      <w:r>
        <w:rPr>
          <w:rFonts w:ascii="Century Gothic" w:hAnsi="Century Gothic"/>
          <w:spacing w:val="-4"/>
          <w:sz w:val="19"/>
        </w:rPr>
        <w:t> </w:t>
      </w:r>
      <w:r>
        <w:rPr>
          <w:rFonts w:ascii="Century Gothic" w:hAnsi="Century Gothic"/>
          <w:sz w:val="19"/>
        </w:rPr>
        <w:t>financiera</w:t>
      </w:r>
      <w:r>
        <w:rPr>
          <w:rFonts w:ascii="Century Gothic" w:hAnsi="Century Gothic"/>
          <w:spacing w:val="-3"/>
          <w:sz w:val="19"/>
        </w:rPr>
        <w:t> </w:t>
      </w:r>
      <w:r>
        <w:rPr>
          <w:rFonts w:ascii="Century Gothic" w:hAnsi="Century Gothic"/>
          <w:sz w:val="19"/>
        </w:rPr>
        <w:t>que</w:t>
      </w:r>
      <w:r>
        <w:rPr>
          <w:rFonts w:ascii="Century Gothic" w:hAnsi="Century Gothic"/>
          <w:spacing w:val="-4"/>
          <w:sz w:val="19"/>
        </w:rPr>
        <w:t> </w:t>
      </w:r>
      <w:r>
        <w:rPr>
          <w:rFonts w:ascii="Century Gothic" w:hAnsi="Century Gothic"/>
          <w:sz w:val="19"/>
        </w:rPr>
        <w:t>resulta</w:t>
      </w:r>
      <w:r>
        <w:rPr>
          <w:rFonts w:ascii="Century Gothic" w:hAnsi="Century Gothic"/>
          <w:spacing w:val="-1"/>
          <w:sz w:val="19"/>
        </w:rPr>
        <w:t> </w:t>
      </w:r>
      <w:r>
        <w:rPr>
          <w:rFonts w:ascii="Century Gothic" w:hAnsi="Century Gothic"/>
          <w:sz w:val="19"/>
        </w:rPr>
        <w:t>de</w:t>
      </w:r>
      <w:r>
        <w:rPr>
          <w:rFonts w:ascii="Century Gothic" w:hAnsi="Century Gothic"/>
          <w:spacing w:val="-5"/>
          <w:sz w:val="19"/>
        </w:rPr>
        <w:t> </w:t>
      </w:r>
      <w:r>
        <w:rPr>
          <w:rFonts w:ascii="Century Gothic" w:hAnsi="Century Gothic"/>
          <w:sz w:val="19"/>
        </w:rPr>
        <w:t>aplicación</w:t>
      </w:r>
      <w:r>
        <w:rPr>
          <w:rFonts w:ascii="Century Gothic" w:hAnsi="Century Gothic"/>
          <w:spacing w:val="-4"/>
          <w:sz w:val="19"/>
        </w:rPr>
        <w:t> </w:t>
      </w:r>
      <w:r>
        <w:rPr>
          <w:rFonts w:ascii="Century Gothic" w:hAnsi="Century Gothic"/>
          <w:sz w:val="19"/>
        </w:rPr>
        <w:t>(que se identifica en la nota 2 de la memoria adjunta) y, en particular, con los principios y criterios contables contenidos en el mismo.</w:t>
      </w:r>
    </w:p>
    <w:p>
      <w:pPr>
        <w:pStyle w:val="BodyText"/>
        <w:spacing w:before="1"/>
        <w:rPr>
          <w:rFonts w:ascii="Century Gothic"/>
          <w:sz w:val="19"/>
        </w:rPr>
      </w:pPr>
    </w:p>
    <w:p>
      <w:pPr>
        <w:pStyle w:val="ListParagraph"/>
        <w:numPr>
          <w:ilvl w:val="0"/>
          <w:numId w:val="1"/>
        </w:numPr>
        <w:tabs>
          <w:tab w:pos="764" w:val="left" w:leader="none"/>
        </w:tabs>
        <w:spacing w:line="240" w:lineRule="auto" w:before="0" w:after="0"/>
        <w:ind w:left="764" w:right="0" w:hanging="219"/>
        <w:jc w:val="left"/>
        <w:rPr>
          <w:rFonts w:ascii="Century Gothic" w:hAnsi="Century Gothic"/>
          <w:b/>
          <w:sz w:val="19"/>
        </w:rPr>
      </w:pPr>
      <w:r>
        <w:rPr>
          <w:rFonts w:ascii="Century Gothic" w:hAnsi="Century Gothic"/>
          <w:b/>
          <w:sz w:val="19"/>
        </w:rPr>
        <w:t>Fundamentos</w:t>
      </w:r>
      <w:r>
        <w:rPr>
          <w:rFonts w:ascii="Century Gothic" w:hAnsi="Century Gothic"/>
          <w:b/>
          <w:spacing w:val="-14"/>
          <w:sz w:val="19"/>
        </w:rPr>
        <w:t> </w:t>
      </w:r>
      <w:r>
        <w:rPr>
          <w:rFonts w:ascii="Century Gothic" w:hAnsi="Century Gothic"/>
          <w:b/>
          <w:sz w:val="19"/>
        </w:rPr>
        <w:t>de</w:t>
      </w:r>
      <w:r>
        <w:rPr>
          <w:rFonts w:ascii="Century Gothic" w:hAnsi="Century Gothic"/>
          <w:b/>
          <w:spacing w:val="-13"/>
          <w:sz w:val="19"/>
        </w:rPr>
        <w:t> </w:t>
      </w:r>
      <w:r>
        <w:rPr>
          <w:rFonts w:ascii="Century Gothic" w:hAnsi="Century Gothic"/>
          <w:b/>
          <w:sz w:val="19"/>
        </w:rPr>
        <w:t>la</w:t>
      </w:r>
      <w:r>
        <w:rPr>
          <w:rFonts w:ascii="Century Gothic" w:hAnsi="Century Gothic"/>
          <w:b/>
          <w:spacing w:val="-13"/>
          <w:sz w:val="19"/>
        </w:rPr>
        <w:t> </w:t>
      </w:r>
      <w:r>
        <w:rPr>
          <w:rFonts w:ascii="Century Gothic" w:hAnsi="Century Gothic"/>
          <w:b/>
          <w:spacing w:val="-2"/>
          <w:sz w:val="19"/>
        </w:rPr>
        <w:t>opinión.</w:t>
      </w:r>
    </w:p>
    <w:p>
      <w:pPr>
        <w:pStyle w:val="BodyText"/>
        <w:rPr>
          <w:rFonts w:ascii="Century Gothic"/>
          <w:b/>
          <w:sz w:val="19"/>
        </w:rPr>
      </w:pPr>
    </w:p>
    <w:p>
      <w:pPr>
        <w:spacing w:before="0"/>
        <w:ind w:left="766" w:right="217" w:firstLine="0"/>
        <w:jc w:val="both"/>
        <w:rPr>
          <w:rFonts w:ascii="Century Gothic" w:hAnsi="Century Gothic"/>
          <w:sz w:val="19"/>
        </w:rPr>
      </w:pPr>
      <w:r>
        <w:rPr>
          <w:rFonts w:ascii="Century Gothic" w:hAnsi="Century Gothic"/>
          <w:sz w:val="19"/>
        </w:rPr>
        <w:t>Hemos llevado a cabo nuestra auditoría de conformidad con la normativa reguladora de la actividad</w:t>
      </w:r>
      <w:r>
        <w:rPr>
          <w:rFonts w:ascii="Century Gothic" w:hAnsi="Century Gothic"/>
          <w:spacing w:val="-7"/>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auditoría</w:t>
      </w:r>
      <w:r>
        <w:rPr>
          <w:rFonts w:ascii="Century Gothic" w:hAnsi="Century Gothic"/>
          <w:spacing w:val="-5"/>
          <w:sz w:val="19"/>
        </w:rPr>
        <w:t> </w:t>
      </w:r>
      <w:r>
        <w:rPr>
          <w:rFonts w:ascii="Century Gothic" w:hAnsi="Century Gothic"/>
          <w:sz w:val="19"/>
        </w:rPr>
        <w:t>de</w:t>
      </w:r>
      <w:r>
        <w:rPr>
          <w:rFonts w:ascii="Century Gothic" w:hAnsi="Century Gothic"/>
          <w:spacing w:val="-10"/>
          <w:sz w:val="19"/>
        </w:rPr>
        <w:t> </w:t>
      </w:r>
      <w:r>
        <w:rPr>
          <w:rFonts w:ascii="Century Gothic" w:hAnsi="Century Gothic"/>
          <w:sz w:val="19"/>
        </w:rPr>
        <w:t>cuentas</w:t>
      </w:r>
      <w:r>
        <w:rPr>
          <w:rFonts w:ascii="Century Gothic" w:hAnsi="Century Gothic"/>
          <w:spacing w:val="-6"/>
          <w:sz w:val="19"/>
        </w:rPr>
        <w:t> </w:t>
      </w:r>
      <w:r>
        <w:rPr>
          <w:rFonts w:ascii="Century Gothic" w:hAnsi="Century Gothic"/>
          <w:sz w:val="19"/>
        </w:rPr>
        <w:t>vigente</w:t>
      </w:r>
      <w:r>
        <w:rPr>
          <w:rFonts w:ascii="Century Gothic" w:hAnsi="Century Gothic"/>
          <w:spacing w:val="-5"/>
          <w:sz w:val="19"/>
        </w:rPr>
        <w:t> </w:t>
      </w:r>
      <w:r>
        <w:rPr>
          <w:rFonts w:ascii="Century Gothic" w:hAnsi="Century Gothic"/>
          <w:sz w:val="19"/>
        </w:rPr>
        <w:t>en</w:t>
      </w:r>
      <w:r>
        <w:rPr>
          <w:rFonts w:ascii="Century Gothic" w:hAnsi="Century Gothic"/>
          <w:spacing w:val="-7"/>
          <w:sz w:val="19"/>
        </w:rPr>
        <w:t> </w:t>
      </w:r>
      <w:r>
        <w:rPr>
          <w:rFonts w:ascii="Century Gothic" w:hAnsi="Century Gothic"/>
          <w:sz w:val="19"/>
        </w:rPr>
        <w:t>España.</w:t>
      </w:r>
      <w:r>
        <w:rPr>
          <w:rFonts w:ascii="Century Gothic" w:hAnsi="Century Gothic"/>
          <w:spacing w:val="-4"/>
          <w:sz w:val="19"/>
        </w:rPr>
        <w:t> </w:t>
      </w:r>
      <w:r>
        <w:rPr>
          <w:rFonts w:ascii="Century Gothic" w:hAnsi="Century Gothic"/>
          <w:sz w:val="19"/>
        </w:rPr>
        <w:t>Nuestras</w:t>
      </w:r>
      <w:r>
        <w:rPr>
          <w:rFonts w:ascii="Century Gothic" w:hAnsi="Century Gothic"/>
          <w:spacing w:val="-6"/>
          <w:sz w:val="19"/>
        </w:rPr>
        <w:t> </w:t>
      </w:r>
      <w:r>
        <w:rPr>
          <w:rFonts w:ascii="Century Gothic" w:hAnsi="Century Gothic"/>
          <w:sz w:val="19"/>
        </w:rPr>
        <w:t>responsabilidades</w:t>
      </w:r>
      <w:r>
        <w:rPr>
          <w:rFonts w:ascii="Century Gothic" w:hAnsi="Century Gothic"/>
          <w:spacing w:val="-7"/>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acuerdo</w:t>
      </w:r>
      <w:r>
        <w:rPr>
          <w:rFonts w:ascii="Century Gothic" w:hAnsi="Century Gothic"/>
          <w:spacing w:val="-7"/>
          <w:sz w:val="19"/>
        </w:rPr>
        <w:t> </w:t>
      </w:r>
      <w:r>
        <w:rPr>
          <w:rFonts w:ascii="Century Gothic" w:hAnsi="Century Gothic"/>
          <w:sz w:val="19"/>
        </w:rPr>
        <w:t>con dichas</w:t>
      </w:r>
      <w:r>
        <w:rPr>
          <w:rFonts w:ascii="Century Gothic" w:hAnsi="Century Gothic"/>
          <w:spacing w:val="-4"/>
          <w:sz w:val="19"/>
        </w:rPr>
        <w:t> </w:t>
      </w:r>
      <w:r>
        <w:rPr>
          <w:rFonts w:ascii="Century Gothic" w:hAnsi="Century Gothic"/>
          <w:sz w:val="19"/>
        </w:rPr>
        <w:t>normas</w:t>
      </w:r>
      <w:r>
        <w:rPr>
          <w:rFonts w:ascii="Century Gothic" w:hAnsi="Century Gothic"/>
          <w:spacing w:val="-4"/>
          <w:sz w:val="19"/>
        </w:rPr>
        <w:t> </w:t>
      </w:r>
      <w:r>
        <w:rPr>
          <w:rFonts w:ascii="Century Gothic" w:hAnsi="Century Gothic"/>
          <w:sz w:val="19"/>
        </w:rPr>
        <w:t>se</w:t>
      </w:r>
      <w:r>
        <w:rPr>
          <w:rFonts w:ascii="Century Gothic" w:hAnsi="Century Gothic"/>
          <w:spacing w:val="-5"/>
          <w:sz w:val="19"/>
        </w:rPr>
        <w:t> </w:t>
      </w:r>
      <w:r>
        <w:rPr>
          <w:rFonts w:ascii="Century Gothic" w:hAnsi="Century Gothic"/>
          <w:sz w:val="19"/>
        </w:rPr>
        <w:t>describen</w:t>
      </w:r>
      <w:r>
        <w:rPr>
          <w:rFonts w:ascii="Century Gothic" w:hAnsi="Century Gothic"/>
          <w:spacing w:val="-3"/>
          <w:sz w:val="19"/>
        </w:rPr>
        <w:t> </w:t>
      </w:r>
      <w:r>
        <w:rPr>
          <w:rFonts w:ascii="Century Gothic" w:hAnsi="Century Gothic"/>
          <w:sz w:val="19"/>
        </w:rPr>
        <w:t>más</w:t>
      </w:r>
      <w:r>
        <w:rPr>
          <w:rFonts w:ascii="Century Gothic" w:hAnsi="Century Gothic"/>
          <w:spacing w:val="-5"/>
          <w:sz w:val="19"/>
        </w:rPr>
        <w:t> </w:t>
      </w:r>
      <w:r>
        <w:rPr>
          <w:rFonts w:ascii="Century Gothic" w:hAnsi="Century Gothic"/>
          <w:sz w:val="19"/>
        </w:rPr>
        <w:t>adelante</w:t>
      </w:r>
      <w:r>
        <w:rPr>
          <w:rFonts w:ascii="Century Gothic" w:hAnsi="Century Gothic"/>
          <w:spacing w:val="-5"/>
          <w:sz w:val="19"/>
        </w:rPr>
        <w:t> </w:t>
      </w:r>
      <w:r>
        <w:rPr>
          <w:rFonts w:ascii="Century Gothic" w:hAnsi="Century Gothic"/>
          <w:sz w:val="19"/>
        </w:rPr>
        <w:t>en</w:t>
      </w:r>
      <w:r>
        <w:rPr>
          <w:rFonts w:ascii="Century Gothic" w:hAnsi="Century Gothic"/>
          <w:spacing w:val="-6"/>
          <w:sz w:val="19"/>
        </w:rPr>
        <w:t> </w:t>
      </w:r>
      <w:r>
        <w:rPr>
          <w:rFonts w:ascii="Century Gothic" w:hAnsi="Century Gothic"/>
          <w:sz w:val="19"/>
        </w:rPr>
        <w:t>la</w:t>
      </w:r>
      <w:r>
        <w:rPr>
          <w:rFonts w:ascii="Century Gothic" w:hAnsi="Century Gothic"/>
          <w:spacing w:val="-6"/>
          <w:sz w:val="19"/>
        </w:rPr>
        <w:t> </w:t>
      </w:r>
      <w:r>
        <w:rPr>
          <w:rFonts w:ascii="Century Gothic" w:hAnsi="Century Gothic"/>
          <w:sz w:val="19"/>
        </w:rPr>
        <w:t>sección</w:t>
      </w:r>
      <w:r>
        <w:rPr>
          <w:rFonts w:ascii="Century Gothic" w:hAnsi="Century Gothic"/>
          <w:spacing w:val="-4"/>
          <w:sz w:val="19"/>
        </w:rPr>
        <w:t> </w:t>
      </w:r>
      <w:r>
        <w:rPr>
          <w:rFonts w:ascii="Century Gothic" w:hAnsi="Century Gothic"/>
          <w:i/>
          <w:sz w:val="19"/>
        </w:rPr>
        <w:t>Responsabilidades</w:t>
      </w:r>
      <w:r>
        <w:rPr>
          <w:rFonts w:ascii="Century Gothic" w:hAnsi="Century Gothic"/>
          <w:i/>
          <w:spacing w:val="-4"/>
          <w:sz w:val="19"/>
        </w:rPr>
        <w:t> </w:t>
      </w:r>
      <w:r>
        <w:rPr>
          <w:rFonts w:ascii="Century Gothic" w:hAnsi="Century Gothic"/>
          <w:i/>
          <w:sz w:val="19"/>
        </w:rPr>
        <w:t>del</w:t>
      </w:r>
      <w:r>
        <w:rPr>
          <w:rFonts w:ascii="Century Gothic" w:hAnsi="Century Gothic"/>
          <w:i/>
          <w:spacing w:val="-4"/>
          <w:sz w:val="19"/>
        </w:rPr>
        <w:t> </w:t>
      </w:r>
      <w:r>
        <w:rPr>
          <w:rFonts w:ascii="Century Gothic" w:hAnsi="Century Gothic"/>
          <w:i/>
          <w:sz w:val="19"/>
        </w:rPr>
        <w:t>auditor</w:t>
      </w:r>
      <w:r>
        <w:rPr>
          <w:rFonts w:ascii="Century Gothic" w:hAnsi="Century Gothic"/>
          <w:i/>
          <w:spacing w:val="-4"/>
          <w:sz w:val="19"/>
        </w:rPr>
        <w:t> </w:t>
      </w:r>
      <w:r>
        <w:rPr>
          <w:rFonts w:ascii="Century Gothic" w:hAnsi="Century Gothic"/>
          <w:i/>
          <w:sz w:val="19"/>
        </w:rPr>
        <w:t>en</w:t>
      </w:r>
      <w:r>
        <w:rPr>
          <w:rFonts w:ascii="Century Gothic" w:hAnsi="Century Gothic"/>
          <w:i/>
          <w:spacing w:val="-5"/>
          <w:sz w:val="19"/>
        </w:rPr>
        <w:t> </w:t>
      </w:r>
      <w:r>
        <w:rPr>
          <w:rFonts w:ascii="Century Gothic" w:hAnsi="Century Gothic"/>
          <w:i/>
          <w:sz w:val="19"/>
        </w:rPr>
        <w:t>relación</w:t>
      </w:r>
      <w:r>
        <w:rPr>
          <w:rFonts w:ascii="Century Gothic" w:hAnsi="Century Gothic"/>
          <w:i/>
          <w:sz w:val="19"/>
        </w:rPr>
        <w:t> con la auditoría de las cuentas anuales </w:t>
      </w:r>
      <w:r>
        <w:rPr>
          <w:rFonts w:ascii="Century Gothic" w:hAnsi="Century Gothic"/>
          <w:sz w:val="19"/>
        </w:rPr>
        <w:t>de nuestro informe.</w:t>
      </w:r>
    </w:p>
    <w:p>
      <w:pPr>
        <w:spacing w:before="233"/>
        <w:ind w:left="766" w:right="216" w:firstLine="0"/>
        <w:jc w:val="both"/>
        <w:rPr>
          <w:rFonts w:ascii="Century Gothic" w:hAnsi="Century Gothic"/>
          <w:sz w:val="19"/>
        </w:rPr>
      </w:pPr>
      <w:r>
        <w:rPr>
          <w:rFonts w:ascii="Century Gothic" w:hAnsi="Century Gothic"/>
          <w:spacing w:val="-2"/>
          <w:sz w:val="19"/>
        </w:rPr>
        <w:t>Somos</w:t>
      </w:r>
      <w:r>
        <w:rPr>
          <w:rFonts w:ascii="Century Gothic" w:hAnsi="Century Gothic"/>
          <w:spacing w:val="-5"/>
          <w:sz w:val="19"/>
        </w:rPr>
        <w:t> </w:t>
      </w:r>
      <w:r>
        <w:rPr>
          <w:rFonts w:ascii="Century Gothic" w:hAnsi="Century Gothic"/>
          <w:spacing w:val="-2"/>
          <w:sz w:val="19"/>
        </w:rPr>
        <w:t>independientes</w:t>
      </w:r>
      <w:r>
        <w:rPr>
          <w:rFonts w:ascii="Century Gothic" w:hAnsi="Century Gothic"/>
          <w:spacing w:val="-5"/>
          <w:sz w:val="19"/>
        </w:rPr>
        <w:t> </w:t>
      </w:r>
      <w:r>
        <w:rPr>
          <w:rFonts w:ascii="Century Gothic" w:hAnsi="Century Gothic"/>
          <w:spacing w:val="-2"/>
          <w:sz w:val="19"/>
        </w:rPr>
        <w:t>de</w:t>
      </w:r>
      <w:r>
        <w:rPr>
          <w:rFonts w:ascii="Century Gothic" w:hAnsi="Century Gothic"/>
          <w:spacing w:val="-7"/>
          <w:sz w:val="19"/>
        </w:rPr>
        <w:t> </w:t>
      </w:r>
      <w:r>
        <w:rPr>
          <w:rFonts w:ascii="Century Gothic" w:hAnsi="Century Gothic"/>
          <w:spacing w:val="-2"/>
          <w:sz w:val="19"/>
        </w:rPr>
        <w:t>la</w:t>
      </w:r>
      <w:r>
        <w:rPr>
          <w:rFonts w:ascii="Century Gothic" w:hAnsi="Century Gothic"/>
          <w:spacing w:val="-3"/>
          <w:sz w:val="19"/>
        </w:rPr>
        <w:t> </w:t>
      </w:r>
      <w:r>
        <w:rPr>
          <w:rFonts w:ascii="Century Gothic" w:hAnsi="Century Gothic"/>
          <w:spacing w:val="-2"/>
          <w:sz w:val="19"/>
        </w:rPr>
        <w:t>Sociedad</w:t>
      </w:r>
      <w:r>
        <w:rPr>
          <w:rFonts w:ascii="Century Gothic" w:hAnsi="Century Gothic"/>
          <w:spacing w:val="-6"/>
          <w:sz w:val="19"/>
        </w:rPr>
        <w:t> </w:t>
      </w:r>
      <w:r>
        <w:rPr>
          <w:rFonts w:ascii="Century Gothic" w:hAnsi="Century Gothic"/>
          <w:spacing w:val="-2"/>
          <w:sz w:val="19"/>
        </w:rPr>
        <w:t>de</w:t>
      </w:r>
      <w:r>
        <w:rPr>
          <w:rFonts w:ascii="Century Gothic" w:hAnsi="Century Gothic"/>
          <w:spacing w:val="-5"/>
          <w:sz w:val="19"/>
        </w:rPr>
        <w:t> </w:t>
      </w:r>
      <w:r>
        <w:rPr>
          <w:rFonts w:ascii="Century Gothic" w:hAnsi="Century Gothic"/>
          <w:spacing w:val="-2"/>
          <w:sz w:val="19"/>
        </w:rPr>
        <w:t>conformidad</w:t>
      </w:r>
      <w:r>
        <w:rPr>
          <w:rFonts w:ascii="Century Gothic" w:hAnsi="Century Gothic"/>
          <w:spacing w:val="-4"/>
          <w:sz w:val="19"/>
        </w:rPr>
        <w:t> </w:t>
      </w:r>
      <w:r>
        <w:rPr>
          <w:rFonts w:ascii="Century Gothic" w:hAnsi="Century Gothic"/>
          <w:spacing w:val="-2"/>
          <w:sz w:val="19"/>
        </w:rPr>
        <w:t>con</w:t>
      </w:r>
      <w:r>
        <w:rPr>
          <w:rFonts w:ascii="Century Gothic" w:hAnsi="Century Gothic"/>
          <w:spacing w:val="-6"/>
          <w:sz w:val="19"/>
        </w:rPr>
        <w:t> </w:t>
      </w:r>
      <w:r>
        <w:rPr>
          <w:rFonts w:ascii="Century Gothic" w:hAnsi="Century Gothic"/>
          <w:spacing w:val="-2"/>
          <w:sz w:val="19"/>
        </w:rPr>
        <w:t>los</w:t>
      </w:r>
      <w:r>
        <w:rPr>
          <w:rFonts w:ascii="Century Gothic" w:hAnsi="Century Gothic"/>
          <w:spacing w:val="-5"/>
          <w:sz w:val="19"/>
        </w:rPr>
        <w:t> </w:t>
      </w:r>
      <w:r>
        <w:rPr>
          <w:rFonts w:ascii="Century Gothic" w:hAnsi="Century Gothic"/>
          <w:spacing w:val="-2"/>
          <w:sz w:val="19"/>
        </w:rPr>
        <w:t>requerimientos</w:t>
      </w:r>
      <w:r>
        <w:rPr>
          <w:rFonts w:ascii="Century Gothic" w:hAnsi="Century Gothic"/>
          <w:spacing w:val="-5"/>
          <w:sz w:val="19"/>
        </w:rPr>
        <w:t> </w:t>
      </w:r>
      <w:r>
        <w:rPr>
          <w:rFonts w:ascii="Century Gothic" w:hAnsi="Century Gothic"/>
          <w:spacing w:val="-2"/>
          <w:sz w:val="19"/>
        </w:rPr>
        <w:t>de</w:t>
      </w:r>
      <w:r>
        <w:rPr>
          <w:rFonts w:ascii="Century Gothic" w:hAnsi="Century Gothic"/>
          <w:spacing w:val="-5"/>
          <w:sz w:val="19"/>
        </w:rPr>
        <w:t> </w:t>
      </w:r>
      <w:r>
        <w:rPr>
          <w:rFonts w:ascii="Century Gothic" w:hAnsi="Century Gothic"/>
          <w:spacing w:val="-2"/>
          <w:sz w:val="19"/>
        </w:rPr>
        <w:t>ética,</w:t>
      </w:r>
      <w:r>
        <w:rPr>
          <w:rFonts w:ascii="Century Gothic" w:hAnsi="Century Gothic"/>
          <w:spacing w:val="-6"/>
          <w:sz w:val="19"/>
        </w:rPr>
        <w:t> </w:t>
      </w:r>
      <w:r>
        <w:rPr>
          <w:rFonts w:ascii="Century Gothic" w:hAnsi="Century Gothic"/>
          <w:spacing w:val="-2"/>
          <w:sz w:val="19"/>
        </w:rPr>
        <w:t>incluidos</w:t>
      </w:r>
      <w:r>
        <w:rPr>
          <w:rFonts w:ascii="Century Gothic" w:hAnsi="Century Gothic"/>
          <w:spacing w:val="-5"/>
          <w:sz w:val="19"/>
        </w:rPr>
        <w:t> </w:t>
      </w:r>
      <w:r>
        <w:rPr>
          <w:rFonts w:ascii="Century Gothic" w:hAnsi="Century Gothic"/>
          <w:spacing w:val="-2"/>
          <w:sz w:val="19"/>
        </w:rPr>
        <w:t>los </w:t>
      </w:r>
      <w:r>
        <w:rPr>
          <w:rFonts w:ascii="Century Gothic" w:hAnsi="Century Gothic"/>
          <w:sz w:val="19"/>
        </w:rPr>
        <w:t>de</w:t>
      </w:r>
      <w:r>
        <w:rPr>
          <w:rFonts w:ascii="Century Gothic" w:hAnsi="Century Gothic"/>
          <w:spacing w:val="-14"/>
          <w:sz w:val="19"/>
        </w:rPr>
        <w:t> </w:t>
      </w:r>
      <w:r>
        <w:rPr>
          <w:rFonts w:ascii="Century Gothic" w:hAnsi="Century Gothic"/>
          <w:sz w:val="19"/>
        </w:rPr>
        <w:t>independencia,</w:t>
      </w:r>
      <w:r>
        <w:rPr>
          <w:rFonts w:ascii="Century Gothic" w:hAnsi="Century Gothic"/>
          <w:spacing w:val="-13"/>
          <w:sz w:val="19"/>
        </w:rPr>
        <w:t> </w:t>
      </w:r>
      <w:r>
        <w:rPr>
          <w:rFonts w:ascii="Century Gothic" w:hAnsi="Century Gothic"/>
          <w:sz w:val="19"/>
        </w:rPr>
        <w:t>que</w:t>
      </w:r>
      <w:r>
        <w:rPr>
          <w:rFonts w:ascii="Century Gothic" w:hAnsi="Century Gothic"/>
          <w:spacing w:val="-13"/>
          <w:sz w:val="19"/>
        </w:rPr>
        <w:t> </w:t>
      </w:r>
      <w:r>
        <w:rPr>
          <w:rFonts w:ascii="Century Gothic" w:hAnsi="Century Gothic"/>
          <w:sz w:val="19"/>
        </w:rPr>
        <w:t>son</w:t>
      </w:r>
      <w:r>
        <w:rPr>
          <w:rFonts w:ascii="Century Gothic" w:hAnsi="Century Gothic"/>
          <w:spacing w:val="-13"/>
          <w:sz w:val="19"/>
        </w:rPr>
        <w:t> </w:t>
      </w:r>
      <w:r>
        <w:rPr>
          <w:rFonts w:ascii="Century Gothic" w:hAnsi="Century Gothic"/>
          <w:sz w:val="19"/>
        </w:rPr>
        <w:t>aplicables</w:t>
      </w:r>
      <w:r>
        <w:rPr>
          <w:rFonts w:ascii="Century Gothic" w:hAnsi="Century Gothic"/>
          <w:spacing w:val="-13"/>
          <w:sz w:val="19"/>
        </w:rPr>
        <w:t> </w:t>
      </w:r>
      <w:r>
        <w:rPr>
          <w:rFonts w:ascii="Century Gothic" w:hAnsi="Century Gothic"/>
          <w:sz w:val="19"/>
        </w:rPr>
        <w:t>a</w:t>
      </w:r>
      <w:r>
        <w:rPr>
          <w:rFonts w:ascii="Century Gothic" w:hAnsi="Century Gothic"/>
          <w:spacing w:val="-13"/>
          <w:sz w:val="19"/>
        </w:rPr>
        <w:t> </w:t>
      </w:r>
      <w:r>
        <w:rPr>
          <w:rFonts w:ascii="Century Gothic" w:hAnsi="Century Gothic"/>
          <w:sz w:val="19"/>
        </w:rPr>
        <w:t>nuestra</w:t>
      </w:r>
      <w:r>
        <w:rPr>
          <w:rFonts w:ascii="Century Gothic" w:hAnsi="Century Gothic"/>
          <w:spacing w:val="-14"/>
          <w:sz w:val="19"/>
        </w:rPr>
        <w:t> </w:t>
      </w:r>
      <w:r>
        <w:rPr>
          <w:rFonts w:ascii="Century Gothic" w:hAnsi="Century Gothic"/>
          <w:sz w:val="19"/>
        </w:rPr>
        <w:t>auditoría</w:t>
      </w:r>
      <w:r>
        <w:rPr>
          <w:rFonts w:ascii="Century Gothic" w:hAnsi="Century Gothic"/>
          <w:spacing w:val="-13"/>
          <w:sz w:val="19"/>
        </w:rPr>
        <w:t> </w:t>
      </w:r>
      <w:r>
        <w:rPr>
          <w:rFonts w:ascii="Century Gothic" w:hAnsi="Century Gothic"/>
          <w:sz w:val="19"/>
        </w:rPr>
        <w:t>de</w:t>
      </w:r>
      <w:r>
        <w:rPr>
          <w:rFonts w:ascii="Century Gothic" w:hAnsi="Century Gothic"/>
          <w:spacing w:val="-13"/>
          <w:sz w:val="19"/>
        </w:rPr>
        <w:t> </w:t>
      </w:r>
      <w:r>
        <w:rPr>
          <w:rFonts w:ascii="Century Gothic" w:hAnsi="Century Gothic"/>
          <w:sz w:val="19"/>
        </w:rPr>
        <w:t>las</w:t>
      </w:r>
      <w:r>
        <w:rPr>
          <w:rFonts w:ascii="Century Gothic" w:hAnsi="Century Gothic"/>
          <w:spacing w:val="-13"/>
          <w:sz w:val="19"/>
        </w:rPr>
        <w:t> </w:t>
      </w:r>
      <w:r>
        <w:rPr>
          <w:rFonts w:ascii="Century Gothic" w:hAnsi="Century Gothic"/>
          <w:sz w:val="19"/>
        </w:rPr>
        <w:t>cuentas</w:t>
      </w:r>
      <w:r>
        <w:rPr>
          <w:rFonts w:ascii="Century Gothic" w:hAnsi="Century Gothic"/>
          <w:spacing w:val="-13"/>
          <w:sz w:val="19"/>
        </w:rPr>
        <w:t> </w:t>
      </w:r>
      <w:r>
        <w:rPr>
          <w:rFonts w:ascii="Century Gothic" w:hAnsi="Century Gothic"/>
          <w:sz w:val="19"/>
        </w:rPr>
        <w:t>anuales</w:t>
      </w:r>
      <w:r>
        <w:rPr>
          <w:rFonts w:ascii="Century Gothic" w:hAnsi="Century Gothic"/>
          <w:spacing w:val="-13"/>
          <w:sz w:val="19"/>
        </w:rPr>
        <w:t> </w:t>
      </w:r>
      <w:r>
        <w:rPr>
          <w:rFonts w:ascii="Century Gothic" w:hAnsi="Century Gothic"/>
          <w:sz w:val="19"/>
        </w:rPr>
        <w:t>en</w:t>
      </w:r>
      <w:r>
        <w:rPr>
          <w:rFonts w:ascii="Century Gothic" w:hAnsi="Century Gothic"/>
          <w:spacing w:val="-13"/>
          <w:sz w:val="19"/>
        </w:rPr>
        <w:t> </w:t>
      </w:r>
      <w:r>
        <w:rPr>
          <w:rFonts w:ascii="Century Gothic" w:hAnsi="Century Gothic"/>
          <w:sz w:val="19"/>
        </w:rPr>
        <w:t>España,</w:t>
      </w:r>
      <w:r>
        <w:rPr>
          <w:rFonts w:ascii="Century Gothic" w:hAnsi="Century Gothic"/>
          <w:spacing w:val="-14"/>
          <w:sz w:val="19"/>
        </w:rPr>
        <w:t> </w:t>
      </w:r>
      <w:r>
        <w:rPr>
          <w:rFonts w:ascii="Century Gothic" w:hAnsi="Century Gothic"/>
          <w:sz w:val="19"/>
        </w:rPr>
        <w:t>según lo exigido por la normativa reguladora de la actividad de auditoría de cuentas. En este sentido, aunque hemos prestado servicios distintos a los de la auditoría de cuentas, no han concurrido </w:t>
      </w:r>
      <w:r>
        <w:rPr>
          <w:rFonts w:ascii="Century Gothic" w:hAnsi="Century Gothic"/>
          <w:spacing w:val="-2"/>
          <w:sz w:val="19"/>
        </w:rPr>
        <w:t>situaciones</w:t>
      </w:r>
      <w:r>
        <w:rPr>
          <w:rFonts w:ascii="Century Gothic" w:hAnsi="Century Gothic"/>
          <w:spacing w:val="-4"/>
          <w:sz w:val="19"/>
        </w:rPr>
        <w:t> </w:t>
      </w:r>
      <w:r>
        <w:rPr>
          <w:rFonts w:ascii="Century Gothic" w:hAnsi="Century Gothic"/>
          <w:spacing w:val="-2"/>
          <w:sz w:val="19"/>
        </w:rPr>
        <w:t>o</w:t>
      </w:r>
      <w:r>
        <w:rPr>
          <w:rFonts w:ascii="Century Gothic" w:hAnsi="Century Gothic"/>
          <w:spacing w:val="-8"/>
          <w:sz w:val="19"/>
        </w:rPr>
        <w:t> </w:t>
      </w:r>
      <w:r>
        <w:rPr>
          <w:rFonts w:ascii="Century Gothic" w:hAnsi="Century Gothic"/>
          <w:spacing w:val="-2"/>
          <w:sz w:val="19"/>
        </w:rPr>
        <w:t>circunstancias</w:t>
      </w:r>
      <w:r>
        <w:rPr>
          <w:rFonts w:ascii="Century Gothic" w:hAnsi="Century Gothic"/>
          <w:spacing w:val="-4"/>
          <w:sz w:val="19"/>
        </w:rPr>
        <w:t> </w:t>
      </w:r>
      <w:r>
        <w:rPr>
          <w:rFonts w:ascii="Century Gothic" w:hAnsi="Century Gothic"/>
          <w:spacing w:val="-2"/>
          <w:sz w:val="19"/>
        </w:rPr>
        <w:t>que,</w:t>
      </w:r>
      <w:r>
        <w:rPr>
          <w:rFonts w:ascii="Century Gothic" w:hAnsi="Century Gothic"/>
          <w:spacing w:val="-5"/>
          <w:sz w:val="19"/>
        </w:rPr>
        <w:t> </w:t>
      </w:r>
      <w:r>
        <w:rPr>
          <w:rFonts w:ascii="Century Gothic" w:hAnsi="Century Gothic"/>
          <w:spacing w:val="-2"/>
          <w:sz w:val="19"/>
        </w:rPr>
        <w:t>de</w:t>
      </w:r>
      <w:r>
        <w:rPr>
          <w:rFonts w:ascii="Century Gothic" w:hAnsi="Century Gothic"/>
          <w:spacing w:val="-9"/>
          <w:sz w:val="19"/>
        </w:rPr>
        <w:t> </w:t>
      </w:r>
      <w:r>
        <w:rPr>
          <w:rFonts w:ascii="Century Gothic" w:hAnsi="Century Gothic"/>
          <w:spacing w:val="-2"/>
          <w:sz w:val="19"/>
        </w:rPr>
        <w:t>acuerdo</w:t>
      </w:r>
      <w:r>
        <w:rPr>
          <w:rFonts w:ascii="Century Gothic" w:hAnsi="Century Gothic"/>
          <w:spacing w:val="-8"/>
          <w:sz w:val="19"/>
        </w:rPr>
        <w:t> </w:t>
      </w:r>
      <w:r>
        <w:rPr>
          <w:rFonts w:ascii="Century Gothic" w:hAnsi="Century Gothic"/>
          <w:spacing w:val="-2"/>
          <w:sz w:val="19"/>
        </w:rPr>
        <w:t>con</w:t>
      </w:r>
      <w:r>
        <w:rPr>
          <w:rFonts w:ascii="Century Gothic" w:hAnsi="Century Gothic"/>
          <w:spacing w:val="-8"/>
          <w:sz w:val="19"/>
        </w:rPr>
        <w:t> </w:t>
      </w:r>
      <w:r>
        <w:rPr>
          <w:rFonts w:ascii="Century Gothic" w:hAnsi="Century Gothic"/>
          <w:spacing w:val="-2"/>
          <w:sz w:val="19"/>
        </w:rPr>
        <w:t>lo</w:t>
      </w:r>
      <w:r>
        <w:rPr>
          <w:rFonts w:ascii="Century Gothic" w:hAnsi="Century Gothic"/>
          <w:spacing w:val="-4"/>
          <w:sz w:val="19"/>
        </w:rPr>
        <w:t> </w:t>
      </w:r>
      <w:r>
        <w:rPr>
          <w:rFonts w:ascii="Century Gothic" w:hAnsi="Century Gothic"/>
          <w:spacing w:val="-2"/>
          <w:sz w:val="19"/>
        </w:rPr>
        <w:t>establecido</w:t>
      </w:r>
      <w:r>
        <w:rPr>
          <w:rFonts w:ascii="Century Gothic" w:hAnsi="Century Gothic"/>
          <w:spacing w:val="-4"/>
          <w:sz w:val="19"/>
        </w:rPr>
        <w:t> </w:t>
      </w:r>
      <w:r>
        <w:rPr>
          <w:rFonts w:ascii="Century Gothic" w:hAnsi="Century Gothic"/>
          <w:spacing w:val="-2"/>
          <w:sz w:val="19"/>
        </w:rPr>
        <w:t>en</w:t>
      </w:r>
      <w:r>
        <w:rPr>
          <w:rFonts w:ascii="Century Gothic" w:hAnsi="Century Gothic"/>
          <w:spacing w:val="-9"/>
          <w:sz w:val="19"/>
        </w:rPr>
        <w:t> </w:t>
      </w:r>
      <w:r>
        <w:rPr>
          <w:rFonts w:ascii="Century Gothic" w:hAnsi="Century Gothic"/>
          <w:spacing w:val="-2"/>
          <w:sz w:val="19"/>
        </w:rPr>
        <w:t>la</w:t>
      </w:r>
      <w:r>
        <w:rPr>
          <w:rFonts w:ascii="Century Gothic" w:hAnsi="Century Gothic"/>
          <w:spacing w:val="-8"/>
          <w:sz w:val="19"/>
        </w:rPr>
        <w:t> </w:t>
      </w:r>
      <w:r>
        <w:rPr>
          <w:rFonts w:ascii="Century Gothic" w:hAnsi="Century Gothic"/>
          <w:spacing w:val="-2"/>
          <w:sz w:val="19"/>
        </w:rPr>
        <w:t>citada</w:t>
      </w:r>
      <w:r>
        <w:rPr>
          <w:rFonts w:ascii="Century Gothic" w:hAnsi="Century Gothic"/>
          <w:spacing w:val="-5"/>
          <w:sz w:val="19"/>
        </w:rPr>
        <w:t> </w:t>
      </w:r>
      <w:r>
        <w:rPr>
          <w:rFonts w:ascii="Century Gothic" w:hAnsi="Century Gothic"/>
          <w:spacing w:val="-2"/>
          <w:sz w:val="19"/>
        </w:rPr>
        <w:t>normativa</w:t>
      </w:r>
      <w:r>
        <w:rPr>
          <w:rFonts w:ascii="Century Gothic" w:hAnsi="Century Gothic"/>
          <w:spacing w:val="-5"/>
          <w:sz w:val="19"/>
        </w:rPr>
        <w:t> </w:t>
      </w:r>
      <w:r>
        <w:rPr>
          <w:rFonts w:ascii="Century Gothic" w:hAnsi="Century Gothic"/>
          <w:spacing w:val="-2"/>
          <w:sz w:val="19"/>
        </w:rPr>
        <w:t>reguladora, </w:t>
      </w:r>
      <w:r>
        <w:rPr>
          <w:rFonts w:ascii="Century Gothic" w:hAnsi="Century Gothic"/>
          <w:sz w:val="19"/>
        </w:rPr>
        <w:t>hayan afectado a la necesaria independencia, de modo que se haya visto comprometida.</w:t>
      </w:r>
    </w:p>
    <w:p>
      <w:pPr>
        <w:pStyle w:val="BodyText"/>
        <w:spacing w:before="1"/>
        <w:rPr>
          <w:rFonts w:ascii="Century Gothic"/>
          <w:sz w:val="19"/>
        </w:rPr>
      </w:pPr>
    </w:p>
    <w:p>
      <w:pPr>
        <w:spacing w:before="0"/>
        <w:ind w:left="766" w:right="220" w:firstLine="0"/>
        <w:jc w:val="both"/>
        <w:rPr>
          <w:rFonts w:ascii="Century Gothic" w:hAnsi="Century Gothic"/>
          <w:sz w:val="19"/>
        </w:rPr>
      </w:pPr>
      <w:r>
        <w:rPr>
          <w:rFonts w:ascii="Century Gothic" w:hAnsi="Century Gothic"/>
          <w:sz w:val="19"/>
        </w:rPr>
        <w:t>Consideramos</w:t>
      </w:r>
      <w:r>
        <w:rPr>
          <w:rFonts w:ascii="Century Gothic" w:hAnsi="Century Gothic"/>
          <w:spacing w:val="-10"/>
          <w:sz w:val="19"/>
        </w:rPr>
        <w:t> </w:t>
      </w:r>
      <w:r>
        <w:rPr>
          <w:rFonts w:ascii="Century Gothic" w:hAnsi="Century Gothic"/>
          <w:sz w:val="19"/>
        </w:rPr>
        <w:t>que</w:t>
      </w:r>
      <w:r>
        <w:rPr>
          <w:rFonts w:ascii="Century Gothic" w:hAnsi="Century Gothic"/>
          <w:spacing w:val="-11"/>
          <w:sz w:val="19"/>
        </w:rPr>
        <w:t> </w:t>
      </w:r>
      <w:r>
        <w:rPr>
          <w:rFonts w:ascii="Century Gothic" w:hAnsi="Century Gothic"/>
          <w:sz w:val="19"/>
        </w:rPr>
        <w:t>la</w:t>
      </w:r>
      <w:r>
        <w:rPr>
          <w:rFonts w:ascii="Century Gothic" w:hAnsi="Century Gothic"/>
          <w:spacing w:val="-11"/>
          <w:sz w:val="19"/>
        </w:rPr>
        <w:t> </w:t>
      </w:r>
      <w:r>
        <w:rPr>
          <w:rFonts w:ascii="Century Gothic" w:hAnsi="Century Gothic"/>
          <w:sz w:val="19"/>
        </w:rPr>
        <w:t>evidencia</w:t>
      </w:r>
      <w:r>
        <w:rPr>
          <w:rFonts w:ascii="Century Gothic" w:hAnsi="Century Gothic"/>
          <w:spacing w:val="-11"/>
          <w:sz w:val="19"/>
        </w:rPr>
        <w:t> </w:t>
      </w:r>
      <w:r>
        <w:rPr>
          <w:rFonts w:ascii="Century Gothic" w:hAnsi="Century Gothic"/>
          <w:sz w:val="19"/>
        </w:rPr>
        <w:t>de</w:t>
      </w:r>
      <w:r>
        <w:rPr>
          <w:rFonts w:ascii="Century Gothic" w:hAnsi="Century Gothic"/>
          <w:spacing w:val="-11"/>
          <w:sz w:val="19"/>
        </w:rPr>
        <w:t> </w:t>
      </w:r>
      <w:r>
        <w:rPr>
          <w:rFonts w:ascii="Century Gothic" w:hAnsi="Century Gothic"/>
          <w:sz w:val="19"/>
        </w:rPr>
        <w:t>auditoría</w:t>
      </w:r>
      <w:r>
        <w:rPr>
          <w:rFonts w:ascii="Century Gothic" w:hAnsi="Century Gothic"/>
          <w:spacing w:val="-11"/>
          <w:sz w:val="19"/>
        </w:rPr>
        <w:t> </w:t>
      </w:r>
      <w:r>
        <w:rPr>
          <w:rFonts w:ascii="Century Gothic" w:hAnsi="Century Gothic"/>
          <w:sz w:val="19"/>
        </w:rPr>
        <w:t>que</w:t>
      </w:r>
      <w:r>
        <w:rPr>
          <w:rFonts w:ascii="Century Gothic" w:hAnsi="Century Gothic"/>
          <w:spacing w:val="-11"/>
          <w:sz w:val="19"/>
        </w:rPr>
        <w:t> </w:t>
      </w:r>
      <w:r>
        <w:rPr>
          <w:rFonts w:ascii="Century Gothic" w:hAnsi="Century Gothic"/>
          <w:sz w:val="19"/>
        </w:rPr>
        <w:t>hemos</w:t>
      </w:r>
      <w:r>
        <w:rPr>
          <w:rFonts w:ascii="Century Gothic" w:hAnsi="Century Gothic"/>
          <w:spacing w:val="-11"/>
          <w:sz w:val="19"/>
        </w:rPr>
        <w:t> </w:t>
      </w:r>
      <w:r>
        <w:rPr>
          <w:rFonts w:ascii="Century Gothic" w:hAnsi="Century Gothic"/>
          <w:sz w:val="19"/>
        </w:rPr>
        <w:t>obtenido</w:t>
      </w:r>
      <w:r>
        <w:rPr>
          <w:rFonts w:ascii="Century Gothic" w:hAnsi="Century Gothic"/>
          <w:spacing w:val="-10"/>
          <w:sz w:val="19"/>
        </w:rPr>
        <w:t> </w:t>
      </w:r>
      <w:r>
        <w:rPr>
          <w:rFonts w:ascii="Century Gothic" w:hAnsi="Century Gothic"/>
          <w:sz w:val="19"/>
        </w:rPr>
        <w:t>proporciona</w:t>
      </w:r>
      <w:r>
        <w:rPr>
          <w:rFonts w:ascii="Century Gothic" w:hAnsi="Century Gothic"/>
          <w:spacing w:val="-11"/>
          <w:sz w:val="19"/>
        </w:rPr>
        <w:t> </w:t>
      </w:r>
      <w:r>
        <w:rPr>
          <w:rFonts w:ascii="Century Gothic" w:hAnsi="Century Gothic"/>
          <w:sz w:val="19"/>
        </w:rPr>
        <w:t>una</w:t>
      </w:r>
      <w:r>
        <w:rPr>
          <w:rFonts w:ascii="Century Gothic" w:hAnsi="Century Gothic"/>
          <w:spacing w:val="-12"/>
          <w:sz w:val="19"/>
        </w:rPr>
        <w:t> </w:t>
      </w:r>
      <w:r>
        <w:rPr>
          <w:rFonts w:ascii="Century Gothic" w:hAnsi="Century Gothic"/>
          <w:sz w:val="19"/>
        </w:rPr>
        <w:t>base</w:t>
      </w:r>
      <w:r>
        <w:rPr>
          <w:rFonts w:ascii="Century Gothic" w:hAnsi="Century Gothic"/>
          <w:spacing w:val="-12"/>
          <w:sz w:val="19"/>
        </w:rPr>
        <w:t> </w:t>
      </w:r>
      <w:r>
        <w:rPr>
          <w:rFonts w:ascii="Century Gothic" w:hAnsi="Century Gothic"/>
          <w:sz w:val="19"/>
        </w:rPr>
        <w:t>suficiente y adecuada para nuestra opinión.</w:t>
      </w:r>
    </w:p>
    <w:p>
      <w:pPr>
        <w:pStyle w:val="ListParagraph"/>
        <w:numPr>
          <w:ilvl w:val="0"/>
          <w:numId w:val="1"/>
        </w:numPr>
        <w:tabs>
          <w:tab w:pos="764" w:val="left" w:leader="none"/>
        </w:tabs>
        <w:spacing w:line="240" w:lineRule="auto" w:before="232" w:after="0"/>
        <w:ind w:left="764" w:right="0" w:hanging="219"/>
        <w:jc w:val="left"/>
        <w:rPr>
          <w:rFonts w:ascii="Century Gothic" w:hAnsi="Century Gothic"/>
          <w:b/>
          <w:sz w:val="19"/>
        </w:rPr>
      </w:pPr>
      <w:r>
        <w:rPr>
          <w:rFonts w:ascii="Century Gothic" w:hAnsi="Century Gothic"/>
          <w:b/>
          <w:sz w:val="19"/>
        </w:rPr>
        <w:t>Aspectos</w:t>
      </w:r>
      <w:r>
        <w:rPr>
          <w:rFonts w:ascii="Century Gothic" w:hAnsi="Century Gothic"/>
          <w:b/>
          <w:spacing w:val="-14"/>
          <w:sz w:val="19"/>
        </w:rPr>
        <w:t> </w:t>
      </w:r>
      <w:r>
        <w:rPr>
          <w:rFonts w:ascii="Century Gothic" w:hAnsi="Century Gothic"/>
          <w:b/>
          <w:sz w:val="19"/>
        </w:rPr>
        <w:t>más</w:t>
      </w:r>
      <w:r>
        <w:rPr>
          <w:rFonts w:ascii="Century Gothic" w:hAnsi="Century Gothic"/>
          <w:b/>
          <w:spacing w:val="-13"/>
          <w:sz w:val="19"/>
        </w:rPr>
        <w:t> </w:t>
      </w:r>
      <w:r>
        <w:rPr>
          <w:rFonts w:ascii="Century Gothic" w:hAnsi="Century Gothic"/>
          <w:b/>
          <w:sz w:val="19"/>
        </w:rPr>
        <w:t>relevantes</w:t>
      </w:r>
      <w:r>
        <w:rPr>
          <w:rFonts w:ascii="Century Gothic" w:hAnsi="Century Gothic"/>
          <w:b/>
          <w:spacing w:val="-13"/>
          <w:sz w:val="19"/>
        </w:rPr>
        <w:t> </w:t>
      </w:r>
      <w:r>
        <w:rPr>
          <w:rFonts w:ascii="Century Gothic" w:hAnsi="Century Gothic"/>
          <w:b/>
          <w:sz w:val="19"/>
        </w:rPr>
        <w:t>de</w:t>
      </w:r>
      <w:r>
        <w:rPr>
          <w:rFonts w:ascii="Century Gothic" w:hAnsi="Century Gothic"/>
          <w:b/>
          <w:spacing w:val="-14"/>
          <w:sz w:val="19"/>
        </w:rPr>
        <w:t> </w:t>
      </w:r>
      <w:r>
        <w:rPr>
          <w:rFonts w:ascii="Century Gothic" w:hAnsi="Century Gothic"/>
          <w:b/>
          <w:sz w:val="19"/>
        </w:rPr>
        <w:t>la</w:t>
      </w:r>
      <w:r>
        <w:rPr>
          <w:rFonts w:ascii="Century Gothic" w:hAnsi="Century Gothic"/>
          <w:b/>
          <w:spacing w:val="-13"/>
          <w:sz w:val="19"/>
        </w:rPr>
        <w:t> </w:t>
      </w:r>
      <w:r>
        <w:rPr>
          <w:rFonts w:ascii="Century Gothic" w:hAnsi="Century Gothic"/>
          <w:b/>
          <w:spacing w:val="-2"/>
          <w:sz w:val="19"/>
        </w:rPr>
        <w:t>auditoría</w:t>
      </w:r>
    </w:p>
    <w:p>
      <w:pPr>
        <w:pStyle w:val="BodyText"/>
        <w:rPr>
          <w:rFonts w:ascii="Century Gothic"/>
          <w:b/>
          <w:sz w:val="19"/>
        </w:rPr>
      </w:pPr>
    </w:p>
    <w:p>
      <w:pPr>
        <w:spacing w:before="0"/>
        <w:ind w:left="766" w:right="216" w:firstLine="0"/>
        <w:jc w:val="both"/>
        <w:rPr>
          <w:rFonts w:ascii="Century Gothic" w:hAnsi="Century Gothic"/>
          <w:sz w:val="19"/>
        </w:rPr>
      </w:pPr>
      <w:r>
        <w:rPr>
          <w:rFonts w:ascii="Century Gothic" w:hAnsi="Century Gothic"/>
          <w:sz w:val="19"/>
        </w:rPr>
        <w:t>Los</w:t>
      </w:r>
      <w:r>
        <w:rPr>
          <w:rFonts w:ascii="Century Gothic" w:hAnsi="Century Gothic"/>
          <w:spacing w:val="-3"/>
          <w:sz w:val="19"/>
        </w:rPr>
        <w:t> </w:t>
      </w:r>
      <w:r>
        <w:rPr>
          <w:rFonts w:ascii="Century Gothic" w:hAnsi="Century Gothic"/>
          <w:sz w:val="19"/>
        </w:rPr>
        <w:t>aspectos</w:t>
      </w:r>
      <w:r>
        <w:rPr>
          <w:rFonts w:ascii="Century Gothic" w:hAnsi="Century Gothic"/>
          <w:spacing w:val="-3"/>
          <w:sz w:val="19"/>
        </w:rPr>
        <w:t> </w:t>
      </w:r>
      <w:r>
        <w:rPr>
          <w:rFonts w:ascii="Century Gothic" w:hAnsi="Century Gothic"/>
          <w:sz w:val="19"/>
        </w:rPr>
        <w:t>más</w:t>
      </w:r>
      <w:r>
        <w:rPr>
          <w:rFonts w:ascii="Century Gothic" w:hAnsi="Century Gothic"/>
          <w:spacing w:val="-3"/>
          <w:sz w:val="19"/>
        </w:rPr>
        <w:t> </w:t>
      </w:r>
      <w:r>
        <w:rPr>
          <w:rFonts w:ascii="Century Gothic" w:hAnsi="Century Gothic"/>
          <w:sz w:val="19"/>
        </w:rPr>
        <w:t>relevantes</w:t>
      </w:r>
      <w:r>
        <w:rPr>
          <w:rFonts w:ascii="Century Gothic" w:hAnsi="Century Gothic"/>
          <w:spacing w:val="-1"/>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la</w:t>
      </w:r>
      <w:r>
        <w:rPr>
          <w:rFonts w:ascii="Century Gothic" w:hAnsi="Century Gothic"/>
          <w:spacing w:val="-3"/>
          <w:sz w:val="19"/>
        </w:rPr>
        <w:t> </w:t>
      </w:r>
      <w:r>
        <w:rPr>
          <w:rFonts w:ascii="Century Gothic" w:hAnsi="Century Gothic"/>
          <w:sz w:val="19"/>
        </w:rPr>
        <w:t>auditoría</w:t>
      </w:r>
      <w:r>
        <w:rPr>
          <w:rFonts w:ascii="Century Gothic" w:hAnsi="Century Gothic"/>
          <w:spacing w:val="-4"/>
          <w:sz w:val="19"/>
        </w:rPr>
        <w:t> </w:t>
      </w:r>
      <w:r>
        <w:rPr>
          <w:rFonts w:ascii="Century Gothic" w:hAnsi="Century Gothic"/>
          <w:sz w:val="19"/>
        </w:rPr>
        <w:t>son</w:t>
      </w:r>
      <w:r>
        <w:rPr>
          <w:rFonts w:ascii="Century Gothic" w:hAnsi="Century Gothic"/>
          <w:spacing w:val="-4"/>
          <w:sz w:val="19"/>
        </w:rPr>
        <w:t> </w:t>
      </w:r>
      <w:r>
        <w:rPr>
          <w:rFonts w:ascii="Century Gothic" w:hAnsi="Century Gothic"/>
          <w:sz w:val="19"/>
        </w:rPr>
        <w:t>aquellos</w:t>
      </w:r>
      <w:r>
        <w:rPr>
          <w:rFonts w:ascii="Century Gothic" w:hAnsi="Century Gothic"/>
          <w:spacing w:val="-3"/>
          <w:sz w:val="19"/>
        </w:rPr>
        <w:t> </w:t>
      </w:r>
      <w:r>
        <w:rPr>
          <w:rFonts w:ascii="Century Gothic" w:hAnsi="Century Gothic"/>
          <w:sz w:val="19"/>
        </w:rPr>
        <w:t>que,</w:t>
      </w:r>
      <w:r>
        <w:rPr>
          <w:rFonts w:ascii="Century Gothic" w:hAnsi="Century Gothic"/>
          <w:spacing w:val="-3"/>
          <w:sz w:val="19"/>
        </w:rPr>
        <w:t> </w:t>
      </w:r>
      <w:r>
        <w:rPr>
          <w:rFonts w:ascii="Century Gothic" w:hAnsi="Century Gothic"/>
          <w:sz w:val="19"/>
        </w:rPr>
        <w:t>según</w:t>
      </w:r>
      <w:r>
        <w:rPr>
          <w:rFonts w:ascii="Century Gothic" w:hAnsi="Century Gothic"/>
          <w:spacing w:val="-4"/>
          <w:sz w:val="19"/>
        </w:rPr>
        <w:t> </w:t>
      </w:r>
      <w:r>
        <w:rPr>
          <w:rFonts w:ascii="Century Gothic" w:hAnsi="Century Gothic"/>
          <w:sz w:val="19"/>
        </w:rPr>
        <w:t>nuestro</w:t>
      </w:r>
      <w:r>
        <w:rPr>
          <w:rFonts w:ascii="Century Gothic" w:hAnsi="Century Gothic"/>
          <w:spacing w:val="-3"/>
          <w:sz w:val="19"/>
        </w:rPr>
        <w:t> </w:t>
      </w:r>
      <w:r>
        <w:rPr>
          <w:rFonts w:ascii="Century Gothic" w:hAnsi="Century Gothic"/>
          <w:sz w:val="19"/>
        </w:rPr>
        <w:t>juicio</w:t>
      </w:r>
      <w:r>
        <w:rPr>
          <w:rFonts w:ascii="Century Gothic" w:hAnsi="Century Gothic"/>
          <w:spacing w:val="-3"/>
          <w:sz w:val="19"/>
        </w:rPr>
        <w:t> </w:t>
      </w:r>
      <w:r>
        <w:rPr>
          <w:rFonts w:ascii="Century Gothic" w:hAnsi="Century Gothic"/>
          <w:sz w:val="19"/>
        </w:rPr>
        <w:t>profesional,</w:t>
      </w:r>
      <w:r>
        <w:rPr>
          <w:rFonts w:ascii="Century Gothic" w:hAnsi="Century Gothic"/>
          <w:spacing w:val="-3"/>
          <w:sz w:val="19"/>
        </w:rPr>
        <w:t> </w:t>
      </w:r>
      <w:r>
        <w:rPr>
          <w:rFonts w:ascii="Century Gothic" w:hAnsi="Century Gothic"/>
          <w:sz w:val="19"/>
        </w:rPr>
        <w:t>han sido</w:t>
      </w:r>
      <w:r>
        <w:rPr>
          <w:rFonts w:ascii="Century Gothic" w:hAnsi="Century Gothic"/>
          <w:spacing w:val="-4"/>
          <w:sz w:val="19"/>
        </w:rPr>
        <w:t> </w:t>
      </w:r>
      <w:r>
        <w:rPr>
          <w:rFonts w:ascii="Century Gothic" w:hAnsi="Century Gothic"/>
          <w:sz w:val="19"/>
        </w:rPr>
        <w:t>considerados</w:t>
      </w:r>
      <w:r>
        <w:rPr>
          <w:rFonts w:ascii="Century Gothic" w:hAnsi="Century Gothic"/>
          <w:spacing w:val="-4"/>
          <w:sz w:val="19"/>
        </w:rPr>
        <w:t> </w:t>
      </w:r>
      <w:r>
        <w:rPr>
          <w:rFonts w:ascii="Century Gothic" w:hAnsi="Century Gothic"/>
          <w:sz w:val="19"/>
        </w:rPr>
        <w:t>como</w:t>
      </w:r>
      <w:r>
        <w:rPr>
          <w:rFonts w:ascii="Century Gothic" w:hAnsi="Century Gothic"/>
          <w:spacing w:val="-4"/>
          <w:sz w:val="19"/>
        </w:rPr>
        <w:t> </w:t>
      </w:r>
      <w:r>
        <w:rPr>
          <w:rFonts w:ascii="Century Gothic" w:hAnsi="Century Gothic"/>
          <w:sz w:val="19"/>
        </w:rPr>
        <w:t>los</w:t>
      </w:r>
      <w:r>
        <w:rPr>
          <w:rFonts w:ascii="Century Gothic" w:hAnsi="Century Gothic"/>
          <w:spacing w:val="-4"/>
          <w:sz w:val="19"/>
        </w:rPr>
        <w:t> </w:t>
      </w:r>
      <w:r>
        <w:rPr>
          <w:rFonts w:ascii="Century Gothic" w:hAnsi="Century Gothic"/>
          <w:sz w:val="19"/>
        </w:rPr>
        <w:t>riesgos</w:t>
      </w:r>
      <w:r>
        <w:rPr>
          <w:rFonts w:ascii="Century Gothic" w:hAnsi="Century Gothic"/>
          <w:spacing w:val="-2"/>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incorrección</w:t>
      </w:r>
      <w:r>
        <w:rPr>
          <w:rFonts w:ascii="Century Gothic" w:hAnsi="Century Gothic"/>
          <w:spacing w:val="-5"/>
          <w:sz w:val="19"/>
        </w:rPr>
        <w:t> </w:t>
      </w:r>
      <w:r>
        <w:rPr>
          <w:rFonts w:ascii="Century Gothic" w:hAnsi="Century Gothic"/>
          <w:sz w:val="19"/>
        </w:rPr>
        <w:t>material</w:t>
      </w:r>
      <w:r>
        <w:rPr>
          <w:rFonts w:ascii="Century Gothic" w:hAnsi="Century Gothic"/>
          <w:spacing w:val="-4"/>
          <w:sz w:val="19"/>
        </w:rPr>
        <w:t> </w:t>
      </w:r>
      <w:r>
        <w:rPr>
          <w:rFonts w:ascii="Century Gothic" w:hAnsi="Century Gothic"/>
          <w:sz w:val="19"/>
        </w:rPr>
        <w:t>más</w:t>
      </w:r>
      <w:r>
        <w:rPr>
          <w:rFonts w:ascii="Century Gothic" w:hAnsi="Century Gothic"/>
          <w:spacing w:val="-4"/>
          <w:sz w:val="19"/>
        </w:rPr>
        <w:t> </w:t>
      </w:r>
      <w:r>
        <w:rPr>
          <w:rFonts w:ascii="Century Gothic" w:hAnsi="Century Gothic"/>
          <w:sz w:val="19"/>
        </w:rPr>
        <w:t>significativos</w:t>
      </w:r>
      <w:r>
        <w:rPr>
          <w:rFonts w:ascii="Century Gothic" w:hAnsi="Century Gothic"/>
          <w:spacing w:val="-4"/>
          <w:sz w:val="19"/>
        </w:rPr>
        <w:t> </w:t>
      </w:r>
      <w:r>
        <w:rPr>
          <w:rFonts w:ascii="Century Gothic" w:hAnsi="Century Gothic"/>
          <w:sz w:val="19"/>
        </w:rPr>
        <w:t>en</w:t>
      </w:r>
      <w:r>
        <w:rPr>
          <w:rFonts w:ascii="Century Gothic" w:hAnsi="Century Gothic"/>
          <w:spacing w:val="-3"/>
          <w:sz w:val="19"/>
        </w:rPr>
        <w:t> </w:t>
      </w:r>
      <w:r>
        <w:rPr>
          <w:rFonts w:ascii="Century Gothic" w:hAnsi="Century Gothic"/>
          <w:sz w:val="19"/>
        </w:rPr>
        <w:t>nuestra</w:t>
      </w:r>
      <w:r>
        <w:rPr>
          <w:rFonts w:ascii="Century Gothic" w:hAnsi="Century Gothic"/>
          <w:spacing w:val="-4"/>
          <w:sz w:val="19"/>
        </w:rPr>
        <w:t> </w:t>
      </w:r>
      <w:r>
        <w:rPr>
          <w:rFonts w:ascii="Century Gothic" w:hAnsi="Century Gothic"/>
          <w:sz w:val="19"/>
        </w:rPr>
        <w:t>auditoría de</w:t>
      </w:r>
      <w:r>
        <w:rPr>
          <w:rFonts w:ascii="Century Gothic" w:hAnsi="Century Gothic"/>
          <w:spacing w:val="-11"/>
          <w:sz w:val="19"/>
        </w:rPr>
        <w:t> </w:t>
      </w:r>
      <w:r>
        <w:rPr>
          <w:rFonts w:ascii="Century Gothic" w:hAnsi="Century Gothic"/>
          <w:sz w:val="19"/>
        </w:rPr>
        <w:t>las</w:t>
      </w:r>
      <w:r>
        <w:rPr>
          <w:rFonts w:ascii="Century Gothic" w:hAnsi="Century Gothic"/>
          <w:spacing w:val="-9"/>
          <w:sz w:val="19"/>
        </w:rPr>
        <w:t> </w:t>
      </w:r>
      <w:r>
        <w:rPr>
          <w:rFonts w:ascii="Century Gothic" w:hAnsi="Century Gothic"/>
          <w:sz w:val="19"/>
        </w:rPr>
        <w:t>cuentas</w:t>
      </w:r>
      <w:r>
        <w:rPr>
          <w:rFonts w:ascii="Century Gothic" w:hAnsi="Century Gothic"/>
          <w:spacing w:val="-9"/>
          <w:sz w:val="19"/>
        </w:rPr>
        <w:t> </w:t>
      </w:r>
      <w:r>
        <w:rPr>
          <w:rFonts w:ascii="Century Gothic" w:hAnsi="Century Gothic"/>
          <w:sz w:val="19"/>
        </w:rPr>
        <w:t>anuales</w:t>
      </w:r>
      <w:r>
        <w:rPr>
          <w:rFonts w:ascii="Century Gothic" w:hAnsi="Century Gothic"/>
          <w:spacing w:val="-8"/>
          <w:sz w:val="19"/>
        </w:rPr>
        <w:t> </w:t>
      </w:r>
      <w:r>
        <w:rPr>
          <w:rFonts w:ascii="Century Gothic" w:hAnsi="Century Gothic"/>
          <w:sz w:val="19"/>
        </w:rPr>
        <w:t>del</w:t>
      </w:r>
      <w:r>
        <w:rPr>
          <w:rFonts w:ascii="Century Gothic" w:hAnsi="Century Gothic"/>
          <w:spacing w:val="-10"/>
          <w:sz w:val="19"/>
        </w:rPr>
        <w:t> </w:t>
      </w:r>
      <w:r>
        <w:rPr>
          <w:rFonts w:ascii="Century Gothic" w:hAnsi="Century Gothic"/>
          <w:sz w:val="19"/>
        </w:rPr>
        <w:t>periodo</w:t>
      </w:r>
      <w:r>
        <w:rPr>
          <w:rFonts w:ascii="Century Gothic" w:hAnsi="Century Gothic"/>
          <w:spacing w:val="-9"/>
          <w:sz w:val="19"/>
        </w:rPr>
        <w:t> </w:t>
      </w:r>
      <w:r>
        <w:rPr>
          <w:rFonts w:ascii="Century Gothic" w:hAnsi="Century Gothic"/>
          <w:sz w:val="19"/>
        </w:rPr>
        <w:t>actual.</w:t>
      </w:r>
      <w:r>
        <w:rPr>
          <w:rFonts w:ascii="Century Gothic" w:hAnsi="Century Gothic"/>
          <w:spacing w:val="-9"/>
          <w:sz w:val="19"/>
        </w:rPr>
        <w:t> </w:t>
      </w:r>
      <w:r>
        <w:rPr>
          <w:rFonts w:ascii="Century Gothic" w:hAnsi="Century Gothic"/>
          <w:sz w:val="19"/>
        </w:rPr>
        <w:t>Estos</w:t>
      </w:r>
      <w:r>
        <w:rPr>
          <w:rFonts w:ascii="Century Gothic" w:hAnsi="Century Gothic"/>
          <w:spacing w:val="-9"/>
          <w:sz w:val="19"/>
        </w:rPr>
        <w:t> </w:t>
      </w:r>
      <w:r>
        <w:rPr>
          <w:rFonts w:ascii="Century Gothic" w:hAnsi="Century Gothic"/>
          <w:sz w:val="19"/>
        </w:rPr>
        <w:t>riesgos</w:t>
      </w:r>
      <w:r>
        <w:rPr>
          <w:rFonts w:ascii="Century Gothic" w:hAnsi="Century Gothic"/>
          <w:spacing w:val="-9"/>
          <w:sz w:val="19"/>
        </w:rPr>
        <w:t> </w:t>
      </w:r>
      <w:r>
        <w:rPr>
          <w:rFonts w:ascii="Century Gothic" w:hAnsi="Century Gothic"/>
          <w:sz w:val="19"/>
        </w:rPr>
        <w:t>han</w:t>
      </w:r>
      <w:r>
        <w:rPr>
          <w:rFonts w:ascii="Century Gothic" w:hAnsi="Century Gothic"/>
          <w:spacing w:val="-10"/>
          <w:sz w:val="19"/>
        </w:rPr>
        <w:t> </w:t>
      </w:r>
      <w:r>
        <w:rPr>
          <w:rFonts w:ascii="Century Gothic" w:hAnsi="Century Gothic"/>
          <w:sz w:val="19"/>
        </w:rPr>
        <w:t>sido</w:t>
      </w:r>
      <w:r>
        <w:rPr>
          <w:rFonts w:ascii="Century Gothic" w:hAnsi="Century Gothic"/>
          <w:spacing w:val="-9"/>
          <w:sz w:val="19"/>
        </w:rPr>
        <w:t> </w:t>
      </w:r>
      <w:r>
        <w:rPr>
          <w:rFonts w:ascii="Century Gothic" w:hAnsi="Century Gothic"/>
          <w:sz w:val="19"/>
        </w:rPr>
        <w:t>tratados</w:t>
      </w:r>
      <w:r>
        <w:rPr>
          <w:rFonts w:ascii="Century Gothic" w:hAnsi="Century Gothic"/>
          <w:spacing w:val="-9"/>
          <w:sz w:val="19"/>
        </w:rPr>
        <w:t> </w:t>
      </w:r>
      <w:r>
        <w:rPr>
          <w:rFonts w:ascii="Century Gothic" w:hAnsi="Century Gothic"/>
          <w:sz w:val="19"/>
        </w:rPr>
        <w:t>en</w:t>
      </w:r>
      <w:r>
        <w:rPr>
          <w:rFonts w:ascii="Century Gothic" w:hAnsi="Century Gothic"/>
          <w:spacing w:val="-11"/>
          <w:sz w:val="19"/>
        </w:rPr>
        <w:t> </w:t>
      </w:r>
      <w:r>
        <w:rPr>
          <w:rFonts w:ascii="Century Gothic" w:hAnsi="Century Gothic"/>
          <w:sz w:val="19"/>
        </w:rPr>
        <w:t>el</w:t>
      </w:r>
      <w:r>
        <w:rPr>
          <w:rFonts w:ascii="Century Gothic" w:hAnsi="Century Gothic"/>
          <w:spacing w:val="-12"/>
          <w:sz w:val="19"/>
        </w:rPr>
        <w:t> </w:t>
      </w:r>
      <w:r>
        <w:rPr>
          <w:rFonts w:ascii="Century Gothic" w:hAnsi="Century Gothic"/>
          <w:sz w:val="19"/>
        </w:rPr>
        <w:t>contexto</w:t>
      </w:r>
      <w:r>
        <w:rPr>
          <w:rFonts w:ascii="Century Gothic" w:hAnsi="Century Gothic"/>
          <w:spacing w:val="-9"/>
          <w:sz w:val="19"/>
        </w:rPr>
        <w:t> </w:t>
      </w:r>
      <w:r>
        <w:rPr>
          <w:rFonts w:ascii="Century Gothic" w:hAnsi="Century Gothic"/>
          <w:sz w:val="19"/>
        </w:rPr>
        <w:t>de</w:t>
      </w:r>
      <w:r>
        <w:rPr>
          <w:rFonts w:ascii="Century Gothic" w:hAnsi="Century Gothic"/>
          <w:spacing w:val="-11"/>
          <w:sz w:val="19"/>
        </w:rPr>
        <w:t> </w:t>
      </w:r>
      <w:r>
        <w:rPr>
          <w:rFonts w:ascii="Century Gothic" w:hAnsi="Century Gothic"/>
          <w:sz w:val="19"/>
        </w:rPr>
        <w:t>nuestra auditoría</w:t>
      </w:r>
      <w:r>
        <w:rPr>
          <w:rFonts w:ascii="Century Gothic" w:hAnsi="Century Gothic"/>
          <w:spacing w:val="-8"/>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las</w:t>
      </w:r>
      <w:r>
        <w:rPr>
          <w:rFonts w:ascii="Century Gothic" w:hAnsi="Century Gothic"/>
          <w:spacing w:val="-8"/>
          <w:sz w:val="19"/>
        </w:rPr>
        <w:t> </w:t>
      </w:r>
      <w:r>
        <w:rPr>
          <w:rFonts w:ascii="Century Gothic" w:hAnsi="Century Gothic"/>
          <w:sz w:val="19"/>
        </w:rPr>
        <w:t>cuentas</w:t>
      </w:r>
      <w:r>
        <w:rPr>
          <w:rFonts w:ascii="Century Gothic" w:hAnsi="Century Gothic"/>
          <w:spacing w:val="-6"/>
          <w:sz w:val="19"/>
        </w:rPr>
        <w:t> </w:t>
      </w:r>
      <w:r>
        <w:rPr>
          <w:rFonts w:ascii="Century Gothic" w:hAnsi="Century Gothic"/>
          <w:sz w:val="19"/>
        </w:rPr>
        <w:t>anuales</w:t>
      </w:r>
      <w:r>
        <w:rPr>
          <w:rFonts w:ascii="Century Gothic" w:hAnsi="Century Gothic"/>
          <w:spacing w:val="-8"/>
          <w:sz w:val="19"/>
        </w:rPr>
        <w:t> </w:t>
      </w:r>
      <w:r>
        <w:rPr>
          <w:rFonts w:ascii="Century Gothic" w:hAnsi="Century Gothic"/>
          <w:sz w:val="19"/>
        </w:rPr>
        <w:t>en</w:t>
      </w:r>
      <w:r>
        <w:rPr>
          <w:rFonts w:ascii="Century Gothic" w:hAnsi="Century Gothic"/>
          <w:spacing w:val="-10"/>
          <w:sz w:val="19"/>
        </w:rPr>
        <w:t> </w:t>
      </w:r>
      <w:r>
        <w:rPr>
          <w:rFonts w:ascii="Century Gothic" w:hAnsi="Century Gothic"/>
          <w:sz w:val="19"/>
        </w:rPr>
        <w:t>su</w:t>
      </w:r>
      <w:r>
        <w:rPr>
          <w:rFonts w:ascii="Century Gothic" w:hAnsi="Century Gothic"/>
          <w:spacing w:val="-9"/>
          <w:sz w:val="19"/>
        </w:rPr>
        <w:t> </w:t>
      </w:r>
      <w:r>
        <w:rPr>
          <w:rFonts w:ascii="Century Gothic" w:hAnsi="Century Gothic"/>
          <w:sz w:val="19"/>
        </w:rPr>
        <w:t>conjunto,</w:t>
      </w:r>
      <w:r>
        <w:rPr>
          <w:rFonts w:ascii="Century Gothic" w:hAnsi="Century Gothic"/>
          <w:spacing w:val="-9"/>
          <w:sz w:val="19"/>
        </w:rPr>
        <w:t> </w:t>
      </w:r>
      <w:r>
        <w:rPr>
          <w:rFonts w:ascii="Century Gothic" w:hAnsi="Century Gothic"/>
          <w:sz w:val="19"/>
        </w:rPr>
        <w:t>y</w:t>
      </w:r>
      <w:r>
        <w:rPr>
          <w:rFonts w:ascii="Century Gothic" w:hAnsi="Century Gothic"/>
          <w:spacing w:val="-7"/>
          <w:sz w:val="19"/>
        </w:rPr>
        <w:t> </w:t>
      </w:r>
      <w:r>
        <w:rPr>
          <w:rFonts w:ascii="Century Gothic" w:hAnsi="Century Gothic"/>
          <w:sz w:val="19"/>
        </w:rPr>
        <w:t>en</w:t>
      </w:r>
      <w:r>
        <w:rPr>
          <w:rFonts w:ascii="Century Gothic" w:hAnsi="Century Gothic"/>
          <w:spacing w:val="-7"/>
          <w:sz w:val="19"/>
        </w:rPr>
        <w:t> </w:t>
      </w:r>
      <w:r>
        <w:rPr>
          <w:rFonts w:ascii="Century Gothic" w:hAnsi="Century Gothic"/>
          <w:sz w:val="19"/>
        </w:rPr>
        <w:t>la</w:t>
      </w:r>
      <w:r>
        <w:rPr>
          <w:rFonts w:ascii="Century Gothic" w:hAnsi="Century Gothic"/>
          <w:spacing w:val="-9"/>
          <w:sz w:val="19"/>
        </w:rPr>
        <w:t> </w:t>
      </w:r>
      <w:r>
        <w:rPr>
          <w:rFonts w:ascii="Century Gothic" w:hAnsi="Century Gothic"/>
          <w:sz w:val="19"/>
        </w:rPr>
        <w:t>formación</w:t>
      </w:r>
      <w:r>
        <w:rPr>
          <w:rFonts w:ascii="Century Gothic" w:hAnsi="Century Gothic"/>
          <w:spacing w:val="-9"/>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nuestra</w:t>
      </w:r>
      <w:r>
        <w:rPr>
          <w:rFonts w:ascii="Century Gothic" w:hAnsi="Century Gothic"/>
          <w:spacing w:val="-9"/>
          <w:sz w:val="19"/>
        </w:rPr>
        <w:t> </w:t>
      </w:r>
      <w:r>
        <w:rPr>
          <w:rFonts w:ascii="Century Gothic" w:hAnsi="Century Gothic"/>
          <w:sz w:val="19"/>
        </w:rPr>
        <w:t>opinión</w:t>
      </w:r>
      <w:r>
        <w:rPr>
          <w:rFonts w:ascii="Century Gothic" w:hAnsi="Century Gothic"/>
          <w:spacing w:val="-9"/>
          <w:sz w:val="19"/>
        </w:rPr>
        <w:t> </w:t>
      </w:r>
      <w:r>
        <w:rPr>
          <w:rFonts w:ascii="Century Gothic" w:hAnsi="Century Gothic"/>
          <w:sz w:val="19"/>
        </w:rPr>
        <w:t>sobre</w:t>
      </w:r>
      <w:r>
        <w:rPr>
          <w:rFonts w:ascii="Century Gothic" w:hAnsi="Century Gothic"/>
          <w:spacing w:val="-7"/>
          <w:sz w:val="19"/>
        </w:rPr>
        <w:t> </w:t>
      </w:r>
      <w:r>
        <w:rPr>
          <w:rFonts w:ascii="Century Gothic" w:hAnsi="Century Gothic"/>
          <w:sz w:val="19"/>
        </w:rPr>
        <w:t>éstos,</w:t>
      </w:r>
      <w:r>
        <w:rPr>
          <w:rFonts w:ascii="Century Gothic" w:hAnsi="Century Gothic"/>
          <w:spacing w:val="-11"/>
          <w:sz w:val="19"/>
        </w:rPr>
        <w:t> </w:t>
      </w:r>
      <w:r>
        <w:rPr>
          <w:rFonts w:ascii="Century Gothic" w:hAnsi="Century Gothic"/>
          <w:sz w:val="19"/>
        </w:rPr>
        <w:t>y no expresamos una opinión por separado sobre esos riesgos.</w:t>
      </w:r>
    </w:p>
    <w:p>
      <w:pPr>
        <w:pStyle w:val="BodyText"/>
        <w:rPr>
          <w:rFonts w:ascii="Century Gothic"/>
          <w:sz w:val="19"/>
        </w:rPr>
      </w:pPr>
    </w:p>
    <w:p>
      <w:pPr>
        <w:spacing w:before="0"/>
        <w:ind w:left="766" w:right="220" w:firstLine="0"/>
        <w:jc w:val="both"/>
        <w:rPr>
          <w:rFonts w:ascii="Century Gothic" w:hAnsi="Century Gothic"/>
          <w:sz w:val="19"/>
        </w:rPr>
      </w:pPr>
      <w:r>
        <w:rPr>
          <w:rFonts w:ascii="Century Gothic" w:hAnsi="Century Gothic"/>
          <w:sz w:val="19"/>
        </w:rPr>
        <w:t>Hemos determinado como aspectos más relevantes de la auditoría, que se deben comunicar en nuestro informe:</w:t>
      </w:r>
    </w:p>
    <w:p>
      <w:pPr>
        <w:spacing w:after="0"/>
        <w:jc w:val="both"/>
        <w:rPr>
          <w:rFonts w:ascii="Century Gothic" w:hAnsi="Century Gothic"/>
          <w:sz w:val="19"/>
        </w:rPr>
        <w:sectPr>
          <w:headerReference w:type="default" r:id="rId5"/>
          <w:footerReference w:type="default" r:id="rId6"/>
          <w:type w:val="continuous"/>
          <w:pgSz w:w="12240" w:h="15840"/>
          <w:pgMar w:header="139" w:footer="846" w:top="1700" w:bottom="1040" w:left="1080" w:right="1080"/>
          <w:pgNumType w:start="1"/>
        </w:sectPr>
      </w:pPr>
    </w:p>
    <w:p>
      <w:pPr>
        <w:pStyle w:val="ListParagraph"/>
        <w:numPr>
          <w:ilvl w:val="1"/>
          <w:numId w:val="1"/>
        </w:numPr>
        <w:tabs>
          <w:tab w:pos="1115" w:val="left" w:leader="none"/>
        </w:tabs>
        <w:spacing w:line="240" w:lineRule="auto" w:before="89" w:after="0"/>
        <w:ind w:left="1115" w:right="0" w:hanging="357"/>
        <w:jc w:val="left"/>
        <w:rPr>
          <w:rFonts w:ascii="Century Gothic" w:hAnsi="Century Gothic"/>
          <w:b/>
          <w:sz w:val="19"/>
        </w:rPr>
      </w:pPr>
      <w:r>
        <w:rPr>
          <w:rFonts w:ascii="Century Gothic" w:hAnsi="Century Gothic"/>
          <w:b/>
          <w:sz w:val="19"/>
        </w:rPr>
        <w:drawing>
          <wp:anchor distT="0" distB="0" distL="0" distR="0" allowOverlap="1" layoutInCell="1" locked="0" behindDoc="0" simplePos="0" relativeHeight="15729664">
            <wp:simplePos x="0" y="0"/>
            <wp:positionH relativeFrom="page">
              <wp:posOffset>306590</wp:posOffset>
            </wp:positionH>
            <wp:positionV relativeFrom="page">
              <wp:posOffset>8271751</wp:posOffset>
            </wp:positionV>
            <wp:extent cx="1269999" cy="121919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269999" cy="1219199"/>
                    </a:xfrm>
                    <a:prstGeom prst="rect">
                      <a:avLst/>
                    </a:prstGeom>
                  </pic:spPr>
                </pic:pic>
              </a:graphicData>
            </a:graphic>
          </wp:anchor>
        </w:drawing>
      </w:r>
      <w:r>
        <w:rPr>
          <w:rFonts w:ascii="Century Gothic" w:hAnsi="Century Gothic"/>
          <w:b/>
          <w:sz w:val="19"/>
        </w:rPr>
        <mc:AlternateContent>
          <mc:Choice Requires="wps">
            <w:drawing>
              <wp:anchor distT="0" distB="0" distL="0" distR="0" allowOverlap="1" layoutInCell="1" locked="0" behindDoc="0" simplePos="0" relativeHeight="15730176">
                <wp:simplePos x="0" y="0"/>
                <wp:positionH relativeFrom="page">
                  <wp:posOffset>389592</wp:posOffset>
                </wp:positionH>
                <wp:positionV relativeFrom="page">
                  <wp:posOffset>2765985</wp:posOffset>
                </wp:positionV>
                <wp:extent cx="132715" cy="507873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32715" cy="5078730"/>
                        </a:xfrm>
                        <a:prstGeom prst="rect">
                          <a:avLst/>
                        </a:prstGeom>
                      </wps:spPr>
                      <wps:txbx>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wps:txbx>
                      <wps:bodyPr wrap="square" lIns="0" tIns="0" rIns="0" bIns="0" rtlCol="0" vert="vert270">
                        <a:noAutofit/>
                      </wps:bodyPr>
                    </wps:wsp>
                  </a:graphicData>
                </a:graphic>
              </wp:anchor>
            </w:drawing>
          </mc:Choice>
          <mc:Fallback>
            <w:pict>
              <v:shape style="position:absolute;margin-left:30.676601pt;margin-top:217.794098pt;width:10.45pt;height:399.9pt;mso-position-horizontal-relative:page;mso-position-vertical-relative:page;z-index:15730176" type="#_x0000_t202" id="docshape3" filled="false" stroked="false">
                <v:textbox inset="0,0,0,0" style="layout-flow:vertical;mso-layout-flow-alt:bottom-to-top">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v:textbox>
                <w10:wrap type="none"/>
              </v:shape>
            </w:pict>
          </mc:Fallback>
        </mc:AlternateContent>
      </w:r>
      <w:r>
        <w:rPr>
          <w:rFonts w:ascii="Century Gothic" w:hAnsi="Century Gothic"/>
          <w:b/>
          <w:sz w:val="19"/>
        </w:rPr>
        <w:t>Venta</w:t>
      </w:r>
      <w:r>
        <w:rPr>
          <w:rFonts w:ascii="Century Gothic" w:hAnsi="Century Gothic"/>
          <w:b/>
          <w:spacing w:val="-7"/>
          <w:sz w:val="19"/>
        </w:rPr>
        <w:t> </w:t>
      </w:r>
      <w:r>
        <w:rPr>
          <w:rFonts w:ascii="Century Gothic" w:hAnsi="Century Gothic"/>
          <w:b/>
          <w:sz w:val="19"/>
        </w:rPr>
        <w:t>de</w:t>
      </w:r>
      <w:r>
        <w:rPr>
          <w:rFonts w:ascii="Century Gothic" w:hAnsi="Century Gothic"/>
          <w:b/>
          <w:spacing w:val="-6"/>
          <w:sz w:val="19"/>
        </w:rPr>
        <w:t> </w:t>
      </w:r>
      <w:r>
        <w:rPr>
          <w:rFonts w:ascii="Century Gothic" w:hAnsi="Century Gothic"/>
          <w:b/>
          <w:sz w:val="19"/>
        </w:rPr>
        <w:t>títulos</w:t>
      </w:r>
      <w:r>
        <w:rPr>
          <w:rFonts w:ascii="Century Gothic" w:hAnsi="Century Gothic"/>
          <w:b/>
          <w:spacing w:val="-6"/>
          <w:sz w:val="19"/>
        </w:rPr>
        <w:t> </w:t>
      </w:r>
      <w:r>
        <w:rPr>
          <w:rFonts w:ascii="Century Gothic" w:hAnsi="Century Gothic"/>
          <w:b/>
          <w:sz w:val="19"/>
        </w:rPr>
        <w:t>a</w:t>
      </w:r>
      <w:r>
        <w:rPr>
          <w:rFonts w:ascii="Century Gothic" w:hAnsi="Century Gothic"/>
          <w:b/>
          <w:spacing w:val="-6"/>
          <w:sz w:val="19"/>
        </w:rPr>
        <w:t> </w:t>
      </w:r>
      <w:r>
        <w:rPr>
          <w:rFonts w:ascii="Century Gothic" w:hAnsi="Century Gothic"/>
          <w:b/>
          <w:sz w:val="19"/>
        </w:rPr>
        <w:t>través</w:t>
      </w:r>
      <w:r>
        <w:rPr>
          <w:rFonts w:ascii="Century Gothic" w:hAnsi="Century Gothic"/>
          <w:b/>
          <w:spacing w:val="-6"/>
          <w:sz w:val="19"/>
        </w:rPr>
        <w:t> </w:t>
      </w:r>
      <w:r>
        <w:rPr>
          <w:rFonts w:ascii="Century Gothic" w:hAnsi="Century Gothic"/>
          <w:b/>
          <w:sz w:val="19"/>
        </w:rPr>
        <w:t>de</w:t>
      </w:r>
      <w:r>
        <w:rPr>
          <w:rFonts w:ascii="Century Gothic" w:hAnsi="Century Gothic"/>
          <w:b/>
          <w:spacing w:val="-6"/>
          <w:sz w:val="19"/>
        </w:rPr>
        <w:t> </w:t>
      </w:r>
      <w:r>
        <w:rPr>
          <w:rFonts w:ascii="Century Gothic" w:hAnsi="Century Gothic"/>
          <w:b/>
          <w:sz w:val="19"/>
        </w:rPr>
        <w:t>red</w:t>
      </w:r>
      <w:r>
        <w:rPr>
          <w:rFonts w:ascii="Century Gothic" w:hAnsi="Century Gothic"/>
          <w:b/>
          <w:spacing w:val="-6"/>
          <w:sz w:val="19"/>
        </w:rPr>
        <w:t> </w:t>
      </w:r>
      <w:r>
        <w:rPr>
          <w:rFonts w:ascii="Century Gothic" w:hAnsi="Century Gothic"/>
          <w:b/>
          <w:sz w:val="19"/>
        </w:rPr>
        <w:t>externa</w:t>
      </w:r>
      <w:r>
        <w:rPr>
          <w:rFonts w:ascii="Century Gothic" w:hAnsi="Century Gothic"/>
          <w:b/>
          <w:spacing w:val="-7"/>
          <w:sz w:val="19"/>
        </w:rPr>
        <w:t> </w:t>
      </w:r>
      <w:r>
        <w:rPr>
          <w:rFonts w:ascii="Century Gothic" w:hAnsi="Century Gothic"/>
          <w:b/>
          <w:sz w:val="19"/>
        </w:rPr>
        <w:t>(bono</w:t>
      </w:r>
      <w:r>
        <w:rPr>
          <w:rFonts w:ascii="Century Gothic" w:hAnsi="Century Gothic"/>
          <w:b/>
          <w:spacing w:val="-4"/>
          <w:sz w:val="19"/>
        </w:rPr>
        <w:t> </w:t>
      </w:r>
      <w:r>
        <w:rPr>
          <w:rFonts w:ascii="Century Gothic" w:hAnsi="Century Gothic"/>
          <w:b/>
          <w:sz w:val="19"/>
        </w:rPr>
        <w:t>Guagua</w:t>
      </w:r>
      <w:r>
        <w:rPr>
          <w:rFonts w:ascii="Century Gothic" w:hAnsi="Century Gothic"/>
          <w:b/>
          <w:spacing w:val="-6"/>
          <w:sz w:val="19"/>
        </w:rPr>
        <w:t> </w:t>
      </w:r>
      <w:r>
        <w:rPr>
          <w:rFonts w:ascii="Century Gothic" w:hAnsi="Century Gothic"/>
          <w:b/>
          <w:sz w:val="19"/>
        </w:rPr>
        <w:t>sin</w:t>
      </w:r>
      <w:r>
        <w:rPr>
          <w:rFonts w:ascii="Century Gothic" w:hAnsi="Century Gothic"/>
          <w:b/>
          <w:spacing w:val="-8"/>
          <w:sz w:val="19"/>
        </w:rPr>
        <w:t> </w:t>
      </w:r>
      <w:r>
        <w:rPr>
          <w:rFonts w:ascii="Century Gothic" w:hAnsi="Century Gothic"/>
          <w:b/>
          <w:spacing w:val="-2"/>
          <w:sz w:val="19"/>
        </w:rPr>
        <w:t>contacto).</w:t>
      </w:r>
    </w:p>
    <w:p>
      <w:pPr>
        <w:pStyle w:val="BodyText"/>
        <w:spacing w:before="7"/>
        <w:rPr>
          <w:rFonts w:ascii="Century Gothic"/>
          <w:b/>
          <w:sz w:val="19"/>
        </w:rPr>
      </w:pPr>
    </w:p>
    <w:p>
      <w:pPr>
        <w:spacing w:line="240" w:lineRule="auto" w:before="0"/>
        <w:ind w:left="1190" w:right="218" w:firstLine="0"/>
        <w:jc w:val="both"/>
        <w:rPr>
          <w:rFonts w:ascii="Century Gothic" w:hAnsi="Century Gothic"/>
          <w:sz w:val="19"/>
        </w:rPr>
      </w:pPr>
      <w:r>
        <w:rPr>
          <w:rFonts w:ascii="Century Gothic" w:hAnsi="Century Gothic"/>
          <w:sz w:val="19"/>
        </w:rPr>
        <w:t>La Sociedad tiene contratada a una empresa independiente la gestión de la red de ventas de recarga de los títulos no personalizados, por lo que parte de las ventas se realiza a través de</w:t>
      </w:r>
      <w:r>
        <w:rPr>
          <w:rFonts w:ascii="Century Gothic" w:hAnsi="Century Gothic"/>
          <w:spacing w:val="-5"/>
          <w:sz w:val="19"/>
        </w:rPr>
        <w:t> </w:t>
      </w:r>
      <w:r>
        <w:rPr>
          <w:rFonts w:ascii="Century Gothic" w:hAnsi="Century Gothic"/>
          <w:sz w:val="19"/>
        </w:rPr>
        <w:t>un</w:t>
      </w:r>
      <w:r>
        <w:rPr>
          <w:rFonts w:ascii="Century Gothic" w:hAnsi="Century Gothic"/>
          <w:spacing w:val="-4"/>
          <w:sz w:val="19"/>
        </w:rPr>
        <w:t> </w:t>
      </w:r>
      <w:r>
        <w:rPr>
          <w:rFonts w:ascii="Century Gothic" w:hAnsi="Century Gothic"/>
          <w:sz w:val="19"/>
        </w:rPr>
        <w:t>sistema</w:t>
      </w:r>
      <w:r>
        <w:rPr>
          <w:rFonts w:ascii="Century Gothic" w:hAnsi="Century Gothic"/>
          <w:spacing w:val="-2"/>
          <w:sz w:val="19"/>
        </w:rPr>
        <w:t> </w:t>
      </w:r>
      <w:r>
        <w:rPr>
          <w:rFonts w:ascii="Century Gothic" w:hAnsi="Century Gothic"/>
          <w:sz w:val="19"/>
        </w:rPr>
        <w:t>externo,</w:t>
      </w:r>
      <w:r>
        <w:rPr>
          <w:rFonts w:ascii="Century Gothic" w:hAnsi="Century Gothic"/>
          <w:spacing w:val="-3"/>
          <w:sz w:val="19"/>
        </w:rPr>
        <w:t> </w:t>
      </w:r>
      <w:r>
        <w:rPr>
          <w:rFonts w:ascii="Century Gothic" w:hAnsi="Century Gothic"/>
          <w:sz w:val="19"/>
        </w:rPr>
        <w:t>que</w:t>
      </w:r>
      <w:r>
        <w:rPr>
          <w:rFonts w:ascii="Century Gothic" w:hAnsi="Century Gothic"/>
          <w:spacing w:val="-4"/>
          <w:sz w:val="19"/>
        </w:rPr>
        <w:t> </w:t>
      </w:r>
      <w:r>
        <w:rPr>
          <w:rFonts w:ascii="Century Gothic" w:hAnsi="Century Gothic"/>
          <w:sz w:val="19"/>
        </w:rPr>
        <w:t>no</w:t>
      </w:r>
      <w:r>
        <w:rPr>
          <w:rFonts w:ascii="Century Gothic" w:hAnsi="Century Gothic"/>
          <w:spacing w:val="-3"/>
          <w:sz w:val="19"/>
        </w:rPr>
        <w:t> </w:t>
      </w:r>
      <w:r>
        <w:rPr>
          <w:rFonts w:ascii="Century Gothic" w:hAnsi="Century Gothic"/>
          <w:sz w:val="19"/>
        </w:rPr>
        <w:t>está</w:t>
      </w:r>
      <w:r>
        <w:rPr>
          <w:rFonts w:ascii="Century Gothic" w:hAnsi="Century Gothic"/>
          <w:spacing w:val="-2"/>
          <w:sz w:val="19"/>
        </w:rPr>
        <w:t> </w:t>
      </w:r>
      <w:r>
        <w:rPr>
          <w:rFonts w:ascii="Century Gothic" w:hAnsi="Century Gothic"/>
          <w:sz w:val="19"/>
        </w:rPr>
        <w:t>manejado</w:t>
      </w:r>
      <w:r>
        <w:rPr>
          <w:rFonts w:ascii="Century Gothic" w:hAnsi="Century Gothic"/>
          <w:spacing w:val="-3"/>
          <w:sz w:val="19"/>
        </w:rPr>
        <w:t> </w:t>
      </w:r>
      <w:r>
        <w:rPr>
          <w:rFonts w:ascii="Century Gothic" w:hAnsi="Century Gothic"/>
          <w:sz w:val="19"/>
        </w:rPr>
        <w:t>directamente</w:t>
      </w:r>
      <w:r>
        <w:rPr>
          <w:rFonts w:ascii="Century Gothic" w:hAnsi="Century Gothic"/>
          <w:spacing w:val="-4"/>
          <w:sz w:val="19"/>
        </w:rPr>
        <w:t> </w:t>
      </w:r>
      <w:r>
        <w:rPr>
          <w:rFonts w:ascii="Century Gothic" w:hAnsi="Century Gothic"/>
          <w:sz w:val="19"/>
        </w:rPr>
        <w:t>por</w:t>
      </w:r>
      <w:r>
        <w:rPr>
          <w:rFonts w:ascii="Century Gothic" w:hAnsi="Century Gothic"/>
          <w:spacing w:val="-3"/>
          <w:sz w:val="19"/>
        </w:rPr>
        <w:t> </w:t>
      </w:r>
      <w:r>
        <w:rPr>
          <w:rFonts w:ascii="Century Gothic" w:hAnsi="Century Gothic"/>
          <w:sz w:val="19"/>
        </w:rPr>
        <w:t>la</w:t>
      </w:r>
      <w:r>
        <w:rPr>
          <w:rFonts w:ascii="Century Gothic" w:hAnsi="Century Gothic"/>
          <w:spacing w:val="-1"/>
          <w:sz w:val="19"/>
        </w:rPr>
        <w:t> </w:t>
      </w:r>
      <w:r>
        <w:rPr>
          <w:rFonts w:ascii="Century Gothic" w:hAnsi="Century Gothic"/>
          <w:sz w:val="19"/>
        </w:rPr>
        <w:t>Sociedad.</w:t>
      </w:r>
      <w:r>
        <w:rPr>
          <w:rFonts w:ascii="Century Gothic" w:hAnsi="Century Gothic"/>
          <w:spacing w:val="-1"/>
          <w:sz w:val="19"/>
        </w:rPr>
        <w:t> </w:t>
      </w:r>
      <w:r>
        <w:rPr>
          <w:rFonts w:ascii="Century Gothic" w:hAnsi="Century Gothic"/>
          <w:sz w:val="19"/>
        </w:rPr>
        <w:t>No</w:t>
      </w:r>
      <w:r>
        <w:rPr>
          <w:rFonts w:ascii="Century Gothic" w:hAnsi="Century Gothic"/>
          <w:spacing w:val="-3"/>
          <w:sz w:val="19"/>
        </w:rPr>
        <w:t> </w:t>
      </w:r>
      <w:r>
        <w:rPr>
          <w:rFonts w:ascii="Century Gothic" w:hAnsi="Century Gothic"/>
          <w:sz w:val="19"/>
        </w:rPr>
        <w:t>obstante,</w:t>
      </w:r>
      <w:r>
        <w:rPr>
          <w:rFonts w:ascii="Century Gothic" w:hAnsi="Century Gothic"/>
          <w:spacing w:val="-2"/>
          <w:sz w:val="19"/>
        </w:rPr>
        <w:t> </w:t>
      </w:r>
      <w:r>
        <w:rPr>
          <w:rFonts w:ascii="Century Gothic" w:hAnsi="Century Gothic"/>
          <w:sz w:val="19"/>
        </w:rPr>
        <w:t>se realizan</w:t>
      </w:r>
      <w:r>
        <w:rPr>
          <w:rFonts w:ascii="Century Gothic" w:hAnsi="Century Gothic"/>
          <w:spacing w:val="-5"/>
          <w:sz w:val="19"/>
        </w:rPr>
        <w:t> </w:t>
      </w:r>
      <w:r>
        <w:rPr>
          <w:rFonts w:ascii="Century Gothic" w:hAnsi="Century Gothic"/>
          <w:sz w:val="19"/>
        </w:rPr>
        <w:t>una</w:t>
      </w:r>
      <w:r>
        <w:rPr>
          <w:rFonts w:ascii="Century Gothic" w:hAnsi="Century Gothic"/>
          <w:spacing w:val="-6"/>
          <w:sz w:val="19"/>
        </w:rPr>
        <w:t> </w:t>
      </w:r>
      <w:r>
        <w:rPr>
          <w:rFonts w:ascii="Century Gothic" w:hAnsi="Century Gothic"/>
          <w:sz w:val="19"/>
        </w:rPr>
        <w:t>serie</w:t>
      </w:r>
      <w:r>
        <w:rPr>
          <w:rFonts w:ascii="Century Gothic" w:hAnsi="Century Gothic"/>
          <w:spacing w:val="-6"/>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comprobaciones</w:t>
      </w:r>
      <w:r>
        <w:rPr>
          <w:rFonts w:ascii="Century Gothic" w:hAnsi="Century Gothic"/>
          <w:spacing w:val="-5"/>
          <w:sz w:val="19"/>
        </w:rPr>
        <w:t> </w:t>
      </w:r>
      <w:r>
        <w:rPr>
          <w:rFonts w:ascii="Century Gothic" w:hAnsi="Century Gothic"/>
          <w:sz w:val="19"/>
        </w:rPr>
        <w:t>para</w:t>
      </w:r>
      <w:r>
        <w:rPr>
          <w:rFonts w:ascii="Century Gothic" w:hAnsi="Century Gothic"/>
          <w:spacing w:val="-6"/>
          <w:sz w:val="19"/>
        </w:rPr>
        <w:t> </w:t>
      </w:r>
      <w:r>
        <w:rPr>
          <w:rFonts w:ascii="Century Gothic" w:hAnsi="Century Gothic"/>
          <w:sz w:val="19"/>
        </w:rPr>
        <w:t>analizar</w:t>
      </w:r>
      <w:r>
        <w:rPr>
          <w:rFonts w:ascii="Century Gothic" w:hAnsi="Century Gothic"/>
          <w:spacing w:val="-5"/>
          <w:sz w:val="19"/>
        </w:rPr>
        <w:t> </w:t>
      </w:r>
      <w:r>
        <w:rPr>
          <w:rFonts w:ascii="Century Gothic" w:hAnsi="Century Gothic"/>
          <w:sz w:val="19"/>
        </w:rPr>
        <w:t>la</w:t>
      </w:r>
      <w:r>
        <w:rPr>
          <w:rFonts w:ascii="Century Gothic" w:hAnsi="Century Gothic"/>
          <w:spacing w:val="-5"/>
          <w:sz w:val="19"/>
        </w:rPr>
        <w:t> </w:t>
      </w:r>
      <w:r>
        <w:rPr>
          <w:rFonts w:ascii="Century Gothic" w:hAnsi="Century Gothic"/>
          <w:sz w:val="19"/>
        </w:rPr>
        <w:t>veracidad</w:t>
      </w:r>
      <w:r>
        <w:rPr>
          <w:rFonts w:ascii="Century Gothic" w:hAnsi="Century Gothic"/>
          <w:spacing w:val="-6"/>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la</w:t>
      </w:r>
      <w:r>
        <w:rPr>
          <w:rFonts w:ascii="Century Gothic" w:hAnsi="Century Gothic"/>
          <w:spacing w:val="-5"/>
          <w:sz w:val="19"/>
        </w:rPr>
        <w:t> </w:t>
      </w:r>
      <w:r>
        <w:rPr>
          <w:rFonts w:ascii="Century Gothic" w:hAnsi="Century Gothic"/>
          <w:sz w:val="19"/>
        </w:rPr>
        <w:t>información</w:t>
      </w:r>
      <w:r>
        <w:rPr>
          <w:rFonts w:ascii="Century Gothic" w:hAnsi="Century Gothic"/>
          <w:spacing w:val="-6"/>
          <w:sz w:val="19"/>
        </w:rPr>
        <w:t> </w:t>
      </w:r>
      <w:r>
        <w:rPr>
          <w:rFonts w:ascii="Century Gothic" w:hAnsi="Century Gothic"/>
          <w:sz w:val="19"/>
        </w:rPr>
        <w:t>aportada por el agente externo. Debido a que parte de la información de las ventas se transmite a la Sociedad a través de un sistema ajeno a la misma, se ha considerado un aspecto relevante de nuestra auditoria.</w:t>
      </w:r>
    </w:p>
    <w:p>
      <w:pPr>
        <w:pStyle w:val="BodyText"/>
        <w:spacing w:before="1"/>
        <w:rPr>
          <w:rFonts w:ascii="Century Gothic"/>
          <w:sz w:val="19"/>
        </w:rPr>
      </w:pPr>
    </w:p>
    <w:p>
      <w:pPr>
        <w:spacing w:before="0"/>
        <w:ind w:left="1190" w:right="218" w:firstLine="0"/>
        <w:jc w:val="both"/>
        <w:rPr>
          <w:rFonts w:ascii="Century Gothic" w:hAnsi="Century Gothic"/>
          <w:sz w:val="19"/>
        </w:rPr>
      </w:pPr>
      <w:r>
        <w:rPr>
          <w:rFonts w:ascii="Century Gothic" w:hAnsi="Century Gothic"/>
          <w:sz w:val="19"/>
        </w:rPr>
        <w:t>Nuestros procedimientos han consistido en la revisión de los títulos vendidos, además de proceder a la circularización del proveedor, con el objetivo de que nos verifique el saldo y el volumen de operaciones que han llevado a cabo.</w:t>
      </w:r>
    </w:p>
    <w:p>
      <w:pPr>
        <w:pStyle w:val="BodyText"/>
        <w:rPr>
          <w:rFonts w:ascii="Century Gothic"/>
          <w:sz w:val="19"/>
        </w:rPr>
      </w:pPr>
    </w:p>
    <w:p>
      <w:pPr>
        <w:pStyle w:val="ListParagraph"/>
        <w:numPr>
          <w:ilvl w:val="1"/>
          <w:numId w:val="1"/>
        </w:numPr>
        <w:tabs>
          <w:tab w:pos="1115" w:val="left" w:leader="none"/>
        </w:tabs>
        <w:spacing w:line="240" w:lineRule="auto" w:before="0" w:after="0"/>
        <w:ind w:left="1115" w:right="0" w:hanging="357"/>
        <w:jc w:val="left"/>
        <w:rPr>
          <w:rFonts w:ascii="Century Gothic" w:hAnsi="Century Gothic"/>
          <w:b/>
          <w:sz w:val="19"/>
        </w:rPr>
      </w:pPr>
      <w:r>
        <w:rPr>
          <w:rFonts w:ascii="Century Gothic" w:hAnsi="Century Gothic"/>
          <w:b/>
          <w:sz w:val="19"/>
        </w:rPr>
        <w:t>Otros</w:t>
      </w:r>
      <w:r>
        <w:rPr>
          <w:rFonts w:ascii="Century Gothic" w:hAnsi="Century Gothic"/>
          <w:b/>
          <w:spacing w:val="-8"/>
          <w:sz w:val="19"/>
        </w:rPr>
        <w:t> </w:t>
      </w:r>
      <w:r>
        <w:rPr>
          <w:rFonts w:ascii="Century Gothic" w:hAnsi="Century Gothic"/>
          <w:b/>
          <w:sz w:val="19"/>
        </w:rPr>
        <w:t>ingresos</w:t>
      </w:r>
      <w:r>
        <w:rPr>
          <w:rFonts w:ascii="Century Gothic" w:hAnsi="Century Gothic"/>
          <w:b/>
          <w:spacing w:val="-7"/>
          <w:sz w:val="19"/>
        </w:rPr>
        <w:t> </w:t>
      </w:r>
      <w:r>
        <w:rPr>
          <w:rFonts w:ascii="Century Gothic" w:hAnsi="Century Gothic"/>
          <w:b/>
          <w:sz w:val="19"/>
        </w:rPr>
        <w:t>de</w:t>
      </w:r>
      <w:r>
        <w:rPr>
          <w:rFonts w:ascii="Century Gothic" w:hAnsi="Century Gothic"/>
          <w:b/>
          <w:spacing w:val="-7"/>
          <w:sz w:val="19"/>
        </w:rPr>
        <w:t> </w:t>
      </w:r>
      <w:r>
        <w:rPr>
          <w:rFonts w:ascii="Century Gothic" w:hAnsi="Century Gothic"/>
          <w:b/>
          <w:spacing w:val="-2"/>
          <w:sz w:val="19"/>
        </w:rPr>
        <w:t>explotación:</w:t>
      </w:r>
    </w:p>
    <w:p>
      <w:pPr>
        <w:pStyle w:val="BodyText"/>
        <w:spacing w:before="7"/>
        <w:rPr>
          <w:rFonts w:ascii="Century Gothic"/>
          <w:b/>
          <w:sz w:val="19"/>
        </w:rPr>
      </w:pPr>
    </w:p>
    <w:p>
      <w:pPr>
        <w:spacing w:before="0"/>
        <w:ind w:left="1190" w:right="217" w:firstLine="0"/>
        <w:jc w:val="both"/>
        <w:rPr>
          <w:rFonts w:ascii="Century Gothic" w:hAnsi="Century Gothic"/>
          <w:sz w:val="19"/>
        </w:rPr>
      </w:pPr>
      <w:r>
        <w:rPr>
          <w:rFonts w:ascii="Century Gothic" w:hAnsi="Century Gothic"/>
          <w:sz w:val="19"/>
        </w:rPr>
        <w:t>La Sociedad financia una parte importante de los gastos corrientes de su actividad a través de partidas presupuestarias del Excmo. Ayuntamiento de las Palmas de Gran Canaria, único accionista, con cargo a transferencias corrientes del presupuesto municipal. Durante el ejercicio 2025,</w:t>
      </w:r>
      <w:r>
        <w:rPr>
          <w:rFonts w:ascii="Century Gothic" w:hAnsi="Century Gothic"/>
          <w:spacing w:val="-1"/>
          <w:sz w:val="19"/>
        </w:rPr>
        <w:t> </w:t>
      </w:r>
      <w:r>
        <w:rPr>
          <w:rFonts w:ascii="Century Gothic" w:hAnsi="Century Gothic"/>
          <w:sz w:val="19"/>
        </w:rPr>
        <w:t>la Sociedad</w:t>
      </w:r>
      <w:r>
        <w:rPr>
          <w:rFonts w:ascii="Century Gothic" w:hAnsi="Century Gothic"/>
          <w:spacing w:val="-1"/>
          <w:sz w:val="19"/>
        </w:rPr>
        <w:t> </w:t>
      </w:r>
      <w:r>
        <w:rPr>
          <w:rFonts w:ascii="Century Gothic" w:hAnsi="Century Gothic"/>
          <w:sz w:val="19"/>
        </w:rPr>
        <w:t>ha</w:t>
      </w:r>
      <w:r>
        <w:rPr>
          <w:rFonts w:ascii="Century Gothic" w:hAnsi="Century Gothic"/>
          <w:spacing w:val="-2"/>
          <w:sz w:val="19"/>
        </w:rPr>
        <w:t> </w:t>
      </w:r>
      <w:r>
        <w:rPr>
          <w:rFonts w:ascii="Century Gothic" w:hAnsi="Century Gothic"/>
          <w:sz w:val="19"/>
        </w:rPr>
        <w:t>recibido,</w:t>
      </w:r>
      <w:r>
        <w:rPr>
          <w:rFonts w:ascii="Century Gothic" w:hAnsi="Century Gothic"/>
          <w:spacing w:val="-1"/>
          <w:sz w:val="19"/>
        </w:rPr>
        <w:t> </w:t>
      </w:r>
      <w:r>
        <w:rPr>
          <w:rFonts w:ascii="Century Gothic" w:hAnsi="Century Gothic"/>
          <w:sz w:val="19"/>
        </w:rPr>
        <w:t>por este</w:t>
      </w:r>
      <w:r>
        <w:rPr>
          <w:rFonts w:ascii="Century Gothic" w:hAnsi="Century Gothic"/>
          <w:spacing w:val="-1"/>
          <w:sz w:val="19"/>
        </w:rPr>
        <w:t> </w:t>
      </w:r>
      <w:r>
        <w:rPr>
          <w:rFonts w:ascii="Century Gothic" w:hAnsi="Century Gothic"/>
          <w:sz w:val="19"/>
        </w:rPr>
        <w:t>concepto,</w:t>
      </w:r>
      <w:r>
        <w:rPr>
          <w:rFonts w:ascii="Century Gothic" w:hAnsi="Century Gothic"/>
          <w:spacing w:val="-1"/>
          <w:sz w:val="19"/>
        </w:rPr>
        <w:t> </w:t>
      </w:r>
      <w:r>
        <w:rPr>
          <w:rFonts w:ascii="Century Gothic" w:hAnsi="Century Gothic"/>
          <w:sz w:val="19"/>
        </w:rPr>
        <w:t>un</w:t>
      </w:r>
      <w:r>
        <w:rPr>
          <w:rFonts w:ascii="Century Gothic" w:hAnsi="Century Gothic"/>
          <w:spacing w:val="-2"/>
          <w:sz w:val="19"/>
        </w:rPr>
        <w:t> </w:t>
      </w:r>
      <w:r>
        <w:rPr>
          <w:rFonts w:ascii="Century Gothic" w:hAnsi="Century Gothic"/>
          <w:sz w:val="19"/>
        </w:rPr>
        <w:t>importe</w:t>
      </w:r>
      <w:r>
        <w:rPr>
          <w:rFonts w:ascii="Century Gothic" w:hAnsi="Century Gothic"/>
          <w:spacing w:val="-2"/>
          <w:sz w:val="19"/>
        </w:rPr>
        <w:t> </w:t>
      </w:r>
      <w:r>
        <w:rPr>
          <w:rFonts w:ascii="Century Gothic" w:hAnsi="Century Gothic"/>
          <w:sz w:val="19"/>
        </w:rPr>
        <w:t>de unos 19,93 millones de</w:t>
      </w:r>
      <w:r>
        <w:rPr>
          <w:rFonts w:ascii="Century Gothic" w:hAnsi="Century Gothic"/>
          <w:spacing w:val="-9"/>
          <w:sz w:val="19"/>
        </w:rPr>
        <w:t> </w:t>
      </w:r>
      <w:r>
        <w:rPr>
          <w:rFonts w:ascii="Century Gothic" w:hAnsi="Century Gothic"/>
          <w:sz w:val="19"/>
        </w:rPr>
        <w:t>euros,</w:t>
      </w:r>
      <w:r>
        <w:rPr>
          <w:rFonts w:ascii="Century Gothic" w:hAnsi="Century Gothic"/>
          <w:spacing w:val="-8"/>
          <w:sz w:val="19"/>
        </w:rPr>
        <w:t> </w:t>
      </w:r>
      <w:r>
        <w:rPr>
          <w:rFonts w:ascii="Century Gothic" w:hAnsi="Century Gothic"/>
          <w:sz w:val="19"/>
        </w:rPr>
        <w:t>que</w:t>
      </w:r>
      <w:r>
        <w:rPr>
          <w:rFonts w:ascii="Century Gothic" w:hAnsi="Century Gothic"/>
          <w:spacing w:val="-9"/>
          <w:sz w:val="19"/>
        </w:rPr>
        <w:t> </w:t>
      </w:r>
      <w:r>
        <w:rPr>
          <w:rFonts w:ascii="Century Gothic" w:hAnsi="Century Gothic"/>
          <w:sz w:val="19"/>
        </w:rPr>
        <w:t>se</w:t>
      </w:r>
      <w:r>
        <w:rPr>
          <w:rFonts w:ascii="Century Gothic" w:hAnsi="Century Gothic"/>
          <w:spacing w:val="-9"/>
          <w:sz w:val="19"/>
        </w:rPr>
        <w:t> </w:t>
      </w:r>
      <w:r>
        <w:rPr>
          <w:rFonts w:ascii="Century Gothic" w:hAnsi="Century Gothic"/>
          <w:sz w:val="19"/>
        </w:rPr>
        <w:t>recogen</w:t>
      </w:r>
      <w:r>
        <w:rPr>
          <w:rFonts w:ascii="Century Gothic" w:hAnsi="Century Gothic"/>
          <w:spacing w:val="-8"/>
          <w:sz w:val="19"/>
        </w:rPr>
        <w:t> </w:t>
      </w:r>
      <w:r>
        <w:rPr>
          <w:rFonts w:ascii="Century Gothic" w:hAnsi="Century Gothic"/>
          <w:sz w:val="19"/>
        </w:rPr>
        <w:t>dentro</w:t>
      </w:r>
      <w:r>
        <w:rPr>
          <w:rFonts w:ascii="Century Gothic" w:hAnsi="Century Gothic"/>
          <w:spacing w:val="-8"/>
          <w:sz w:val="19"/>
        </w:rPr>
        <w:t> </w:t>
      </w:r>
      <w:r>
        <w:rPr>
          <w:rFonts w:ascii="Century Gothic" w:hAnsi="Century Gothic"/>
          <w:sz w:val="19"/>
        </w:rPr>
        <w:t>del</w:t>
      </w:r>
      <w:r>
        <w:rPr>
          <w:rFonts w:ascii="Century Gothic" w:hAnsi="Century Gothic"/>
          <w:spacing w:val="-8"/>
          <w:sz w:val="19"/>
        </w:rPr>
        <w:t> </w:t>
      </w:r>
      <w:r>
        <w:rPr>
          <w:rFonts w:ascii="Century Gothic" w:hAnsi="Century Gothic"/>
          <w:sz w:val="19"/>
        </w:rPr>
        <w:t>epígrafe</w:t>
      </w:r>
      <w:r>
        <w:rPr>
          <w:rFonts w:ascii="Century Gothic" w:hAnsi="Century Gothic"/>
          <w:spacing w:val="-9"/>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“Otros</w:t>
      </w:r>
      <w:r>
        <w:rPr>
          <w:rFonts w:ascii="Century Gothic" w:hAnsi="Century Gothic"/>
          <w:spacing w:val="-8"/>
          <w:sz w:val="19"/>
        </w:rPr>
        <w:t> </w:t>
      </w:r>
      <w:r>
        <w:rPr>
          <w:rFonts w:ascii="Century Gothic" w:hAnsi="Century Gothic"/>
          <w:sz w:val="19"/>
        </w:rPr>
        <w:t>ingresos</w:t>
      </w:r>
      <w:r>
        <w:rPr>
          <w:rFonts w:ascii="Century Gothic" w:hAnsi="Century Gothic"/>
          <w:spacing w:val="-10"/>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explotación”</w:t>
      </w:r>
      <w:r>
        <w:rPr>
          <w:rFonts w:ascii="Century Gothic" w:hAnsi="Century Gothic"/>
          <w:spacing w:val="-9"/>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la</w:t>
      </w:r>
      <w:r>
        <w:rPr>
          <w:rFonts w:ascii="Century Gothic" w:hAnsi="Century Gothic"/>
          <w:spacing w:val="-8"/>
          <w:sz w:val="19"/>
        </w:rPr>
        <w:t> </w:t>
      </w:r>
      <w:r>
        <w:rPr>
          <w:rFonts w:ascii="Century Gothic" w:hAnsi="Century Gothic"/>
          <w:sz w:val="19"/>
        </w:rPr>
        <w:t>cuenta de Pérdidas y Ganancias.</w:t>
      </w:r>
    </w:p>
    <w:p>
      <w:pPr>
        <w:spacing w:line="240" w:lineRule="auto" w:before="232"/>
        <w:ind w:left="1190" w:right="219" w:firstLine="0"/>
        <w:jc w:val="both"/>
        <w:rPr>
          <w:rFonts w:ascii="Century Gothic" w:hAnsi="Century Gothic"/>
          <w:sz w:val="19"/>
        </w:rPr>
      </w:pPr>
      <w:r>
        <w:rPr>
          <w:rFonts w:ascii="Century Gothic" w:hAnsi="Century Gothic"/>
          <w:sz w:val="19"/>
        </w:rPr>
        <w:t>Nuestros procedimientos de auditoría consistieron, entre otros, en evaluar toda la documentación soporte de dicha aportación, con el objetivo de obtener evidencia de auditoria suficiente y adecuada sobre los riesgos valorados de incorrección material en estas transacciones. Además, hemos procedido a la circularización del Excmo. Ayuntamiento de Las Palmas de Gran Canaria, con el objetivo de que nos verifique la totalidad de las aportaciones realizadas. Por otro lado, hemos comprobado que se ha aportado en la memoria toda la información al respecto.</w:t>
      </w:r>
    </w:p>
    <w:p>
      <w:pPr>
        <w:pStyle w:val="BodyText"/>
        <w:rPr>
          <w:rFonts w:ascii="Century Gothic"/>
          <w:sz w:val="19"/>
        </w:rPr>
      </w:pPr>
    </w:p>
    <w:p>
      <w:pPr>
        <w:pStyle w:val="BodyText"/>
        <w:spacing w:before="1"/>
        <w:rPr>
          <w:rFonts w:ascii="Century Gothic"/>
          <w:sz w:val="19"/>
        </w:rPr>
      </w:pPr>
    </w:p>
    <w:p>
      <w:pPr>
        <w:pStyle w:val="ListParagraph"/>
        <w:numPr>
          <w:ilvl w:val="0"/>
          <w:numId w:val="1"/>
        </w:numPr>
        <w:tabs>
          <w:tab w:pos="764" w:val="left" w:leader="none"/>
        </w:tabs>
        <w:spacing w:line="240" w:lineRule="auto" w:before="1" w:after="0"/>
        <w:ind w:left="764" w:right="0" w:hanging="219"/>
        <w:jc w:val="left"/>
        <w:rPr>
          <w:rFonts w:ascii="Century Gothic" w:hAnsi="Century Gothic"/>
          <w:b/>
          <w:sz w:val="19"/>
        </w:rPr>
      </w:pPr>
      <w:r>
        <w:rPr>
          <w:rFonts w:ascii="Century Gothic" w:hAnsi="Century Gothic"/>
          <w:b/>
          <w:spacing w:val="-2"/>
          <w:sz w:val="19"/>
        </w:rPr>
        <w:t>Otra</w:t>
      </w:r>
      <w:r>
        <w:rPr>
          <w:rFonts w:ascii="Century Gothic" w:hAnsi="Century Gothic"/>
          <w:b/>
          <w:spacing w:val="-5"/>
          <w:sz w:val="19"/>
        </w:rPr>
        <w:t> </w:t>
      </w:r>
      <w:r>
        <w:rPr>
          <w:rFonts w:ascii="Century Gothic" w:hAnsi="Century Gothic"/>
          <w:b/>
          <w:spacing w:val="-2"/>
          <w:sz w:val="19"/>
        </w:rPr>
        <w:t>información: Informe</w:t>
      </w:r>
      <w:r>
        <w:rPr>
          <w:rFonts w:ascii="Century Gothic" w:hAnsi="Century Gothic"/>
          <w:b/>
          <w:spacing w:val="-3"/>
          <w:sz w:val="19"/>
        </w:rPr>
        <w:t> </w:t>
      </w:r>
      <w:r>
        <w:rPr>
          <w:rFonts w:ascii="Century Gothic" w:hAnsi="Century Gothic"/>
          <w:b/>
          <w:spacing w:val="-2"/>
          <w:sz w:val="19"/>
        </w:rPr>
        <w:t>de</w:t>
      </w:r>
      <w:r>
        <w:rPr>
          <w:rFonts w:ascii="Century Gothic" w:hAnsi="Century Gothic"/>
          <w:b/>
          <w:spacing w:val="-1"/>
          <w:sz w:val="19"/>
        </w:rPr>
        <w:t> </w:t>
      </w:r>
      <w:r>
        <w:rPr>
          <w:rFonts w:ascii="Century Gothic" w:hAnsi="Century Gothic"/>
          <w:b/>
          <w:spacing w:val="-2"/>
          <w:sz w:val="19"/>
        </w:rPr>
        <w:t>gestión.</w:t>
      </w:r>
    </w:p>
    <w:p>
      <w:pPr>
        <w:spacing w:before="220"/>
        <w:ind w:left="766" w:right="216" w:firstLine="0"/>
        <w:jc w:val="both"/>
        <w:rPr>
          <w:rFonts w:ascii="Century Gothic" w:hAnsi="Century Gothic"/>
          <w:sz w:val="19"/>
        </w:rPr>
      </w:pPr>
      <w:r>
        <w:rPr>
          <w:rFonts w:ascii="Century Gothic" w:hAnsi="Century Gothic"/>
          <w:sz w:val="19"/>
        </w:rPr>
        <w:t>La otra información comprende exclusivamente el informe de gestión del ejercicio 2025, cuya formulación es responsabilidad del consejo de administración de la Sociedad, y no forma parte integrante de las cuentas anuales.</w:t>
      </w:r>
    </w:p>
    <w:p>
      <w:pPr>
        <w:spacing w:before="233"/>
        <w:ind w:left="766" w:right="216" w:firstLine="0"/>
        <w:jc w:val="both"/>
        <w:rPr>
          <w:rFonts w:ascii="Century Gothic" w:hAnsi="Century Gothic"/>
          <w:sz w:val="19"/>
        </w:rPr>
      </w:pPr>
      <w:r>
        <w:rPr>
          <w:rFonts w:ascii="Century Gothic" w:hAnsi="Century Gothic"/>
          <w:sz w:val="19"/>
        </w:rPr>
        <w:t>Nuestra opinión de auditoría sobre las cuentas anuales no cubre el informe de gestión. Nuestra responsabilidad</w:t>
      </w:r>
      <w:r>
        <w:rPr>
          <w:rFonts w:ascii="Century Gothic" w:hAnsi="Century Gothic"/>
          <w:spacing w:val="-14"/>
          <w:sz w:val="19"/>
        </w:rPr>
        <w:t> </w:t>
      </w:r>
      <w:r>
        <w:rPr>
          <w:rFonts w:ascii="Century Gothic" w:hAnsi="Century Gothic"/>
          <w:sz w:val="19"/>
        </w:rPr>
        <w:t>sobre</w:t>
      </w:r>
      <w:r>
        <w:rPr>
          <w:rFonts w:ascii="Century Gothic" w:hAnsi="Century Gothic"/>
          <w:spacing w:val="-13"/>
          <w:sz w:val="19"/>
        </w:rPr>
        <w:t> </w:t>
      </w:r>
      <w:r>
        <w:rPr>
          <w:rFonts w:ascii="Century Gothic" w:hAnsi="Century Gothic"/>
          <w:sz w:val="19"/>
        </w:rPr>
        <w:t>la</w:t>
      </w:r>
      <w:r>
        <w:rPr>
          <w:rFonts w:ascii="Century Gothic" w:hAnsi="Century Gothic"/>
          <w:spacing w:val="-12"/>
          <w:sz w:val="19"/>
        </w:rPr>
        <w:t> </w:t>
      </w:r>
      <w:r>
        <w:rPr>
          <w:rFonts w:ascii="Century Gothic" w:hAnsi="Century Gothic"/>
          <w:sz w:val="19"/>
        </w:rPr>
        <w:t>otra</w:t>
      </w:r>
      <w:r>
        <w:rPr>
          <w:rFonts w:ascii="Century Gothic" w:hAnsi="Century Gothic"/>
          <w:spacing w:val="-13"/>
          <w:sz w:val="19"/>
        </w:rPr>
        <w:t> </w:t>
      </w:r>
      <w:r>
        <w:rPr>
          <w:rFonts w:ascii="Century Gothic" w:hAnsi="Century Gothic"/>
          <w:sz w:val="19"/>
        </w:rPr>
        <w:t>información</w:t>
      </w:r>
      <w:r>
        <w:rPr>
          <w:rFonts w:ascii="Century Gothic" w:hAnsi="Century Gothic"/>
          <w:spacing w:val="-11"/>
          <w:sz w:val="19"/>
        </w:rPr>
        <w:t> </w:t>
      </w:r>
      <w:r>
        <w:rPr>
          <w:rFonts w:ascii="Century Gothic" w:hAnsi="Century Gothic"/>
          <w:sz w:val="19"/>
        </w:rPr>
        <w:t>contenida</w:t>
      </w:r>
      <w:r>
        <w:rPr>
          <w:rFonts w:ascii="Century Gothic" w:hAnsi="Century Gothic"/>
          <w:spacing w:val="-13"/>
          <w:sz w:val="19"/>
        </w:rPr>
        <w:t> </w:t>
      </w:r>
      <w:r>
        <w:rPr>
          <w:rFonts w:ascii="Century Gothic" w:hAnsi="Century Gothic"/>
          <w:sz w:val="19"/>
        </w:rPr>
        <w:t>en</w:t>
      </w:r>
      <w:r>
        <w:rPr>
          <w:rFonts w:ascii="Century Gothic" w:hAnsi="Century Gothic"/>
          <w:spacing w:val="-11"/>
          <w:sz w:val="19"/>
        </w:rPr>
        <w:t> </w:t>
      </w:r>
      <w:r>
        <w:rPr>
          <w:rFonts w:ascii="Century Gothic" w:hAnsi="Century Gothic"/>
          <w:sz w:val="19"/>
        </w:rPr>
        <w:t>el</w:t>
      </w:r>
      <w:r>
        <w:rPr>
          <w:rFonts w:ascii="Century Gothic" w:hAnsi="Century Gothic"/>
          <w:spacing w:val="-13"/>
          <w:sz w:val="19"/>
        </w:rPr>
        <w:t> </w:t>
      </w:r>
      <w:r>
        <w:rPr>
          <w:rFonts w:ascii="Century Gothic" w:hAnsi="Century Gothic"/>
          <w:sz w:val="19"/>
        </w:rPr>
        <w:t>informe</w:t>
      </w:r>
      <w:r>
        <w:rPr>
          <w:rFonts w:ascii="Century Gothic" w:hAnsi="Century Gothic"/>
          <w:spacing w:val="-11"/>
          <w:sz w:val="19"/>
        </w:rPr>
        <w:t> </w:t>
      </w:r>
      <w:r>
        <w:rPr>
          <w:rFonts w:ascii="Century Gothic" w:hAnsi="Century Gothic"/>
          <w:sz w:val="19"/>
        </w:rPr>
        <w:t>de</w:t>
      </w:r>
      <w:r>
        <w:rPr>
          <w:rFonts w:ascii="Century Gothic" w:hAnsi="Century Gothic"/>
          <w:spacing w:val="-14"/>
          <w:sz w:val="19"/>
        </w:rPr>
        <w:t> </w:t>
      </w:r>
      <w:r>
        <w:rPr>
          <w:rFonts w:ascii="Century Gothic" w:hAnsi="Century Gothic"/>
          <w:sz w:val="19"/>
        </w:rPr>
        <w:t>gestión</w:t>
      </w:r>
      <w:r>
        <w:rPr>
          <w:rFonts w:ascii="Century Gothic" w:hAnsi="Century Gothic"/>
          <w:spacing w:val="-12"/>
          <w:sz w:val="19"/>
        </w:rPr>
        <w:t> </w:t>
      </w:r>
      <w:r>
        <w:rPr>
          <w:rFonts w:ascii="Century Gothic" w:hAnsi="Century Gothic"/>
          <w:sz w:val="19"/>
        </w:rPr>
        <w:t>se</w:t>
      </w:r>
      <w:r>
        <w:rPr>
          <w:rFonts w:ascii="Century Gothic" w:hAnsi="Century Gothic"/>
          <w:spacing w:val="-14"/>
          <w:sz w:val="19"/>
        </w:rPr>
        <w:t> </w:t>
      </w:r>
      <w:r>
        <w:rPr>
          <w:rFonts w:ascii="Century Gothic" w:hAnsi="Century Gothic"/>
          <w:sz w:val="19"/>
        </w:rPr>
        <w:t>encuentra</w:t>
      </w:r>
      <w:r>
        <w:rPr>
          <w:rFonts w:ascii="Century Gothic" w:hAnsi="Century Gothic"/>
          <w:spacing w:val="-11"/>
          <w:sz w:val="19"/>
        </w:rPr>
        <w:t> </w:t>
      </w:r>
      <w:r>
        <w:rPr>
          <w:rFonts w:ascii="Century Gothic" w:hAnsi="Century Gothic"/>
          <w:sz w:val="19"/>
        </w:rPr>
        <w:t>definida en la normativa reguladora de la actividad de auditoría de cuentas, que establece dos niveles diferenciados sobre la misma:</w:t>
      </w:r>
    </w:p>
    <w:p>
      <w:pPr>
        <w:pStyle w:val="ListParagraph"/>
        <w:numPr>
          <w:ilvl w:val="0"/>
          <w:numId w:val="2"/>
        </w:numPr>
        <w:tabs>
          <w:tab w:pos="1190" w:val="left" w:leader="none"/>
        </w:tabs>
        <w:spacing w:line="240" w:lineRule="auto" w:before="232" w:after="0"/>
        <w:ind w:left="1190" w:right="216" w:hanging="360"/>
        <w:jc w:val="both"/>
        <w:rPr>
          <w:rFonts w:ascii="Century Gothic" w:hAnsi="Century Gothic"/>
          <w:sz w:val="19"/>
        </w:rPr>
      </w:pPr>
      <w:r>
        <w:rPr>
          <w:rFonts w:ascii="Century Gothic" w:hAnsi="Century Gothic"/>
          <w:sz w:val="19"/>
        </w:rPr>
        <w:t>Un nivel específico que resulta de aplicación al estado de la información no financiera, que consiste</w:t>
      </w:r>
      <w:r>
        <w:rPr>
          <w:rFonts w:ascii="Century Gothic" w:hAnsi="Century Gothic"/>
          <w:spacing w:val="-14"/>
          <w:sz w:val="19"/>
        </w:rPr>
        <w:t> </w:t>
      </w:r>
      <w:r>
        <w:rPr>
          <w:rFonts w:ascii="Century Gothic" w:hAnsi="Century Gothic"/>
          <w:sz w:val="19"/>
        </w:rPr>
        <w:t>en</w:t>
      </w:r>
      <w:r>
        <w:rPr>
          <w:rFonts w:ascii="Century Gothic" w:hAnsi="Century Gothic"/>
          <w:spacing w:val="-13"/>
          <w:sz w:val="19"/>
        </w:rPr>
        <w:t> </w:t>
      </w:r>
      <w:r>
        <w:rPr>
          <w:rFonts w:ascii="Century Gothic" w:hAnsi="Century Gothic"/>
          <w:sz w:val="19"/>
        </w:rPr>
        <w:t>comprobar</w:t>
      </w:r>
      <w:r>
        <w:rPr>
          <w:rFonts w:ascii="Century Gothic" w:hAnsi="Century Gothic"/>
          <w:spacing w:val="-13"/>
          <w:sz w:val="19"/>
        </w:rPr>
        <w:t> </w:t>
      </w:r>
      <w:r>
        <w:rPr>
          <w:rFonts w:ascii="Century Gothic" w:hAnsi="Century Gothic"/>
          <w:sz w:val="19"/>
        </w:rPr>
        <w:t>únicamente</w:t>
      </w:r>
      <w:r>
        <w:rPr>
          <w:rFonts w:ascii="Century Gothic" w:hAnsi="Century Gothic"/>
          <w:spacing w:val="-13"/>
          <w:sz w:val="19"/>
        </w:rPr>
        <w:t> </w:t>
      </w:r>
      <w:r>
        <w:rPr>
          <w:rFonts w:ascii="Century Gothic" w:hAnsi="Century Gothic"/>
          <w:sz w:val="19"/>
        </w:rPr>
        <w:t>que</w:t>
      </w:r>
      <w:r>
        <w:rPr>
          <w:rFonts w:ascii="Century Gothic" w:hAnsi="Century Gothic"/>
          <w:spacing w:val="-13"/>
          <w:sz w:val="19"/>
        </w:rPr>
        <w:t> </w:t>
      </w:r>
      <w:r>
        <w:rPr>
          <w:rFonts w:ascii="Century Gothic" w:hAnsi="Century Gothic"/>
          <w:sz w:val="19"/>
        </w:rPr>
        <w:t>la</w:t>
      </w:r>
      <w:r>
        <w:rPr>
          <w:rFonts w:ascii="Century Gothic" w:hAnsi="Century Gothic"/>
          <w:spacing w:val="-13"/>
          <w:sz w:val="19"/>
        </w:rPr>
        <w:t> </w:t>
      </w:r>
      <w:r>
        <w:rPr>
          <w:rFonts w:ascii="Century Gothic" w:hAnsi="Century Gothic"/>
          <w:sz w:val="19"/>
        </w:rPr>
        <w:t>citada</w:t>
      </w:r>
      <w:r>
        <w:rPr>
          <w:rFonts w:ascii="Century Gothic" w:hAnsi="Century Gothic"/>
          <w:spacing w:val="-14"/>
          <w:sz w:val="19"/>
        </w:rPr>
        <w:t> </w:t>
      </w:r>
      <w:r>
        <w:rPr>
          <w:rFonts w:ascii="Century Gothic" w:hAnsi="Century Gothic"/>
          <w:sz w:val="19"/>
        </w:rPr>
        <w:t>información</w:t>
      </w:r>
      <w:r>
        <w:rPr>
          <w:rFonts w:ascii="Century Gothic" w:hAnsi="Century Gothic"/>
          <w:spacing w:val="-13"/>
          <w:sz w:val="19"/>
        </w:rPr>
        <w:t> </w:t>
      </w:r>
      <w:r>
        <w:rPr>
          <w:rFonts w:ascii="Century Gothic" w:hAnsi="Century Gothic"/>
          <w:sz w:val="19"/>
        </w:rPr>
        <w:t>se</w:t>
      </w:r>
      <w:r>
        <w:rPr>
          <w:rFonts w:ascii="Century Gothic" w:hAnsi="Century Gothic"/>
          <w:spacing w:val="-13"/>
          <w:sz w:val="19"/>
        </w:rPr>
        <w:t> </w:t>
      </w:r>
      <w:r>
        <w:rPr>
          <w:rFonts w:ascii="Century Gothic" w:hAnsi="Century Gothic"/>
          <w:sz w:val="19"/>
        </w:rPr>
        <w:t>ha</w:t>
      </w:r>
      <w:r>
        <w:rPr>
          <w:rFonts w:ascii="Century Gothic" w:hAnsi="Century Gothic"/>
          <w:spacing w:val="-13"/>
          <w:sz w:val="19"/>
        </w:rPr>
        <w:t> </w:t>
      </w:r>
      <w:r>
        <w:rPr>
          <w:rFonts w:ascii="Century Gothic" w:hAnsi="Century Gothic"/>
          <w:sz w:val="19"/>
        </w:rPr>
        <w:t>facilitado</w:t>
      </w:r>
      <w:r>
        <w:rPr>
          <w:rFonts w:ascii="Century Gothic" w:hAnsi="Century Gothic"/>
          <w:spacing w:val="-13"/>
          <w:sz w:val="19"/>
        </w:rPr>
        <w:t> </w:t>
      </w:r>
      <w:r>
        <w:rPr>
          <w:rFonts w:ascii="Century Gothic" w:hAnsi="Century Gothic"/>
          <w:sz w:val="19"/>
        </w:rPr>
        <w:t>en</w:t>
      </w:r>
      <w:r>
        <w:rPr>
          <w:rFonts w:ascii="Century Gothic" w:hAnsi="Century Gothic"/>
          <w:spacing w:val="-13"/>
          <w:sz w:val="19"/>
        </w:rPr>
        <w:t> </w:t>
      </w:r>
      <w:r>
        <w:rPr>
          <w:rFonts w:ascii="Century Gothic" w:hAnsi="Century Gothic"/>
          <w:sz w:val="19"/>
        </w:rPr>
        <w:t>el</w:t>
      </w:r>
      <w:r>
        <w:rPr>
          <w:rFonts w:ascii="Century Gothic" w:hAnsi="Century Gothic"/>
          <w:spacing w:val="-13"/>
          <w:sz w:val="19"/>
        </w:rPr>
        <w:t> </w:t>
      </w:r>
      <w:r>
        <w:rPr>
          <w:rFonts w:ascii="Century Gothic" w:hAnsi="Century Gothic"/>
          <w:sz w:val="19"/>
        </w:rPr>
        <w:t>informe</w:t>
      </w:r>
      <w:r>
        <w:rPr>
          <w:rFonts w:ascii="Century Gothic" w:hAnsi="Century Gothic"/>
          <w:spacing w:val="-14"/>
          <w:sz w:val="19"/>
        </w:rPr>
        <w:t> </w:t>
      </w:r>
      <w:r>
        <w:rPr>
          <w:rFonts w:ascii="Century Gothic" w:hAnsi="Century Gothic"/>
          <w:sz w:val="19"/>
        </w:rPr>
        <w:t>de </w:t>
      </w:r>
      <w:r>
        <w:rPr>
          <w:rFonts w:ascii="Century Gothic" w:hAnsi="Century Gothic"/>
          <w:spacing w:val="-2"/>
          <w:sz w:val="19"/>
        </w:rPr>
        <w:t>gestión</w:t>
      </w:r>
      <w:r>
        <w:rPr>
          <w:rFonts w:ascii="Century Gothic" w:hAnsi="Century Gothic"/>
          <w:spacing w:val="-6"/>
          <w:sz w:val="19"/>
        </w:rPr>
        <w:t> </w:t>
      </w:r>
      <w:r>
        <w:rPr>
          <w:rFonts w:ascii="Century Gothic" w:hAnsi="Century Gothic"/>
          <w:spacing w:val="-2"/>
          <w:sz w:val="19"/>
        </w:rPr>
        <w:t>o,</w:t>
      </w:r>
      <w:r>
        <w:rPr>
          <w:rFonts w:ascii="Century Gothic" w:hAnsi="Century Gothic"/>
          <w:spacing w:val="-6"/>
          <w:sz w:val="19"/>
        </w:rPr>
        <w:t> </w:t>
      </w:r>
      <w:r>
        <w:rPr>
          <w:rFonts w:ascii="Century Gothic" w:hAnsi="Century Gothic"/>
          <w:spacing w:val="-2"/>
          <w:sz w:val="19"/>
        </w:rPr>
        <w:t>en</w:t>
      </w:r>
      <w:r>
        <w:rPr>
          <w:rFonts w:ascii="Century Gothic" w:hAnsi="Century Gothic"/>
          <w:spacing w:val="-9"/>
          <w:sz w:val="19"/>
        </w:rPr>
        <w:t> </w:t>
      </w:r>
      <w:r>
        <w:rPr>
          <w:rFonts w:ascii="Century Gothic" w:hAnsi="Century Gothic"/>
          <w:spacing w:val="-2"/>
          <w:sz w:val="19"/>
        </w:rPr>
        <w:t>su</w:t>
      </w:r>
      <w:r>
        <w:rPr>
          <w:rFonts w:ascii="Century Gothic" w:hAnsi="Century Gothic"/>
          <w:spacing w:val="-8"/>
          <w:sz w:val="19"/>
        </w:rPr>
        <w:t> </w:t>
      </w:r>
      <w:r>
        <w:rPr>
          <w:rFonts w:ascii="Century Gothic" w:hAnsi="Century Gothic"/>
          <w:spacing w:val="-2"/>
          <w:sz w:val="19"/>
        </w:rPr>
        <w:t>caso,</w:t>
      </w:r>
      <w:r>
        <w:rPr>
          <w:rFonts w:ascii="Century Gothic" w:hAnsi="Century Gothic"/>
          <w:spacing w:val="-6"/>
          <w:sz w:val="19"/>
        </w:rPr>
        <w:t> </w:t>
      </w:r>
      <w:r>
        <w:rPr>
          <w:rFonts w:ascii="Century Gothic" w:hAnsi="Century Gothic"/>
          <w:spacing w:val="-2"/>
          <w:sz w:val="19"/>
        </w:rPr>
        <w:t>que</w:t>
      </w:r>
      <w:r>
        <w:rPr>
          <w:rFonts w:ascii="Century Gothic" w:hAnsi="Century Gothic"/>
          <w:spacing w:val="-9"/>
          <w:sz w:val="19"/>
        </w:rPr>
        <w:t> </w:t>
      </w:r>
      <w:r>
        <w:rPr>
          <w:rFonts w:ascii="Century Gothic" w:hAnsi="Century Gothic"/>
          <w:spacing w:val="-2"/>
          <w:sz w:val="19"/>
        </w:rPr>
        <w:t>se</w:t>
      </w:r>
      <w:r>
        <w:rPr>
          <w:rFonts w:ascii="Century Gothic" w:hAnsi="Century Gothic"/>
          <w:spacing w:val="-7"/>
          <w:sz w:val="19"/>
        </w:rPr>
        <w:t> </w:t>
      </w:r>
      <w:r>
        <w:rPr>
          <w:rFonts w:ascii="Century Gothic" w:hAnsi="Century Gothic"/>
          <w:spacing w:val="-2"/>
          <w:sz w:val="19"/>
        </w:rPr>
        <w:t>haya</w:t>
      </w:r>
      <w:r>
        <w:rPr>
          <w:rFonts w:ascii="Century Gothic" w:hAnsi="Century Gothic"/>
          <w:spacing w:val="-8"/>
          <w:sz w:val="19"/>
        </w:rPr>
        <w:t> </w:t>
      </w:r>
      <w:r>
        <w:rPr>
          <w:rFonts w:ascii="Century Gothic" w:hAnsi="Century Gothic"/>
          <w:spacing w:val="-2"/>
          <w:sz w:val="19"/>
        </w:rPr>
        <w:t>incorporado</w:t>
      </w:r>
      <w:r>
        <w:rPr>
          <w:rFonts w:ascii="Century Gothic" w:hAnsi="Century Gothic"/>
          <w:spacing w:val="-5"/>
          <w:sz w:val="19"/>
        </w:rPr>
        <w:t> </w:t>
      </w:r>
      <w:r>
        <w:rPr>
          <w:rFonts w:ascii="Century Gothic" w:hAnsi="Century Gothic"/>
          <w:spacing w:val="-2"/>
          <w:sz w:val="19"/>
        </w:rPr>
        <w:t>en</w:t>
      </w:r>
      <w:r>
        <w:rPr>
          <w:rFonts w:ascii="Century Gothic" w:hAnsi="Century Gothic"/>
          <w:spacing w:val="-6"/>
          <w:sz w:val="19"/>
        </w:rPr>
        <w:t> </w:t>
      </w:r>
      <w:r>
        <w:rPr>
          <w:rFonts w:ascii="Century Gothic" w:hAnsi="Century Gothic"/>
          <w:spacing w:val="-2"/>
          <w:sz w:val="19"/>
        </w:rPr>
        <w:t>éste</w:t>
      </w:r>
      <w:r>
        <w:rPr>
          <w:rFonts w:ascii="Century Gothic" w:hAnsi="Century Gothic"/>
          <w:spacing w:val="-7"/>
          <w:sz w:val="19"/>
        </w:rPr>
        <w:t> </w:t>
      </w:r>
      <w:r>
        <w:rPr>
          <w:rFonts w:ascii="Century Gothic" w:hAnsi="Century Gothic"/>
          <w:spacing w:val="-2"/>
          <w:sz w:val="19"/>
        </w:rPr>
        <w:t>la</w:t>
      </w:r>
      <w:r>
        <w:rPr>
          <w:rFonts w:ascii="Century Gothic" w:hAnsi="Century Gothic"/>
          <w:spacing w:val="-8"/>
          <w:sz w:val="19"/>
        </w:rPr>
        <w:t> </w:t>
      </w:r>
      <w:r>
        <w:rPr>
          <w:rFonts w:ascii="Century Gothic" w:hAnsi="Century Gothic"/>
          <w:spacing w:val="-2"/>
          <w:sz w:val="19"/>
        </w:rPr>
        <w:t>referencia</w:t>
      </w:r>
      <w:r>
        <w:rPr>
          <w:rFonts w:ascii="Century Gothic" w:hAnsi="Century Gothic"/>
          <w:spacing w:val="-8"/>
          <w:sz w:val="19"/>
        </w:rPr>
        <w:t> </w:t>
      </w:r>
      <w:r>
        <w:rPr>
          <w:rFonts w:ascii="Century Gothic" w:hAnsi="Century Gothic"/>
          <w:spacing w:val="-2"/>
          <w:sz w:val="19"/>
        </w:rPr>
        <w:t>correspondiente</w:t>
      </w:r>
      <w:r>
        <w:rPr>
          <w:rFonts w:ascii="Century Gothic" w:hAnsi="Century Gothic"/>
          <w:spacing w:val="-7"/>
          <w:sz w:val="19"/>
        </w:rPr>
        <w:t> </w:t>
      </w:r>
      <w:r>
        <w:rPr>
          <w:rFonts w:ascii="Century Gothic" w:hAnsi="Century Gothic"/>
          <w:spacing w:val="-2"/>
          <w:sz w:val="19"/>
        </w:rPr>
        <w:t>al</w:t>
      </w:r>
      <w:r>
        <w:rPr>
          <w:rFonts w:ascii="Century Gothic" w:hAnsi="Century Gothic"/>
          <w:spacing w:val="-8"/>
          <w:sz w:val="19"/>
        </w:rPr>
        <w:t> </w:t>
      </w:r>
      <w:r>
        <w:rPr>
          <w:rFonts w:ascii="Century Gothic" w:hAnsi="Century Gothic"/>
          <w:spacing w:val="-2"/>
          <w:sz w:val="19"/>
        </w:rPr>
        <w:t>informe </w:t>
      </w:r>
      <w:r>
        <w:rPr>
          <w:rFonts w:ascii="Century Gothic" w:hAnsi="Century Gothic"/>
          <w:sz w:val="19"/>
        </w:rPr>
        <w:t>separado sobre la información no financiera en la forma prevista en la normativa y, en caso contrario, a informar sobre ello.</w:t>
      </w:r>
    </w:p>
    <w:p>
      <w:pPr>
        <w:pStyle w:val="ListParagraph"/>
        <w:spacing w:after="0" w:line="240" w:lineRule="auto"/>
        <w:jc w:val="both"/>
        <w:rPr>
          <w:rFonts w:ascii="Century Gothic" w:hAnsi="Century Gothic"/>
          <w:sz w:val="19"/>
        </w:rPr>
        <w:sectPr>
          <w:pgSz w:w="12240" w:h="15840"/>
          <w:pgMar w:header="139" w:footer="846" w:top="1700" w:bottom="1040" w:left="1080" w:right="1080"/>
        </w:sectPr>
      </w:pPr>
    </w:p>
    <w:p>
      <w:pPr>
        <w:pStyle w:val="BodyText"/>
        <w:spacing w:before="89"/>
        <w:rPr>
          <w:rFonts w:ascii="Century Gothic"/>
          <w:sz w:val="19"/>
        </w:rPr>
      </w:pPr>
      <w:r>
        <w:rPr>
          <w:rFonts w:ascii="Century Gothic"/>
          <w:sz w:val="19"/>
        </w:rPr>
        <w:drawing>
          <wp:anchor distT="0" distB="0" distL="0" distR="0" allowOverlap="1" layoutInCell="1" locked="0" behindDoc="0" simplePos="0" relativeHeight="15730688">
            <wp:simplePos x="0" y="0"/>
            <wp:positionH relativeFrom="page">
              <wp:posOffset>32673</wp:posOffset>
            </wp:positionH>
            <wp:positionV relativeFrom="page">
              <wp:posOffset>8627009</wp:posOffset>
            </wp:positionV>
            <wp:extent cx="1269999" cy="121919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1269999" cy="1219199"/>
                    </a:xfrm>
                    <a:prstGeom prst="rect">
                      <a:avLst/>
                    </a:prstGeom>
                  </pic:spPr>
                </pic:pic>
              </a:graphicData>
            </a:graphic>
          </wp:anchor>
        </w:drawing>
      </w:r>
      <w:r>
        <w:rPr>
          <w:rFonts w:ascii="Century Gothic"/>
          <w:sz w:val="19"/>
        </w:rPr>
        <mc:AlternateContent>
          <mc:Choice Requires="wps">
            <w:drawing>
              <wp:anchor distT="0" distB="0" distL="0" distR="0" allowOverlap="1" layoutInCell="1" locked="0" behindDoc="0" simplePos="0" relativeHeight="15731200">
                <wp:simplePos x="0" y="0"/>
                <wp:positionH relativeFrom="page">
                  <wp:posOffset>389592</wp:posOffset>
                </wp:positionH>
                <wp:positionV relativeFrom="page">
                  <wp:posOffset>2765985</wp:posOffset>
                </wp:positionV>
                <wp:extent cx="132715" cy="507873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32715" cy="5078730"/>
                        </a:xfrm>
                        <a:prstGeom prst="rect">
                          <a:avLst/>
                        </a:prstGeom>
                      </wps:spPr>
                      <wps:txbx>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wps:txbx>
                      <wps:bodyPr wrap="square" lIns="0" tIns="0" rIns="0" bIns="0" rtlCol="0" vert="vert270">
                        <a:noAutofit/>
                      </wps:bodyPr>
                    </wps:wsp>
                  </a:graphicData>
                </a:graphic>
              </wp:anchor>
            </w:drawing>
          </mc:Choice>
          <mc:Fallback>
            <w:pict>
              <v:shape style="position:absolute;margin-left:30.676601pt;margin-top:217.794098pt;width:10.45pt;height:399.9pt;mso-position-horizontal-relative:page;mso-position-vertical-relative:page;z-index:15731200" type="#_x0000_t202" id="docshape4" filled="false" stroked="false">
                <v:textbox inset="0,0,0,0" style="layout-flow:vertical;mso-layout-flow-alt:bottom-to-top">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v:textbox>
                <w10:wrap type="none"/>
              </v:shape>
            </w:pict>
          </mc:Fallback>
        </mc:AlternateContent>
      </w:r>
    </w:p>
    <w:p>
      <w:pPr>
        <w:pStyle w:val="ListParagraph"/>
        <w:numPr>
          <w:ilvl w:val="0"/>
          <w:numId w:val="2"/>
        </w:numPr>
        <w:tabs>
          <w:tab w:pos="1190" w:val="left" w:leader="none"/>
        </w:tabs>
        <w:spacing w:line="240" w:lineRule="auto" w:before="0" w:after="0"/>
        <w:ind w:left="1190" w:right="215" w:hanging="360"/>
        <w:jc w:val="both"/>
        <w:rPr>
          <w:rFonts w:ascii="Century Gothic" w:hAnsi="Century Gothic"/>
          <w:sz w:val="19"/>
        </w:rPr>
      </w:pPr>
      <w:r>
        <w:rPr>
          <w:rFonts w:ascii="Century Gothic" w:hAnsi="Century Gothic"/>
          <w:sz w:val="19"/>
        </w:rPr>
        <w:t>Un nivel general, aplicable al resto de la información incluida en el informe de gestión, que consiste</w:t>
      </w:r>
      <w:r>
        <w:rPr>
          <w:rFonts w:ascii="Century Gothic" w:hAnsi="Century Gothic"/>
          <w:spacing w:val="-13"/>
          <w:sz w:val="19"/>
        </w:rPr>
        <w:t> </w:t>
      </w:r>
      <w:r>
        <w:rPr>
          <w:rFonts w:ascii="Century Gothic" w:hAnsi="Century Gothic"/>
          <w:sz w:val="19"/>
        </w:rPr>
        <w:t>en</w:t>
      </w:r>
      <w:r>
        <w:rPr>
          <w:rFonts w:ascii="Century Gothic" w:hAnsi="Century Gothic"/>
          <w:spacing w:val="-12"/>
          <w:sz w:val="19"/>
        </w:rPr>
        <w:t> </w:t>
      </w:r>
      <w:r>
        <w:rPr>
          <w:rFonts w:ascii="Century Gothic" w:hAnsi="Century Gothic"/>
          <w:sz w:val="19"/>
        </w:rPr>
        <w:t>evaluar</w:t>
      </w:r>
      <w:r>
        <w:rPr>
          <w:rFonts w:ascii="Century Gothic" w:hAnsi="Century Gothic"/>
          <w:spacing w:val="-11"/>
          <w:sz w:val="19"/>
        </w:rPr>
        <w:t> </w:t>
      </w:r>
      <w:r>
        <w:rPr>
          <w:rFonts w:ascii="Century Gothic" w:hAnsi="Century Gothic"/>
          <w:sz w:val="19"/>
        </w:rPr>
        <w:t>e</w:t>
      </w:r>
      <w:r>
        <w:rPr>
          <w:rFonts w:ascii="Century Gothic" w:hAnsi="Century Gothic"/>
          <w:spacing w:val="-13"/>
          <w:sz w:val="19"/>
        </w:rPr>
        <w:t> </w:t>
      </w:r>
      <w:r>
        <w:rPr>
          <w:rFonts w:ascii="Century Gothic" w:hAnsi="Century Gothic"/>
          <w:sz w:val="19"/>
        </w:rPr>
        <w:t>informar</w:t>
      </w:r>
      <w:r>
        <w:rPr>
          <w:rFonts w:ascii="Century Gothic" w:hAnsi="Century Gothic"/>
          <w:spacing w:val="-12"/>
          <w:sz w:val="19"/>
        </w:rPr>
        <w:t> </w:t>
      </w:r>
      <w:r>
        <w:rPr>
          <w:rFonts w:ascii="Century Gothic" w:hAnsi="Century Gothic"/>
          <w:sz w:val="19"/>
        </w:rPr>
        <w:t>sobre</w:t>
      </w:r>
      <w:r>
        <w:rPr>
          <w:rFonts w:ascii="Century Gothic" w:hAnsi="Century Gothic"/>
          <w:spacing w:val="-12"/>
          <w:sz w:val="19"/>
        </w:rPr>
        <w:t> </w:t>
      </w:r>
      <w:r>
        <w:rPr>
          <w:rFonts w:ascii="Century Gothic" w:hAnsi="Century Gothic"/>
          <w:sz w:val="19"/>
        </w:rPr>
        <w:t>la</w:t>
      </w:r>
      <w:r>
        <w:rPr>
          <w:rFonts w:ascii="Century Gothic" w:hAnsi="Century Gothic"/>
          <w:spacing w:val="-12"/>
          <w:sz w:val="19"/>
        </w:rPr>
        <w:t> </w:t>
      </w:r>
      <w:r>
        <w:rPr>
          <w:rFonts w:ascii="Century Gothic" w:hAnsi="Century Gothic"/>
          <w:sz w:val="19"/>
        </w:rPr>
        <w:t>concordancia</w:t>
      </w:r>
      <w:r>
        <w:rPr>
          <w:rFonts w:ascii="Century Gothic" w:hAnsi="Century Gothic"/>
          <w:spacing w:val="-11"/>
          <w:sz w:val="19"/>
        </w:rPr>
        <w:t> </w:t>
      </w:r>
      <w:r>
        <w:rPr>
          <w:rFonts w:ascii="Century Gothic" w:hAnsi="Century Gothic"/>
          <w:sz w:val="19"/>
        </w:rPr>
        <w:t>de</w:t>
      </w:r>
      <w:r>
        <w:rPr>
          <w:rFonts w:ascii="Century Gothic" w:hAnsi="Century Gothic"/>
          <w:spacing w:val="-13"/>
          <w:sz w:val="19"/>
        </w:rPr>
        <w:t> </w:t>
      </w:r>
      <w:r>
        <w:rPr>
          <w:rFonts w:ascii="Century Gothic" w:hAnsi="Century Gothic"/>
          <w:sz w:val="19"/>
        </w:rPr>
        <w:t>la</w:t>
      </w:r>
      <w:r>
        <w:rPr>
          <w:rFonts w:ascii="Century Gothic" w:hAnsi="Century Gothic"/>
          <w:spacing w:val="-11"/>
          <w:sz w:val="19"/>
        </w:rPr>
        <w:t> </w:t>
      </w:r>
      <w:r>
        <w:rPr>
          <w:rFonts w:ascii="Century Gothic" w:hAnsi="Century Gothic"/>
          <w:sz w:val="19"/>
        </w:rPr>
        <w:t>citada</w:t>
      </w:r>
      <w:r>
        <w:rPr>
          <w:rFonts w:ascii="Century Gothic" w:hAnsi="Century Gothic"/>
          <w:spacing w:val="-14"/>
          <w:sz w:val="19"/>
        </w:rPr>
        <w:t> </w:t>
      </w:r>
      <w:r>
        <w:rPr>
          <w:rFonts w:ascii="Century Gothic" w:hAnsi="Century Gothic"/>
          <w:sz w:val="19"/>
        </w:rPr>
        <w:t>información</w:t>
      </w:r>
      <w:r>
        <w:rPr>
          <w:rFonts w:ascii="Century Gothic" w:hAnsi="Century Gothic"/>
          <w:spacing w:val="-11"/>
          <w:sz w:val="19"/>
        </w:rPr>
        <w:t> </w:t>
      </w:r>
      <w:r>
        <w:rPr>
          <w:rFonts w:ascii="Century Gothic" w:hAnsi="Century Gothic"/>
          <w:sz w:val="19"/>
        </w:rPr>
        <w:t>con</w:t>
      </w:r>
      <w:r>
        <w:rPr>
          <w:rFonts w:ascii="Century Gothic" w:hAnsi="Century Gothic"/>
          <w:spacing w:val="-12"/>
          <w:sz w:val="19"/>
        </w:rPr>
        <w:t> </w:t>
      </w:r>
      <w:r>
        <w:rPr>
          <w:rFonts w:ascii="Century Gothic" w:hAnsi="Century Gothic"/>
          <w:sz w:val="19"/>
        </w:rPr>
        <w:t>las</w:t>
      </w:r>
      <w:r>
        <w:rPr>
          <w:rFonts w:ascii="Century Gothic" w:hAnsi="Century Gothic"/>
          <w:spacing w:val="-10"/>
          <w:sz w:val="19"/>
        </w:rPr>
        <w:t> </w:t>
      </w:r>
      <w:r>
        <w:rPr>
          <w:rFonts w:ascii="Century Gothic" w:hAnsi="Century Gothic"/>
          <w:sz w:val="19"/>
        </w:rPr>
        <w:t>cuentas anuales,</w:t>
      </w:r>
      <w:r>
        <w:rPr>
          <w:rFonts w:ascii="Century Gothic" w:hAnsi="Century Gothic"/>
          <w:spacing w:val="-14"/>
          <w:sz w:val="19"/>
        </w:rPr>
        <w:t> </w:t>
      </w:r>
      <w:r>
        <w:rPr>
          <w:rFonts w:ascii="Century Gothic" w:hAnsi="Century Gothic"/>
          <w:sz w:val="19"/>
        </w:rPr>
        <w:t>a</w:t>
      </w:r>
      <w:r>
        <w:rPr>
          <w:rFonts w:ascii="Century Gothic" w:hAnsi="Century Gothic"/>
          <w:spacing w:val="-13"/>
          <w:sz w:val="19"/>
        </w:rPr>
        <w:t> </w:t>
      </w:r>
      <w:r>
        <w:rPr>
          <w:rFonts w:ascii="Century Gothic" w:hAnsi="Century Gothic"/>
          <w:sz w:val="19"/>
        </w:rPr>
        <w:t>partir</w:t>
      </w:r>
      <w:r>
        <w:rPr>
          <w:rFonts w:ascii="Century Gothic" w:hAnsi="Century Gothic"/>
          <w:spacing w:val="-13"/>
          <w:sz w:val="19"/>
        </w:rPr>
        <w:t> </w:t>
      </w:r>
      <w:r>
        <w:rPr>
          <w:rFonts w:ascii="Century Gothic" w:hAnsi="Century Gothic"/>
          <w:sz w:val="19"/>
        </w:rPr>
        <w:t>del</w:t>
      </w:r>
      <w:r>
        <w:rPr>
          <w:rFonts w:ascii="Century Gothic" w:hAnsi="Century Gothic"/>
          <w:spacing w:val="-13"/>
          <w:sz w:val="19"/>
        </w:rPr>
        <w:t> </w:t>
      </w:r>
      <w:r>
        <w:rPr>
          <w:rFonts w:ascii="Century Gothic" w:hAnsi="Century Gothic"/>
          <w:sz w:val="19"/>
        </w:rPr>
        <w:t>conocimiento</w:t>
      </w:r>
      <w:r>
        <w:rPr>
          <w:rFonts w:ascii="Century Gothic" w:hAnsi="Century Gothic"/>
          <w:spacing w:val="-13"/>
          <w:sz w:val="19"/>
        </w:rPr>
        <w:t> </w:t>
      </w:r>
      <w:r>
        <w:rPr>
          <w:rFonts w:ascii="Century Gothic" w:hAnsi="Century Gothic"/>
          <w:sz w:val="19"/>
        </w:rPr>
        <w:t>de</w:t>
      </w:r>
      <w:r>
        <w:rPr>
          <w:rFonts w:ascii="Century Gothic" w:hAnsi="Century Gothic"/>
          <w:spacing w:val="-13"/>
          <w:sz w:val="19"/>
        </w:rPr>
        <w:t> </w:t>
      </w:r>
      <w:r>
        <w:rPr>
          <w:rFonts w:ascii="Century Gothic" w:hAnsi="Century Gothic"/>
          <w:sz w:val="19"/>
        </w:rPr>
        <w:t>la</w:t>
      </w:r>
      <w:r>
        <w:rPr>
          <w:rFonts w:ascii="Century Gothic" w:hAnsi="Century Gothic"/>
          <w:spacing w:val="-14"/>
          <w:sz w:val="19"/>
        </w:rPr>
        <w:t> </w:t>
      </w:r>
      <w:r>
        <w:rPr>
          <w:rFonts w:ascii="Century Gothic" w:hAnsi="Century Gothic"/>
          <w:sz w:val="19"/>
        </w:rPr>
        <w:t>Sociedad</w:t>
      </w:r>
      <w:r>
        <w:rPr>
          <w:rFonts w:ascii="Century Gothic" w:hAnsi="Century Gothic"/>
          <w:spacing w:val="-13"/>
          <w:sz w:val="19"/>
        </w:rPr>
        <w:t> </w:t>
      </w:r>
      <w:r>
        <w:rPr>
          <w:rFonts w:ascii="Century Gothic" w:hAnsi="Century Gothic"/>
          <w:sz w:val="19"/>
        </w:rPr>
        <w:t>obtenido</w:t>
      </w:r>
      <w:r>
        <w:rPr>
          <w:rFonts w:ascii="Century Gothic" w:hAnsi="Century Gothic"/>
          <w:spacing w:val="-13"/>
          <w:sz w:val="19"/>
        </w:rPr>
        <w:t> </w:t>
      </w:r>
      <w:r>
        <w:rPr>
          <w:rFonts w:ascii="Century Gothic" w:hAnsi="Century Gothic"/>
          <w:sz w:val="19"/>
        </w:rPr>
        <w:t>en</w:t>
      </w:r>
      <w:r>
        <w:rPr>
          <w:rFonts w:ascii="Century Gothic" w:hAnsi="Century Gothic"/>
          <w:spacing w:val="-13"/>
          <w:sz w:val="19"/>
        </w:rPr>
        <w:t> </w:t>
      </w:r>
      <w:r>
        <w:rPr>
          <w:rFonts w:ascii="Century Gothic" w:hAnsi="Century Gothic"/>
          <w:sz w:val="19"/>
        </w:rPr>
        <w:t>la</w:t>
      </w:r>
      <w:r>
        <w:rPr>
          <w:rFonts w:ascii="Century Gothic" w:hAnsi="Century Gothic"/>
          <w:spacing w:val="-13"/>
          <w:sz w:val="19"/>
        </w:rPr>
        <w:t> </w:t>
      </w:r>
      <w:r>
        <w:rPr>
          <w:rFonts w:ascii="Century Gothic" w:hAnsi="Century Gothic"/>
          <w:sz w:val="19"/>
        </w:rPr>
        <w:t>realización</w:t>
      </w:r>
      <w:r>
        <w:rPr>
          <w:rFonts w:ascii="Century Gothic" w:hAnsi="Century Gothic"/>
          <w:spacing w:val="-13"/>
          <w:sz w:val="19"/>
        </w:rPr>
        <w:t> </w:t>
      </w:r>
      <w:r>
        <w:rPr>
          <w:rFonts w:ascii="Century Gothic" w:hAnsi="Century Gothic"/>
          <w:sz w:val="19"/>
        </w:rPr>
        <w:t>de</w:t>
      </w:r>
      <w:r>
        <w:rPr>
          <w:rFonts w:ascii="Century Gothic" w:hAnsi="Century Gothic"/>
          <w:spacing w:val="-13"/>
          <w:sz w:val="19"/>
        </w:rPr>
        <w:t> </w:t>
      </w:r>
      <w:r>
        <w:rPr>
          <w:rFonts w:ascii="Century Gothic" w:hAnsi="Century Gothic"/>
          <w:sz w:val="19"/>
        </w:rPr>
        <w:t>la</w:t>
      </w:r>
      <w:r>
        <w:rPr>
          <w:rFonts w:ascii="Century Gothic" w:hAnsi="Century Gothic"/>
          <w:spacing w:val="-14"/>
          <w:sz w:val="19"/>
        </w:rPr>
        <w:t> </w:t>
      </w:r>
      <w:r>
        <w:rPr>
          <w:rFonts w:ascii="Century Gothic" w:hAnsi="Century Gothic"/>
          <w:sz w:val="19"/>
        </w:rPr>
        <w:t>auditoría</w:t>
      </w:r>
      <w:r>
        <w:rPr>
          <w:rFonts w:ascii="Century Gothic" w:hAnsi="Century Gothic"/>
          <w:spacing w:val="-12"/>
          <w:sz w:val="19"/>
        </w:rPr>
        <w:t> </w:t>
      </w:r>
      <w:r>
        <w:rPr>
          <w:rFonts w:ascii="Century Gothic" w:hAnsi="Century Gothic"/>
          <w:sz w:val="19"/>
        </w:rPr>
        <w:t>de las</w:t>
      </w:r>
      <w:r>
        <w:rPr>
          <w:rFonts w:ascii="Century Gothic" w:hAnsi="Century Gothic"/>
          <w:spacing w:val="-3"/>
          <w:sz w:val="19"/>
        </w:rPr>
        <w:t> </w:t>
      </w:r>
      <w:r>
        <w:rPr>
          <w:rFonts w:ascii="Century Gothic" w:hAnsi="Century Gothic"/>
          <w:sz w:val="19"/>
        </w:rPr>
        <w:t>citadas</w:t>
      </w:r>
      <w:r>
        <w:rPr>
          <w:rFonts w:ascii="Century Gothic" w:hAnsi="Century Gothic"/>
          <w:spacing w:val="-3"/>
          <w:sz w:val="19"/>
        </w:rPr>
        <w:t> </w:t>
      </w:r>
      <w:r>
        <w:rPr>
          <w:rFonts w:ascii="Century Gothic" w:hAnsi="Century Gothic"/>
          <w:sz w:val="19"/>
        </w:rPr>
        <w:t>cuentas</w:t>
      </w:r>
      <w:r>
        <w:rPr>
          <w:rFonts w:ascii="Century Gothic" w:hAnsi="Century Gothic"/>
          <w:spacing w:val="-3"/>
          <w:sz w:val="19"/>
        </w:rPr>
        <w:t> </w:t>
      </w:r>
      <w:r>
        <w:rPr>
          <w:rFonts w:ascii="Century Gothic" w:hAnsi="Century Gothic"/>
          <w:sz w:val="19"/>
        </w:rPr>
        <w:t>y</w:t>
      </w:r>
      <w:r>
        <w:rPr>
          <w:rFonts w:ascii="Century Gothic" w:hAnsi="Century Gothic"/>
          <w:spacing w:val="-6"/>
          <w:sz w:val="19"/>
        </w:rPr>
        <w:t> </w:t>
      </w:r>
      <w:r>
        <w:rPr>
          <w:rFonts w:ascii="Century Gothic" w:hAnsi="Century Gothic"/>
          <w:sz w:val="19"/>
        </w:rPr>
        <w:t>sin</w:t>
      </w:r>
      <w:r>
        <w:rPr>
          <w:rFonts w:ascii="Century Gothic" w:hAnsi="Century Gothic"/>
          <w:spacing w:val="-5"/>
          <w:sz w:val="19"/>
        </w:rPr>
        <w:t> </w:t>
      </w:r>
      <w:r>
        <w:rPr>
          <w:rFonts w:ascii="Century Gothic" w:hAnsi="Century Gothic"/>
          <w:sz w:val="19"/>
        </w:rPr>
        <w:t>incluir</w:t>
      </w:r>
      <w:r>
        <w:rPr>
          <w:rFonts w:ascii="Century Gothic" w:hAnsi="Century Gothic"/>
          <w:spacing w:val="-5"/>
          <w:sz w:val="19"/>
        </w:rPr>
        <w:t> </w:t>
      </w:r>
      <w:r>
        <w:rPr>
          <w:rFonts w:ascii="Century Gothic" w:hAnsi="Century Gothic"/>
          <w:sz w:val="19"/>
        </w:rPr>
        <w:t>información</w:t>
      </w:r>
      <w:r>
        <w:rPr>
          <w:rFonts w:ascii="Century Gothic" w:hAnsi="Century Gothic"/>
          <w:spacing w:val="-4"/>
          <w:sz w:val="19"/>
        </w:rPr>
        <w:t> </w:t>
      </w:r>
      <w:r>
        <w:rPr>
          <w:rFonts w:ascii="Century Gothic" w:hAnsi="Century Gothic"/>
          <w:sz w:val="19"/>
        </w:rPr>
        <w:t>distinta</w:t>
      </w:r>
      <w:r>
        <w:rPr>
          <w:rFonts w:ascii="Century Gothic" w:hAnsi="Century Gothic"/>
          <w:spacing w:val="-4"/>
          <w:sz w:val="19"/>
        </w:rPr>
        <w:t> </w:t>
      </w:r>
      <w:r>
        <w:rPr>
          <w:rFonts w:ascii="Century Gothic" w:hAnsi="Century Gothic"/>
          <w:sz w:val="19"/>
        </w:rPr>
        <w:t>de</w:t>
      </w:r>
      <w:r>
        <w:rPr>
          <w:rFonts w:ascii="Century Gothic" w:hAnsi="Century Gothic"/>
          <w:spacing w:val="-4"/>
          <w:sz w:val="19"/>
        </w:rPr>
        <w:t> </w:t>
      </w:r>
      <w:r>
        <w:rPr>
          <w:rFonts w:ascii="Century Gothic" w:hAnsi="Century Gothic"/>
          <w:sz w:val="19"/>
        </w:rPr>
        <w:t>la</w:t>
      </w:r>
      <w:r>
        <w:rPr>
          <w:rFonts w:ascii="Century Gothic" w:hAnsi="Century Gothic"/>
          <w:spacing w:val="-5"/>
          <w:sz w:val="19"/>
        </w:rPr>
        <w:t> </w:t>
      </w:r>
      <w:r>
        <w:rPr>
          <w:rFonts w:ascii="Century Gothic" w:hAnsi="Century Gothic"/>
          <w:sz w:val="19"/>
        </w:rPr>
        <w:t>obtenida</w:t>
      </w:r>
      <w:r>
        <w:rPr>
          <w:rFonts w:ascii="Century Gothic" w:hAnsi="Century Gothic"/>
          <w:spacing w:val="-3"/>
          <w:sz w:val="19"/>
        </w:rPr>
        <w:t> </w:t>
      </w:r>
      <w:r>
        <w:rPr>
          <w:rFonts w:ascii="Century Gothic" w:hAnsi="Century Gothic"/>
          <w:sz w:val="19"/>
        </w:rPr>
        <w:t>como</w:t>
      </w:r>
      <w:r>
        <w:rPr>
          <w:rFonts w:ascii="Century Gothic" w:hAnsi="Century Gothic"/>
          <w:spacing w:val="-3"/>
          <w:sz w:val="19"/>
        </w:rPr>
        <w:t> </w:t>
      </w:r>
      <w:r>
        <w:rPr>
          <w:rFonts w:ascii="Century Gothic" w:hAnsi="Century Gothic"/>
          <w:sz w:val="19"/>
        </w:rPr>
        <w:t>evidencia</w:t>
      </w:r>
      <w:r>
        <w:rPr>
          <w:rFonts w:ascii="Century Gothic" w:hAnsi="Century Gothic"/>
          <w:spacing w:val="-5"/>
          <w:sz w:val="19"/>
        </w:rPr>
        <w:t> </w:t>
      </w:r>
      <w:r>
        <w:rPr>
          <w:rFonts w:ascii="Century Gothic" w:hAnsi="Century Gothic"/>
          <w:sz w:val="19"/>
        </w:rPr>
        <w:t>durante</w:t>
      </w:r>
      <w:r>
        <w:rPr>
          <w:rFonts w:ascii="Century Gothic" w:hAnsi="Century Gothic"/>
          <w:spacing w:val="-4"/>
          <w:sz w:val="19"/>
        </w:rPr>
        <w:t> </w:t>
      </w:r>
      <w:r>
        <w:rPr>
          <w:rFonts w:ascii="Century Gothic" w:hAnsi="Century Gothic"/>
          <w:sz w:val="19"/>
        </w:rPr>
        <w:t>la misma,</w:t>
      </w:r>
      <w:r>
        <w:rPr>
          <w:rFonts w:ascii="Century Gothic" w:hAnsi="Century Gothic"/>
          <w:spacing w:val="-14"/>
          <w:sz w:val="19"/>
        </w:rPr>
        <w:t> </w:t>
      </w:r>
      <w:r>
        <w:rPr>
          <w:rFonts w:ascii="Century Gothic" w:hAnsi="Century Gothic"/>
          <w:sz w:val="19"/>
        </w:rPr>
        <w:t>así</w:t>
      </w:r>
      <w:r>
        <w:rPr>
          <w:rFonts w:ascii="Century Gothic" w:hAnsi="Century Gothic"/>
          <w:spacing w:val="-12"/>
          <w:sz w:val="19"/>
        </w:rPr>
        <w:t> </w:t>
      </w:r>
      <w:r>
        <w:rPr>
          <w:rFonts w:ascii="Century Gothic" w:hAnsi="Century Gothic"/>
          <w:sz w:val="19"/>
        </w:rPr>
        <w:t>como</w:t>
      </w:r>
      <w:r>
        <w:rPr>
          <w:rFonts w:ascii="Century Gothic" w:hAnsi="Century Gothic"/>
          <w:spacing w:val="-11"/>
          <w:sz w:val="19"/>
        </w:rPr>
        <w:t> </w:t>
      </w:r>
      <w:r>
        <w:rPr>
          <w:rFonts w:ascii="Century Gothic" w:hAnsi="Century Gothic"/>
          <w:sz w:val="19"/>
        </w:rPr>
        <w:t>evaluar</w:t>
      </w:r>
      <w:r>
        <w:rPr>
          <w:rFonts w:ascii="Century Gothic" w:hAnsi="Century Gothic"/>
          <w:spacing w:val="-9"/>
          <w:sz w:val="19"/>
        </w:rPr>
        <w:t> </w:t>
      </w:r>
      <w:r>
        <w:rPr>
          <w:rFonts w:ascii="Century Gothic" w:hAnsi="Century Gothic"/>
          <w:sz w:val="19"/>
        </w:rPr>
        <w:t>e</w:t>
      </w:r>
      <w:r>
        <w:rPr>
          <w:rFonts w:ascii="Century Gothic" w:hAnsi="Century Gothic"/>
          <w:spacing w:val="-12"/>
          <w:sz w:val="19"/>
        </w:rPr>
        <w:t> </w:t>
      </w:r>
      <w:r>
        <w:rPr>
          <w:rFonts w:ascii="Century Gothic" w:hAnsi="Century Gothic"/>
          <w:sz w:val="19"/>
        </w:rPr>
        <w:t>informar</w:t>
      </w:r>
      <w:r>
        <w:rPr>
          <w:rFonts w:ascii="Century Gothic" w:hAnsi="Century Gothic"/>
          <w:spacing w:val="-11"/>
          <w:sz w:val="19"/>
        </w:rPr>
        <w:t> </w:t>
      </w:r>
      <w:r>
        <w:rPr>
          <w:rFonts w:ascii="Century Gothic" w:hAnsi="Century Gothic"/>
          <w:sz w:val="19"/>
        </w:rPr>
        <w:t>de</w:t>
      </w:r>
      <w:r>
        <w:rPr>
          <w:rFonts w:ascii="Century Gothic" w:hAnsi="Century Gothic"/>
          <w:spacing w:val="-14"/>
          <w:sz w:val="19"/>
        </w:rPr>
        <w:t> </w:t>
      </w:r>
      <w:r>
        <w:rPr>
          <w:rFonts w:ascii="Century Gothic" w:hAnsi="Century Gothic"/>
          <w:sz w:val="19"/>
        </w:rPr>
        <w:t>si</w:t>
      </w:r>
      <w:r>
        <w:rPr>
          <w:rFonts w:ascii="Century Gothic" w:hAnsi="Century Gothic"/>
          <w:spacing w:val="-11"/>
          <w:sz w:val="19"/>
        </w:rPr>
        <w:t> </w:t>
      </w:r>
      <w:r>
        <w:rPr>
          <w:rFonts w:ascii="Century Gothic" w:hAnsi="Century Gothic"/>
          <w:sz w:val="19"/>
        </w:rPr>
        <w:t>el</w:t>
      </w:r>
      <w:r>
        <w:rPr>
          <w:rFonts w:ascii="Century Gothic" w:hAnsi="Century Gothic"/>
          <w:spacing w:val="-11"/>
          <w:sz w:val="19"/>
        </w:rPr>
        <w:t> </w:t>
      </w:r>
      <w:r>
        <w:rPr>
          <w:rFonts w:ascii="Century Gothic" w:hAnsi="Century Gothic"/>
          <w:sz w:val="19"/>
        </w:rPr>
        <w:t>contenido</w:t>
      </w:r>
      <w:r>
        <w:rPr>
          <w:rFonts w:ascii="Century Gothic" w:hAnsi="Century Gothic"/>
          <w:spacing w:val="-9"/>
          <w:sz w:val="19"/>
        </w:rPr>
        <w:t> </w:t>
      </w:r>
      <w:r>
        <w:rPr>
          <w:rFonts w:ascii="Century Gothic" w:hAnsi="Century Gothic"/>
          <w:sz w:val="19"/>
        </w:rPr>
        <w:t>y</w:t>
      </w:r>
      <w:r>
        <w:rPr>
          <w:rFonts w:ascii="Century Gothic" w:hAnsi="Century Gothic"/>
          <w:spacing w:val="-14"/>
          <w:sz w:val="19"/>
        </w:rPr>
        <w:t> </w:t>
      </w:r>
      <w:r>
        <w:rPr>
          <w:rFonts w:ascii="Century Gothic" w:hAnsi="Century Gothic"/>
          <w:sz w:val="19"/>
        </w:rPr>
        <w:t>presentación</w:t>
      </w:r>
      <w:r>
        <w:rPr>
          <w:rFonts w:ascii="Century Gothic" w:hAnsi="Century Gothic"/>
          <w:spacing w:val="-11"/>
          <w:sz w:val="19"/>
        </w:rPr>
        <w:t> </w:t>
      </w:r>
      <w:r>
        <w:rPr>
          <w:rFonts w:ascii="Century Gothic" w:hAnsi="Century Gothic"/>
          <w:sz w:val="19"/>
        </w:rPr>
        <w:t>de</w:t>
      </w:r>
      <w:r>
        <w:rPr>
          <w:rFonts w:ascii="Century Gothic" w:hAnsi="Century Gothic"/>
          <w:spacing w:val="-12"/>
          <w:sz w:val="19"/>
        </w:rPr>
        <w:t> </w:t>
      </w:r>
      <w:r>
        <w:rPr>
          <w:rFonts w:ascii="Century Gothic" w:hAnsi="Century Gothic"/>
          <w:sz w:val="19"/>
        </w:rPr>
        <w:t>esta</w:t>
      </w:r>
      <w:r>
        <w:rPr>
          <w:rFonts w:ascii="Century Gothic" w:hAnsi="Century Gothic"/>
          <w:spacing w:val="-11"/>
          <w:sz w:val="19"/>
        </w:rPr>
        <w:t> </w:t>
      </w:r>
      <w:r>
        <w:rPr>
          <w:rFonts w:ascii="Century Gothic" w:hAnsi="Century Gothic"/>
          <w:sz w:val="19"/>
        </w:rPr>
        <w:t>parte</w:t>
      </w:r>
      <w:r>
        <w:rPr>
          <w:rFonts w:ascii="Century Gothic" w:hAnsi="Century Gothic"/>
          <w:spacing w:val="-10"/>
          <w:sz w:val="19"/>
        </w:rPr>
        <w:t> </w:t>
      </w:r>
      <w:r>
        <w:rPr>
          <w:rFonts w:ascii="Century Gothic" w:hAnsi="Century Gothic"/>
          <w:sz w:val="19"/>
        </w:rPr>
        <w:t>del</w:t>
      </w:r>
      <w:r>
        <w:rPr>
          <w:rFonts w:ascii="Century Gothic" w:hAnsi="Century Gothic"/>
          <w:spacing w:val="-11"/>
          <w:sz w:val="19"/>
        </w:rPr>
        <w:t> </w:t>
      </w:r>
      <w:r>
        <w:rPr>
          <w:rFonts w:ascii="Century Gothic" w:hAnsi="Century Gothic"/>
          <w:sz w:val="19"/>
        </w:rPr>
        <w:t>informe </w:t>
      </w:r>
      <w:r>
        <w:rPr>
          <w:rFonts w:ascii="Century Gothic" w:hAnsi="Century Gothic"/>
          <w:spacing w:val="-2"/>
          <w:sz w:val="19"/>
        </w:rPr>
        <w:t>de</w:t>
      </w:r>
      <w:r>
        <w:rPr>
          <w:rFonts w:ascii="Century Gothic" w:hAnsi="Century Gothic"/>
          <w:spacing w:val="-7"/>
          <w:sz w:val="19"/>
        </w:rPr>
        <w:t> </w:t>
      </w:r>
      <w:r>
        <w:rPr>
          <w:rFonts w:ascii="Century Gothic" w:hAnsi="Century Gothic"/>
          <w:spacing w:val="-2"/>
          <w:sz w:val="19"/>
        </w:rPr>
        <w:t>gestión</w:t>
      </w:r>
      <w:r>
        <w:rPr>
          <w:rFonts w:ascii="Century Gothic" w:hAnsi="Century Gothic"/>
          <w:spacing w:val="-9"/>
          <w:sz w:val="19"/>
        </w:rPr>
        <w:t> </w:t>
      </w:r>
      <w:r>
        <w:rPr>
          <w:rFonts w:ascii="Century Gothic" w:hAnsi="Century Gothic"/>
          <w:spacing w:val="-2"/>
          <w:sz w:val="19"/>
        </w:rPr>
        <w:t>son</w:t>
      </w:r>
      <w:r>
        <w:rPr>
          <w:rFonts w:ascii="Century Gothic" w:hAnsi="Century Gothic"/>
          <w:spacing w:val="-9"/>
          <w:sz w:val="19"/>
        </w:rPr>
        <w:t> </w:t>
      </w:r>
      <w:r>
        <w:rPr>
          <w:rFonts w:ascii="Century Gothic" w:hAnsi="Century Gothic"/>
          <w:spacing w:val="-2"/>
          <w:sz w:val="19"/>
        </w:rPr>
        <w:t>conformes</w:t>
      </w:r>
      <w:r>
        <w:rPr>
          <w:rFonts w:ascii="Century Gothic" w:hAnsi="Century Gothic"/>
          <w:spacing w:val="-10"/>
          <w:sz w:val="19"/>
        </w:rPr>
        <w:t> </w:t>
      </w:r>
      <w:r>
        <w:rPr>
          <w:rFonts w:ascii="Century Gothic" w:hAnsi="Century Gothic"/>
          <w:spacing w:val="-2"/>
          <w:sz w:val="19"/>
        </w:rPr>
        <w:t>a</w:t>
      </w:r>
      <w:r>
        <w:rPr>
          <w:rFonts w:ascii="Century Gothic" w:hAnsi="Century Gothic"/>
          <w:spacing w:val="-8"/>
          <w:sz w:val="19"/>
        </w:rPr>
        <w:t> </w:t>
      </w:r>
      <w:r>
        <w:rPr>
          <w:rFonts w:ascii="Century Gothic" w:hAnsi="Century Gothic"/>
          <w:spacing w:val="-2"/>
          <w:sz w:val="19"/>
        </w:rPr>
        <w:t>la</w:t>
      </w:r>
      <w:r>
        <w:rPr>
          <w:rFonts w:ascii="Century Gothic" w:hAnsi="Century Gothic"/>
          <w:spacing w:val="-8"/>
          <w:sz w:val="19"/>
        </w:rPr>
        <w:t> </w:t>
      </w:r>
      <w:r>
        <w:rPr>
          <w:rFonts w:ascii="Century Gothic" w:hAnsi="Century Gothic"/>
          <w:spacing w:val="-2"/>
          <w:sz w:val="19"/>
        </w:rPr>
        <w:t>normativa</w:t>
      </w:r>
      <w:r>
        <w:rPr>
          <w:rFonts w:ascii="Century Gothic" w:hAnsi="Century Gothic"/>
          <w:spacing w:val="-8"/>
          <w:sz w:val="19"/>
        </w:rPr>
        <w:t> </w:t>
      </w:r>
      <w:r>
        <w:rPr>
          <w:rFonts w:ascii="Century Gothic" w:hAnsi="Century Gothic"/>
          <w:spacing w:val="-2"/>
          <w:sz w:val="19"/>
        </w:rPr>
        <w:t>que</w:t>
      </w:r>
      <w:r>
        <w:rPr>
          <w:rFonts w:ascii="Century Gothic" w:hAnsi="Century Gothic"/>
          <w:spacing w:val="-11"/>
          <w:sz w:val="19"/>
        </w:rPr>
        <w:t> </w:t>
      </w:r>
      <w:r>
        <w:rPr>
          <w:rFonts w:ascii="Century Gothic" w:hAnsi="Century Gothic"/>
          <w:spacing w:val="-2"/>
          <w:sz w:val="19"/>
        </w:rPr>
        <w:t>resulta</w:t>
      </w:r>
      <w:r>
        <w:rPr>
          <w:rFonts w:ascii="Century Gothic" w:hAnsi="Century Gothic"/>
          <w:spacing w:val="-10"/>
          <w:sz w:val="19"/>
        </w:rPr>
        <w:t> </w:t>
      </w:r>
      <w:r>
        <w:rPr>
          <w:rFonts w:ascii="Century Gothic" w:hAnsi="Century Gothic"/>
          <w:spacing w:val="-2"/>
          <w:sz w:val="19"/>
        </w:rPr>
        <w:t>de</w:t>
      </w:r>
      <w:r>
        <w:rPr>
          <w:rFonts w:ascii="Century Gothic" w:hAnsi="Century Gothic"/>
          <w:spacing w:val="-7"/>
          <w:sz w:val="19"/>
        </w:rPr>
        <w:t> </w:t>
      </w:r>
      <w:r>
        <w:rPr>
          <w:rFonts w:ascii="Century Gothic" w:hAnsi="Century Gothic"/>
          <w:spacing w:val="-2"/>
          <w:sz w:val="19"/>
        </w:rPr>
        <w:t>aplicación.</w:t>
      </w:r>
      <w:r>
        <w:rPr>
          <w:rFonts w:ascii="Century Gothic" w:hAnsi="Century Gothic"/>
          <w:spacing w:val="-8"/>
          <w:sz w:val="19"/>
        </w:rPr>
        <w:t> </w:t>
      </w:r>
      <w:r>
        <w:rPr>
          <w:rFonts w:ascii="Century Gothic" w:hAnsi="Century Gothic"/>
          <w:spacing w:val="-2"/>
          <w:sz w:val="19"/>
        </w:rPr>
        <w:t>Si,</w:t>
      </w:r>
      <w:r>
        <w:rPr>
          <w:rFonts w:ascii="Century Gothic" w:hAnsi="Century Gothic"/>
          <w:spacing w:val="-10"/>
          <w:sz w:val="19"/>
        </w:rPr>
        <w:t> </w:t>
      </w:r>
      <w:r>
        <w:rPr>
          <w:rFonts w:ascii="Century Gothic" w:hAnsi="Century Gothic"/>
          <w:spacing w:val="-2"/>
          <w:sz w:val="19"/>
        </w:rPr>
        <w:t>basándonos</w:t>
      </w:r>
      <w:r>
        <w:rPr>
          <w:rFonts w:ascii="Century Gothic" w:hAnsi="Century Gothic"/>
          <w:spacing w:val="-7"/>
          <w:sz w:val="19"/>
        </w:rPr>
        <w:t> </w:t>
      </w:r>
      <w:r>
        <w:rPr>
          <w:rFonts w:ascii="Century Gothic" w:hAnsi="Century Gothic"/>
          <w:spacing w:val="-2"/>
          <w:sz w:val="19"/>
        </w:rPr>
        <w:t>en</w:t>
      </w:r>
      <w:r>
        <w:rPr>
          <w:rFonts w:ascii="Century Gothic" w:hAnsi="Century Gothic"/>
          <w:spacing w:val="-9"/>
          <w:sz w:val="19"/>
        </w:rPr>
        <w:t> </w:t>
      </w:r>
      <w:r>
        <w:rPr>
          <w:rFonts w:ascii="Century Gothic" w:hAnsi="Century Gothic"/>
          <w:spacing w:val="-2"/>
          <w:sz w:val="19"/>
        </w:rPr>
        <w:t>el</w:t>
      </w:r>
      <w:r>
        <w:rPr>
          <w:rFonts w:ascii="Century Gothic" w:hAnsi="Century Gothic"/>
          <w:spacing w:val="-8"/>
          <w:sz w:val="19"/>
        </w:rPr>
        <w:t> </w:t>
      </w:r>
      <w:r>
        <w:rPr>
          <w:rFonts w:ascii="Century Gothic" w:hAnsi="Century Gothic"/>
          <w:spacing w:val="-2"/>
          <w:sz w:val="19"/>
        </w:rPr>
        <w:t>trabajo </w:t>
      </w:r>
      <w:r>
        <w:rPr>
          <w:rFonts w:ascii="Century Gothic" w:hAnsi="Century Gothic"/>
          <w:sz w:val="19"/>
        </w:rPr>
        <w:t>que</w:t>
      </w:r>
      <w:r>
        <w:rPr>
          <w:rFonts w:ascii="Century Gothic" w:hAnsi="Century Gothic"/>
          <w:spacing w:val="-2"/>
          <w:sz w:val="19"/>
        </w:rPr>
        <w:t> </w:t>
      </w:r>
      <w:r>
        <w:rPr>
          <w:rFonts w:ascii="Century Gothic" w:hAnsi="Century Gothic"/>
          <w:sz w:val="19"/>
        </w:rPr>
        <w:t>hemos</w:t>
      </w:r>
      <w:r>
        <w:rPr>
          <w:rFonts w:ascii="Century Gothic" w:hAnsi="Century Gothic"/>
          <w:spacing w:val="-3"/>
          <w:sz w:val="19"/>
        </w:rPr>
        <w:t> </w:t>
      </w:r>
      <w:r>
        <w:rPr>
          <w:rFonts w:ascii="Century Gothic" w:hAnsi="Century Gothic"/>
          <w:sz w:val="19"/>
        </w:rPr>
        <w:t>realizado,</w:t>
      </w:r>
      <w:r>
        <w:rPr>
          <w:rFonts w:ascii="Century Gothic" w:hAnsi="Century Gothic"/>
          <w:spacing w:val="-1"/>
          <w:sz w:val="19"/>
        </w:rPr>
        <w:t> </w:t>
      </w:r>
      <w:r>
        <w:rPr>
          <w:rFonts w:ascii="Century Gothic" w:hAnsi="Century Gothic"/>
          <w:sz w:val="19"/>
        </w:rPr>
        <w:t>concluimos</w:t>
      </w:r>
      <w:r>
        <w:rPr>
          <w:rFonts w:ascii="Century Gothic" w:hAnsi="Century Gothic"/>
          <w:spacing w:val="-1"/>
          <w:sz w:val="19"/>
        </w:rPr>
        <w:t> </w:t>
      </w:r>
      <w:r>
        <w:rPr>
          <w:rFonts w:ascii="Century Gothic" w:hAnsi="Century Gothic"/>
          <w:sz w:val="19"/>
        </w:rPr>
        <w:t>que</w:t>
      </w:r>
      <w:r>
        <w:rPr>
          <w:rFonts w:ascii="Century Gothic" w:hAnsi="Century Gothic"/>
          <w:spacing w:val="-3"/>
          <w:sz w:val="19"/>
        </w:rPr>
        <w:t> </w:t>
      </w:r>
      <w:r>
        <w:rPr>
          <w:rFonts w:ascii="Century Gothic" w:hAnsi="Century Gothic"/>
          <w:sz w:val="19"/>
        </w:rPr>
        <w:t>existen</w:t>
      </w:r>
      <w:r>
        <w:rPr>
          <w:rFonts w:ascii="Century Gothic" w:hAnsi="Century Gothic"/>
          <w:spacing w:val="-4"/>
          <w:sz w:val="19"/>
        </w:rPr>
        <w:t> </w:t>
      </w:r>
      <w:r>
        <w:rPr>
          <w:rFonts w:ascii="Century Gothic" w:hAnsi="Century Gothic"/>
          <w:sz w:val="19"/>
        </w:rPr>
        <w:t>incorrecciones</w:t>
      </w:r>
      <w:r>
        <w:rPr>
          <w:rFonts w:ascii="Century Gothic" w:hAnsi="Century Gothic"/>
          <w:spacing w:val="-1"/>
          <w:sz w:val="19"/>
        </w:rPr>
        <w:t> </w:t>
      </w:r>
      <w:r>
        <w:rPr>
          <w:rFonts w:ascii="Century Gothic" w:hAnsi="Century Gothic"/>
          <w:sz w:val="19"/>
        </w:rPr>
        <w:t>materiales,</w:t>
      </w:r>
      <w:r>
        <w:rPr>
          <w:rFonts w:ascii="Century Gothic" w:hAnsi="Century Gothic"/>
          <w:spacing w:val="-1"/>
          <w:sz w:val="19"/>
        </w:rPr>
        <w:t> </w:t>
      </w:r>
      <w:r>
        <w:rPr>
          <w:rFonts w:ascii="Century Gothic" w:hAnsi="Century Gothic"/>
          <w:sz w:val="19"/>
        </w:rPr>
        <w:t>estamos</w:t>
      </w:r>
      <w:r>
        <w:rPr>
          <w:rFonts w:ascii="Century Gothic" w:hAnsi="Century Gothic"/>
          <w:spacing w:val="-3"/>
          <w:sz w:val="19"/>
        </w:rPr>
        <w:t> </w:t>
      </w:r>
      <w:r>
        <w:rPr>
          <w:rFonts w:ascii="Century Gothic" w:hAnsi="Century Gothic"/>
          <w:sz w:val="19"/>
        </w:rPr>
        <w:t>obligados</w:t>
      </w:r>
      <w:r>
        <w:rPr>
          <w:rFonts w:ascii="Century Gothic" w:hAnsi="Century Gothic"/>
          <w:spacing w:val="-3"/>
          <w:sz w:val="19"/>
        </w:rPr>
        <w:t> </w:t>
      </w:r>
      <w:r>
        <w:rPr>
          <w:rFonts w:ascii="Century Gothic" w:hAnsi="Century Gothic"/>
          <w:sz w:val="19"/>
        </w:rPr>
        <w:t>a informar de ello.</w:t>
      </w:r>
    </w:p>
    <w:p>
      <w:pPr>
        <w:pStyle w:val="BodyText"/>
        <w:spacing w:before="1"/>
        <w:rPr>
          <w:rFonts w:ascii="Century Gothic"/>
          <w:sz w:val="19"/>
        </w:rPr>
      </w:pPr>
    </w:p>
    <w:p>
      <w:pPr>
        <w:spacing w:before="0"/>
        <w:ind w:left="766" w:right="217" w:firstLine="0"/>
        <w:jc w:val="both"/>
        <w:rPr>
          <w:rFonts w:ascii="Century Gothic" w:hAnsi="Century Gothic"/>
          <w:sz w:val="19"/>
        </w:rPr>
      </w:pPr>
      <w:r>
        <w:rPr>
          <w:rFonts w:ascii="Century Gothic" w:hAnsi="Century Gothic"/>
          <w:sz w:val="19"/>
        </w:rPr>
        <w:t>Sobre la base del trabajo realizado, según lo descrito anteriormente, hemos comprobado que la </w:t>
      </w:r>
      <w:r>
        <w:rPr>
          <w:rFonts w:ascii="Century Gothic" w:hAnsi="Century Gothic"/>
          <w:spacing w:val="-2"/>
          <w:sz w:val="19"/>
        </w:rPr>
        <w:t>información</w:t>
      </w:r>
      <w:r>
        <w:rPr>
          <w:rFonts w:ascii="Century Gothic" w:hAnsi="Century Gothic"/>
          <w:spacing w:val="-6"/>
          <w:sz w:val="19"/>
        </w:rPr>
        <w:t> </w:t>
      </w:r>
      <w:r>
        <w:rPr>
          <w:rFonts w:ascii="Century Gothic" w:hAnsi="Century Gothic"/>
          <w:spacing w:val="-2"/>
          <w:sz w:val="19"/>
        </w:rPr>
        <w:t>mencionada</w:t>
      </w:r>
      <w:r>
        <w:rPr>
          <w:rFonts w:ascii="Century Gothic" w:hAnsi="Century Gothic"/>
          <w:spacing w:val="-6"/>
          <w:sz w:val="19"/>
        </w:rPr>
        <w:t> </w:t>
      </w:r>
      <w:r>
        <w:rPr>
          <w:rFonts w:ascii="Century Gothic" w:hAnsi="Century Gothic"/>
          <w:spacing w:val="-2"/>
          <w:sz w:val="19"/>
        </w:rPr>
        <w:t>en</w:t>
      </w:r>
      <w:r>
        <w:rPr>
          <w:rFonts w:ascii="Century Gothic" w:hAnsi="Century Gothic"/>
          <w:spacing w:val="-4"/>
          <w:sz w:val="19"/>
        </w:rPr>
        <w:t> </w:t>
      </w:r>
      <w:r>
        <w:rPr>
          <w:rFonts w:ascii="Century Gothic" w:hAnsi="Century Gothic"/>
          <w:spacing w:val="-2"/>
          <w:sz w:val="19"/>
        </w:rPr>
        <w:t>el</w:t>
      </w:r>
      <w:r>
        <w:rPr>
          <w:rFonts w:ascii="Century Gothic" w:hAnsi="Century Gothic"/>
          <w:spacing w:val="-5"/>
          <w:sz w:val="19"/>
        </w:rPr>
        <w:t> </w:t>
      </w:r>
      <w:r>
        <w:rPr>
          <w:rFonts w:ascii="Century Gothic" w:hAnsi="Century Gothic"/>
          <w:spacing w:val="-2"/>
          <w:sz w:val="19"/>
        </w:rPr>
        <w:t>apartado</w:t>
      </w:r>
      <w:r>
        <w:rPr>
          <w:rFonts w:ascii="Century Gothic" w:hAnsi="Century Gothic"/>
          <w:spacing w:val="-8"/>
          <w:sz w:val="19"/>
        </w:rPr>
        <w:t> </w:t>
      </w:r>
      <w:r>
        <w:rPr>
          <w:rFonts w:ascii="Century Gothic" w:hAnsi="Century Gothic"/>
          <w:spacing w:val="-2"/>
          <w:sz w:val="19"/>
        </w:rPr>
        <w:t>a)</w:t>
      </w:r>
      <w:r>
        <w:rPr>
          <w:rFonts w:ascii="Century Gothic" w:hAnsi="Century Gothic"/>
          <w:spacing w:val="-6"/>
          <w:sz w:val="19"/>
        </w:rPr>
        <w:t> </w:t>
      </w:r>
      <w:r>
        <w:rPr>
          <w:rFonts w:ascii="Century Gothic" w:hAnsi="Century Gothic"/>
          <w:spacing w:val="-2"/>
          <w:sz w:val="19"/>
        </w:rPr>
        <w:t>anterior</w:t>
      </w:r>
      <w:r>
        <w:rPr>
          <w:rFonts w:ascii="Century Gothic" w:hAnsi="Century Gothic"/>
          <w:spacing w:val="-8"/>
          <w:sz w:val="19"/>
        </w:rPr>
        <w:t> </w:t>
      </w:r>
      <w:r>
        <w:rPr>
          <w:rFonts w:ascii="Century Gothic" w:hAnsi="Century Gothic"/>
          <w:spacing w:val="-2"/>
          <w:sz w:val="19"/>
        </w:rPr>
        <w:t>se</w:t>
      </w:r>
      <w:r>
        <w:rPr>
          <w:rFonts w:ascii="Century Gothic" w:hAnsi="Century Gothic"/>
          <w:spacing w:val="-7"/>
          <w:sz w:val="19"/>
        </w:rPr>
        <w:t> </w:t>
      </w:r>
      <w:r>
        <w:rPr>
          <w:rFonts w:ascii="Century Gothic" w:hAnsi="Century Gothic"/>
          <w:spacing w:val="-2"/>
          <w:sz w:val="19"/>
        </w:rPr>
        <w:t>facilita</w:t>
      </w:r>
      <w:r>
        <w:rPr>
          <w:rFonts w:ascii="Century Gothic" w:hAnsi="Century Gothic"/>
          <w:spacing w:val="-5"/>
          <w:sz w:val="19"/>
        </w:rPr>
        <w:t> </w:t>
      </w:r>
      <w:r>
        <w:rPr>
          <w:rFonts w:ascii="Century Gothic" w:hAnsi="Century Gothic"/>
          <w:spacing w:val="-2"/>
          <w:sz w:val="19"/>
        </w:rPr>
        <w:t>en</w:t>
      </w:r>
      <w:r>
        <w:rPr>
          <w:rFonts w:ascii="Century Gothic" w:hAnsi="Century Gothic"/>
          <w:spacing w:val="-6"/>
          <w:sz w:val="19"/>
        </w:rPr>
        <w:t> </w:t>
      </w:r>
      <w:r>
        <w:rPr>
          <w:rFonts w:ascii="Century Gothic" w:hAnsi="Century Gothic"/>
          <w:spacing w:val="-2"/>
          <w:sz w:val="19"/>
        </w:rPr>
        <w:t>el</w:t>
      </w:r>
      <w:r>
        <w:rPr>
          <w:rFonts w:ascii="Century Gothic" w:hAnsi="Century Gothic"/>
          <w:spacing w:val="-8"/>
          <w:sz w:val="19"/>
        </w:rPr>
        <w:t> </w:t>
      </w:r>
      <w:r>
        <w:rPr>
          <w:rFonts w:ascii="Century Gothic" w:hAnsi="Century Gothic"/>
          <w:spacing w:val="-2"/>
          <w:sz w:val="19"/>
        </w:rPr>
        <w:t>informe</w:t>
      </w:r>
      <w:r>
        <w:rPr>
          <w:rFonts w:ascii="Century Gothic" w:hAnsi="Century Gothic"/>
          <w:spacing w:val="-5"/>
          <w:sz w:val="19"/>
        </w:rPr>
        <w:t> </w:t>
      </w:r>
      <w:r>
        <w:rPr>
          <w:rFonts w:ascii="Century Gothic" w:hAnsi="Century Gothic"/>
          <w:spacing w:val="-2"/>
          <w:sz w:val="19"/>
        </w:rPr>
        <w:t>de</w:t>
      </w:r>
      <w:r>
        <w:rPr>
          <w:rFonts w:ascii="Century Gothic" w:hAnsi="Century Gothic"/>
          <w:spacing w:val="-9"/>
          <w:sz w:val="19"/>
        </w:rPr>
        <w:t> </w:t>
      </w:r>
      <w:r>
        <w:rPr>
          <w:rFonts w:ascii="Century Gothic" w:hAnsi="Century Gothic"/>
          <w:spacing w:val="-2"/>
          <w:sz w:val="19"/>
        </w:rPr>
        <w:t>gestión</w:t>
      </w:r>
      <w:r>
        <w:rPr>
          <w:rFonts w:ascii="Century Gothic" w:hAnsi="Century Gothic"/>
          <w:spacing w:val="-4"/>
          <w:sz w:val="19"/>
        </w:rPr>
        <w:t> </w:t>
      </w:r>
      <w:r>
        <w:rPr>
          <w:rFonts w:ascii="Century Gothic" w:hAnsi="Century Gothic"/>
          <w:spacing w:val="-2"/>
          <w:sz w:val="19"/>
        </w:rPr>
        <w:t>y</w:t>
      </w:r>
      <w:r>
        <w:rPr>
          <w:rFonts w:ascii="Century Gothic" w:hAnsi="Century Gothic"/>
          <w:spacing w:val="-9"/>
          <w:sz w:val="19"/>
        </w:rPr>
        <w:t> </w:t>
      </w:r>
      <w:r>
        <w:rPr>
          <w:rFonts w:ascii="Century Gothic" w:hAnsi="Century Gothic"/>
          <w:spacing w:val="-2"/>
          <w:sz w:val="19"/>
        </w:rPr>
        <w:t>que</w:t>
      </w:r>
      <w:r>
        <w:rPr>
          <w:rFonts w:ascii="Century Gothic" w:hAnsi="Century Gothic"/>
          <w:spacing w:val="-6"/>
          <w:sz w:val="19"/>
        </w:rPr>
        <w:t> </w:t>
      </w:r>
      <w:r>
        <w:rPr>
          <w:rFonts w:ascii="Century Gothic" w:hAnsi="Century Gothic"/>
          <w:spacing w:val="-2"/>
          <w:sz w:val="19"/>
        </w:rPr>
        <w:t>el</w:t>
      </w:r>
      <w:r>
        <w:rPr>
          <w:rFonts w:ascii="Century Gothic" w:hAnsi="Century Gothic"/>
          <w:spacing w:val="-5"/>
          <w:sz w:val="19"/>
        </w:rPr>
        <w:t> </w:t>
      </w:r>
      <w:r>
        <w:rPr>
          <w:rFonts w:ascii="Century Gothic" w:hAnsi="Century Gothic"/>
          <w:spacing w:val="-2"/>
          <w:sz w:val="19"/>
        </w:rPr>
        <w:t>resto </w:t>
      </w:r>
      <w:r>
        <w:rPr>
          <w:rFonts w:ascii="Century Gothic" w:hAnsi="Century Gothic"/>
          <w:sz w:val="19"/>
        </w:rPr>
        <w:t>de</w:t>
      </w:r>
      <w:r>
        <w:rPr>
          <w:rFonts w:ascii="Century Gothic" w:hAnsi="Century Gothic"/>
          <w:spacing w:val="-8"/>
          <w:sz w:val="19"/>
        </w:rPr>
        <w:t> </w:t>
      </w:r>
      <w:r>
        <w:rPr>
          <w:rFonts w:ascii="Century Gothic" w:hAnsi="Century Gothic"/>
          <w:sz w:val="19"/>
        </w:rPr>
        <w:t>la</w:t>
      </w:r>
      <w:r>
        <w:rPr>
          <w:rFonts w:ascii="Century Gothic" w:hAnsi="Century Gothic"/>
          <w:spacing w:val="-9"/>
          <w:sz w:val="19"/>
        </w:rPr>
        <w:t> </w:t>
      </w:r>
      <w:r>
        <w:rPr>
          <w:rFonts w:ascii="Century Gothic" w:hAnsi="Century Gothic"/>
          <w:sz w:val="19"/>
        </w:rPr>
        <w:t>información</w:t>
      </w:r>
      <w:r>
        <w:rPr>
          <w:rFonts w:ascii="Century Gothic" w:hAnsi="Century Gothic"/>
          <w:spacing w:val="-7"/>
          <w:sz w:val="19"/>
        </w:rPr>
        <w:t> </w:t>
      </w:r>
      <w:r>
        <w:rPr>
          <w:rFonts w:ascii="Century Gothic" w:hAnsi="Century Gothic"/>
          <w:sz w:val="19"/>
        </w:rPr>
        <w:t>que</w:t>
      </w:r>
      <w:r>
        <w:rPr>
          <w:rFonts w:ascii="Century Gothic" w:hAnsi="Century Gothic"/>
          <w:spacing w:val="-8"/>
          <w:sz w:val="19"/>
        </w:rPr>
        <w:t> </w:t>
      </w:r>
      <w:r>
        <w:rPr>
          <w:rFonts w:ascii="Century Gothic" w:hAnsi="Century Gothic"/>
          <w:sz w:val="19"/>
        </w:rPr>
        <w:t>contiene</w:t>
      </w:r>
      <w:r>
        <w:rPr>
          <w:rFonts w:ascii="Century Gothic" w:hAnsi="Century Gothic"/>
          <w:spacing w:val="-8"/>
          <w:sz w:val="19"/>
        </w:rPr>
        <w:t> </w:t>
      </w:r>
      <w:r>
        <w:rPr>
          <w:rFonts w:ascii="Century Gothic" w:hAnsi="Century Gothic"/>
          <w:sz w:val="19"/>
        </w:rPr>
        <w:t>el</w:t>
      </w:r>
      <w:r>
        <w:rPr>
          <w:rFonts w:ascii="Century Gothic" w:hAnsi="Century Gothic"/>
          <w:spacing w:val="-8"/>
          <w:sz w:val="19"/>
        </w:rPr>
        <w:t> </w:t>
      </w:r>
      <w:r>
        <w:rPr>
          <w:rFonts w:ascii="Century Gothic" w:hAnsi="Century Gothic"/>
          <w:sz w:val="19"/>
        </w:rPr>
        <w:t>informe</w:t>
      </w:r>
      <w:r>
        <w:rPr>
          <w:rFonts w:ascii="Century Gothic" w:hAnsi="Century Gothic"/>
          <w:spacing w:val="-7"/>
          <w:sz w:val="19"/>
        </w:rPr>
        <w:t> </w:t>
      </w:r>
      <w:r>
        <w:rPr>
          <w:rFonts w:ascii="Century Gothic" w:hAnsi="Century Gothic"/>
          <w:sz w:val="19"/>
        </w:rPr>
        <w:t>de</w:t>
      </w:r>
      <w:r>
        <w:rPr>
          <w:rFonts w:ascii="Century Gothic" w:hAnsi="Century Gothic"/>
          <w:spacing w:val="-8"/>
          <w:sz w:val="19"/>
        </w:rPr>
        <w:t> </w:t>
      </w:r>
      <w:r>
        <w:rPr>
          <w:rFonts w:ascii="Century Gothic" w:hAnsi="Century Gothic"/>
          <w:sz w:val="19"/>
        </w:rPr>
        <w:t>gestión</w:t>
      </w:r>
      <w:r>
        <w:rPr>
          <w:rFonts w:ascii="Century Gothic" w:hAnsi="Century Gothic"/>
          <w:spacing w:val="-9"/>
          <w:sz w:val="19"/>
        </w:rPr>
        <w:t> </w:t>
      </w:r>
      <w:r>
        <w:rPr>
          <w:rFonts w:ascii="Century Gothic" w:hAnsi="Century Gothic"/>
          <w:sz w:val="19"/>
        </w:rPr>
        <w:t>concuerda</w:t>
      </w:r>
      <w:r>
        <w:rPr>
          <w:rFonts w:ascii="Century Gothic" w:hAnsi="Century Gothic"/>
          <w:spacing w:val="-7"/>
          <w:sz w:val="19"/>
        </w:rPr>
        <w:t> </w:t>
      </w:r>
      <w:r>
        <w:rPr>
          <w:rFonts w:ascii="Century Gothic" w:hAnsi="Century Gothic"/>
          <w:sz w:val="19"/>
        </w:rPr>
        <w:t>con</w:t>
      </w:r>
      <w:r>
        <w:rPr>
          <w:rFonts w:ascii="Century Gothic" w:hAnsi="Century Gothic"/>
          <w:spacing w:val="-9"/>
          <w:sz w:val="19"/>
        </w:rPr>
        <w:t> </w:t>
      </w:r>
      <w:r>
        <w:rPr>
          <w:rFonts w:ascii="Century Gothic" w:hAnsi="Century Gothic"/>
          <w:sz w:val="19"/>
        </w:rPr>
        <w:t>la</w:t>
      </w:r>
      <w:r>
        <w:rPr>
          <w:rFonts w:ascii="Century Gothic" w:hAnsi="Century Gothic"/>
          <w:spacing w:val="-6"/>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las</w:t>
      </w:r>
      <w:r>
        <w:rPr>
          <w:rFonts w:ascii="Century Gothic" w:hAnsi="Century Gothic"/>
          <w:spacing w:val="-8"/>
          <w:sz w:val="19"/>
        </w:rPr>
        <w:t> </w:t>
      </w:r>
      <w:r>
        <w:rPr>
          <w:rFonts w:ascii="Century Gothic" w:hAnsi="Century Gothic"/>
          <w:sz w:val="19"/>
        </w:rPr>
        <w:t>cuentas</w:t>
      </w:r>
      <w:r>
        <w:rPr>
          <w:rFonts w:ascii="Century Gothic" w:hAnsi="Century Gothic"/>
          <w:spacing w:val="-8"/>
          <w:sz w:val="19"/>
        </w:rPr>
        <w:t> </w:t>
      </w:r>
      <w:r>
        <w:rPr>
          <w:rFonts w:ascii="Century Gothic" w:hAnsi="Century Gothic"/>
          <w:sz w:val="19"/>
        </w:rPr>
        <w:t>anuales</w:t>
      </w:r>
      <w:r>
        <w:rPr>
          <w:rFonts w:ascii="Century Gothic" w:hAnsi="Century Gothic"/>
          <w:spacing w:val="-6"/>
          <w:sz w:val="19"/>
        </w:rPr>
        <w:t> </w:t>
      </w:r>
      <w:r>
        <w:rPr>
          <w:rFonts w:ascii="Century Gothic" w:hAnsi="Century Gothic"/>
          <w:sz w:val="19"/>
        </w:rPr>
        <w:t>del </w:t>
      </w:r>
      <w:r>
        <w:rPr>
          <w:rFonts w:ascii="Century Gothic" w:hAnsi="Century Gothic"/>
          <w:spacing w:val="-2"/>
          <w:sz w:val="19"/>
        </w:rPr>
        <w:t>ejercicio</w:t>
      </w:r>
      <w:r>
        <w:rPr>
          <w:rFonts w:ascii="Century Gothic" w:hAnsi="Century Gothic"/>
          <w:spacing w:val="-10"/>
          <w:sz w:val="19"/>
        </w:rPr>
        <w:t> </w:t>
      </w:r>
      <w:r>
        <w:rPr>
          <w:rFonts w:ascii="Century Gothic" w:hAnsi="Century Gothic"/>
          <w:spacing w:val="-2"/>
          <w:sz w:val="19"/>
        </w:rPr>
        <w:t>2025</w:t>
      </w:r>
      <w:r>
        <w:rPr>
          <w:rFonts w:ascii="Century Gothic" w:hAnsi="Century Gothic"/>
          <w:spacing w:val="-7"/>
          <w:sz w:val="19"/>
        </w:rPr>
        <w:t> </w:t>
      </w:r>
      <w:r>
        <w:rPr>
          <w:rFonts w:ascii="Century Gothic" w:hAnsi="Century Gothic"/>
          <w:spacing w:val="-2"/>
          <w:sz w:val="19"/>
        </w:rPr>
        <w:t>y</w:t>
      </w:r>
      <w:r>
        <w:rPr>
          <w:rFonts w:ascii="Century Gothic" w:hAnsi="Century Gothic"/>
          <w:spacing w:val="-12"/>
          <w:sz w:val="19"/>
        </w:rPr>
        <w:t> </w:t>
      </w:r>
      <w:r>
        <w:rPr>
          <w:rFonts w:ascii="Century Gothic" w:hAnsi="Century Gothic"/>
          <w:spacing w:val="-2"/>
          <w:sz w:val="19"/>
        </w:rPr>
        <w:t>su</w:t>
      </w:r>
      <w:r>
        <w:rPr>
          <w:rFonts w:ascii="Century Gothic" w:hAnsi="Century Gothic"/>
          <w:spacing w:val="-11"/>
          <w:sz w:val="19"/>
        </w:rPr>
        <w:t> </w:t>
      </w:r>
      <w:r>
        <w:rPr>
          <w:rFonts w:ascii="Century Gothic" w:hAnsi="Century Gothic"/>
          <w:spacing w:val="-2"/>
          <w:sz w:val="19"/>
        </w:rPr>
        <w:t>contenido</w:t>
      </w:r>
      <w:r>
        <w:rPr>
          <w:rFonts w:ascii="Century Gothic" w:hAnsi="Century Gothic"/>
          <w:spacing w:val="-7"/>
          <w:sz w:val="19"/>
        </w:rPr>
        <w:t> </w:t>
      </w:r>
      <w:r>
        <w:rPr>
          <w:rFonts w:ascii="Century Gothic" w:hAnsi="Century Gothic"/>
          <w:spacing w:val="-2"/>
          <w:sz w:val="19"/>
        </w:rPr>
        <w:t>y</w:t>
      </w:r>
      <w:r>
        <w:rPr>
          <w:rFonts w:ascii="Century Gothic" w:hAnsi="Century Gothic"/>
          <w:spacing w:val="-12"/>
          <w:sz w:val="19"/>
        </w:rPr>
        <w:t> </w:t>
      </w:r>
      <w:r>
        <w:rPr>
          <w:rFonts w:ascii="Century Gothic" w:hAnsi="Century Gothic"/>
          <w:spacing w:val="-2"/>
          <w:sz w:val="19"/>
        </w:rPr>
        <w:t>presentación</w:t>
      </w:r>
      <w:r>
        <w:rPr>
          <w:rFonts w:ascii="Century Gothic" w:hAnsi="Century Gothic"/>
          <w:spacing w:val="-11"/>
          <w:sz w:val="19"/>
        </w:rPr>
        <w:t> </w:t>
      </w:r>
      <w:r>
        <w:rPr>
          <w:rFonts w:ascii="Century Gothic" w:hAnsi="Century Gothic"/>
          <w:spacing w:val="-2"/>
          <w:sz w:val="19"/>
        </w:rPr>
        <w:t>son</w:t>
      </w:r>
      <w:r>
        <w:rPr>
          <w:rFonts w:ascii="Century Gothic" w:hAnsi="Century Gothic"/>
          <w:spacing w:val="-8"/>
          <w:sz w:val="19"/>
        </w:rPr>
        <w:t> </w:t>
      </w:r>
      <w:r>
        <w:rPr>
          <w:rFonts w:ascii="Century Gothic" w:hAnsi="Century Gothic"/>
          <w:spacing w:val="-2"/>
          <w:sz w:val="19"/>
        </w:rPr>
        <w:t>conformes</w:t>
      </w:r>
      <w:r>
        <w:rPr>
          <w:rFonts w:ascii="Century Gothic" w:hAnsi="Century Gothic"/>
          <w:spacing w:val="-10"/>
          <w:sz w:val="19"/>
        </w:rPr>
        <w:t> </w:t>
      </w:r>
      <w:r>
        <w:rPr>
          <w:rFonts w:ascii="Century Gothic" w:hAnsi="Century Gothic"/>
          <w:spacing w:val="-2"/>
          <w:sz w:val="19"/>
        </w:rPr>
        <w:t>a</w:t>
      </w:r>
      <w:r>
        <w:rPr>
          <w:rFonts w:ascii="Century Gothic" w:hAnsi="Century Gothic"/>
          <w:spacing w:val="-11"/>
          <w:sz w:val="19"/>
        </w:rPr>
        <w:t> </w:t>
      </w:r>
      <w:r>
        <w:rPr>
          <w:rFonts w:ascii="Century Gothic" w:hAnsi="Century Gothic"/>
          <w:spacing w:val="-2"/>
          <w:sz w:val="19"/>
        </w:rPr>
        <w:t>la</w:t>
      </w:r>
      <w:r>
        <w:rPr>
          <w:rFonts w:ascii="Century Gothic" w:hAnsi="Century Gothic"/>
          <w:spacing w:val="-10"/>
          <w:sz w:val="19"/>
        </w:rPr>
        <w:t> </w:t>
      </w:r>
      <w:r>
        <w:rPr>
          <w:rFonts w:ascii="Century Gothic" w:hAnsi="Century Gothic"/>
          <w:spacing w:val="-2"/>
          <w:sz w:val="19"/>
        </w:rPr>
        <w:t>normativa</w:t>
      </w:r>
      <w:r>
        <w:rPr>
          <w:rFonts w:ascii="Century Gothic" w:hAnsi="Century Gothic"/>
          <w:spacing w:val="-11"/>
          <w:sz w:val="19"/>
        </w:rPr>
        <w:t> </w:t>
      </w:r>
      <w:r>
        <w:rPr>
          <w:rFonts w:ascii="Century Gothic" w:hAnsi="Century Gothic"/>
          <w:spacing w:val="-2"/>
          <w:sz w:val="19"/>
        </w:rPr>
        <w:t>que</w:t>
      </w:r>
      <w:r>
        <w:rPr>
          <w:rFonts w:ascii="Century Gothic" w:hAnsi="Century Gothic"/>
          <w:spacing w:val="-12"/>
          <w:sz w:val="19"/>
        </w:rPr>
        <w:t> </w:t>
      </w:r>
      <w:r>
        <w:rPr>
          <w:rFonts w:ascii="Century Gothic" w:hAnsi="Century Gothic"/>
          <w:spacing w:val="-2"/>
          <w:sz w:val="19"/>
        </w:rPr>
        <w:t>resulta</w:t>
      </w:r>
      <w:r>
        <w:rPr>
          <w:rFonts w:ascii="Century Gothic" w:hAnsi="Century Gothic"/>
          <w:spacing w:val="-11"/>
          <w:sz w:val="19"/>
        </w:rPr>
        <w:t> </w:t>
      </w:r>
      <w:r>
        <w:rPr>
          <w:rFonts w:ascii="Century Gothic" w:hAnsi="Century Gothic"/>
          <w:spacing w:val="-2"/>
          <w:sz w:val="19"/>
        </w:rPr>
        <w:t>de</w:t>
      </w:r>
      <w:r>
        <w:rPr>
          <w:rFonts w:ascii="Century Gothic" w:hAnsi="Century Gothic"/>
          <w:spacing w:val="-12"/>
          <w:sz w:val="19"/>
        </w:rPr>
        <w:t> </w:t>
      </w:r>
      <w:r>
        <w:rPr>
          <w:rFonts w:ascii="Century Gothic" w:hAnsi="Century Gothic"/>
          <w:spacing w:val="-2"/>
          <w:sz w:val="19"/>
        </w:rPr>
        <w:t>aplicación.</w:t>
      </w:r>
    </w:p>
    <w:p>
      <w:pPr>
        <w:pStyle w:val="BodyText"/>
        <w:rPr>
          <w:rFonts w:ascii="Century Gothic"/>
          <w:sz w:val="19"/>
        </w:rPr>
      </w:pPr>
    </w:p>
    <w:p>
      <w:pPr>
        <w:pStyle w:val="ListParagraph"/>
        <w:numPr>
          <w:ilvl w:val="0"/>
          <w:numId w:val="1"/>
        </w:numPr>
        <w:tabs>
          <w:tab w:pos="764" w:val="left" w:leader="none"/>
        </w:tabs>
        <w:spacing w:line="240" w:lineRule="auto" w:before="0" w:after="0"/>
        <w:ind w:left="764" w:right="0" w:hanging="219"/>
        <w:jc w:val="left"/>
        <w:rPr>
          <w:rFonts w:ascii="Century Gothic" w:hAnsi="Century Gothic"/>
          <w:b/>
          <w:sz w:val="19"/>
        </w:rPr>
      </w:pPr>
      <w:r>
        <w:rPr>
          <w:rFonts w:ascii="Century Gothic" w:hAnsi="Century Gothic"/>
          <w:b/>
          <w:spacing w:val="-2"/>
          <w:sz w:val="19"/>
        </w:rPr>
        <w:t>Responsabilidad</w:t>
      </w:r>
      <w:r>
        <w:rPr>
          <w:rFonts w:ascii="Century Gothic" w:hAnsi="Century Gothic"/>
          <w:b/>
          <w:spacing w:val="-4"/>
          <w:sz w:val="19"/>
        </w:rPr>
        <w:t> </w:t>
      </w:r>
      <w:r>
        <w:rPr>
          <w:rFonts w:ascii="Century Gothic" w:hAnsi="Century Gothic"/>
          <w:b/>
          <w:spacing w:val="-2"/>
          <w:sz w:val="19"/>
        </w:rPr>
        <w:t>del</w:t>
      </w:r>
      <w:r>
        <w:rPr>
          <w:rFonts w:ascii="Century Gothic" w:hAnsi="Century Gothic"/>
          <w:b/>
          <w:spacing w:val="-3"/>
          <w:sz w:val="19"/>
        </w:rPr>
        <w:t> </w:t>
      </w:r>
      <w:r>
        <w:rPr>
          <w:rFonts w:ascii="Century Gothic" w:hAnsi="Century Gothic"/>
          <w:b/>
          <w:spacing w:val="-2"/>
          <w:sz w:val="19"/>
        </w:rPr>
        <w:t>Consejo</w:t>
      </w:r>
      <w:r>
        <w:rPr>
          <w:rFonts w:ascii="Century Gothic" w:hAnsi="Century Gothic"/>
          <w:b/>
          <w:spacing w:val="-3"/>
          <w:sz w:val="19"/>
        </w:rPr>
        <w:t> </w:t>
      </w:r>
      <w:r>
        <w:rPr>
          <w:rFonts w:ascii="Century Gothic" w:hAnsi="Century Gothic"/>
          <w:b/>
          <w:spacing w:val="-2"/>
          <w:sz w:val="19"/>
        </w:rPr>
        <w:t>de Administración</w:t>
      </w:r>
      <w:r>
        <w:rPr>
          <w:rFonts w:ascii="Century Gothic" w:hAnsi="Century Gothic"/>
          <w:b/>
          <w:spacing w:val="-5"/>
          <w:sz w:val="19"/>
        </w:rPr>
        <w:t> </w:t>
      </w:r>
      <w:r>
        <w:rPr>
          <w:rFonts w:ascii="Century Gothic" w:hAnsi="Century Gothic"/>
          <w:b/>
          <w:spacing w:val="-2"/>
          <w:sz w:val="19"/>
        </w:rPr>
        <w:t>en relación</w:t>
      </w:r>
      <w:r>
        <w:rPr>
          <w:rFonts w:ascii="Century Gothic" w:hAnsi="Century Gothic"/>
          <w:b/>
          <w:spacing w:val="-5"/>
          <w:sz w:val="19"/>
        </w:rPr>
        <w:t> </w:t>
      </w:r>
      <w:r>
        <w:rPr>
          <w:rFonts w:ascii="Century Gothic" w:hAnsi="Century Gothic"/>
          <w:b/>
          <w:spacing w:val="-2"/>
          <w:sz w:val="19"/>
        </w:rPr>
        <w:t>con las</w:t>
      </w:r>
      <w:r>
        <w:rPr>
          <w:rFonts w:ascii="Century Gothic" w:hAnsi="Century Gothic"/>
          <w:b/>
          <w:spacing w:val="-3"/>
          <w:sz w:val="19"/>
        </w:rPr>
        <w:t> </w:t>
      </w:r>
      <w:r>
        <w:rPr>
          <w:rFonts w:ascii="Century Gothic" w:hAnsi="Century Gothic"/>
          <w:b/>
          <w:spacing w:val="-2"/>
          <w:sz w:val="19"/>
        </w:rPr>
        <w:t>cuentas</w:t>
      </w:r>
      <w:r>
        <w:rPr>
          <w:rFonts w:ascii="Century Gothic" w:hAnsi="Century Gothic"/>
          <w:b/>
          <w:spacing w:val="-4"/>
          <w:sz w:val="19"/>
        </w:rPr>
        <w:t> </w:t>
      </w:r>
      <w:r>
        <w:rPr>
          <w:rFonts w:ascii="Century Gothic" w:hAnsi="Century Gothic"/>
          <w:b/>
          <w:spacing w:val="-2"/>
          <w:sz w:val="19"/>
        </w:rPr>
        <w:t>anuales.</w:t>
      </w:r>
    </w:p>
    <w:p>
      <w:pPr>
        <w:spacing w:before="233"/>
        <w:ind w:left="766" w:right="218" w:firstLine="0"/>
        <w:jc w:val="both"/>
        <w:rPr>
          <w:rFonts w:ascii="Century Gothic" w:hAnsi="Century Gothic"/>
          <w:sz w:val="19"/>
        </w:rPr>
      </w:pPr>
      <w:r>
        <w:rPr>
          <w:rFonts w:ascii="Century Gothic" w:hAnsi="Century Gothic"/>
          <w:sz w:val="19"/>
        </w:rPr>
        <w:t>El</w:t>
      </w:r>
      <w:r>
        <w:rPr>
          <w:rFonts w:ascii="Century Gothic" w:hAnsi="Century Gothic"/>
          <w:spacing w:val="-3"/>
          <w:sz w:val="19"/>
        </w:rPr>
        <w:t> </w:t>
      </w:r>
      <w:r>
        <w:rPr>
          <w:rFonts w:ascii="Century Gothic" w:hAnsi="Century Gothic"/>
          <w:sz w:val="19"/>
        </w:rPr>
        <w:t>Consejo</w:t>
      </w:r>
      <w:r>
        <w:rPr>
          <w:rFonts w:ascii="Century Gothic" w:hAnsi="Century Gothic"/>
          <w:spacing w:val="-3"/>
          <w:sz w:val="19"/>
        </w:rPr>
        <w:t> </w:t>
      </w:r>
      <w:r>
        <w:rPr>
          <w:rFonts w:ascii="Century Gothic" w:hAnsi="Century Gothic"/>
          <w:sz w:val="19"/>
        </w:rPr>
        <w:t>de</w:t>
      </w:r>
      <w:r>
        <w:rPr>
          <w:rFonts w:ascii="Century Gothic" w:hAnsi="Century Gothic"/>
          <w:spacing w:val="-5"/>
          <w:sz w:val="19"/>
        </w:rPr>
        <w:t> </w:t>
      </w:r>
      <w:r>
        <w:rPr>
          <w:rFonts w:ascii="Century Gothic" w:hAnsi="Century Gothic"/>
          <w:sz w:val="19"/>
        </w:rPr>
        <w:t>Administración</w:t>
      </w:r>
      <w:r>
        <w:rPr>
          <w:rFonts w:ascii="Century Gothic" w:hAnsi="Century Gothic"/>
          <w:spacing w:val="-4"/>
          <w:sz w:val="19"/>
        </w:rPr>
        <w:t> </w:t>
      </w:r>
      <w:r>
        <w:rPr>
          <w:rFonts w:ascii="Century Gothic" w:hAnsi="Century Gothic"/>
          <w:sz w:val="19"/>
        </w:rPr>
        <w:t>es</w:t>
      </w:r>
      <w:r>
        <w:rPr>
          <w:rFonts w:ascii="Century Gothic" w:hAnsi="Century Gothic"/>
          <w:spacing w:val="-3"/>
          <w:sz w:val="19"/>
        </w:rPr>
        <w:t> </w:t>
      </w:r>
      <w:r>
        <w:rPr>
          <w:rFonts w:ascii="Century Gothic" w:hAnsi="Century Gothic"/>
          <w:sz w:val="19"/>
        </w:rPr>
        <w:t>el</w:t>
      </w:r>
      <w:r>
        <w:rPr>
          <w:rFonts w:ascii="Century Gothic" w:hAnsi="Century Gothic"/>
          <w:spacing w:val="-3"/>
          <w:sz w:val="19"/>
        </w:rPr>
        <w:t> </w:t>
      </w:r>
      <w:r>
        <w:rPr>
          <w:rFonts w:ascii="Century Gothic" w:hAnsi="Century Gothic"/>
          <w:sz w:val="19"/>
        </w:rPr>
        <w:t>responsable</w:t>
      </w:r>
      <w:r>
        <w:rPr>
          <w:rFonts w:ascii="Century Gothic" w:hAnsi="Century Gothic"/>
          <w:spacing w:val="-4"/>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formular</w:t>
      </w:r>
      <w:r>
        <w:rPr>
          <w:rFonts w:ascii="Century Gothic" w:hAnsi="Century Gothic"/>
          <w:spacing w:val="-3"/>
          <w:sz w:val="19"/>
        </w:rPr>
        <w:t> </w:t>
      </w:r>
      <w:r>
        <w:rPr>
          <w:rFonts w:ascii="Century Gothic" w:hAnsi="Century Gothic"/>
          <w:sz w:val="19"/>
        </w:rPr>
        <w:t>las</w:t>
      </w:r>
      <w:r>
        <w:rPr>
          <w:rFonts w:ascii="Century Gothic" w:hAnsi="Century Gothic"/>
          <w:spacing w:val="-5"/>
          <w:sz w:val="19"/>
        </w:rPr>
        <w:t> </w:t>
      </w:r>
      <w:r>
        <w:rPr>
          <w:rFonts w:ascii="Century Gothic" w:hAnsi="Century Gothic"/>
          <w:sz w:val="19"/>
        </w:rPr>
        <w:t>cuentas</w:t>
      </w:r>
      <w:r>
        <w:rPr>
          <w:rFonts w:ascii="Century Gothic" w:hAnsi="Century Gothic"/>
          <w:spacing w:val="-3"/>
          <w:sz w:val="19"/>
        </w:rPr>
        <w:t> </w:t>
      </w:r>
      <w:r>
        <w:rPr>
          <w:rFonts w:ascii="Century Gothic" w:hAnsi="Century Gothic"/>
          <w:sz w:val="19"/>
        </w:rPr>
        <w:t>anuales</w:t>
      </w:r>
      <w:r>
        <w:rPr>
          <w:rFonts w:ascii="Century Gothic" w:hAnsi="Century Gothic"/>
          <w:spacing w:val="-5"/>
          <w:sz w:val="19"/>
        </w:rPr>
        <w:t> </w:t>
      </w:r>
      <w:r>
        <w:rPr>
          <w:rFonts w:ascii="Century Gothic" w:hAnsi="Century Gothic"/>
          <w:sz w:val="19"/>
        </w:rPr>
        <w:t>adjuntas,</w:t>
      </w:r>
      <w:r>
        <w:rPr>
          <w:rFonts w:ascii="Century Gothic" w:hAnsi="Century Gothic"/>
          <w:spacing w:val="-3"/>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forma que expresen la imagen fiel del patrimonio, de la situación financiera y de los resultados de la Sociedad, de conformidad con el marco normativo de información financiera aplicable a la Sociedad en España, y del control interno que consideren necesario para permitir la preparación de cuentas anuales libres de incorrección material, debida a fraude o error.</w:t>
      </w:r>
    </w:p>
    <w:p>
      <w:pPr>
        <w:pStyle w:val="BodyText"/>
        <w:spacing w:before="1"/>
        <w:rPr>
          <w:rFonts w:ascii="Century Gothic"/>
          <w:sz w:val="19"/>
        </w:rPr>
      </w:pPr>
    </w:p>
    <w:p>
      <w:pPr>
        <w:spacing w:before="0"/>
        <w:ind w:left="766" w:right="215" w:firstLine="0"/>
        <w:jc w:val="both"/>
        <w:rPr>
          <w:rFonts w:ascii="Century Gothic" w:hAnsi="Century Gothic"/>
          <w:sz w:val="19"/>
        </w:rPr>
      </w:pPr>
      <w:r>
        <w:rPr>
          <w:rFonts w:ascii="Century Gothic" w:hAnsi="Century Gothic"/>
          <w:sz w:val="19"/>
        </w:rPr>
        <w:t>En la preparación de las cuentas anuales, el Consejo de Administración es el responsable de la valoración de la capacidad de la Sociedad para continuar como empresa en funcionamiento, revelando, según corresponda, las cuestiones relacionadas con empresa en funcionamiento y </w:t>
      </w:r>
      <w:r>
        <w:rPr>
          <w:rFonts w:ascii="Century Gothic" w:hAnsi="Century Gothic"/>
          <w:spacing w:val="-2"/>
          <w:sz w:val="19"/>
        </w:rPr>
        <w:t>utilizando el principio contable</w:t>
      </w:r>
      <w:r>
        <w:rPr>
          <w:rFonts w:ascii="Century Gothic" w:hAnsi="Century Gothic"/>
          <w:spacing w:val="-3"/>
          <w:sz w:val="19"/>
        </w:rPr>
        <w:t> </w:t>
      </w:r>
      <w:r>
        <w:rPr>
          <w:rFonts w:ascii="Century Gothic" w:hAnsi="Century Gothic"/>
          <w:spacing w:val="-2"/>
          <w:sz w:val="19"/>
        </w:rPr>
        <w:t>de</w:t>
      </w:r>
      <w:r>
        <w:rPr>
          <w:rFonts w:ascii="Century Gothic" w:hAnsi="Century Gothic"/>
          <w:spacing w:val="-5"/>
          <w:sz w:val="19"/>
        </w:rPr>
        <w:t> </w:t>
      </w:r>
      <w:r>
        <w:rPr>
          <w:rFonts w:ascii="Century Gothic" w:hAnsi="Century Gothic"/>
          <w:spacing w:val="-2"/>
          <w:sz w:val="19"/>
        </w:rPr>
        <w:t>empresa en</w:t>
      </w:r>
      <w:r>
        <w:rPr>
          <w:rFonts w:ascii="Century Gothic" w:hAnsi="Century Gothic"/>
          <w:spacing w:val="-3"/>
          <w:sz w:val="19"/>
        </w:rPr>
        <w:t> </w:t>
      </w:r>
      <w:r>
        <w:rPr>
          <w:rFonts w:ascii="Century Gothic" w:hAnsi="Century Gothic"/>
          <w:spacing w:val="-2"/>
          <w:sz w:val="19"/>
        </w:rPr>
        <w:t>funcionamiento excepto si los administradores tienen </w:t>
      </w:r>
      <w:r>
        <w:rPr>
          <w:rFonts w:ascii="Century Gothic" w:hAnsi="Century Gothic"/>
          <w:sz w:val="19"/>
        </w:rPr>
        <w:t>intención de liquidar la Sociedad o de cesar sus operaciones, o bien no exista otra alternativa </w:t>
      </w:r>
      <w:r>
        <w:rPr>
          <w:rFonts w:ascii="Century Gothic" w:hAnsi="Century Gothic"/>
          <w:spacing w:val="-2"/>
          <w:sz w:val="19"/>
        </w:rPr>
        <w:t>realista.</w:t>
      </w:r>
    </w:p>
    <w:p>
      <w:pPr>
        <w:pStyle w:val="ListParagraph"/>
        <w:numPr>
          <w:ilvl w:val="0"/>
          <w:numId w:val="1"/>
        </w:numPr>
        <w:tabs>
          <w:tab w:pos="764" w:val="left" w:leader="none"/>
        </w:tabs>
        <w:spacing w:line="240" w:lineRule="auto" w:before="232" w:after="0"/>
        <w:ind w:left="764" w:right="0" w:hanging="219"/>
        <w:jc w:val="left"/>
        <w:rPr>
          <w:rFonts w:ascii="Century Gothic" w:hAnsi="Century Gothic"/>
          <w:b/>
          <w:sz w:val="19"/>
        </w:rPr>
      </w:pPr>
      <w:r>
        <w:rPr>
          <w:rFonts w:ascii="Century Gothic" w:hAnsi="Century Gothic"/>
          <w:b/>
          <w:spacing w:val="-2"/>
          <w:sz w:val="19"/>
        </w:rPr>
        <w:t>Responsabilidades</w:t>
      </w:r>
      <w:r>
        <w:rPr>
          <w:rFonts w:ascii="Century Gothic" w:hAnsi="Century Gothic"/>
          <w:b/>
          <w:spacing w:val="-1"/>
          <w:sz w:val="19"/>
        </w:rPr>
        <w:t> </w:t>
      </w:r>
      <w:r>
        <w:rPr>
          <w:rFonts w:ascii="Century Gothic" w:hAnsi="Century Gothic"/>
          <w:b/>
          <w:spacing w:val="-2"/>
          <w:sz w:val="19"/>
        </w:rPr>
        <w:t>del</w:t>
      </w:r>
      <w:r>
        <w:rPr>
          <w:rFonts w:ascii="Century Gothic" w:hAnsi="Century Gothic"/>
          <w:b/>
          <w:spacing w:val="-3"/>
          <w:sz w:val="19"/>
        </w:rPr>
        <w:t> </w:t>
      </w:r>
      <w:r>
        <w:rPr>
          <w:rFonts w:ascii="Century Gothic" w:hAnsi="Century Gothic"/>
          <w:b/>
          <w:spacing w:val="-2"/>
          <w:sz w:val="19"/>
        </w:rPr>
        <w:t>auditor</w:t>
      </w:r>
      <w:r>
        <w:rPr>
          <w:rFonts w:ascii="Century Gothic" w:hAnsi="Century Gothic"/>
          <w:b/>
          <w:spacing w:val="-5"/>
          <w:sz w:val="19"/>
        </w:rPr>
        <w:t> </w:t>
      </w:r>
      <w:r>
        <w:rPr>
          <w:rFonts w:ascii="Century Gothic" w:hAnsi="Century Gothic"/>
          <w:b/>
          <w:spacing w:val="-2"/>
          <w:sz w:val="19"/>
        </w:rPr>
        <w:t>en relación</w:t>
      </w:r>
      <w:r>
        <w:rPr>
          <w:rFonts w:ascii="Century Gothic" w:hAnsi="Century Gothic"/>
          <w:b/>
          <w:spacing w:val="-5"/>
          <w:sz w:val="19"/>
        </w:rPr>
        <w:t> </w:t>
      </w:r>
      <w:r>
        <w:rPr>
          <w:rFonts w:ascii="Century Gothic" w:hAnsi="Century Gothic"/>
          <w:b/>
          <w:spacing w:val="-2"/>
          <w:sz w:val="19"/>
        </w:rPr>
        <w:t>con</w:t>
      </w:r>
      <w:r>
        <w:rPr>
          <w:rFonts w:ascii="Century Gothic" w:hAnsi="Century Gothic"/>
          <w:b/>
          <w:spacing w:val="-4"/>
          <w:sz w:val="19"/>
        </w:rPr>
        <w:t> </w:t>
      </w:r>
      <w:r>
        <w:rPr>
          <w:rFonts w:ascii="Century Gothic" w:hAnsi="Century Gothic"/>
          <w:b/>
          <w:spacing w:val="-2"/>
          <w:sz w:val="19"/>
        </w:rPr>
        <w:t>la</w:t>
      </w:r>
      <w:r>
        <w:rPr>
          <w:rFonts w:ascii="Century Gothic" w:hAnsi="Century Gothic"/>
          <w:b/>
          <w:spacing w:val="-1"/>
          <w:sz w:val="19"/>
        </w:rPr>
        <w:t> </w:t>
      </w:r>
      <w:r>
        <w:rPr>
          <w:rFonts w:ascii="Century Gothic" w:hAnsi="Century Gothic"/>
          <w:b/>
          <w:spacing w:val="-2"/>
          <w:sz w:val="19"/>
        </w:rPr>
        <w:t>auditoría de las</w:t>
      </w:r>
      <w:r>
        <w:rPr>
          <w:rFonts w:ascii="Century Gothic" w:hAnsi="Century Gothic"/>
          <w:b/>
          <w:spacing w:val="-4"/>
          <w:sz w:val="19"/>
        </w:rPr>
        <w:t> </w:t>
      </w:r>
      <w:r>
        <w:rPr>
          <w:rFonts w:ascii="Century Gothic" w:hAnsi="Century Gothic"/>
          <w:b/>
          <w:spacing w:val="-2"/>
          <w:sz w:val="19"/>
        </w:rPr>
        <w:t>cuentas</w:t>
      </w:r>
      <w:r>
        <w:rPr>
          <w:rFonts w:ascii="Century Gothic" w:hAnsi="Century Gothic"/>
          <w:b/>
          <w:spacing w:val="-3"/>
          <w:sz w:val="19"/>
        </w:rPr>
        <w:t> </w:t>
      </w:r>
      <w:r>
        <w:rPr>
          <w:rFonts w:ascii="Century Gothic" w:hAnsi="Century Gothic"/>
          <w:b/>
          <w:spacing w:val="-2"/>
          <w:sz w:val="19"/>
        </w:rPr>
        <w:t>anuales.</w:t>
      </w:r>
    </w:p>
    <w:p>
      <w:pPr>
        <w:pStyle w:val="BodyText"/>
        <w:rPr>
          <w:rFonts w:ascii="Century Gothic"/>
          <w:b/>
          <w:sz w:val="19"/>
        </w:rPr>
      </w:pPr>
    </w:p>
    <w:p>
      <w:pPr>
        <w:spacing w:before="0"/>
        <w:ind w:left="766" w:right="219" w:firstLine="0"/>
        <w:jc w:val="both"/>
        <w:rPr>
          <w:rFonts w:ascii="Century Gothic" w:hAnsi="Century Gothic"/>
          <w:sz w:val="19"/>
        </w:rPr>
      </w:pPr>
      <w:r>
        <w:rPr>
          <w:rFonts w:ascii="Century Gothic" w:hAnsi="Century Gothic"/>
          <w:sz w:val="19"/>
        </w:rPr>
        <w:t>Nuestros</w:t>
      </w:r>
      <w:r>
        <w:rPr>
          <w:rFonts w:ascii="Century Gothic" w:hAnsi="Century Gothic"/>
          <w:spacing w:val="-9"/>
          <w:sz w:val="19"/>
        </w:rPr>
        <w:t> </w:t>
      </w:r>
      <w:r>
        <w:rPr>
          <w:rFonts w:ascii="Century Gothic" w:hAnsi="Century Gothic"/>
          <w:sz w:val="19"/>
        </w:rPr>
        <w:t>objetivos</w:t>
      </w:r>
      <w:r>
        <w:rPr>
          <w:rFonts w:ascii="Century Gothic" w:hAnsi="Century Gothic"/>
          <w:spacing w:val="-10"/>
          <w:sz w:val="19"/>
        </w:rPr>
        <w:t> </w:t>
      </w:r>
      <w:r>
        <w:rPr>
          <w:rFonts w:ascii="Century Gothic" w:hAnsi="Century Gothic"/>
          <w:sz w:val="19"/>
        </w:rPr>
        <w:t>son</w:t>
      </w:r>
      <w:r>
        <w:rPr>
          <w:rFonts w:ascii="Century Gothic" w:hAnsi="Century Gothic"/>
          <w:spacing w:val="-10"/>
          <w:sz w:val="19"/>
        </w:rPr>
        <w:t> </w:t>
      </w:r>
      <w:r>
        <w:rPr>
          <w:rFonts w:ascii="Century Gothic" w:hAnsi="Century Gothic"/>
          <w:sz w:val="19"/>
        </w:rPr>
        <w:t>obtener</w:t>
      </w:r>
      <w:r>
        <w:rPr>
          <w:rFonts w:ascii="Century Gothic" w:hAnsi="Century Gothic"/>
          <w:spacing w:val="-8"/>
          <w:sz w:val="19"/>
        </w:rPr>
        <w:t> </w:t>
      </w:r>
      <w:r>
        <w:rPr>
          <w:rFonts w:ascii="Century Gothic" w:hAnsi="Century Gothic"/>
          <w:sz w:val="19"/>
        </w:rPr>
        <w:t>una</w:t>
      </w:r>
      <w:r>
        <w:rPr>
          <w:rFonts w:ascii="Century Gothic" w:hAnsi="Century Gothic"/>
          <w:spacing w:val="-10"/>
          <w:sz w:val="19"/>
        </w:rPr>
        <w:t> </w:t>
      </w:r>
      <w:r>
        <w:rPr>
          <w:rFonts w:ascii="Century Gothic" w:hAnsi="Century Gothic"/>
          <w:sz w:val="19"/>
        </w:rPr>
        <w:t>seguridad</w:t>
      </w:r>
      <w:r>
        <w:rPr>
          <w:rFonts w:ascii="Century Gothic" w:hAnsi="Century Gothic"/>
          <w:spacing w:val="-10"/>
          <w:sz w:val="19"/>
        </w:rPr>
        <w:t> </w:t>
      </w:r>
      <w:r>
        <w:rPr>
          <w:rFonts w:ascii="Century Gothic" w:hAnsi="Century Gothic"/>
          <w:sz w:val="19"/>
        </w:rPr>
        <w:t>razonable</w:t>
      </w:r>
      <w:r>
        <w:rPr>
          <w:rFonts w:ascii="Century Gothic" w:hAnsi="Century Gothic"/>
          <w:spacing w:val="-11"/>
          <w:sz w:val="19"/>
        </w:rPr>
        <w:t> </w:t>
      </w:r>
      <w:r>
        <w:rPr>
          <w:rFonts w:ascii="Century Gothic" w:hAnsi="Century Gothic"/>
          <w:sz w:val="19"/>
        </w:rPr>
        <w:t>de</w:t>
      </w:r>
      <w:r>
        <w:rPr>
          <w:rFonts w:ascii="Century Gothic" w:hAnsi="Century Gothic"/>
          <w:spacing w:val="-10"/>
          <w:sz w:val="19"/>
        </w:rPr>
        <w:t> </w:t>
      </w:r>
      <w:r>
        <w:rPr>
          <w:rFonts w:ascii="Century Gothic" w:hAnsi="Century Gothic"/>
          <w:sz w:val="19"/>
        </w:rPr>
        <w:t>que</w:t>
      </w:r>
      <w:r>
        <w:rPr>
          <w:rFonts w:ascii="Century Gothic" w:hAnsi="Century Gothic"/>
          <w:spacing w:val="-10"/>
          <w:sz w:val="19"/>
        </w:rPr>
        <w:t> </w:t>
      </w:r>
      <w:r>
        <w:rPr>
          <w:rFonts w:ascii="Century Gothic" w:hAnsi="Century Gothic"/>
          <w:sz w:val="19"/>
        </w:rPr>
        <w:t>las</w:t>
      </w:r>
      <w:r>
        <w:rPr>
          <w:rFonts w:ascii="Century Gothic" w:hAnsi="Century Gothic"/>
          <w:spacing w:val="-9"/>
          <w:sz w:val="19"/>
        </w:rPr>
        <w:t> </w:t>
      </w:r>
      <w:r>
        <w:rPr>
          <w:rFonts w:ascii="Century Gothic" w:hAnsi="Century Gothic"/>
          <w:sz w:val="19"/>
        </w:rPr>
        <w:t>cuentas</w:t>
      </w:r>
      <w:r>
        <w:rPr>
          <w:rFonts w:ascii="Century Gothic" w:hAnsi="Century Gothic"/>
          <w:spacing w:val="-8"/>
          <w:sz w:val="19"/>
        </w:rPr>
        <w:t> </w:t>
      </w:r>
      <w:r>
        <w:rPr>
          <w:rFonts w:ascii="Century Gothic" w:hAnsi="Century Gothic"/>
          <w:sz w:val="19"/>
        </w:rPr>
        <w:t>anuales</w:t>
      </w:r>
      <w:r>
        <w:rPr>
          <w:rFonts w:ascii="Century Gothic" w:hAnsi="Century Gothic"/>
          <w:spacing w:val="-8"/>
          <w:sz w:val="19"/>
        </w:rPr>
        <w:t> </w:t>
      </w:r>
      <w:r>
        <w:rPr>
          <w:rFonts w:ascii="Century Gothic" w:hAnsi="Century Gothic"/>
          <w:sz w:val="19"/>
        </w:rPr>
        <w:t>en</w:t>
      </w:r>
      <w:r>
        <w:rPr>
          <w:rFonts w:ascii="Century Gothic" w:hAnsi="Century Gothic"/>
          <w:spacing w:val="-13"/>
          <w:sz w:val="19"/>
        </w:rPr>
        <w:t> </w:t>
      </w:r>
      <w:r>
        <w:rPr>
          <w:rFonts w:ascii="Century Gothic" w:hAnsi="Century Gothic"/>
          <w:sz w:val="19"/>
        </w:rPr>
        <w:t>su</w:t>
      </w:r>
      <w:r>
        <w:rPr>
          <w:rFonts w:ascii="Century Gothic" w:hAnsi="Century Gothic"/>
          <w:spacing w:val="-10"/>
          <w:sz w:val="19"/>
        </w:rPr>
        <w:t> </w:t>
      </w:r>
      <w:r>
        <w:rPr>
          <w:rFonts w:ascii="Century Gothic" w:hAnsi="Century Gothic"/>
          <w:sz w:val="19"/>
        </w:rPr>
        <w:t>conjunto están</w:t>
      </w:r>
      <w:r>
        <w:rPr>
          <w:rFonts w:ascii="Century Gothic" w:hAnsi="Century Gothic"/>
          <w:spacing w:val="-1"/>
          <w:sz w:val="19"/>
        </w:rPr>
        <w:t> </w:t>
      </w:r>
      <w:r>
        <w:rPr>
          <w:rFonts w:ascii="Century Gothic" w:hAnsi="Century Gothic"/>
          <w:sz w:val="19"/>
        </w:rPr>
        <w:t>libres de</w:t>
      </w:r>
      <w:r>
        <w:rPr>
          <w:rFonts w:ascii="Century Gothic" w:hAnsi="Century Gothic"/>
          <w:spacing w:val="-1"/>
          <w:sz w:val="19"/>
        </w:rPr>
        <w:t> </w:t>
      </w:r>
      <w:r>
        <w:rPr>
          <w:rFonts w:ascii="Century Gothic" w:hAnsi="Century Gothic"/>
          <w:sz w:val="19"/>
        </w:rPr>
        <w:t>incorrección material, debida a fraude o error, y emitir un</w:t>
      </w:r>
      <w:r>
        <w:rPr>
          <w:rFonts w:ascii="Century Gothic" w:hAnsi="Century Gothic"/>
          <w:spacing w:val="-1"/>
          <w:sz w:val="19"/>
        </w:rPr>
        <w:t> </w:t>
      </w:r>
      <w:r>
        <w:rPr>
          <w:rFonts w:ascii="Century Gothic" w:hAnsi="Century Gothic"/>
          <w:sz w:val="19"/>
        </w:rPr>
        <w:t>informe de</w:t>
      </w:r>
      <w:r>
        <w:rPr>
          <w:rFonts w:ascii="Century Gothic" w:hAnsi="Century Gothic"/>
          <w:spacing w:val="-1"/>
          <w:sz w:val="19"/>
        </w:rPr>
        <w:t> </w:t>
      </w:r>
      <w:r>
        <w:rPr>
          <w:rFonts w:ascii="Century Gothic" w:hAnsi="Century Gothic"/>
          <w:sz w:val="19"/>
        </w:rPr>
        <w:t>auditoría que contiene nuestra opinión.</w:t>
      </w:r>
    </w:p>
    <w:p>
      <w:pPr>
        <w:spacing w:line="240" w:lineRule="auto" w:before="232"/>
        <w:ind w:left="766" w:right="215" w:firstLine="0"/>
        <w:jc w:val="both"/>
        <w:rPr>
          <w:rFonts w:ascii="Century Gothic" w:hAnsi="Century Gothic"/>
          <w:sz w:val="19"/>
        </w:rPr>
      </w:pPr>
      <w:r>
        <w:rPr>
          <w:rFonts w:ascii="Century Gothic" w:hAnsi="Century Gothic"/>
          <w:sz w:val="19"/>
        </w:rPr>
        <w:t>Seguridad</w:t>
      </w:r>
      <w:r>
        <w:rPr>
          <w:rFonts w:ascii="Century Gothic" w:hAnsi="Century Gothic"/>
          <w:spacing w:val="-10"/>
          <w:sz w:val="19"/>
        </w:rPr>
        <w:t> </w:t>
      </w:r>
      <w:r>
        <w:rPr>
          <w:rFonts w:ascii="Century Gothic" w:hAnsi="Century Gothic"/>
          <w:sz w:val="19"/>
        </w:rPr>
        <w:t>razonable</w:t>
      </w:r>
      <w:r>
        <w:rPr>
          <w:rFonts w:ascii="Century Gothic" w:hAnsi="Century Gothic"/>
          <w:spacing w:val="-6"/>
          <w:sz w:val="19"/>
        </w:rPr>
        <w:t> </w:t>
      </w:r>
      <w:r>
        <w:rPr>
          <w:rFonts w:ascii="Century Gothic" w:hAnsi="Century Gothic"/>
          <w:sz w:val="19"/>
        </w:rPr>
        <w:t>es</w:t>
      </w:r>
      <w:r>
        <w:rPr>
          <w:rFonts w:ascii="Century Gothic" w:hAnsi="Century Gothic"/>
          <w:spacing w:val="-7"/>
          <w:sz w:val="19"/>
        </w:rPr>
        <w:t> </w:t>
      </w:r>
      <w:r>
        <w:rPr>
          <w:rFonts w:ascii="Century Gothic" w:hAnsi="Century Gothic"/>
          <w:sz w:val="19"/>
        </w:rPr>
        <w:t>un</w:t>
      </w:r>
      <w:r>
        <w:rPr>
          <w:rFonts w:ascii="Century Gothic" w:hAnsi="Century Gothic"/>
          <w:spacing w:val="-8"/>
          <w:sz w:val="19"/>
        </w:rPr>
        <w:t> </w:t>
      </w:r>
      <w:r>
        <w:rPr>
          <w:rFonts w:ascii="Century Gothic" w:hAnsi="Century Gothic"/>
          <w:sz w:val="19"/>
        </w:rPr>
        <w:t>alto</w:t>
      </w:r>
      <w:r>
        <w:rPr>
          <w:rFonts w:ascii="Century Gothic" w:hAnsi="Century Gothic"/>
          <w:spacing w:val="-7"/>
          <w:sz w:val="19"/>
        </w:rPr>
        <w:t> </w:t>
      </w:r>
      <w:r>
        <w:rPr>
          <w:rFonts w:ascii="Century Gothic" w:hAnsi="Century Gothic"/>
          <w:sz w:val="19"/>
        </w:rPr>
        <w:t>grado</w:t>
      </w:r>
      <w:r>
        <w:rPr>
          <w:rFonts w:ascii="Century Gothic" w:hAnsi="Century Gothic"/>
          <w:spacing w:val="-7"/>
          <w:sz w:val="19"/>
        </w:rPr>
        <w:t> </w:t>
      </w:r>
      <w:r>
        <w:rPr>
          <w:rFonts w:ascii="Century Gothic" w:hAnsi="Century Gothic"/>
          <w:sz w:val="19"/>
        </w:rPr>
        <w:t>de</w:t>
      </w:r>
      <w:r>
        <w:rPr>
          <w:rFonts w:ascii="Century Gothic" w:hAnsi="Century Gothic"/>
          <w:spacing w:val="-9"/>
          <w:sz w:val="19"/>
        </w:rPr>
        <w:t> </w:t>
      </w:r>
      <w:r>
        <w:rPr>
          <w:rFonts w:ascii="Century Gothic" w:hAnsi="Century Gothic"/>
          <w:sz w:val="19"/>
        </w:rPr>
        <w:t>seguridad,</w:t>
      </w:r>
      <w:r>
        <w:rPr>
          <w:rFonts w:ascii="Century Gothic" w:hAnsi="Century Gothic"/>
          <w:spacing w:val="-10"/>
          <w:sz w:val="19"/>
        </w:rPr>
        <w:t> </w:t>
      </w:r>
      <w:r>
        <w:rPr>
          <w:rFonts w:ascii="Century Gothic" w:hAnsi="Century Gothic"/>
          <w:sz w:val="19"/>
        </w:rPr>
        <w:t>pero</w:t>
      </w:r>
      <w:r>
        <w:rPr>
          <w:rFonts w:ascii="Century Gothic" w:hAnsi="Century Gothic"/>
          <w:spacing w:val="-6"/>
          <w:sz w:val="19"/>
        </w:rPr>
        <w:t> </w:t>
      </w:r>
      <w:r>
        <w:rPr>
          <w:rFonts w:ascii="Century Gothic" w:hAnsi="Century Gothic"/>
          <w:sz w:val="19"/>
        </w:rPr>
        <w:t>no</w:t>
      </w:r>
      <w:r>
        <w:rPr>
          <w:rFonts w:ascii="Century Gothic" w:hAnsi="Century Gothic"/>
          <w:spacing w:val="-7"/>
          <w:sz w:val="19"/>
        </w:rPr>
        <w:t> </w:t>
      </w:r>
      <w:r>
        <w:rPr>
          <w:rFonts w:ascii="Century Gothic" w:hAnsi="Century Gothic"/>
          <w:sz w:val="19"/>
        </w:rPr>
        <w:t>garantiza</w:t>
      </w:r>
      <w:r>
        <w:rPr>
          <w:rFonts w:ascii="Century Gothic" w:hAnsi="Century Gothic"/>
          <w:spacing w:val="-10"/>
          <w:sz w:val="19"/>
        </w:rPr>
        <w:t> </w:t>
      </w:r>
      <w:r>
        <w:rPr>
          <w:rFonts w:ascii="Century Gothic" w:hAnsi="Century Gothic"/>
          <w:sz w:val="19"/>
        </w:rPr>
        <w:t>que</w:t>
      </w:r>
      <w:r>
        <w:rPr>
          <w:rFonts w:ascii="Century Gothic" w:hAnsi="Century Gothic"/>
          <w:spacing w:val="-8"/>
          <w:sz w:val="19"/>
        </w:rPr>
        <w:t> </w:t>
      </w:r>
      <w:r>
        <w:rPr>
          <w:rFonts w:ascii="Century Gothic" w:hAnsi="Century Gothic"/>
          <w:sz w:val="19"/>
        </w:rPr>
        <w:t>una</w:t>
      </w:r>
      <w:r>
        <w:rPr>
          <w:rFonts w:ascii="Century Gothic" w:hAnsi="Century Gothic"/>
          <w:spacing w:val="-6"/>
          <w:sz w:val="19"/>
        </w:rPr>
        <w:t> </w:t>
      </w:r>
      <w:r>
        <w:rPr>
          <w:rFonts w:ascii="Century Gothic" w:hAnsi="Century Gothic"/>
          <w:sz w:val="19"/>
        </w:rPr>
        <w:t>auditoría</w:t>
      </w:r>
      <w:r>
        <w:rPr>
          <w:rFonts w:ascii="Century Gothic" w:hAnsi="Century Gothic"/>
          <w:spacing w:val="-7"/>
          <w:sz w:val="19"/>
        </w:rPr>
        <w:t> </w:t>
      </w:r>
      <w:r>
        <w:rPr>
          <w:rFonts w:ascii="Century Gothic" w:hAnsi="Century Gothic"/>
          <w:sz w:val="19"/>
        </w:rPr>
        <w:t>realizada de</w:t>
      </w:r>
      <w:r>
        <w:rPr>
          <w:rFonts w:ascii="Century Gothic" w:hAnsi="Century Gothic"/>
          <w:spacing w:val="-10"/>
          <w:sz w:val="19"/>
        </w:rPr>
        <w:t> </w:t>
      </w:r>
      <w:r>
        <w:rPr>
          <w:rFonts w:ascii="Century Gothic" w:hAnsi="Century Gothic"/>
          <w:sz w:val="19"/>
        </w:rPr>
        <w:t>conformidad</w:t>
      </w:r>
      <w:r>
        <w:rPr>
          <w:rFonts w:ascii="Century Gothic" w:hAnsi="Century Gothic"/>
          <w:spacing w:val="-11"/>
          <w:sz w:val="19"/>
        </w:rPr>
        <w:t> </w:t>
      </w:r>
      <w:r>
        <w:rPr>
          <w:rFonts w:ascii="Century Gothic" w:hAnsi="Century Gothic"/>
          <w:sz w:val="19"/>
        </w:rPr>
        <w:t>con</w:t>
      </w:r>
      <w:r>
        <w:rPr>
          <w:rFonts w:ascii="Century Gothic" w:hAnsi="Century Gothic"/>
          <w:spacing w:val="-11"/>
          <w:sz w:val="19"/>
        </w:rPr>
        <w:t> </w:t>
      </w:r>
      <w:r>
        <w:rPr>
          <w:rFonts w:ascii="Century Gothic" w:hAnsi="Century Gothic"/>
          <w:sz w:val="19"/>
        </w:rPr>
        <w:t>la</w:t>
      </w:r>
      <w:r>
        <w:rPr>
          <w:rFonts w:ascii="Century Gothic" w:hAnsi="Century Gothic"/>
          <w:spacing w:val="-10"/>
          <w:sz w:val="19"/>
        </w:rPr>
        <w:t> </w:t>
      </w:r>
      <w:r>
        <w:rPr>
          <w:rFonts w:ascii="Century Gothic" w:hAnsi="Century Gothic"/>
          <w:sz w:val="19"/>
        </w:rPr>
        <w:t>normativa</w:t>
      </w:r>
      <w:r>
        <w:rPr>
          <w:rFonts w:ascii="Century Gothic" w:hAnsi="Century Gothic"/>
          <w:spacing w:val="-10"/>
          <w:sz w:val="19"/>
        </w:rPr>
        <w:t> </w:t>
      </w:r>
      <w:r>
        <w:rPr>
          <w:rFonts w:ascii="Century Gothic" w:hAnsi="Century Gothic"/>
          <w:sz w:val="19"/>
        </w:rPr>
        <w:t>reguladora</w:t>
      </w:r>
      <w:r>
        <w:rPr>
          <w:rFonts w:ascii="Century Gothic" w:hAnsi="Century Gothic"/>
          <w:spacing w:val="-10"/>
          <w:sz w:val="19"/>
        </w:rPr>
        <w:t> </w:t>
      </w:r>
      <w:r>
        <w:rPr>
          <w:rFonts w:ascii="Century Gothic" w:hAnsi="Century Gothic"/>
          <w:sz w:val="19"/>
        </w:rPr>
        <w:t>de</w:t>
      </w:r>
      <w:r>
        <w:rPr>
          <w:rFonts w:ascii="Century Gothic" w:hAnsi="Century Gothic"/>
          <w:spacing w:val="-11"/>
          <w:sz w:val="19"/>
        </w:rPr>
        <w:t> </w:t>
      </w:r>
      <w:r>
        <w:rPr>
          <w:rFonts w:ascii="Century Gothic" w:hAnsi="Century Gothic"/>
          <w:sz w:val="19"/>
        </w:rPr>
        <w:t>auditoría</w:t>
      </w:r>
      <w:r>
        <w:rPr>
          <w:rFonts w:ascii="Century Gothic" w:hAnsi="Century Gothic"/>
          <w:spacing w:val="-12"/>
          <w:sz w:val="19"/>
        </w:rPr>
        <w:t> </w:t>
      </w:r>
      <w:r>
        <w:rPr>
          <w:rFonts w:ascii="Century Gothic" w:hAnsi="Century Gothic"/>
          <w:sz w:val="19"/>
        </w:rPr>
        <w:t>vigente</w:t>
      </w:r>
      <w:r>
        <w:rPr>
          <w:rFonts w:ascii="Century Gothic" w:hAnsi="Century Gothic"/>
          <w:spacing w:val="-11"/>
          <w:sz w:val="19"/>
        </w:rPr>
        <w:t> </w:t>
      </w:r>
      <w:r>
        <w:rPr>
          <w:rFonts w:ascii="Century Gothic" w:hAnsi="Century Gothic"/>
          <w:sz w:val="19"/>
        </w:rPr>
        <w:t>en</w:t>
      </w:r>
      <w:r>
        <w:rPr>
          <w:rFonts w:ascii="Century Gothic" w:hAnsi="Century Gothic"/>
          <w:spacing w:val="-11"/>
          <w:sz w:val="19"/>
        </w:rPr>
        <w:t> </w:t>
      </w:r>
      <w:r>
        <w:rPr>
          <w:rFonts w:ascii="Century Gothic" w:hAnsi="Century Gothic"/>
          <w:sz w:val="19"/>
        </w:rPr>
        <w:t>España</w:t>
      </w:r>
      <w:r>
        <w:rPr>
          <w:rFonts w:ascii="Century Gothic" w:hAnsi="Century Gothic"/>
          <w:spacing w:val="-12"/>
          <w:sz w:val="19"/>
        </w:rPr>
        <w:t> </w:t>
      </w:r>
      <w:r>
        <w:rPr>
          <w:rFonts w:ascii="Century Gothic" w:hAnsi="Century Gothic"/>
          <w:sz w:val="19"/>
        </w:rPr>
        <w:t>siempre</w:t>
      </w:r>
      <w:r>
        <w:rPr>
          <w:rFonts w:ascii="Century Gothic" w:hAnsi="Century Gothic"/>
          <w:spacing w:val="-11"/>
          <w:sz w:val="19"/>
        </w:rPr>
        <w:t> </w:t>
      </w:r>
      <w:r>
        <w:rPr>
          <w:rFonts w:ascii="Century Gothic" w:hAnsi="Century Gothic"/>
          <w:sz w:val="19"/>
        </w:rPr>
        <w:t>detecte</w:t>
      </w:r>
      <w:r>
        <w:rPr>
          <w:rFonts w:ascii="Century Gothic" w:hAnsi="Century Gothic"/>
          <w:spacing w:val="-11"/>
          <w:sz w:val="19"/>
        </w:rPr>
        <w:t> </w:t>
      </w:r>
      <w:r>
        <w:rPr>
          <w:rFonts w:ascii="Century Gothic" w:hAnsi="Century Gothic"/>
          <w:sz w:val="19"/>
        </w:rPr>
        <w:t>una incorrección material cuando existe. Las incorrecciones pueden deberse a fraude o error y se consideran materiales si, individualmente</w:t>
      </w:r>
      <w:r>
        <w:rPr>
          <w:rFonts w:ascii="Century Gothic" w:hAnsi="Century Gothic"/>
          <w:spacing w:val="-2"/>
          <w:sz w:val="19"/>
        </w:rPr>
        <w:t> </w:t>
      </w:r>
      <w:r>
        <w:rPr>
          <w:rFonts w:ascii="Century Gothic" w:hAnsi="Century Gothic"/>
          <w:sz w:val="19"/>
        </w:rPr>
        <w:t>o de forma agregada, puede</w:t>
      </w:r>
      <w:r>
        <w:rPr>
          <w:rFonts w:ascii="Century Gothic" w:hAnsi="Century Gothic"/>
          <w:spacing w:val="-2"/>
          <w:sz w:val="19"/>
        </w:rPr>
        <w:t> </w:t>
      </w:r>
      <w:r>
        <w:rPr>
          <w:rFonts w:ascii="Century Gothic" w:hAnsi="Century Gothic"/>
          <w:sz w:val="19"/>
        </w:rPr>
        <w:t>preverse</w:t>
      </w:r>
      <w:r>
        <w:rPr>
          <w:rFonts w:ascii="Century Gothic" w:hAnsi="Century Gothic"/>
          <w:spacing w:val="-2"/>
          <w:sz w:val="19"/>
        </w:rPr>
        <w:t> </w:t>
      </w:r>
      <w:r>
        <w:rPr>
          <w:rFonts w:ascii="Century Gothic" w:hAnsi="Century Gothic"/>
          <w:sz w:val="19"/>
        </w:rPr>
        <w:t>razonablemente que influyan en las decisiones económicas que los usuarios toman basándose en las cuentas </w:t>
      </w:r>
      <w:r>
        <w:rPr>
          <w:rFonts w:ascii="Century Gothic" w:hAnsi="Century Gothic"/>
          <w:spacing w:val="-2"/>
          <w:sz w:val="19"/>
        </w:rPr>
        <w:t>anuales.</w:t>
      </w:r>
    </w:p>
    <w:p>
      <w:pPr>
        <w:pStyle w:val="BodyText"/>
        <w:spacing w:before="2"/>
        <w:rPr>
          <w:rFonts w:ascii="Century Gothic"/>
          <w:sz w:val="19"/>
        </w:rPr>
      </w:pPr>
    </w:p>
    <w:p>
      <w:pPr>
        <w:spacing w:before="0"/>
        <w:ind w:left="766" w:right="218" w:firstLine="0"/>
        <w:jc w:val="both"/>
        <w:rPr>
          <w:rFonts w:ascii="Century Gothic" w:hAnsi="Century Gothic"/>
          <w:sz w:val="19"/>
        </w:rPr>
      </w:pPr>
      <w:r>
        <w:rPr>
          <w:rFonts w:ascii="Century Gothic" w:hAnsi="Century Gothic"/>
          <w:spacing w:val="-2"/>
          <w:sz w:val="19"/>
        </w:rPr>
        <w:t>Como</w:t>
      </w:r>
      <w:r>
        <w:rPr>
          <w:rFonts w:ascii="Century Gothic" w:hAnsi="Century Gothic"/>
          <w:spacing w:val="-8"/>
          <w:sz w:val="19"/>
        </w:rPr>
        <w:t> </w:t>
      </w:r>
      <w:r>
        <w:rPr>
          <w:rFonts w:ascii="Century Gothic" w:hAnsi="Century Gothic"/>
          <w:spacing w:val="-2"/>
          <w:sz w:val="19"/>
        </w:rPr>
        <w:t>parte</w:t>
      </w:r>
      <w:r>
        <w:rPr>
          <w:rFonts w:ascii="Century Gothic" w:hAnsi="Century Gothic"/>
          <w:spacing w:val="-5"/>
          <w:sz w:val="19"/>
        </w:rPr>
        <w:t> </w:t>
      </w:r>
      <w:r>
        <w:rPr>
          <w:rFonts w:ascii="Century Gothic" w:hAnsi="Century Gothic"/>
          <w:spacing w:val="-2"/>
          <w:sz w:val="19"/>
        </w:rPr>
        <w:t>de</w:t>
      </w:r>
      <w:r>
        <w:rPr>
          <w:rFonts w:ascii="Century Gothic" w:hAnsi="Century Gothic"/>
          <w:spacing w:val="-9"/>
          <w:sz w:val="19"/>
        </w:rPr>
        <w:t> </w:t>
      </w:r>
      <w:r>
        <w:rPr>
          <w:rFonts w:ascii="Century Gothic" w:hAnsi="Century Gothic"/>
          <w:spacing w:val="-2"/>
          <w:sz w:val="19"/>
        </w:rPr>
        <w:t>una</w:t>
      </w:r>
      <w:r>
        <w:rPr>
          <w:rFonts w:ascii="Century Gothic" w:hAnsi="Century Gothic"/>
          <w:spacing w:val="-9"/>
          <w:sz w:val="19"/>
        </w:rPr>
        <w:t> </w:t>
      </w:r>
      <w:r>
        <w:rPr>
          <w:rFonts w:ascii="Century Gothic" w:hAnsi="Century Gothic"/>
          <w:spacing w:val="-2"/>
          <w:sz w:val="19"/>
        </w:rPr>
        <w:t>auditoría</w:t>
      </w:r>
      <w:r>
        <w:rPr>
          <w:rFonts w:ascii="Century Gothic" w:hAnsi="Century Gothic"/>
          <w:spacing w:val="-5"/>
          <w:sz w:val="19"/>
        </w:rPr>
        <w:t> </w:t>
      </w:r>
      <w:r>
        <w:rPr>
          <w:rFonts w:ascii="Century Gothic" w:hAnsi="Century Gothic"/>
          <w:spacing w:val="-2"/>
          <w:sz w:val="19"/>
        </w:rPr>
        <w:t>de</w:t>
      </w:r>
      <w:r>
        <w:rPr>
          <w:rFonts w:ascii="Century Gothic" w:hAnsi="Century Gothic"/>
          <w:spacing w:val="-9"/>
          <w:sz w:val="19"/>
        </w:rPr>
        <w:t> </w:t>
      </w:r>
      <w:r>
        <w:rPr>
          <w:rFonts w:ascii="Century Gothic" w:hAnsi="Century Gothic"/>
          <w:spacing w:val="-2"/>
          <w:sz w:val="19"/>
        </w:rPr>
        <w:t>conformidad</w:t>
      </w:r>
      <w:r>
        <w:rPr>
          <w:rFonts w:ascii="Century Gothic" w:hAnsi="Century Gothic"/>
          <w:spacing w:val="-8"/>
          <w:sz w:val="19"/>
        </w:rPr>
        <w:t> </w:t>
      </w:r>
      <w:r>
        <w:rPr>
          <w:rFonts w:ascii="Century Gothic" w:hAnsi="Century Gothic"/>
          <w:spacing w:val="-2"/>
          <w:sz w:val="19"/>
        </w:rPr>
        <w:t>con</w:t>
      </w:r>
      <w:r>
        <w:rPr>
          <w:rFonts w:ascii="Century Gothic" w:hAnsi="Century Gothic"/>
          <w:spacing w:val="-9"/>
          <w:sz w:val="19"/>
        </w:rPr>
        <w:t> </w:t>
      </w:r>
      <w:r>
        <w:rPr>
          <w:rFonts w:ascii="Century Gothic" w:hAnsi="Century Gothic"/>
          <w:spacing w:val="-2"/>
          <w:sz w:val="19"/>
        </w:rPr>
        <w:t>la</w:t>
      </w:r>
      <w:r>
        <w:rPr>
          <w:rFonts w:ascii="Century Gothic" w:hAnsi="Century Gothic"/>
          <w:spacing w:val="-8"/>
          <w:sz w:val="19"/>
        </w:rPr>
        <w:t> </w:t>
      </w:r>
      <w:r>
        <w:rPr>
          <w:rFonts w:ascii="Century Gothic" w:hAnsi="Century Gothic"/>
          <w:spacing w:val="-2"/>
          <w:sz w:val="19"/>
        </w:rPr>
        <w:t>normativa</w:t>
      </w:r>
      <w:r>
        <w:rPr>
          <w:rFonts w:ascii="Century Gothic" w:hAnsi="Century Gothic"/>
          <w:spacing w:val="-8"/>
          <w:sz w:val="19"/>
        </w:rPr>
        <w:t> </w:t>
      </w:r>
      <w:r>
        <w:rPr>
          <w:rFonts w:ascii="Century Gothic" w:hAnsi="Century Gothic"/>
          <w:spacing w:val="-2"/>
          <w:sz w:val="19"/>
        </w:rPr>
        <w:t>reguladora</w:t>
      </w:r>
      <w:r>
        <w:rPr>
          <w:rFonts w:ascii="Century Gothic" w:hAnsi="Century Gothic"/>
          <w:spacing w:val="-5"/>
          <w:sz w:val="19"/>
        </w:rPr>
        <w:t> </w:t>
      </w:r>
      <w:r>
        <w:rPr>
          <w:rFonts w:ascii="Century Gothic" w:hAnsi="Century Gothic"/>
          <w:spacing w:val="-2"/>
          <w:sz w:val="19"/>
        </w:rPr>
        <w:t>de</w:t>
      </w:r>
      <w:r>
        <w:rPr>
          <w:rFonts w:ascii="Century Gothic" w:hAnsi="Century Gothic"/>
          <w:spacing w:val="-12"/>
          <w:sz w:val="19"/>
        </w:rPr>
        <w:t> </w:t>
      </w:r>
      <w:r>
        <w:rPr>
          <w:rFonts w:ascii="Century Gothic" w:hAnsi="Century Gothic"/>
          <w:spacing w:val="-2"/>
          <w:sz w:val="19"/>
        </w:rPr>
        <w:t>auditoría</w:t>
      </w:r>
      <w:r>
        <w:rPr>
          <w:rFonts w:ascii="Century Gothic" w:hAnsi="Century Gothic"/>
          <w:spacing w:val="-7"/>
          <w:sz w:val="19"/>
        </w:rPr>
        <w:t> </w:t>
      </w:r>
      <w:r>
        <w:rPr>
          <w:rFonts w:ascii="Century Gothic" w:hAnsi="Century Gothic"/>
          <w:spacing w:val="-2"/>
          <w:sz w:val="19"/>
        </w:rPr>
        <w:t>de</w:t>
      </w:r>
      <w:r>
        <w:rPr>
          <w:rFonts w:ascii="Century Gothic" w:hAnsi="Century Gothic"/>
          <w:spacing w:val="-6"/>
          <w:sz w:val="19"/>
        </w:rPr>
        <w:t> </w:t>
      </w:r>
      <w:r>
        <w:rPr>
          <w:rFonts w:ascii="Century Gothic" w:hAnsi="Century Gothic"/>
          <w:spacing w:val="-2"/>
          <w:sz w:val="19"/>
        </w:rPr>
        <w:t>cuentas </w:t>
      </w:r>
      <w:r>
        <w:rPr>
          <w:rFonts w:ascii="Century Gothic" w:hAnsi="Century Gothic"/>
          <w:sz w:val="19"/>
        </w:rPr>
        <w:t>en España, aplicamos nuestro juicio profesional y mantenemos una actitud de escepticismo profesional durante toda la auditoría. También:</w:t>
      </w:r>
    </w:p>
    <w:p>
      <w:pPr>
        <w:pStyle w:val="BodyText"/>
        <w:rPr>
          <w:rFonts w:ascii="Century Gothic"/>
          <w:sz w:val="19"/>
        </w:rPr>
      </w:pPr>
    </w:p>
    <w:p>
      <w:pPr>
        <w:pStyle w:val="ListParagraph"/>
        <w:numPr>
          <w:ilvl w:val="0"/>
          <w:numId w:val="3"/>
        </w:numPr>
        <w:tabs>
          <w:tab w:pos="1044" w:val="left" w:leader="none"/>
          <w:tab w:pos="1046" w:val="left" w:leader="none"/>
        </w:tabs>
        <w:spacing w:line="240" w:lineRule="auto" w:before="0" w:after="0"/>
        <w:ind w:left="1046" w:right="217" w:hanging="281"/>
        <w:jc w:val="both"/>
        <w:rPr>
          <w:rFonts w:ascii="Century Gothic" w:hAnsi="Century Gothic"/>
          <w:sz w:val="19"/>
        </w:rPr>
      </w:pPr>
      <w:r>
        <w:rPr>
          <w:rFonts w:ascii="Century Gothic" w:hAnsi="Century Gothic"/>
          <w:sz w:val="19"/>
        </w:rPr>
        <w:t>Identificamos</w:t>
      </w:r>
      <w:r>
        <w:rPr>
          <w:rFonts w:ascii="Century Gothic" w:hAnsi="Century Gothic"/>
          <w:spacing w:val="-3"/>
          <w:sz w:val="19"/>
        </w:rPr>
        <w:t> </w:t>
      </w:r>
      <w:r>
        <w:rPr>
          <w:rFonts w:ascii="Century Gothic" w:hAnsi="Century Gothic"/>
          <w:sz w:val="19"/>
        </w:rPr>
        <w:t>y</w:t>
      </w:r>
      <w:r>
        <w:rPr>
          <w:rFonts w:ascii="Century Gothic" w:hAnsi="Century Gothic"/>
          <w:spacing w:val="-6"/>
          <w:sz w:val="19"/>
        </w:rPr>
        <w:t> </w:t>
      </w:r>
      <w:r>
        <w:rPr>
          <w:rFonts w:ascii="Century Gothic" w:hAnsi="Century Gothic"/>
          <w:sz w:val="19"/>
        </w:rPr>
        <w:t>valoramos</w:t>
      </w:r>
      <w:r>
        <w:rPr>
          <w:rFonts w:ascii="Century Gothic" w:hAnsi="Century Gothic"/>
          <w:spacing w:val="-5"/>
          <w:sz w:val="19"/>
        </w:rPr>
        <w:t> </w:t>
      </w:r>
      <w:r>
        <w:rPr>
          <w:rFonts w:ascii="Century Gothic" w:hAnsi="Century Gothic"/>
          <w:sz w:val="19"/>
        </w:rPr>
        <w:t>los</w:t>
      </w:r>
      <w:r>
        <w:rPr>
          <w:rFonts w:ascii="Century Gothic" w:hAnsi="Century Gothic"/>
          <w:spacing w:val="-5"/>
          <w:sz w:val="19"/>
        </w:rPr>
        <w:t> </w:t>
      </w:r>
      <w:r>
        <w:rPr>
          <w:rFonts w:ascii="Century Gothic" w:hAnsi="Century Gothic"/>
          <w:sz w:val="19"/>
        </w:rPr>
        <w:t>riesgos</w:t>
      </w:r>
      <w:r>
        <w:rPr>
          <w:rFonts w:ascii="Century Gothic" w:hAnsi="Century Gothic"/>
          <w:spacing w:val="-4"/>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incorrección</w:t>
      </w:r>
      <w:r>
        <w:rPr>
          <w:rFonts w:ascii="Century Gothic" w:hAnsi="Century Gothic"/>
          <w:spacing w:val="-5"/>
          <w:sz w:val="19"/>
        </w:rPr>
        <w:t> </w:t>
      </w:r>
      <w:r>
        <w:rPr>
          <w:rFonts w:ascii="Century Gothic" w:hAnsi="Century Gothic"/>
          <w:sz w:val="19"/>
        </w:rPr>
        <w:t>material</w:t>
      </w:r>
      <w:r>
        <w:rPr>
          <w:rFonts w:ascii="Century Gothic" w:hAnsi="Century Gothic"/>
          <w:spacing w:val="-5"/>
          <w:sz w:val="19"/>
        </w:rPr>
        <w:t> </w:t>
      </w:r>
      <w:r>
        <w:rPr>
          <w:rFonts w:ascii="Century Gothic" w:hAnsi="Century Gothic"/>
          <w:sz w:val="19"/>
        </w:rPr>
        <w:t>en</w:t>
      </w:r>
      <w:r>
        <w:rPr>
          <w:rFonts w:ascii="Century Gothic" w:hAnsi="Century Gothic"/>
          <w:spacing w:val="-5"/>
          <w:sz w:val="19"/>
        </w:rPr>
        <w:t> </w:t>
      </w:r>
      <w:r>
        <w:rPr>
          <w:rFonts w:ascii="Century Gothic" w:hAnsi="Century Gothic"/>
          <w:sz w:val="19"/>
        </w:rPr>
        <w:t>las</w:t>
      </w:r>
      <w:r>
        <w:rPr>
          <w:rFonts w:ascii="Century Gothic" w:hAnsi="Century Gothic"/>
          <w:spacing w:val="-3"/>
          <w:sz w:val="19"/>
        </w:rPr>
        <w:t> </w:t>
      </w:r>
      <w:r>
        <w:rPr>
          <w:rFonts w:ascii="Century Gothic" w:hAnsi="Century Gothic"/>
          <w:sz w:val="19"/>
        </w:rPr>
        <w:t>cuentas</w:t>
      </w:r>
      <w:r>
        <w:rPr>
          <w:rFonts w:ascii="Century Gothic" w:hAnsi="Century Gothic"/>
          <w:spacing w:val="-5"/>
          <w:sz w:val="19"/>
        </w:rPr>
        <w:t> </w:t>
      </w:r>
      <w:r>
        <w:rPr>
          <w:rFonts w:ascii="Century Gothic" w:hAnsi="Century Gothic"/>
          <w:sz w:val="19"/>
        </w:rPr>
        <w:t>anuales,</w:t>
      </w:r>
      <w:r>
        <w:rPr>
          <w:rFonts w:ascii="Century Gothic" w:hAnsi="Century Gothic"/>
          <w:spacing w:val="-5"/>
          <w:sz w:val="19"/>
        </w:rPr>
        <w:t> </w:t>
      </w:r>
      <w:r>
        <w:rPr>
          <w:rFonts w:ascii="Century Gothic" w:hAnsi="Century Gothic"/>
          <w:sz w:val="19"/>
        </w:rPr>
        <w:t>debida</w:t>
      </w:r>
      <w:r>
        <w:rPr>
          <w:rFonts w:ascii="Century Gothic" w:hAnsi="Century Gothic"/>
          <w:spacing w:val="-5"/>
          <w:sz w:val="19"/>
        </w:rPr>
        <w:t> </w:t>
      </w:r>
      <w:r>
        <w:rPr>
          <w:rFonts w:ascii="Century Gothic" w:hAnsi="Century Gothic"/>
          <w:sz w:val="19"/>
        </w:rPr>
        <w:t>a fraude o error, diseñamos y aplicamos procedimientos de auditoría para responder a dichos riesgos</w:t>
      </w:r>
      <w:r>
        <w:rPr>
          <w:rFonts w:ascii="Century Gothic" w:hAnsi="Century Gothic"/>
          <w:spacing w:val="-9"/>
          <w:sz w:val="19"/>
        </w:rPr>
        <w:t> </w:t>
      </w:r>
      <w:r>
        <w:rPr>
          <w:rFonts w:ascii="Century Gothic" w:hAnsi="Century Gothic"/>
          <w:sz w:val="19"/>
        </w:rPr>
        <w:t>y</w:t>
      </w:r>
      <w:r>
        <w:rPr>
          <w:rFonts w:ascii="Century Gothic" w:hAnsi="Century Gothic"/>
          <w:spacing w:val="-10"/>
          <w:sz w:val="19"/>
        </w:rPr>
        <w:t> </w:t>
      </w:r>
      <w:r>
        <w:rPr>
          <w:rFonts w:ascii="Century Gothic" w:hAnsi="Century Gothic"/>
          <w:sz w:val="19"/>
        </w:rPr>
        <w:t>obtenemos</w:t>
      </w:r>
      <w:r>
        <w:rPr>
          <w:rFonts w:ascii="Century Gothic" w:hAnsi="Century Gothic"/>
          <w:spacing w:val="-9"/>
          <w:sz w:val="19"/>
        </w:rPr>
        <w:t> </w:t>
      </w:r>
      <w:r>
        <w:rPr>
          <w:rFonts w:ascii="Century Gothic" w:hAnsi="Century Gothic"/>
          <w:sz w:val="19"/>
        </w:rPr>
        <w:t>evidencia</w:t>
      </w:r>
      <w:r>
        <w:rPr>
          <w:rFonts w:ascii="Century Gothic" w:hAnsi="Century Gothic"/>
          <w:spacing w:val="-9"/>
          <w:sz w:val="19"/>
        </w:rPr>
        <w:t> </w:t>
      </w:r>
      <w:r>
        <w:rPr>
          <w:rFonts w:ascii="Century Gothic" w:hAnsi="Century Gothic"/>
          <w:sz w:val="19"/>
        </w:rPr>
        <w:t>de</w:t>
      </w:r>
      <w:r>
        <w:rPr>
          <w:rFonts w:ascii="Century Gothic" w:hAnsi="Century Gothic"/>
          <w:spacing w:val="-10"/>
          <w:sz w:val="19"/>
        </w:rPr>
        <w:t> </w:t>
      </w:r>
      <w:r>
        <w:rPr>
          <w:rFonts w:ascii="Century Gothic" w:hAnsi="Century Gothic"/>
          <w:sz w:val="19"/>
        </w:rPr>
        <w:t>auditoría</w:t>
      </w:r>
      <w:r>
        <w:rPr>
          <w:rFonts w:ascii="Century Gothic" w:hAnsi="Century Gothic"/>
          <w:spacing w:val="-10"/>
          <w:sz w:val="19"/>
        </w:rPr>
        <w:t> </w:t>
      </w:r>
      <w:r>
        <w:rPr>
          <w:rFonts w:ascii="Century Gothic" w:hAnsi="Century Gothic"/>
          <w:sz w:val="19"/>
        </w:rPr>
        <w:t>suficiente</w:t>
      </w:r>
      <w:r>
        <w:rPr>
          <w:rFonts w:ascii="Century Gothic" w:hAnsi="Century Gothic"/>
          <w:spacing w:val="-8"/>
          <w:sz w:val="19"/>
        </w:rPr>
        <w:t> </w:t>
      </w:r>
      <w:r>
        <w:rPr>
          <w:rFonts w:ascii="Century Gothic" w:hAnsi="Century Gothic"/>
          <w:sz w:val="19"/>
        </w:rPr>
        <w:t>y</w:t>
      </w:r>
      <w:r>
        <w:rPr>
          <w:rFonts w:ascii="Century Gothic" w:hAnsi="Century Gothic"/>
          <w:spacing w:val="-10"/>
          <w:sz w:val="19"/>
        </w:rPr>
        <w:t> </w:t>
      </w:r>
      <w:r>
        <w:rPr>
          <w:rFonts w:ascii="Century Gothic" w:hAnsi="Century Gothic"/>
          <w:sz w:val="19"/>
        </w:rPr>
        <w:t>adecuada</w:t>
      </w:r>
      <w:r>
        <w:rPr>
          <w:rFonts w:ascii="Century Gothic" w:hAnsi="Century Gothic"/>
          <w:spacing w:val="-11"/>
          <w:sz w:val="19"/>
        </w:rPr>
        <w:t> </w:t>
      </w:r>
      <w:r>
        <w:rPr>
          <w:rFonts w:ascii="Century Gothic" w:hAnsi="Century Gothic"/>
          <w:sz w:val="19"/>
        </w:rPr>
        <w:t>para</w:t>
      </w:r>
      <w:r>
        <w:rPr>
          <w:rFonts w:ascii="Century Gothic" w:hAnsi="Century Gothic"/>
          <w:spacing w:val="-5"/>
          <w:sz w:val="19"/>
        </w:rPr>
        <w:t> </w:t>
      </w:r>
      <w:r>
        <w:rPr>
          <w:rFonts w:ascii="Century Gothic" w:hAnsi="Century Gothic"/>
          <w:sz w:val="19"/>
        </w:rPr>
        <w:t>proporcionar</w:t>
      </w:r>
      <w:r>
        <w:rPr>
          <w:rFonts w:ascii="Century Gothic" w:hAnsi="Century Gothic"/>
          <w:spacing w:val="-9"/>
          <w:sz w:val="19"/>
        </w:rPr>
        <w:t> </w:t>
      </w:r>
      <w:r>
        <w:rPr>
          <w:rFonts w:ascii="Century Gothic" w:hAnsi="Century Gothic"/>
          <w:sz w:val="19"/>
        </w:rPr>
        <w:t>una</w:t>
      </w:r>
      <w:r>
        <w:rPr>
          <w:rFonts w:ascii="Century Gothic" w:hAnsi="Century Gothic"/>
          <w:spacing w:val="-10"/>
          <w:sz w:val="19"/>
        </w:rPr>
        <w:t> </w:t>
      </w:r>
      <w:r>
        <w:rPr>
          <w:rFonts w:ascii="Century Gothic" w:hAnsi="Century Gothic"/>
          <w:sz w:val="19"/>
        </w:rPr>
        <w:t>base para</w:t>
      </w:r>
      <w:r>
        <w:rPr>
          <w:rFonts w:ascii="Century Gothic" w:hAnsi="Century Gothic"/>
          <w:spacing w:val="-10"/>
          <w:sz w:val="19"/>
        </w:rPr>
        <w:t> </w:t>
      </w:r>
      <w:r>
        <w:rPr>
          <w:rFonts w:ascii="Century Gothic" w:hAnsi="Century Gothic"/>
          <w:sz w:val="19"/>
        </w:rPr>
        <w:t>nuestra</w:t>
      </w:r>
      <w:r>
        <w:rPr>
          <w:rFonts w:ascii="Century Gothic" w:hAnsi="Century Gothic"/>
          <w:spacing w:val="-12"/>
          <w:sz w:val="19"/>
        </w:rPr>
        <w:t> </w:t>
      </w:r>
      <w:r>
        <w:rPr>
          <w:rFonts w:ascii="Century Gothic" w:hAnsi="Century Gothic"/>
          <w:sz w:val="19"/>
        </w:rPr>
        <w:t>opinión.</w:t>
      </w:r>
      <w:r>
        <w:rPr>
          <w:rFonts w:ascii="Century Gothic" w:hAnsi="Century Gothic"/>
          <w:spacing w:val="-9"/>
          <w:sz w:val="19"/>
        </w:rPr>
        <w:t> </w:t>
      </w:r>
      <w:r>
        <w:rPr>
          <w:rFonts w:ascii="Century Gothic" w:hAnsi="Century Gothic"/>
          <w:sz w:val="19"/>
        </w:rPr>
        <w:t>El</w:t>
      </w:r>
      <w:r>
        <w:rPr>
          <w:rFonts w:ascii="Century Gothic" w:hAnsi="Century Gothic"/>
          <w:spacing w:val="-12"/>
          <w:sz w:val="19"/>
        </w:rPr>
        <w:t> </w:t>
      </w:r>
      <w:r>
        <w:rPr>
          <w:rFonts w:ascii="Century Gothic" w:hAnsi="Century Gothic"/>
          <w:sz w:val="19"/>
        </w:rPr>
        <w:t>riesgo</w:t>
      </w:r>
      <w:r>
        <w:rPr>
          <w:rFonts w:ascii="Century Gothic" w:hAnsi="Century Gothic"/>
          <w:spacing w:val="-12"/>
          <w:sz w:val="19"/>
        </w:rPr>
        <w:t> </w:t>
      </w:r>
      <w:r>
        <w:rPr>
          <w:rFonts w:ascii="Century Gothic" w:hAnsi="Century Gothic"/>
          <w:sz w:val="19"/>
        </w:rPr>
        <w:t>de</w:t>
      </w:r>
      <w:r>
        <w:rPr>
          <w:rFonts w:ascii="Century Gothic" w:hAnsi="Century Gothic"/>
          <w:spacing w:val="-13"/>
          <w:sz w:val="19"/>
        </w:rPr>
        <w:t> </w:t>
      </w:r>
      <w:r>
        <w:rPr>
          <w:rFonts w:ascii="Century Gothic" w:hAnsi="Century Gothic"/>
          <w:sz w:val="19"/>
        </w:rPr>
        <w:t>no</w:t>
      </w:r>
      <w:r>
        <w:rPr>
          <w:rFonts w:ascii="Century Gothic" w:hAnsi="Century Gothic"/>
          <w:spacing w:val="-12"/>
          <w:sz w:val="19"/>
        </w:rPr>
        <w:t> </w:t>
      </w:r>
      <w:r>
        <w:rPr>
          <w:rFonts w:ascii="Century Gothic" w:hAnsi="Century Gothic"/>
          <w:sz w:val="19"/>
        </w:rPr>
        <w:t>detectar</w:t>
      </w:r>
      <w:r>
        <w:rPr>
          <w:rFonts w:ascii="Century Gothic" w:hAnsi="Century Gothic"/>
          <w:spacing w:val="-12"/>
          <w:sz w:val="19"/>
        </w:rPr>
        <w:t> </w:t>
      </w:r>
      <w:r>
        <w:rPr>
          <w:rFonts w:ascii="Century Gothic" w:hAnsi="Century Gothic"/>
          <w:sz w:val="19"/>
        </w:rPr>
        <w:t>una</w:t>
      </w:r>
      <w:r>
        <w:rPr>
          <w:rFonts w:ascii="Century Gothic" w:hAnsi="Century Gothic"/>
          <w:spacing w:val="-13"/>
          <w:sz w:val="19"/>
        </w:rPr>
        <w:t> </w:t>
      </w:r>
      <w:r>
        <w:rPr>
          <w:rFonts w:ascii="Century Gothic" w:hAnsi="Century Gothic"/>
          <w:sz w:val="19"/>
        </w:rPr>
        <w:t>incorrección</w:t>
      </w:r>
      <w:r>
        <w:rPr>
          <w:rFonts w:ascii="Century Gothic" w:hAnsi="Century Gothic"/>
          <w:spacing w:val="-10"/>
          <w:sz w:val="19"/>
        </w:rPr>
        <w:t> </w:t>
      </w:r>
      <w:r>
        <w:rPr>
          <w:rFonts w:ascii="Century Gothic" w:hAnsi="Century Gothic"/>
          <w:sz w:val="19"/>
        </w:rPr>
        <w:t>material</w:t>
      </w:r>
      <w:r>
        <w:rPr>
          <w:rFonts w:ascii="Century Gothic" w:hAnsi="Century Gothic"/>
          <w:spacing w:val="-12"/>
          <w:sz w:val="19"/>
        </w:rPr>
        <w:t> </w:t>
      </w:r>
      <w:r>
        <w:rPr>
          <w:rFonts w:ascii="Century Gothic" w:hAnsi="Century Gothic"/>
          <w:sz w:val="19"/>
        </w:rPr>
        <w:t>debida</w:t>
      </w:r>
      <w:r>
        <w:rPr>
          <w:rFonts w:ascii="Century Gothic" w:hAnsi="Century Gothic"/>
          <w:spacing w:val="-10"/>
          <w:sz w:val="19"/>
        </w:rPr>
        <w:t> </w:t>
      </w:r>
      <w:r>
        <w:rPr>
          <w:rFonts w:ascii="Century Gothic" w:hAnsi="Century Gothic"/>
          <w:sz w:val="19"/>
        </w:rPr>
        <w:t>a</w:t>
      </w:r>
      <w:r>
        <w:rPr>
          <w:rFonts w:ascii="Century Gothic" w:hAnsi="Century Gothic"/>
          <w:spacing w:val="-12"/>
          <w:sz w:val="19"/>
        </w:rPr>
        <w:t> </w:t>
      </w:r>
      <w:r>
        <w:rPr>
          <w:rFonts w:ascii="Century Gothic" w:hAnsi="Century Gothic"/>
          <w:sz w:val="19"/>
        </w:rPr>
        <w:t>fraude</w:t>
      </w:r>
      <w:r>
        <w:rPr>
          <w:rFonts w:ascii="Century Gothic" w:hAnsi="Century Gothic"/>
          <w:spacing w:val="-13"/>
          <w:sz w:val="19"/>
        </w:rPr>
        <w:t> </w:t>
      </w:r>
      <w:r>
        <w:rPr>
          <w:rFonts w:ascii="Century Gothic" w:hAnsi="Century Gothic"/>
          <w:sz w:val="19"/>
        </w:rPr>
        <w:t>es</w:t>
      </w:r>
      <w:r>
        <w:rPr>
          <w:rFonts w:ascii="Century Gothic" w:hAnsi="Century Gothic"/>
          <w:spacing w:val="-9"/>
          <w:sz w:val="19"/>
        </w:rPr>
        <w:t> </w:t>
      </w:r>
      <w:r>
        <w:rPr>
          <w:rFonts w:ascii="Century Gothic" w:hAnsi="Century Gothic"/>
          <w:sz w:val="19"/>
        </w:rPr>
        <w:t>más elevado que en el caso de una incorrección material debida a error, ya que el fraude puede implicar colusión, falsificación, omisiones deliberadas, manifestaciones intencionadamente erróneas, o la elusión del control interno.</w:t>
      </w:r>
    </w:p>
    <w:p>
      <w:pPr>
        <w:pStyle w:val="ListParagraph"/>
        <w:spacing w:after="0" w:line="240" w:lineRule="auto"/>
        <w:jc w:val="both"/>
        <w:rPr>
          <w:rFonts w:ascii="Century Gothic" w:hAnsi="Century Gothic"/>
          <w:sz w:val="19"/>
        </w:rPr>
        <w:sectPr>
          <w:pgSz w:w="12240" w:h="15840"/>
          <w:pgMar w:header="139" w:footer="846" w:top="1700" w:bottom="1040" w:left="1080" w:right="1080"/>
        </w:sectPr>
      </w:pPr>
    </w:p>
    <w:p>
      <w:pPr>
        <w:pStyle w:val="BodyText"/>
        <w:spacing w:before="89"/>
        <w:rPr>
          <w:rFonts w:ascii="Century Gothic"/>
          <w:sz w:val="19"/>
        </w:rPr>
      </w:pPr>
      <w:r>
        <w:rPr>
          <w:rFonts w:ascii="Century Gothic"/>
          <w:sz w:val="19"/>
        </w:rPr>
        <mc:AlternateContent>
          <mc:Choice Requires="wps">
            <w:drawing>
              <wp:anchor distT="0" distB="0" distL="0" distR="0" allowOverlap="1" layoutInCell="1" locked="0" behindDoc="0" simplePos="0" relativeHeight="15732224">
                <wp:simplePos x="0" y="0"/>
                <wp:positionH relativeFrom="page">
                  <wp:posOffset>389592</wp:posOffset>
                </wp:positionH>
                <wp:positionV relativeFrom="page">
                  <wp:posOffset>2765985</wp:posOffset>
                </wp:positionV>
                <wp:extent cx="132715" cy="507873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32715" cy="5078730"/>
                        </a:xfrm>
                        <a:prstGeom prst="rect">
                          <a:avLst/>
                        </a:prstGeom>
                      </wps:spPr>
                      <wps:txbx>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wps:txbx>
                      <wps:bodyPr wrap="square" lIns="0" tIns="0" rIns="0" bIns="0" rtlCol="0" vert="vert270">
                        <a:noAutofit/>
                      </wps:bodyPr>
                    </wps:wsp>
                  </a:graphicData>
                </a:graphic>
              </wp:anchor>
            </w:drawing>
          </mc:Choice>
          <mc:Fallback>
            <w:pict>
              <v:shape style="position:absolute;margin-left:30.676601pt;margin-top:217.794098pt;width:10.45pt;height:399.9pt;mso-position-horizontal-relative:page;mso-position-vertical-relative:page;z-index:15732224" type="#_x0000_t202" id="docshape5" filled="false" stroked="false">
                <v:textbox inset="0,0,0,0" style="layout-flow:vertical;mso-layout-flow-alt:bottom-to-top">
                  <w:txbxContent>
                    <w:p>
                      <w:pPr>
                        <w:spacing w:before="19"/>
                        <w:ind w:left="20" w:right="0" w:firstLine="0"/>
                        <w:jc w:val="left"/>
                        <w:rPr>
                          <w:rFonts w:ascii="Tahoma" w:hAnsi="Tahoma"/>
                          <w:sz w:val="14"/>
                        </w:rPr>
                      </w:pPr>
                      <w:r>
                        <w:rPr>
                          <w:rFonts w:ascii="Tahoma" w:hAnsi="Tahoma"/>
                          <w:color w:val="808080"/>
                          <w:sz w:val="14"/>
                        </w:rPr>
                        <w:t>A</w:t>
                      </w:r>
                      <w:r>
                        <w:rPr>
                          <w:rFonts w:ascii="Tahoma" w:hAnsi="Tahoma"/>
                          <w:color w:val="808080"/>
                          <w:spacing w:val="-5"/>
                          <w:sz w:val="14"/>
                        </w:rPr>
                        <w:t> </w:t>
                      </w:r>
                      <w:r>
                        <w:rPr>
                          <w:rFonts w:ascii="Tahoma" w:hAnsi="Tahoma"/>
                          <w:color w:val="808080"/>
                          <w:sz w:val="14"/>
                        </w:rPr>
                        <w:t>92015254-</w:t>
                      </w:r>
                      <w:r>
                        <w:rPr>
                          <w:rFonts w:ascii="Tahoma" w:hAnsi="Tahoma"/>
                          <w:color w:val="808080"/>
                          <w:spacing w:val="-4"/>
                          <w:sz w:val="14"/>
                        </w:rPr>
                        <w:t> </w:t>
                      </w:r>
                      <w:r>
                        <w:rPr>
                          <w:rFonts w:ascii="Tahoma" w:hAnsi="Tahoma"/>
                          <w:color w:val="808080"/>
                          <w:sz w:val="14"/>
                        </w:rPr>
                        <w:t>Inscrita</w:t>
                      </w:r>
                      <w:r>
                        <w:rPr>
                          <w:rFonts w:ascii="Tahoma" w:hAnsi="Tahoma"/>
                          <w:color w:val="808080"/>
                          <w:spacing w:val="-5"/>
                          <w:sz w:val="14"/>
                        </w:rPr>
                        <w:t> </w:t>
                      </w:r>
                      <w:r>
                        <w:rPr>
                          <w:rFonts w:ascii="Tahoma" w:hAnsi="Tahoma"/>
                          <w:color w:val="808080"/>
                          <w:sz w:val="14"/>
                        </w:rPr>
                        <w:t>en</w:t>
                      </w:r>
                      <w:r>
                        <w:rPr>
                          <w:rFonts w:ascii="Tahoma" w:hAnsi="Tahoma"/>
                          <w:color w:val="808080"/>
                          <w:spacing w:val="-4"/>
                          <w:sz w:val="14"/>
                        </w:rPr>
                        <w:t> </w:t>
                      </w:r>
                      <w:r>
                        <w:rPr>
                          <w:rFonts w:ascii="Tahoma" w:hAnsi="Tahoma"/>
                          <w:color w:val="808080"/>
                          <w:sz w:val="14"/>
                        </w:rPr>
                        <w:t>el</w:t>
                      </w:r>
                      <w:r>
                        <w:rPr>
                          <w:rFonts w:ascii="Tahoma" w:hAnsi="Tahoma"/>
                          <w:color w:val="808080"/>
                          <w:spacing w:val="-4"/>
                          <w:sz w:val="14"/>
                        </w:rPr>
                        <w:t> </w:t>
                      </w:r>
                      <w:r>
                        <w:rPr>
                          <w:rFonts w:ascii="Tahoma" w:hAnsi="Tahoma"/>
                          <w:color w:val="808080"/>
                          <w:sz w:val="14"/>
                        </w:rPr>
                        <w:t>Registro</w:t>
                      </w:r>
                      <w:r>
                        <w:rPr>
                          <w:rFonts w:ascii="Tahoma" w:hAnsi="Tahoma"/>
                          <w:color w:val="808080"/>
                          <w:spacing w:val="-5"/>
                          <w:sz w:val="14"/>
                        </w:rPr>
                        <w:t> </w:t>
                      </w:r>
                      <w:r>
                        <w:rPr>
                          <w:rFonts w:ascii="Tahoma" w:hAnsi="Tahoma"/>
                          <w:color w:val="808080"/>
                          <w:sz w:val="14"/>
                        </w:rPr>
                        <w:t>Mercantil</w:t>
                      </w:r>
                      <w:r>
                        <w:rPr>
                          <w:rFonts w:ascii="Tahoma" w:hAnsi="Tahoma"/>
                          <w:color w:val="808080"/>
                          <w:spacing w:val="-5"/>
                          <w:sz w:val="14"/>
                        </w:rPr>
                        <w:t> </w:t>
                      </w:r>
                      <w:r>
                        <w:rPr>
                          <w:rFonts w:ascii="Tahoma" w:hAnsi="Tahoma"/>
                          <w:color w:val="808080"/>
                          <w:sz w:val="14"/>
                        </w:rPr>
                        <w:t>de</w:t>
                      </w:r>
                      <w:r>
                        <w:rPr>
                          <w:rFonts w:ascii="Tahoma" w:hAnsi="Tahoma"/>
                          <w:color w:val="808080"/>
                          <w:spacing w:val="-4"/>
                          <w:sz w:val="14"/>
                        </w:rPr>
                        <w:t> </w:t>
                      </w:r>
                      <w:r>
                        <w:rPr>
                          <w:rFonts w:ascii="Tahoma" w:hAnsi="Tahoma"/>
                          <w:color w:val="808080"/>
                          <w:sz w:val="14"/>
                        </w:rPr>
                        <w:t>Málaga,</w:t>
                      </w:r>
                      <w:r>
                        <w:rPr>
                          <w:rFonts w:ascii="Tahoma" w:hAnsi="Tahoma"/>
                          <w:color w:val="808080"/>
                          <w:spacing w:val="-5"/>
                          <w:sz w:val="14"/>
                        </w:rPr>
                        <w:t> </w:t>
                      </w:r>
                      <w:r>
                        <w:rPr>
                          <w:rFonts w:ascii="Tahoma" w:hAnsi="Tahoma"/>
                          <w:color w:val="808080"/>
                          <w:sz w:val="14"/>
                        </w:rPr>
                        <w:t>Tomo</w:t>
                      </w:r>
                      <w:r>
                        <w:rPr>
                          <w:rFonts w:ascii="Tahoma" w:hAnsi="Tahoma"/>
                          <w:color w:val="808080"/>
                          <w:spacing w:val="-5"/>
                          <w:sz w:val="14"/>
                        </w:rPr>
                        <w:t> </w:t>
                      </w:r>
                      <w:r>
                        <w:rPr>
                          <w:rFonts w:ascii="Tahoma" w:hAnsi="Tahoma"/>
                          <w:color w:val="808080"/>
                          <w:sz w:val="14"/>
                        </w:rPr>
                        <w:t>2220,</w:t>
                      </w:r>
                      <w:r>
                        <w:rPr>
                          <w:rFonts w:ascii="Tahoma" w:hAnsi="Tahoma"/>
                          <w:color w:val="808080"/>
                          <w:spacing w:val="-4"/>
                          <w:sz w:val="14"/>
                        </w:rPr>
                        <w:t> </w:t>
                      </w:r>
                      <w:r>
                        <w:rPr>
                          <w:rFonts w:ascii="Tahoma" w:hAnsi="Tahoma"/>
                          <w:color w:val="808080"/>
                          <w:sz w:val="14"/>
                        </w:rPr>
                        <w:t>1133,</w:t>
                      </w:r>
                      <w:r>
                        <w:rPr>
                          <w:rFonts w:ascii="Tahoma" w:hAnsi="Tahoma"/>
                          <w:color w:val="808080"/>
                          <w:spacing w:val="-4"/>
                          <w:sz w:val="14"/>
                        </w:rPr>
                        <w:t> </w:t>
                      </w:r>
                      <w:r>
                        <w:rPr>
                          <w:rFonts w:ascii="Tahoma" w:hAnsi="Tahoma"/>
                          <w:color w:val="808080"/>
                          <w:sz w:val="14"/>
                        </w:rPr>
                        <w:t>Folio</w:t>
                      </w:r>
                      <w:r>
                        <w:rPr>
                          <w:rFonts w:ascii="Tahoma" w:hAnsi="Tahoma"/>
                          <w:color w:val="808080"/>
                          <w:spacing w:val="-5"/>
                          <w:sz w:val="14"/>
                        </w:rPr>
                        <w:t> </w:t>
                      </w:r>
                      <w:r>
                        <w:rPr>
                          <w:rFonts w:ascii="Tahoma" w:hAnsi="Tahoma"/>
                          <w:color w:val="808080"/>
                          <w:sz w:val="14"/>
                        </w:rPr>
                        <w:t>175,</w:t>
                      </w:r>
                      <w:r>
                        <w:rPr>
                          <w:rFonts w:ascii="Tahoma" w:hAnsi="Tahoma"/>
                          <w:color w:val="808080"/>
                          <w:spacing w:val="-4"/>
                          <w:sz w:val="14"/>
                        </w:rPr>
                        <w:t> </w:t>
                      </w:r>
                      <w:r>
                        <w:rPr>
                          <w:rFonts w:ascii="Tahoma" w:hAnsi="Tahoma"/>
                          <w:color w:val="808080"/>
                          <w:sz w:val="14"/>
                        </w:rPr>
                        <w:t>Sección</w:t>
                      </w:r>
                      <w:r>
                        <w:rPr>
                          <w:rFonts w:ascii="Tahoma" w:hAnsi="Tahoma"/>
                          <w:color w:val="808080"/>
                          <w:spacing w:val="-5"/>
                          <w:sz w:val="14"/>
                        </w:rPr>
                        <w:t> </w:t>
                      </w:r>
                      <w:r>
                        <w:rPr>
                          <w:rFonts w:ascii="Tahoma" w:hAnsi="Tahoma"/>
                          <w:color w:val="808080"/>
                          <w:sz w:val="14"/>
                        </w:rPr>
                        <w:t>8,</w:t>
                      </w:r>
                      <w:r>
                        <w:rPr>
                          <w:rFonts w:ascii="Tahoma" w:hAnsi="Tahoma"/>
                          <w:color w:val="808080"/>
                          <w:spacing w:val="-4"/>
                          <w:sz w:val="14"/>
                        </w:rPr>
                        <w:t> </w:t>
                      </w:r>
                      <w:r>
                        <w:rPr>
                          <w:rFonts w:ascii="Tahoma" w:hAnsi="Tahoma"/>
                          <w:color w:val="808080"/>
                          <w:sz w:val="14"/>
                        </w:rPr>
                        <w:t>Hoja</w:t>
                      </w:r>
                      <w:r>
                        <w:rPr>
                          <w:rFonts w:ascii="Tahoma" w:hAnsi="Tahoma"/>
                          <w:color w:val="808080"/>
                          <w:spacing w:val="-5"/>
                          <w:sz w:val="14"/>
                        </w:rPr>
                        <w:t> </w:t>
                      </w:r>
                      <w:r>
                        <w:rPr>
                          <w:rFonts w:ascii="Tahoma" w:hAnsi="Tahoma"/>
                          <w:color w:val="808080"/>
                          <w:sz w:val="14"/>
                        </w:rPr>
                        <w:t>MA</w:t>
                      </w:r>
                      <w:r>
                        <w:rPr>
                          <w:rFonts w:ascii="Tahoma" w:hAnsi="Tahoma"/>
                          <w:color w:val="808080"/>
                          <w:spacing w:val="-4"/>
                          <w:sz w:val="14"/>
                        </w:rPr>
                        <w:t> </w:t>
                      </w:r>
                      <w:r>
                        <w:rPr>
                          <w:rFonts w:ascii="Tahoma" w:hAnsi="Tahoma"/>
                          <w:color w:val="808080"/>
                          <w:sz w:val="14"/>
                        </w:rPr>
                        <w:t>33628</w:t>
                      </w:r>
                      <w:r>
                        <w:rPr>
                          <w:rFonts w:ascii="Tahoma" w:hAnsi="Tahoma"/>
                          <w:color w:val="808080"/>
                          <w:spacing w:val="-5"/>
                          <w:sz w:val="14"/>
                        </w:rPr>
                        <w:t> </w:t>
                      </w:r>
                      <w:r>
                        <w:rPr>
                          <w:rFonts w:ascii="Tahoma" w:hAnsi="Tahoma"/>
                          <w:color w:val="808080"/>
                          <w:sz w:val="14"/>
                        </w:rPr>
                        <w:t>,</w:t>
                      </w:r>
                      <w:r>
                        <w:rPr>
                          <w:rFonts w:ascii="Tahoma" w:hAnsi="Tahoma"/>
                          <w:color w:val="808080"/>
                          <w:spacing w:val="-4"/>
                          <w:sz w:val="14"/>
                        </w:rPr>
                        <w:t> </w:t>
                      </w:r>
                      <w:r>
                        <w:rPr>
                          <w:rFonts w:ascii="Tahoma" w:hAnsi="Tahoma"/>
                          <w:color w:val="808080"/>
                          <w:sz w:val="14"/>
                        </w:rPr>
                        <w:t>inscripción</w:t>
                      </w:r>
                      <w:r>
                        <w:rPr>
                          <w:rFonts w:ascii="Tahoma" w:hAnsi="Tahoma"/>
                          <w:color w:val="808080"/>
                          <w:spacing w:val="-5"/>
                          <w:sz w:val="14"/>
                        </w:rPr>
                        <w:t> 1ª</w:t>
                      </w:r>
                    </w:p>
                  </w:txbxContent>
                </v:textbox>
                <w10:wrap type="none"/>
              </v:shape>
            </w:pict>
          </mc:Fallback>
        </mc:AlternateContent>
      </w:r>
    </w:p>
    <w:p>
      <w:pPr>
        <w:pStyle w:val="ListParagraph"/>
        <w:numPr>
          <w:ilvl w:val="0"/>
          <w:numId w:val="3"/>
        </w:numPr>
        <w:tabs>
          <w:tab w:pos="1044" w:val="left" w:leader="none"/>
          <w:tab w:pos="1046" w:val="left" w:leader="none"/>
        </w:tabs>
        <w:spacing w:line="240" w:lineRule="auto" w:before="0" w:after="0"/>
        <w:ind w:left="1046" w:right="220" w:hanging="281"/>
        <w:jc w:val="both"/>
        <w:rPr>
          <w:rFonts w:ascii="Century Gothic" w:hAnsi="Century Gothic"/>
          <w:sz w:val="19"/>
        </w:rPr>
      </w:pPr>
      <w:r>
        <w:rPr>
          <w:rFonts w:ascii="Century Gothic" w:hAnsi="Century Gothic"/>
          <w:sz w:val="19"/>
        </w:rPr>
        <w:t>Obtenemos conocimiento del control interno relevante para la auditoría con el fin de diseñar procedimientos</w:t>
      </w:r>
      <w:r>
        <w:rPr>
          <w:rFonts w:ascii="Century Gothic" w:hAnsi="Century Gothic"/>
          <w:spacing w:val="-5"/>
          <w:sz w:val="19"/>
        </w:rPr>
        <w:t> </w:t>
      </w:r>
      <w:r>
        <w:rPr>
          <w:rFonts w:ascii="Century Gothic" w:hAnsi="Century Gothic"/>
          <w:sz w:val="19"/>
        </w:rPr>
        <w:t>de</w:t>
      </w:r>
      <w:r>
        <w:rPr>
          <w:rFonts w:ascii="Century Gothic" w:hAnsi="Century Gothic"/>
          <w:spacing w:val="-4"/>
          <w:sz w:val="19"/>
        </w:rPr>
        <w:t> </w:t>
      </w:r>
      <w:r>
        <w:rPr>
          <w:rFonts w:ascii="Century Gothic" w:hAnsi="Century Gothic"/>
          <w:sz w:val="19"/>
        </w:rPr>
        <w:t>auditoría</w:t>
      </w:r>
      <w:r>
        <w:rPr>
          <w:rFonts w:ascii="Century Gothic" w:hAnsi="Century Gothic"/>
          <w:spacing w:val="-5"/>
          <w:sz w:val="19"/>
        </w:rPr>
        <w:t> </w:t>
      </w:r>
      <w:r>
        <w:rPr>
          <w:rFonts w:ascii="Century Gothic" w:hAnsi="Century Gothic"/>
          <w:sz w:val="19"/>
        </w:rPr>
        <w:t>que</w:t>
      </w:r>
      <w:r>
        <w:rPr>
          <w:rFonts w:ascii="Century Gothic" w:hAnsi="Century Gothic"/>
          <w:spacing w:val="-6"/>
          <w:sz w:val="19"/>
        </w:rPr>
        <w:t> </w:t>
      </w:r>
      <w:r>
        <w:rPr>
          <w:rFonts w:ascii="Century Gothic" w:hAnsi="Century Gothic"/>
          <w:sz w:val="19"/>
        </w:rPr>
        <w:t>sean</w:t>
      </w:r>
      <w:r>
        <w:rPr>
          <w:rFonts w:ascii="Century Gothic" w:hAnsi="Century Gothic"/>
          <w:spacing w:val="-5"/>
          <w:sz w:val="19"/>
        </w:rPr>
        <w:t> </w:t>
      </w:r>
      <w:r>
        <w:rPr>
          <w:rFonts w:ascii="Century Gothic" w:hAnsi="Century Gothic"/>
          <w:sz w:val="19"/>
        </w:rPr>
        <w:t>adecuados</w:t>
      </w:r>
      <w:r>
        <w:rPr>
          <w:rFonts w:ascii="Century Gothic" w:hAnsi="Century Gothic"/>
          <w:spacing w:val="-2"/>
          <w:sz w:val="19"/>
        </w:rPr>
        <w:t> </w:t>
      </w:r>
      <w:r>
        <w:rPr>
          <w:rFonts w:ascii="Century Gothic" w:hAnsi="Century Gothic"/>
          <w:sz w:val="19"/>
        </w:rPr>
        <w:t>en</w:t>
      </w:r>
      <w:r>
        <w:rPr>
          <w:rFonts w:ascii="Century Gothic" w:hAnsi="Century Gothic"/>
          <w:spacing w:val="-3"/>
          <w:sz w:val="19"/>
        </w:rPr>
        <w:t> </w:t>
      </w:r>
      <w:r>
        <w:rPr>
          <w:rFonts w:ascii="Century Gothic" w:hAnsi="Century Gothic"/>
          <w:sz w:val="19"/>
        </w:rPr>
        <w:t>función</w:t>
      </w:r>
      <w:r>
        <w:rPr>
          <w:rFonts w:ascii="Century Gothic" w:hAnsi="Century Gothic"/>
          <w:spacing w:val="-3"/>
          <w:sz w:val="19"/>
        </w:rPr>
        <w:t> </w:t>
      </w:r>
      <w:r>
        <w:rPr>
          <w:rFonts w:ascii="Century Gothic" w:hAnsi="Century Gothic"/>
          <w:sz w:val="19"/>
        </w:rPr>
        <w:t>de</w:t>
      </w:r>
      <w:r>
        <w:rPr>
          <w:rFonts w:ascii="Century Gothic" w:hAnsi="Century Gothic"/>
          <w:spacing w:val="-6"/>
          <w:sz w:val="19"/>
        </w:rPr>
        <w:t> </w:t>
      </w:r>
      <w:r>
        <w:rPr>
          <w:rFonts w:ascii="Century Gothic" w:hAnsi="Century Gothic"/>
          <w:sz w:val="19"/>
        </w:rPr>
        <w:t>las</w:t>
      </w:r>
      <w:r>
        <w:rPr>
          <w:rFonts w:ascii="Century Gothic" w:hAnsi="Century Gothic"/>
          <w:spacing w:val="-5"/>
          <w:sz w:val="19"/>
        </w:rPr>
        <w:t> </w:t>
      </w:r>
      <w:r>
        <w:rPr>
          <w:rFonts w:ascii="Century Gothic" w:hAnsi="Century Gothic"/>
          <w:sz w:val="19"/>
        </w:rPr>
        <w:t>circunstancias,</w:t>
      </w:r>
      <w:r>
        <w:rPr>
          <w:rFonts w:ascii="Century Gothic" w:hAnsi="Century Gothic"/>
          <w:spacing w:val="-5"/>
          <w:sz w:val="19"/>
        </w:rPr>
        <w:t> </w:t>
      </w:r>
      <w:r>
        <w:rPr>
          <w:rFonts w:ascii="Century Gothic" w:hAnsi="Century Gothic"/>
          <w:sz w:val="19"/>
        </w:rPr>
        <w:t>y</w:t>
      </w:r>
      <w:r>
        <w:rPr>
          <w:rFonts w:ascii="Century Gothic" w:hAnsi="Century Gothic"/>
          <w:spacing w:val="-3"/>
          <w:sz w:val="19"/>
        </w:rPr>
        <w:t> </w:t>
      </w:r>
      <w:r>
        <w:rPr>
          <w:rFonts w:ascii="Century Gothic" w:hAnsi="Century Gothic"/>
          <w:sz w:val="19"/>
        </w:rPr>
        <w:t>no</w:t>
      </w:r>
      <w:r>
        <w:rPr>
          <w:rFonts w:ascii="Century Gothic" w:hAnsi="Century Gothic"/>
          <w:spacing w:val="-2"/>
          <w:sz w:val="19"/>
        </w:rPr>
        <w:t> </w:t>
      </w:r>
      <w:r>
        <w:rPr>
          <w:rFonts w:ascii="Century Gothic" w:hAnsi="Century Gothic"/>
          <w:sz w:val="19"/>
        </w:rPr>
        <w:t>con</w:t>
      </w:r>
      <w:r>
        <w:rPr>
          <w:rFonts w:ascii="Century Gothic" w:hAnsi="Century Gothic"/>
          <w:spacing w:val="-5"/>
          <w:sz w:val="19"/>
        </w:rPr>
        <w:t> </w:t>
      </w:r>
      <w:r>
        <w:rPr>
          <w:rFonts w:ascii="Century Gothic" w:hAnsi="Century Gothic"/>
          <w:sz w:val="19"/>
        </w:rPr>
        <w:t>la finalidad de expresar una opinión sobre la eficacia del control interno de la entidad.</w:t>
      </w:r>
    </w:p>
    <w:p>
      <w:pPr>
        <w:pStyle w:val="ListParagraph"/>
        <w:numPr>
          <w:ilvl w:val="0"/>
          <w:numId w:val="3"/>
        </w:numPr>
        <w:tabs>
          <w:tab w:pos="1044" w:val="left" w:leader="none"/>
          <w:tab w:pos="1046" w:val="left" w:leader="none"/>
        </w:tabs>
        <w:spacing w:line="240" w:lineRule="auto" w:before="232" w:after="0"/>
        <w:ind w:left="1046" w:right="215" w:hanging="281"/>
        <w:jc w:val="both"/>
        <w:rPr>
          <w:rFonts w:ascii="Century Gothic" w:hAnsi="Century Gothic"/>
          <w:sz w:val="19"/>
        </w:rPr>
      </w:pPr>
      <w:r>
        <w:rPr>
          <w:rFonts w:ascii="Century Gothic" w:hAnsi="Century Gothic"/>
          <w:sz w:val="19"/>
        </w:rPr>
        <w:t>Evaluamos si las políticas contables aplicadas son adecuadas y la razonabilidad de las estimaciones contables y la correspondiente información revelada por el Consejo de </w:t>
      </w:r>
      <w:r>
        <w:rPr>
          <w:rFonts w:ascii="Century Gothic" w:hAnsi="Century Gothic"/>
          <w:spacing w:val="-2"/>
          <w:sz w:val="19"/>
        </w:rPr>
        <w:t>Administración.</w:t>
      </w:r>
    </w:p>
    <w:p>
      <w:pPr>
        <w:pStyle w:val="BodyText"/>
        <w:spacing w:before="2"/>
        <w:rPr>
          <w:rFonts w:ascii="Century Gothic"/>
          <w:sz w:val="19"/>
        </w:rPr>
      </w:pPr>
    </w:p>
    <w:p>
      <w:pPr>
        <w:pStyle w:val="ListParagraph"/>
        <w:numPr>
          <w:ilvl w:val="0"/>
          <w:numId w:val="3"/>
        </w:numPr>
        <w:tabs>
          <w:tab w:pos="1044" w:val="left" w:leader="none"/>
          <w:tab w:pos="1046" w:val="left" w:leader="none"/>
        </w:tabs>
        <w:spacing w:line="240" w:lineRule="auto" w:before="0" w:after="0"/>
        <w:ind w:left="1046" w:right="218" w:hanging="281"/>
        <w:jc w:val="both"/>
        <w:rPr>
          <w:rFonts w:ascii="Century Gothic" w:hAnsi="Century Gothic"/>
          <w:sz w:val="19"/>
        </w:rPr>
      </w:pPr>
      <w:r>
        <w:rPr>
          <w:rFonts w:ascii="Century Gothic" w:hAnsi="Century Gothic"/>
          <w:sz w:val="19"/>
        </w:rPr>
        <w:t>Concluimos sobre si es adecuada la utilización, por el Consejo de Administración, del principio contable</w:t>
      </w:r>
      <w:r>
        <w:rPr>
          <w:rFonts w:ascii="Century Gothic" w:hAnsi="Century Gothic"/>
          <w:spacing w:val="-10"/>
          <w:sz w:val="19"/>
        </w:rPr>
        <w:t> </w:t>
      </w:r>
      <w:r>
        <w:rPr>
          <w:rFonts w:ascii="Century Gothic" w:hAnsi="Century Gothic"/>
          <w:sz w:val="19"/>
        </w:rPr>
        <w:t>de</w:t>
      </w:r>
      <w:r>
        <w:rPr>
          <w:rFonts w:ascii="Century Gothic" w:hAnsi="Century Gothic"/>
          <w:spacing w:val="-11"/>
          <w:sz w:val="19"/>
        </w:rPr>
        <w:t> </w:t>
      </w:r>
      <w:r>
        <w:rPr>
          <w:rFonts w:ascii="Century Gothic" w:hAnsi="Century Gothic"/>
          <w:sz w:val="19"/>
        </w:rPr>
        <w:t>empresa</w:t>
      </w:r>
      <w:r>
        <w:rPr>
          <w:rFonts w:ascii="Century Gothic" w:hAnsi="Century Gothic"/>
          <w:spacing w:val="-9"/>
          <w:sz w:val="19"/>
        </w:rPr>
        <w:t> </w:t>
      </w:r>
      <w:r>
        <w:rPr>
          <w:rFonts w:ascii="Century Gothic" w:hAnsi="Century Gothic"/>
          <w:sz w:val="19"/>
        </w:rPr>
        <w:t>en</w:t>
      </w:r>
      <w:r>
        <w:rPr>
          <w:rFonts w:ascii="Century Gothic" w:hAnsi="Century Gothic"/>
          <w:spacing w:val="-10"/>
          <w:sz w:val="19"/>
        </w:rPr>
        <w:t> </w:t>
      </w:r>
      <w:r>
        <w:rPr>
          <w:rFonts w:ascii="Century Gothic" w:hAnsi="Century Gothic"/>
          <w:sz w:val="19"/>
        </w:rPr>
        <w:t>funcionamiento</w:t>
      </w:r>
      <w:r>
        <w:rPr>
          <w:rFonts w:ascii="Century Gothic" w:hAnsi="Century Gothic"/>
          <w:spacing w:val="-8"/>
          <w:sz w:val="19"/>
        </w:rPr>
        <w:t> </w:t>
      </w:r>
      <w:r>
        <w:rPr>
          <w:rFonts w:ascii="Century Gothic" w:hAnsi="Century Gothic"/>
          <w:sz w:val="19"/>
        </w:rPr>
        <w:t>y,</w:t>
      </w:r>
      <w:r>
        <w:rPr>
          <w:rFonts w:ascii="Century Gothic" w:hAnsi="Century Gothic"/>
          <w:spacing w:val="-10"/>
          <w:sz w:val="19"/>
        </w:rPr>
        <w:t> </w:t>
      </w:r>
      <w:r>
        <w:rPr>
          <w:rFonts w:ascii="Century Gothic" w:hAnsi="Century Gothic"/>
          <w:sz w:val="19"/>
        </w:rPr>
        <w:t>basándonos</w:t>
      </w:r>
      <w:r>
        <w:rPr>
          <w:rFonts w:ascii="Century Gothic" w:hAnsi="Century Gothic"/>
          <w:spacing w:val="-9"/>
          <w:sz w:val="19"/>
        </w:rPr>
        <w:t> </w:t>
      </w:r>
      <w:r>
        <w:rPr>
          <w:rFonts w:ascii="Century Gothic" w:hAnsi="Century Gothic"/>
          <w:sz w:val="19"/>
        </w:rPr>
        <w:t>en</w:t>
      </w:r>
      <w:r>
        <w:rPr>
          <w:rFonts w:ascii="Century Gothic" w:hAnsi="Century Gothic"/>
          <w:spacing w:val="-10"/>
          <w:sz w:val="19"/>
        </w:rPr>
        <w:t> </w:t>
      </w:r>
      <w:r>
        <w:rPr>
          <w:rFonts w:ascii="Century Gothic" w:hAnsi="Century Gothic"/>
          <w:sz w:val="19"/>
        </w:rPr>
        <w:t>la</w:t>
      </w:r>
      <w:r>
        <w:rPr>
          <w:rFonts w:ascii="Century Gothic" w:hAnsi="Century Gothic"/>
          <w:spacing w:val="-7"/>
          <w:sz w:val="19"/>
        </w:rPr>
        <w:t> </w:t>
      </w:r>
      <w:r>
        <w:rPr>
          <w:rFonts w:ascii="Century Gothic" w:hAnsi="Century Gothic"/>
          <w:sz w:val="19"/>
        </w:rPr>
        <w:t>evidencia</w:t>
      </w:r>
      <w:r>
        <w:rPr>
          <w:rFonts w:ascii="Century Gothic" w:hAnsi="Century Gothic"/>
          <w:spacing w:val="-9"/>
          <w:sz w:val="19"/>
        </w:rPr>
        <w:t> </w:t>
      </w:r>
      <w:r>
        <w:rPr>
          <w:rFonts w:ascii="Century Gothic" w:hAnsi="Century Gothic"/>
          <w:sz w:val="19"/>
        </w:rPr>
        <w:t>de</w:t>
      </w:r>
      <w:r>
        <w:rPr>
          <w:rFonts w:ascii="Century Gothic" w:hAnsi="Century Gothic"/>
          <w:spacing w:val="-11"/>
          <w:sz w:val="19"/>
        </w:rPr>
        <w:t> </w:t>
      </w:r>
      <w:r>
        <w:rPr>
          <w:rFonts w:ascii="Century Gothic" w:hAnsi="Century Gothic"/>
          <w:sz w:val="19"/>
        </w:rPr>
        <w:t>auditoría</w:t>
      </w:r>
      <w:r>
        <w:rPr>
          <w:rFonts w:ascii="Century Gothic" w:hAnsi="Century Gothic"/>
          <w:spacing w:val="-9"/>
          <w:sz w:val="19"/>
        </w:rPr>
        <w:t> </w:t>
      </w:r>
      <w:r>
        <w:rPr>
          <w:rFonts w:ascii="Century Gothic" w:hAnsi="Century Gothic"/>
          <w:sz w:val="19"/>
        </w:rPr>
        <w:t>obtenida, concluimos sobre si existe o no una incertidumbre material relacionada con hechos o con condiciones</w:t>
      </w:r>
      <w:r>
        <w:rPr>
          <w:rFonts w:ascii="Century Gothic" w:hAnsi="Century Gothic"/>
          <w:spacing w:val="-6"/>
          <w:sz w:val="19"/>
        </w:rPr>
        <w:t> </w:t>
      </w:r>
      <w:r>
        <w:rPr>
          <w:rFonts w:ascii="Century Gothic" w:hAnsi="Century Gothic"/>
          <w:sz w:val="19"/>
        </w:rPr>
        <w:t>que</w:t>
      </w:r>
      <w:r>
        <w:rPr>
          <w:rFonts w:ascii="Century Gothic" w:hAnsi="Century Gothic"/>
          <w:spacing w:val="-7"/>
          <w:sz w:val="19"/>
        </w:rPr>
        <w:t> </w:t>
      </w:r>
      <w:r>
        <w:rPr>
          <w:rFonts w:ascii="Century Gothic" w:hAnsi="Century Gothic"/>
          <w:sz w:val="19"/>
        </w:rPr>
        <w:t>pueden</w:t>
      </w:r>
      <w:r>
        <w:rPr>
          <w:rFonts w:ascii="Century Gothic" w:hAnsi="Century Gothic"/>
          <w:spacing w:val="-6"/>
          <w:sz w:val="19"/>
        </w:rPr>
        <w:t> </w:t>
      </w:r>
      <w:r>
        <w:rPr>
          <w:rFonts w:ascii="Century Gothic" w:hAnsi="Century Gothic"/>
          <w:sz w:val="19"/>
        </w:rPr>
        <w:t>generar</w:t>
      </w:r>
      <w:r>
        <w:rPr>
          <w:rFonts w:ascii="Century Gothic" w:hAnsi="Century Gothic"/>
          <w:spacing w:val="-4"/>
          <w:sz w:val="19"/>
        </w:rPr>
        <w:t> </w:t>
      </w:r>
      <w:r>
        <w:rPr>
          <w:rFonts w:ascii="Century Gothic" w:hAnsi="Century Gothic"/>
          <w:sz w:val="19"/>
        </w:rPr>
        <w:t>dudas</w:t>
      </w:r>
      <w:r>
        <w:rPr>
          <w:rFonts w:ascii="Century Gothic" w:hAnsi="Century Gothic"/>
          <w:spacing w:val="-6"/>
          <w:sz w:val="19"/>
        </w:rPr>
        <w:t> </w:t>
      </w:r>
      <w:r>
        <w:rPr>
          <w:rFonts w:ascii="Century Gothic" w:hAnsi="Century Gothic"/>
          <w:sz w:val="19"/>
        </w:rPr>
        <w:t>significativas</w:t>
      </w:r>
      <w:r>
        <w:rPr>
          <w:rFonts w:ascii="Century Gothic" w:hAnsi="Century Gothic"/>
          <w:spacing w:val="-6"/>
          <w:sz w:val="19"/>
        </w:rPr>
        <w:t> </w:t>
      </w:r>
      <w:r>
        <w:rPr>
          <w:rFonts w:ascii="Century Gothic" w:hAnsi="Century Gothic"/>
          <w:sz w:val="19"/>
        </w:rPr>
        <w:t>sobre</w:t>
      </w:r>
      <w:r>
        <w:rPr>
          <w:rFonts w:ascii="Century Gothic" w:hAnsi="Century Gothic"/>
          <w:spacing w:val="-6"/>
          <w:sz w:val="19"/>
        </w:rPr>
        <w:t> </w:t>
      </w:r>
      <w:r>
        <w:rPr>
          <w:rFonts w:ascii="Century Gothic" w:hAnsi="Century Gothic"/>
          <w:sz w:val="19"/>
        </w:rPr>
        <w:t>la capacidad</w:t>
      </w:r>
      <w:r>
        <w:rPr>
          <w:rFonts w:ascii="Century Gothic" w:hAnsi="Century Gothic"/>
          <w:spacing w:val="-6"/>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la</w:t>
      </w:r>
      <w:r>
        <w:rPr>
          <w:rFonts w:ascii="Century Gothic" w:hAnsi="Century Gothic"/>
          <w:spacing w:val="-6"/>
          <w:sz w:val="19"/>
        </w:rPr>
        <w:t> </w:t>
      </w:r>
      <w:r>
        <w:rPr>
          <w:rFonts w:ascii="Century Gothic" w:hAnsi="Century Gothic"/>
          <w:sz w:val="19"/>
        </w:rPr>
        <w:t>Sociedad</w:t>
      </w:r>
      <w:r>
        <w:rPr>
          <w:rFonts w:ascii="Century Gothic" w:hAnsi="Century Gothic"/>
          <w:spacing w:val="-5"/>
          <w:sz w:val="19"/>
        </w:rPr>
        <w:t> </w:t>
      </w:r>
      <w:r>
        <w:rPr>
          <w:rFonts w:ascii="Century Gothic" w:hAnsi="Century Gothic"/>
          <w:sz w:val="19"/>
        </w:rPr>
        <w:t>para continuar como empresa en funcionamiento. Si concluimos que existe una incertidumbre material, se requiere que llamemos la atención en nuestro informe de auditoría sobre la correspondiente información revelada en las cuentas anuales o, si dichas revelaciones no son adecuadas, que expresemos una opinión modificada. Nuestras conclusiones se basan en la </w:t>
      </w:r>
      <w:r>
        <w:rPr>
          <w:rFonts w:ascii="Century Gothic" w:hAnsi="Century Gothic"/>
          <w:spacing w:val="-2"/>
          <w:sz w:val="19"/>
        </w:rPr>
        <w:t>evidencia</w:t>
      </w:r>
      <w:r>
        <w:rPr>
          <w:rFonts w:ascii="Century Gothic" w:hAnsi="Century Gothic"/>
          <w:spacing w:val="-6"/>
          <w:sz w:val="19"/>
        </w:rPr>
        <w:t> </w:t>
      </w:r>
      <w:r>
        <w:rPr>
          <w:rFonts w:ascii="Century Gothic" w:hAnsi="Century Gothic"/>
          <w:spacing w:val="-2"/>
          <w:sz w:val="19"/>
        </w:rPr>
        <w:t>de</w:t>
      </w:r>
      <w:r>
        <w:rPr>
          <w:rFonts w:ascii="Century Gothic" w:hAnsi="Century Gothic"/>
          <w:spacing w:val="-7"/>
          <w:sz w:val="19"/>
        </w:rPr>
        <w:t> </w:t>
      </w:r>
      <w:r>
        <w:rPr>
          <w:rFonts w:ascii="Century Gothic" w:hAnsi="Century Gothic"/>
          <w:spacing w:val="-2"/>
          <w:sz w:val="19"/>
        </w:rPr>
        <w:t>auditoría</w:t>
      </w:r>
      <w:r>
        <w:rPr>
          <w:rFonts w:ascii="Century Gothic" w:hAnsi="Century Gothic"/>
          <w:spacing w:val="-5"/>
          <w:sz w:val="19"/>
        </w:rPr>
        <w:t> </w:t>
      </w:r>
      <w:r>
        <w:rPr>
          <w:rFonts w:ascii="Century Gothic" w:hAnsi="Century Gothic"/>
          <w:spacing w:val="-2"/>
          <w:sz w:val="19"/>
        </w:rPr>
        <w:t>obtenida</w:t>
      </w:r>
      <w:r>
        <w:rPr>
          <w:rFonts w:ascii="Century Gothic" w:hAnsi="Century Gothic"/>
          <w:spacing w:val="-6"/>
          <w:sz w:val="19"/>
        </w:rPr>
        <w:t> </w:t>
      </w:r>
      <w:r>
        <w:rPr>
          <w:rFonts w:ascii="Century Gothic" w:hAnsi="Century Gothic"/>
          <w:spacing w:val="-2"/>
          <w:sz w:val="19"/>
        </w:rPr>
        <w:t>hasta la</w:t>
      </w:r>
      <w:r>
        <w:rPr>
          <w:rFonts w:ascii="Century Gothic" w:hAnsi="Century Gothic"/>
          <w:spacing w:val="-6"/>
          <w:sz w:val="19"/>
        </w:rPr>
        <w:t> </w:t>
      </w:r>
      <w:r>
        <w:rPr>
          <w:rFonts w:ascii="Century Gothic" w:hAnsi="Century Gothic"/>
          <w:spacing w:val="-2"/>
          <w:sz w:val="19"/>
        </w:rPr>
        <w:t>fecha</w:t>
      </w:r>
      <w:r>
        <w:rPr>
          <w:rFonts w:ascii="Century Gothic" w:hAnsi="Century Gothic"/>
          <w:spacing w:val="-6"/>
          <w:sz w:val="19"/>
        </w:rPr>
        <w:t> </w:t>
      </w:r>
      <w:r>
        <w:rPr>
          <w:rFonts w:ascii="Century Gothic" w:hAnsi="Century Gothic"/>
          <w:spacing w:val="-2"/>
          <w:sz w:val="19"/>
        </w:rPr>
        <w:t>de nuestro</w:t>
      </w:r>
      <w:r>
        <w:rPr>
          <w:rFonts w:ascii="Century Gothic" w:hAnsi="Century Gothic"/>
          <w:spacing w:val="-5"/>
          <w:sz w:val="19"/>
        </w:rPr>
        <w:t> </w:t>
      </w:r>
      <w:r>
        <w:rPr>
          <w:rFonts w:ascii="Century Gothic" w:hAnsi="Century Gothic"/>
          <w:spacing w:val="-2"/>
          <w:sz w:val="19"/>
        </w:rPr>
        <w:t>informe</w:t>
      </w:r>
      <w:r>
        <w:rPr>
          <w:rFonts w:ascii="Century Gothic" w:hAnsi="Century Gothic"/>
          <w:spacing w:val="-5"/>
          <w:sz w:val="19"/>
        </w:rPr>
        <w:t> </w:t>
      </w:r>
      <w:r>
        <w:rPr>
          <w:rFonts w:ascii="Century Gothic" w:hAnsi="Century Gothic"/>
          <w:spacing w:val="-2"/>
          <w:sz w:val="19"/>
        </w:rPr>
        <w:t>de</w:t>
      </w:r>
      <w:r>
        <w:rPr>
          <w:rFonts w:ascii="Century Gothic" w:hAnsi="Century Gothic"/>
          <w:spacing w:val="-7"/>
          <w:sz w:val="19"/>
        </w:rPr>
        <w:t> </w:t>
      </w:r>
      <w:r>
        <w:rPr>
          <w:rFonts w:ascii="Century Gothic" w:hAnsi="Century Gothic"/>
          <w:spacing w:val="-2"/>
          <w:sz w:val="19"/>
        </w:rPr>
        <w:t>auditoría. Sin</w:t>
      </w:r>
      <w:r>
        <w:rPr>
          <w:rFonts w:ascii="Century Gothic" w:hAnsi="Century Gothic"/>
          <w:spacing w:val="-6"/>
          <w:sz w:val="19"/>
        </w:rPr>
        <w:t> </w:t>
      </w:r>
      <w:r>
        <w:rPr>
          <w:rFonts w:ascii="Century Gothic" w:hAnsi="Century Gothic"/>
          <w:spacing w:val="-2"/>
          <w:sz w:val="19"/>
        </w:rPr>
        <w:t>embargo,</w:t>
      </w:r>
      <w:r>
        <w:rPr>
          <w:rFonts w:ascii="Century Gothic" w:hAnsi="Century Gothic"/>
          <w:spacing w:val="-5"/>
          <w:sz w:val="19"/>
        </w:rPr>
        <w:t> </w:t>
      </w:r>
      <w:r>
        <w:rPr>
          <w:rFonts w:ascii="Century Gothic" w:hAnsi="Century Gothic"/>
          <w:spacing w:val="-2"/>
          <w:sz w:val="19"/>
        </w:rPr>
        <w:t>los </w:t>
      </w:r>
      <w:r>
        <w:rPr>
          <w:rFonts w:ascii="Century Gothic" w:hAnsi="Century Gothic"/>
          <w:sz w:val="19"/>
        </w:rPr>
        <w:t>hechos</w:t>
      </w:r>
      <w:r>
        <w:rPr>
          <w:rFonts w:ascii="Century Gothic" w:hAnsi="Century Gothic"/>
          <w:spacing w:val="-8"/>
          <w:sz w:val="19"/>
        </w:rPr>
        <w:t> </w:t>
      </w:r>
      <w:r>
        <w:rPr>
          <w:rFonts w:ascii="Century Gothic" w:hAnsi="Century Gothic"/>
          <w:sz w:val="19"/>
        </w:rPr>
        <w:t>o</w:t>
      </w:r>
      <w:r>
        <w:rPr>
          <w:rFonts w:ascii="Century Gothic" w:hAnsi="Century Gothic"/>
          <w:spacing w:val="-7"/>
          <w:sz w:val="19"/>
        </w:rPr>
        <w:t> </w:t>
      </w:r>
      <w:r>
        <w:rPr>
          <w:rFonts w:ascii="Century Gothic" w:hAnsi="Century Gothic"/>
          <w:sz w:val="19"/>
        </w:rPr>
        <w:t>condiciones</w:t>
      </w:r>
      <w:r>
        <w:rPr>
          <w:rFonts w:ascii="Century Gothic" w:hAnsi="Century Gothic"/>
          <w:spacing w:val="-8"/>
          <w:sz w:val="19"/>
        </w:rPr>
        <w:t> </w:t>
      </w:r>
      <w:r>
        <w:rPr>
          <w:rFonts w:ascii="Century Gothic" w:hAnsi="Century Gothic"/>
          <w:sz w:val="19"/>
        </w:rPr>
        <w:t>futuros</w:t>
      </w:r>
      <w:r>
        <w:rPr>
          <w:rFonts w:ascii="Century Gothic" w:hAnsi="Century Gothic"/>
          <w:spacing w:val="-8"/>
          <w:sz w:val="19"/>
        </w:rPr>
        <w:t> </w:t>
      </w:r>
      <w:r>
        <w:rPr>
          <w:rFonts w:ascii="Century Gothic" w:hAnsi="Century Gothic"/>
          <w:sz w:val="19"/>
        </w:rPr>
        <w:t>pueden</w:t>
      </w:r>
      <w:r>
        <w:rPr>
          <w:rFonts w:ascii="Century Gothic" w:hAnsi="Century Gothic"/>
          <w:spacing w:val="-9"/>
          <w:sz w:val="19"/>
        </w:rPr>
        <w:t> </w:t>
      </w:r>
      <w:r>
        <w:rPr>
          <w:rFonts w:ascii="Century Gothic" w:hAnsi="Century Gothic"/>
          <w:sz w:val="19"/>
        </w:rPr>
        <w:t>ser</w:t>
      </w:r>
      <w:r>
        <w:rPr>
          <w:rFonts w:ascii="Century Gothic" w:hAnsi="Century Gothic"/>
          <w:spacing w:val="-8"/>
          <w:sz w:val="19"/>
        </w:rPr>
        <w:t> </w:t>
      </w:r>
      <w:r>
        <w:rPr>
          <w:rFonts w:ascii="Century Gothic" w:hAnsi="Century Gothic"/>
          <w:sz w:val="19"/>
        </w:rPr>
        <w:t>la</w:t>
      </w:r>
      <w:r>
        <w:rPr>
          <w:rFonts w:ascii="Century Gothic" w:hAnsi="Century Gothic"/>
          <w:spacing w:val="-8"/>
          <w:sz w:val="19"/>
        </w:rPr>
        <w:t> </w:t>
      </w:r>
      <w:r>
        <w:rPr>
          <w:rFonts w:ascii="Century Gothic" w:hAnsi="Century Gothic"/>
          <w:sz w:val="19"/>
        </w:rPr>
        <w:t>causa</w:t>
      </w:r>
      <w:r>
        <w:rPr>
          <w:rFonts w:ascii="Century Gothic" w:hAnsi="Century Gothic"/>
          <w:spacing w:val="-7"/>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que</w:t>
      </w:r>
      <w:r>
        <w:rPr>
          <w:rFonts w:ascii="Century Gothic" w:hAnsi="Century Gothic"/>
          <w:spacing w:val="-10"/>
          <w:sz w:val="19"/>
        </w:rPr>
        <w:t> </w:t>
      </w:r>
      <w:r>
        <w:rPr>
          <w:rFonts w:ascii="Century Gothic" w:hAnsi="Century Gothic"/>
          <w:sz w:val="19"/>
        </w:rPr>
        <w:t>la</w:t>
      </w:r>
      <w:r>
        <w:rPr>
          <w:rFonts w:ascii="Century Gothic" w:hAnsi="Century Gothic"/>
          <w:spacing w:val="-9"/>
          <w:sz w:val="19"/>
        </w:rPr>
        <w:t> </w:t>
      </w:r>
      <w:r>
        <w:rPr>
          <w:rFonts w:ascii="Century Gothic" w:hAnsi="Century Gothic"/>
          <w:sz w:val="19"/>
        </w:rPr>
        <w:t>Sociedad</w:t>
      </w:r>
      <w:r>
        <w:rPr>
          <w:rFonts w:ascii="Century Gothic" w:hAnsi="Century Gothic"/>
          <w:spacing w:val="-9"/>
          <w:sz w:val="19"/>
        </w:rPr>
        <w:t> </w:t>
      </w:r>
      <w:r>
        <w:rPr>
          <w:rFonts w:ascii="Century Gothic" w:hAnsi="Century Gothic"/>
          <w:sz w:val="19"/>
        </w:rPr>
        <w:t>deje</w:t>
      </w:r>
      <w:r>
        <w:rPr>
          <w:rFonts w:ascii="Century Gothic" w:hAnsi="Century Gothic"/>
          <w:spacing w:val="-8"/>
          <w:sz w:val="19"/>
        </w:rPr>
        <w:t> </w:t>
      </w:r>
      <w:r>
        <w:rPr>
          <w:rFonts w:ascii="Century Gothic" w:hAnsi="Century Gothic"/>
          <w:sz w:val="19"/>
        </w:rPr>
        <w:t>de</w:t>
      </w:r>
      <w:r>
        <w:rPr>
          <w:rFonts w:ascii="Century Gothic" w:hAnsi="Century Gothic"/>
          <w:spacing w:val="-7"/>
          <w:sz w:val="19"/>
        </w:rPr>
        <w:t> </w:t>
      </w:r>
      <w:r>
        <w:rPr>
          <w:rFonts w:ascii="Century Gothic" w:hAnsi="Century Gothic"/>
          <w:sz w:val="19"/>
        </w:rPr>
        <w:t>ser</w:t>
      </w:r>
      <w:r>
        <w:rPr>
          <w:rFonts w:ascii="Century Gothic" w:hAnsi="Century Gothic"/>
          <w:spacing w:val="-7"/>
          <w:sz w:val="19"/>
        </w:rPr>
        <w:t> </w:t>
      </w:r>
      <w:r>
        <w:rPr>
          <w:rFonts w:ascii="Century Gothic" w:hAnsi="Century Gothic"/>
          <w:sz w:val="19"/>
        </w:rPr>
        <w:t>una</w:t>
      </w:r>
      <w:r>
        <w:rPr>
          <w:rFonts w:ascii="Century Gothic" w:hAnsi="Century Gothic"/>
          <w:spacing w:val="-7"/>
          <w:sz w:val="19"/>
        </w:rPr>
        <w:t> </w:t>
      </w:r>
      <w:r>
        <w:rPr>
          <w:rFonts w:ascii="Century Gothic" w:hAnsi="Century Gothic"/>
          <w:sz w:val="19"/>
        </w:rPr>
        <w:t>empresa en funcionamiento.</w:t>
      </w:r>
    </w:p>
    <w:p>
      <w:pPr>
        <w:pStyle w:val="ListParagraph"/>
        <w:numPr>
          <w:ilvl w:val="0"/>
          <w:numId w:val="3"/>
        </w:numPr>
        <w:tabs>
          <w:tab w:pos="1044" w:val="left" w:leader="none"/>
          <w:tab w:pos="1046" w:val="left" w:leader="none"/>
        </w:tabs>
        <w:spacing w:line="240" w:lineRule="auto" w:before="232" w:after="0"/>
        <w:ind w:left="1046" w:right="224" w:hanging="281"/>
        <w:jc w:val="both"/>
        <w:rPr>
          <w:rFonts w:ascii="Century Gothic" w:hAnsi="Century Gothic"/>
          <w:sz w:val="19"/>
        </w:rPr>
      </w:pPr>
      <w:r>
        <w:rPr>
          <w:rFonts w:ascii="Century Gothic" w:hAnsi="Century Gothic"/>
          <w:sz w:val="19"/>
        </w:rPr>
        <w:t>Evaluamos la presentación global,</w:t>
      </w:r>
      <w:r>
        <w:rPr>
          <w:rFonts w:ascii="Century Gothic" w:hAnsi="Century Gothic"/>
          <w:spacing w:val="-1"/>
          <w:sz w:val="19"/>
        </w:rPr>
        <w:t> </w:t>
      </w:r>
      <w:r>
        <w:rPr>
          <w:rFonts w:ascii="Century Gothic" w:hAnsi="Century Gothic"/>
          <w:sz w:val="19"/>
        </w:rPr>
        <w:t>la estructura y el</w:t>
      </w:r>
      <w:r>
        <w:rPr>
          <w:rFonts w:ascii="Century Gothic" w:hAnsi="Century Gothic"/>
          <w:spacing w:val="-1"/>
          <w:sz w:val="19"/>
        </w:rPr>
        <w:t> </w:t>
      </w:r>
      <w:r>
        <w:rPr>
          <w:rFonts w:ascii="Century Gothic" w:hAnsi="Century Gothic"/>
          <w:sz w:val="19"/>
        </w:rPr>
        <w:t>contenido</w:t>
      </w:r>
      <w:r>
        <w:rPr>
          <w:rFonts w:ascii="Century Gothic" w:hAnsi="Century Gothic"/>
          <w:spacing w:val="-1"/>
          <w:sz w:val="19"/>
        </w:rPr>
        <w:t> </w:t>
      </w:r>
      <w:r>
        <w:rPr>
          <w:rFonts w:ascii="Century Gothic" w:hAnsi="Century Gothic"/>
          <w:sz w:val="19"/>
        </w:rPr>
        <w:t>de las</w:t>
      </w:r>
      <w:r>
        <w:rPr>
          <w:rFonts w:ascii="Century Gothic" w:hAnsi="Century Gothic"/>
          <w:spacing w:val="-1"/>
          <w:sz w:val="19"/>
        </w:rPr>
        <w:t> </w:t>
      </w:r>
      <w:r>
        <w:rPr>
          <w:rFonts w:ascii="Century Gothic" w:hAnsi="Century Gothic"/>
          <w:sz w:val="19"/>
        </w:rPr>
        <w:t>cuentas anuales,</w:t>
      </w:r>
      <w:r>
        <w:rPr>
          <w:rFonts w:ascii="Century Gothic" w:hAnsi="Century Gothic"/>
          <w:spacing w:val="-1"/>
          <w:sz w:val="19"/>
        </w:rPr>
        <w:t> </w:t>
      </w:r>
      <w:r>
        <w:rPr>
          <w:rFonts w:ascii="Century Gothic" w:hAnsi="Century Gothic"/>
          <w:sz w:val="19"/>
        </w:rPr>
        <w:t>incluida la información revelada, y si las cuentas anuales representan las transacciones y hechos subyacentes de un modo que logran expresar la imagen fiel.</w:t>
      </w:r>
    </w:p>
    <w:p>
      <w:pPr>
        <w:pStyle w:val="BodyText"/>
        <w:spacing w:before="2"/>
        <w:rPr>
          <w:rFonts w:ascii="Century Gothic"/>
          <w:sz w:val="19"/>
        </w:rPr>
      </w:pPr>
    </w:p>
    <w:p>
      <w:pPr>
        <w:spacing w:before="0"/>
        <w:ind w:left="766" w:right="217" w:firstLine="0"/>
        <w:jc w:val="both"/>
        <w:rPr>
          <w:rFonts w:ascii="Century Gothic" w:hAnsi="Century Gothic"/>
          <w:sz w:val="19"/>
        </w:rPr>
      </w:pPr>
      <w:r>
        <w:rPr>
          <w:rFonts w:ascii="Century Gothic" w:hAnsi="Century Gothic"/>
          <w:sz w:val="19"/>
        </w:rPr>
        <w:t>Nos comunicamos con el Consejo de Administración de la Sociedad en relación con, entre otras cuestiones, el alcance y el momento de realización de la auditoría planificados y los hallazgos significativos de la auditoría, así como cualquier deficiencia significativa del control interno que identificamos</w:t>
      </w:r>
      <w:r>
        <w:rPr>
          <w:rFonts w:ascii="Century Gothic" w:hAnsi="Century Gothic"/>
          <w:spacing w:val="-2"/>
          <w:sz w:val="19"/>
        </w:rPr>
        <w:t> </w:t>
      </w:r>
      <w:r>
        <w:rPr>
          <w:rFonts w:ascii="Century Gothic" w:hAnsi="Century Gothic"/>
          <w:sz w:val="19"/>
        </w:rPr>
        <w:t>en</w:t>
      </w:r>
      <w:r>
        <w:rPr>
          <w:rFonts w:ascii="Century Gothic" w:hAnsi="Century Gothic"/>
          <w:spacing w:val="-1"/>
          <w:sz w:val="19"/>
        </w:rPr>
        <w:t> </w:t>
      </w:r>
      <w:r>
        <w:rPr>
          <w:rFonts w:ascii="Century Gothic" w:hAnsi="Century Gothic"/>
          <w:sz w:val="19"/>
        </w:rPr>
        <w:t>el</w:t>
      </w:r>
      <w:r>
        <w:rPr>
          <w:rFonts w:ascii="Century Gothic" w:hAnsi="Century Gothic"/>
          <w:spacing w:val="-2"/>
          <w:sz w:val="19"/>
        </w:rPr>
        <w:t> </w:t>
      </w:r>
      <w:r>
        <w:rPr>
          <w:rFonts w:ascii="Century Gothic" w:hAnsi="Century Gothic"/>
          <w:sz w:val="19"/>
        </w:rPr>
        <w:t>transcurso</w:t>
      </w:r>
      <w:r>
        <w:rPr>
          <w:rFonts w:ascii="Century Gothic" w:hAnsi="Century Gothic"/>
          <w:spacing w:val="-2"/>
          <w:sz w:val="19"/>
        </w:rPr>
        <w:t> </w:t>
      </w:r>
      <w:r>
        <w:rPr>
          <w:rFonts w:ascii="Century Gothic" w:hAnsi="Century Gothic"/>
          <w:sz w:val="19"/>
        </w:rPr>
        <w:t>de</w:t>
      </w:r>
      <w:r>
        <w:rPr>
          <w:rFonts w:ascii="Century Gothic" w:hAnsi="Century Gothic"/>
          <w:spacing w:val="-4"/>
          <w:sz w:val="19"/>
        </w:rPr>
        <w:t> </w:t>
      </w:r>
      <w:r>
        <w:rPr>
          <w:rFonts w:ascii="Century Gothic" w:hAnsi="Century Gothic"/>
          <w:sz w:val="19"/>
        </w:rPr>
        <w:t>la</w:t>
      </w:r>
      <w:r>
        <w:rPr>
          <w:rFonts w:ascii="Century Gothic" w:hAnsi="Century Gothic"/>
          <w:spacing w:val="-2"/>
          <w:sz w:val="19"/>
        </w:rPr>
        <w:t> </w:t>
      </w:r>
      <w:r>
        <w:rPr>
          <w:rFonts w:ascii="Century Gothic" w:hAnsi="Century Gothic"/>
          <w:sz w:val="19"/>
        </w:rPr>
        <w:t>auditoría.</w:t>
      </w:r>
      <w:r>
        <w:rPr>
          <w:rFonts w:ascii="Century Gothic" w:hAnsi="Century Gothic"/>
          <w:spacing w:val="-1"/>
          <w:sz w:val="19"/>
        </w:rPr>
        <w:t> </w:t>
      </w:r>
      <w:r>
        <w:rPr>
          <w:rFonts w:ascii="Century Gothic" w:hAnsi="Century Gothic"/>
          <w:sz w:val="19"/>
        </w:rPr>
        <w:t>Entre</w:t>
      </w:r>
      <w:r>
        <w:rPr>
          <w:rFonts w:ascii="Century Gothic" w:hAnsi="Century Gothic"/>
          <w:spacing w:val="-3"/>
          <w:sz w:val="19"/>
        </w:rPr>
        <w:t> </w:t>
      </w:r>
      <w:r>
        <w:rPr>
          <w:rFonts w:ascii="Century Gothic" w:hAnsi="Century Gothic"/>
          <w:sz w:val="19"/>
        </w:rPr>
        <w:t>los</w:t>
      </w:r>
      <w:r>
        <w:rPr>
          <w:rFonts w:ascii="Century Gothic" w:hAnsi="Century Gothic"/>
          <w:spacing w:val="-2"/>
          <w:sz w:val="19"/>
        </w:rPr>
        <w:t> </w:t>
      </w:r>
      <w:r>
        <w:rPr>
          <w:rFonts w:ascii="Century Gothic" w:hAnsi="Century Gothic"/>
          <w:sz w:val="19"/>
        </w:rPr>
        <w:t>riesgos</w:t>
      </w:r>
      <w:r>
        <w:rPr>
          <w:rFonts w:ascii="Century Gothic" w:hAnsi="Century Gothic"/>
          <w:spacing w:val="-2"/>
          <w:sz w:val="19"/>
        </w:rPr>
        <w:t> </w:t>
      </w:r>
      <w:r>
        <w:rPr>
          <w:rFonts w:ascii="Century Gothic" w:hAnsi="Century Gothic"/>
          <w:sz w:val="19"/>
        </w:rPr>
        <w:t>significativos</w:t>
      </w:r>
      <w:r>
        <w:rPr>
          <w:rFonts w:ascii="Century Gothic" w:hAnsi="Century Gothic"/>
          <w:spacing w:val="-2"/>
          <w:sz w:val="19"/>
        </w:rPr>
        <w:t> </w:t>
      </w:r>
      <w:r>
        <w:rPr>
          <w:rFonts w:ascii="Century Gothic" w:hAnsi="Century Gothic"/>
          <w:sz w:val="19"/>
        </w:rPr>
        <w:t>que</w:t>
      </w:r>
      <w:r>
        <w:rPr>
          <w:rFonts w:ascii="Century Gothic" w:hAnsi="Century Gothic"/>
          <w:spacing w:val="-1"/>
          <w:sz w:val="19"/>
        </w:rPr>
        <w:t> </w:t>
      </w:r>
      <w:r>
        <w:rPr>
          <w:rFonts w:ascii="Century Gothic" w:hAnsi="Century Gothic"/>
          <w:sz w:val="19"/>
        </w:rPr>
        <w:t>han</w:t>
      </w:r>
      <w:r>
        <w:rPr>
          <w:rFonts w:ascii="Century Gothic" w:hAnsi="Century Gothic"/>
          <w:spacing w:val="-3"/>
          <w:sz w:val="19"/>
        </w:rPr>
        <w:t> </w:t>
      </w:r>
      <w:r>
        <w:rPr>
          <w:rFonts w:ascii="Century Gothic" w:hAnsi="Century Gothic"/>
          <w:sz w:val="19"/>
        </w:rPr>
        <w:t>sido</w:t>
      </w:r>
      <w:r>
        <w:rPr>
          <w:rFonts w:ascii="Century Gothic" w:hAnsi="Century Gothic"/>
          <w:spacing w:val="-2"/>
          <w:sz w:val="19"/>
        </w:rPr>
        <w:t> </w:t>
      </w:r>
      <w:r>
        <w:rPr>
          <w:rFonts w:ascii="Century Gothic" w:hAnsi="Century Gothic"/>
          <w:sz w:val="19"/>
        </w:rPr>
        <w:t>objeto</w:t>
      </w:r>
      <w:r>
        <w:rPr>
          <w:rFonts w:ascii="Century Gothic" w:hAnsi="Century Gothic"/>
          <w:spacing w:val="-2"/>
          <w:sz w:val="19"/>
        </w:rPr>
        <w:t> </w:t>
      </w:r>
      <w:r>
        <w:rPr>
          <w:rFonts w:ascii="Century Gothic" w:hAnsi="Century Gothic"/>
          <w:sz w:val="19"/>
        </w:rPr>
        <w:t>de comunicación a los administradores de la Sociedad, determinamos los que han sido de la mayor significatividad en la auditoría de las cuentas anuales del periodo actual y que son, en consecuencia, los riesgos considerados más significativos.</w:t>
      </w:r>
    </w:p>
    <w:p>
      <w:pPr>
        <w:spacing w:before="232"/>
        <w:ind w:left="766" w:right="223" w:firstLine="0"/>
        <w:jc w:val="both"/>
        <w:rPr>
          <w:rFonts w:ascii="Century Gothic" w:hAnsi="Century Gothic"/>
          <w:sz w:val="19"/>
        </w:rPr>
      </w:pPr>
      <w:r>
        <w:rPr>
          <w:rFonts w:ascii="Century Gothic" w:hAnsi="Century Gothic"/>
          <w:sz w:val="19"/>
        </w:rPr>
        <w:t>Describimos esos riesgos en nuestro informe de auditoría salvo que las disposiciones legales o reglamentarias prohíban revelar públicamente la cuestión.</w:t>
      </w:r>
    </w:p>
    <w:p>
      <w:pPr>
        <w:pStyle w:val="BodyText"/>
        <w:rPr>
          <w:rFonts w:ascii="Century Gothic"/>
          <w:sz w:val="19"/>
        </w:rPr>
      </w:pPr>
    </w:p>
    <w:p>
      <w:pPr>
        <w:pStyle w:val="BodyText"/>
        <w:rPr>
          <w:rFonts w:ascii="Century Gothic"/>
          <w:sz w:val="19"/>
        </w:rPr>
      </w:pPr>
    </w:p>
    <w:p>
      <w:pPr>
        <w:pStyle w:val="BodyText"/>
        <w:spacing w:before="120"/>
        <w:rPr>
          <w:rFonts w:ascii="Century Gothic"/>
          <w:sz w:val="19"/>
        </w:rPr>
      </w:pPr>
    </w:p>
    <w:p>
      <w:pPr>
        <w:spacing w:before="1"/>
        <w:ind w:left="3067" w:right="2946" w:firstLine="0"/>
        <w:jc w:val="center"/>
        <w:rPr>
          <w:rFonts w:ascii="Century Gothic" w:hAnsi="Century Gothic"/>
          <w:b/>
          <w:sz w:val="21"/>
        </w:rPr>
      </w:pPr>
      <w:r>
        <w:rPr>
          <w:rFonts w:ascii="Century Gothic" w:hAnsi="Century Gothic"/>
          <w:b/>
          <w:sz w:val="21"/>
        </w:rPr>
        <w:t>GRUPO</w:t>
      </w:r>
      <w:r>
        <w:rPr>
          <w:rFonts w:ascii="Century Gothic" w:hAnsi="Century Gothic"/>
          <w:b/>
          <w:spacing w:val="-10"/>
          <w:sz w:val="21"/>
        </w:rPr>
        <w:t> </w:t>
      </w:r>
      <w:r>
        <w:rPr>
          <w:rFonts w:ascii="Century Gothic" w:hAnsi="Century Gothic"/>
          <w:b/>
          <w:sz w:val="21"/>
        </w:rPr>
        <w:t>DE</w:t>
      </w:r>
      <w:r>
        <w:rPr>
          <w:rFonts w:ascii="Century Gothic" w:hAnsi="Century Gothic"/>
          <w:b/>
          <w:spacing w:val="-9"/>
          <w:sz w:val="21"/>
        </w:rPr>
        <w:t> </w:t>
      </w:r>
      <w:r>
        <w:rPr>
          <w:rFonts w:ascii="Century Gothic" w:hAnsi="Century Gothic"/>
          <w:b/>
          <w:sz w:val="21"/>
        </w:rPr>
        <w:t>AUDITORES</w:t>
      </w:r>
      <w:r>
        <w:rPr>
          <w:rFonts w:ascii="Century Gothic" w:hAnsi="Century Gothic"/>
          <w:b/>
          <w:spacing w:val="-7"/>
          <w:sz w:val="21"/>
        </w:rPr>
        <w:t> </w:t>
      </w:r>
      <w:r>
        <w:rPr>
          <w:rFonts w:ascii="Century Gothic" w:hAnsi="Century Gothic"/>
          <w:b/>
          <w:sz w:val="21"/>
        </w:rPr>
        <w:t>PÚBLICOS,</w:t>
      </w:r>
      <w:r>
        <w:rPr>
          <w:rFonts w:ascii="Century Gothic" w:hAnsi="Century Gothic"/>
          <w:b/>
          <w:spacing w:val="-9"/>
          <w:sz w:val="21"/>
        </w:rPr>
        <w:t> </w:t>
      </w:r>
      <w:r>
        <w:rPr>
          <w:rFonts w:ascii="Century Gothic" w:hAnsi="Century Gothic"/>
          <w:b/>
          <w:sz w:val="21"/>
        </w:rPr>
        <w:t>S.A.P. Nº R.O.A.C. S-1213.</w:t>
      </w:r>
    </w:p>
    <w:p>
      <w:pPr>
        <w:pStyle w:val="BodyText"/>
        <w:rPr>
          <w:rFonts w:ascii="Century Gothic"/>
          <w:b/>
          <w:sz w:val="11"/>
        </w:rPr>
      </w:pPr>
      <w:r>
        <w:rPr>
          <w:rFonts w:ascii="Century Gothic"/>
          <w:b/>
          <w:sz w:val="11"/>
        </w:rPr>
        <w:drawing>
          <wp:anchor distT="0" distB="0" distL="0" distR="0" allowOverlap="1" layoutInCell="1" locked="0" behindDoc="1" simplePos="0" relativeHeight="487590912">
            <wp:simplePos x="0" y="0"/>
            <wp:positionH relativeFrom="page">
              <wp:posOffset>1410817</wp:posOffset>
            </wp:positionH>
            <wp:positionV relativeFrom="paragraph">
              <wp:posOffset>101312</wp:posOffset>
            </wp:positionV>
            <wp:extent cx="1262658" cy="1212151"/>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1262658" cy="1212151"/>
                    </a:xfrm>
                    <a:prstGeom prst="rect">
                      <a:avLst/>
                    </a:prstGeom>
                  </pic:spPr>
                </pic:pic>
              </a:graphicData>
            </a:graphic>
          </wp:anchor>
        </w:drawing>
      </w:r>
    </w:p>
    <w:p>
      <w:pPr>
        <w:spacing w:before="0"/>
        <w:ind w:left="3067" w:right="2952" w:firstLine="0"/>
        <w:jc w:val="center"/>
        <w:rPr>
          <w:rFonts w:ascii="Century Gothic" w:hAnsi="Century Gothic"/>
          <w:b/>
          <w:sz w:val="22"/>
        </w:rPr>
      </w:pPr>
      <w:r>
        <w:rPr>
          <w:rFonts w:ascii="Century Gothic" w:hAnsi="Century Gothic"/>
          <w:b/>
          <w:sz w:val="22"/>
        </w:rPr>
        <w:t>José</w:t>
      </w:r>
      <w:r>
        <w:rPr>
          <w:rFonts w:ascii="Century Gothic" w:hAnsi="Century Gothic"/>
          <w:b/>
          <w:spacing w:val="-6"/>
          <w:sz w:val="22"/>
        </w:rPr>
        <w:t> </w:t>
      </w:r>
      <w:r>
        <w:rPr>
          <w:rFonts w:ascii="Century Gothic" w:hAnsi="Century Gothic"/>
          <w:b/>
          <w:sz w:val="22"/>
        </w:rPr>
        <w:t>Antonio</w:t>
      </w:r>
      <w:r>
        <w:rPr>
          <w:rFonts w:ascii="Century Gothic" w:hAnsi="Century Gothic"/>
          <w:b/>
          <w:spacing w:val="-5"/>
          <w:sz w:val="22"/>
        </w:rPr>
        <w:t> </w:t>
      </w:r>
      <w:r>
        <w:rPr>
          <w:rFonts w:ascii="Century Gothic" w:hAnsi="Century Gothic"/>
          <w:b/>
          <w:sz w:val="22"/>
        </w:rPr>
        <w:t>Moreno</w:t>
      </w:r>
      <w:r>
        <w:rPr>
          <w:rFonts w:ascii="Century Gothic" w:hAnsi="Century Gothic"/>
          <w:b/>
          <w:spacing w:val="-7"/>
          <w:sz w:val="22"/>
        </w:rPr>
        <w:t> </w:t>
      </w:r>
      <w:r>
        <w:rPr>
          <w:rFonts w:ascii="Century Gothic" w:hAnsi="Century Gothic"/>
          <w:b/>
          <w:spacing w:val="-2"/>
          <w:sz w:val="22"/>
        </w:rPr>
        <w:t>Marín.</w:t>
      </w:r>
    </w:p>
    <w:p>
      <w:pPr>
        <w:spacing w:line="269" w:lineRule="exact" w:before="0"/>
        <w:ind w:left="3067" w:right="2952" w:firstLine="0"/>
        <w:jc w:val="center"/>
        <w:rPr>
          <w:rFonts w:ascii="Century Gothic"/>
          <w:sz w:val="22"/>
        </w:rPr>
      </w:pPr>
      <w:r>
        <w:rPr>
          <w:rFonts w:ascii="Century Gothic"/>
          <w:sz w:val="22"/>
        </w:rPr>
        <w:t>Socio-Auditor</w:t>
      </w:r>
      <w:r>
        <w:rPr>
          <w:rFonts w:ascii="Century Gothic"/>
          <w:spacing w:val="-6"/>
          <w:sz w:val="22"/>
        </w:rPr>
        <w:t> </w:t>
      </w:r>
      <w:r>
        <w:rPr>
          <w:rFonts w:ascii="Century Gothic"/>
          <w:sz w:val="22"/>
        </w:rPr>
        <w:t>de</w:t>
      </w:r>
      <w:r>
        <w:rPr>
          <w:rFonts w:ascii="Century Gothic"/>
          <w:spacing w:val="-5"/>
          <w:sz w:val="22"/>
        </w:rPr>
        <w:t> </w:t>
      </w:r>
      <w:r>
        <w:rPr>
          <w:rFonts w:ascii="Century Gothic"/>
          <w:spacing w:val="-2"/>
          <w:sz w:val="22"/>
        </w:rPr>
        <w:t>Cuentas.</w:t>
      </w:r>
    </w:p>
    <w:p>
      <w:pPr>
        <w:spacing w:line="269" w:lineRule="exact" w:before="0"/>
        <w:ind w:left="3067" w:right="2949" w:firstLine="0"/>
        <w:jc w:val="center"/>
        <w:rPr>
          <w:rFonts w:ascii="Century Gothic" w:hAnsi="Century Gothic"/>
          <w:sz w:val="22"/>
        </w:rPr>
      </w:pPr>
      <w:r>
        <w:rPr>
          <w:rFonts w:ascii="Century Gothic" w:hAnsi="Century Gothic"/>
          <w:sz w:val="22"/>
        </w:rPr>
        <w:t>Nº</w:t>
      </w:r>
      <w:r>
        <w:rPr>
          <w:rFonts w:ascii="Century Gothic" w:hAnsi="Century Gothic"/>
          <w:spacing w:val="-3"/>
          <w:sz w:val="22"/>
        </w:rPr>
        <w:t> </w:t>
      </w:r>
      <w:r>
        <w:rPr>
          <w:rFonts w:ascii="Century Gothic" w:hAnsi="Century Gothic"/>
          <w:sz w:val="22"/>
        </w:rPr>
        <w:t>R.O.A.C.:</w:t>
      </w:r>
      <w:r>
        <w:rPr>
          <w:rFonts w:ascii="Century Gothic" w:hAnsi="Century Gothic"/>
          <w:spacing w:val="-3"/>
          <w:sz w:val="22"/>
        </w:rPr>
        <w:t> </w:t>
      </w:r>
      <w:r>
        <w:rPr>
          <w:rFonts w:ascii="Century Gothic" w:hAnsi="Century Gothic"/>
          <w:spacing w:val="-2"/>
          <w:sz w:val="22"/>
        </w:rPr>
        <w:t>19.889.</w:t>
      </w:r>
    </w:p>
    <w:p>
      <w:pPr>
        <w:spacing w:before="0"/>
        <w:ind w:left="3067" w:right="2949" w:firstLine="0"/>
        <w:jc w:val="center"/>
        <w:rPr>
          <w:rFonts w:ascii="Century Gothic"/>
          <w:sz w:val="22"/>
        </w:rPr>
      </w:pPr>
      <w:r>
        <w:rPr>
          <w:rFonts w:ascii="Century Gothic"/>
          <w:sz w:val="22"/>
        </w:rPr>
        <w:t>08</w:t>
      </w:r>
      <w:r>
        <w:rPr>
          <w:rFonts w:ascii="Century Gothic"/>
          <w:spacing w:val="-1"/>
          <w:sz w:val="22"/>
        </w:rPr>
        <w:t> </w:t>
      </w:r>
      <w:r>
        <w:rPr>
          <w:rFonts w:ascii="Century Gothic"/>
          <w:sz w:val="22"/>
        </w:rPr>
        <w:t>de</w:t>
      </w:r>
      <w:r>
        <w:rPr>
          <w:rFonts w:ascii="Century Gothic"/>
          <w:spacing w:val="-3"/>
          <w:sz w:val="22"/>
        </w:rPr>
        <w:t> </w:t>
      </w:r>
      <w:r>
        <w:rPr>
          <w:rFonts w:ascii="Century Gothic"/>
          <w:sz w:val="22"/>
        </w:rPr>
        <w:t>abril</w:t>
      </w:r>
      <w:r>
        <w:rPr>
          <w:rFonts w:ascii="Century Gothic"/>
          <w:spacing w:val="-2"/>
          <w:sz w:val="22"/>
        </w:rPr>
        <w:t> </w:t>
      </w:r>
      <w:r>
        <w:rPr>
          <w:rFonts w:ascii="Century Gothic"/>
          <w:sz w:val="22"/>
        </w:rPr>
        <w:t>de</w:t>
      </w:r>
      <w:r>
        <w:rPr>
          <w:rFonts w:ascii="Century Gothic"/>
          <w:spacing w:val="-2"/>
          <w:sz w:val="22"/>
        </w:rPr>
        <w:t> </w:t>
      </w:r>
      <w:r>
        <w:rPr>
          <w:rFonts w:ascii="Century Gothic"/>
          <w:spacing w:val="-4"/>
          <w:sz w:val="22"/>
        </w:rPr>
        <w:t>2026.</w:t>
      </w:r>
    </w:p>
    <w:p>
      <w:pPr>
        <w:spacing w:after="0"/>
        <w:jc w:val="center"/>
        <w:rPr>
          <w:rFonts w:ascii="Century Gothic"/>
          <w:sz w:val="22"/>
        </w:rPr>
        <w:sectPr>
          <w:pgSz w:w="12240" w:h="15840"/>
          <w:pgMar w:header="139" w:footer="846" w:top="1700" w:bottom="1040" w:left="1080" w:right="1080"/>
        </w:sectPr>
      </w:pPr>
    </w:p>
    <w:p>
      <w:pPr>
        <w:pStyle w:val="BodyText"/>
        <w:spacing w:before="15"/>
        <w:rPr>
          <w:rFonts w:ascii="Century Gothic"/>
        </w:rPr>
      </w:pPr>
    </w:p>
    <w:p>
      <w:pPr>
        <w:spacing w:line="240" w:lineRule="auto"/>
        <w:ind w:left="40" w:right="0" w:firstLine="0"/>
        <w:rPr>
          <w:rFonts w:ascii="Century Gothic"/>
          <w:sz w:val="20"/>
        </w:rPr>
      </w:pPr>
      <w:r>
        <w:rPr>
          <w:rFonts w:ascii="Century Gothic"/>
          <w:sz w:val="20"/>
        </w:rPr>
        <mc:AlternateContent>
          <mc:Choice Requires="wps">
            <w:drawing>
              <wp:inline distT="0" distB="0" distL="0" distR="0">
                <wp:extent cx="374650" cy="2935605"/>
                <wp:effectExtent l="0" t="0" r="0" b="7619"/>
                <wp:docPr id="15" name="Group 15"/>
                <wp:cNvGraphicFramePr>
                  <a:graphicFrameLocks/>
                </wp:cNvGraphicFramePr>
                <a:graphic>
                  <a:graphicData uri="http://schemas.microsoft.com/office/word/2010/wordprocessingGroup">
                    <wpg:wgp>
                      <wpg:cNvPr id="15" name="Group 15"/>
                      <wpg:cNvGrpSpPr/>
                      <wpg:grpSpPr>
                        <a:xfrm>
                          <a:off x="0" y="0"/>
                          <a:ext cx="374650" cy="2935605"/>
                          <a:chExt cx="374650" cy="2935605"/>
                        </a:xfrm>
                      </wpg:grpSpPr>
                      <wps:wsp>
                        <wps:cNvPr id="16" name="Graphic 16"/>
                        <wps:cNvSpPr/>
                        <wps:spPr>
                          <a:xfrm>
                            <a:off x="3175" y="3175"/>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style="width:29.5pt;height:231.15pt;mso-position-horizontal-relative:char;mso-position-vertical-relative:line" id="docshapegroup9" coordorigin="0,0" coordsize="590,4623">
                <v:rect style="position:absolute;left:5;top:5;width:580;height:4613" id="docshape10" filled="false" stroked="true" strokeweight=".5pt" strokecolor="#808080">
                  <v:stroke dashstyle="solid"/>
                </v:rect>
              </v:group>
            </w:pict>
          </mc:Fallback>
        </mc:AlternateContent>
      </w:r>
      <w:r>
        <w:rPr>
          <w:rFonts w:ascii="Century Gothic"/>
          <w:sz w:val="20"/>
        </w:rPr>
      </w:r>
    </w:p>
    <w:p>
      <w:pPr>
        <w:pStyle w:val="BodyText"/>
        <w:rPr>
          <w:rFonts w:ascii="Century Gothic"/>
          <w:sz w:val="32"/>
        </w:rPr>
      </w:pPr>
    </w:p>
    <w:p>
      <w:pPr>
        <w:pStyle w:val="BodyText"/>
        <w:rPr>
          <w:rFonts w:ascii="Century Gothic"/>
          <w:sz w:val="32"/>
        </w:rPr>
      </w:pPr>
    </w:p>
    <w:p>
      <w:pPr>
        <w:pStyle w:val="BodyText"/>
        <w:spacing w:before="255"/>
        <w:rPr>
          <w:rFonts w:ascii="Century Gothic"/>
          <w:sz w:val="32"/>
        </w:rPr>
      </w:pPr>
    </w:p>
    <w:p>
      <w:pPr>
        <w:spacing w:before="0"/>
        <w:ind w:left="2904" w:right="3181" w:firstLine="0"/>
        <w:jc w:val="center"/>
        <w:rPr>
          <w:sz w:val="32"/>
        </w:rPr>
      </w:pPr>
      <w:r>
        <w:rPr>
          <w:sz w:val="32"/>
        </w:rPr>
        <mc:AlternateContent>
          <mc:Choice Requires="wps">
            <w:drawing>
              <wp:anchor distT="0" distB="0" distL="0" distR="0" allowOverlap="1" layoutInCell="1" locked="0" behindDoc="0" simplePos="0" relativeHeight="15734272">
                <wp:simplePos x="0" y="0"/>
                <wp:positionH relativeFrom="page">
                  <wp:posOffset>254000</wp:posOffset>
                </wp:positionH>
                <wp:positionV relativeFrom="paragraph">
                  <wp:posOffset>-866286</wp:posOffset>
                </wp:positionV>
                <wp:extent cx="368300" cy="292925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68.211563pt;width:29pt;height:230.64pt;mso-position-horizontal-relative:page;mso-position-vertical-relative:paragraph;z-index:15734272" id="docshape11" filled="false" stroked="true" strokeweight=".5pt" strokecolor="#808080">
                <v:stroke dashstyle="solid"/>
                <w10:wrap type="none"/>
              </v:rect>
            </w:pict>
          </mc:Fallback>
        </mc:AlternateContent>
      </w:r>
      <w:bookmarkStart w:name="20260323 Estados Financieros y Memoria C" w:id="2"/>
      <w:bookmarkEnd w:id="2"/>
      <w:r>
        <w:rPr/>
      </w:r>
      <w:bookmarkStart w:name="1 EEFF Consejo Administación" w:id="3"/>
      <w:bookmarkEnd w:id="3"/>
      <w:r>
        <w:rPr/>
      </w:r>
      <w:r>
        <w:rPr>
          <w:spacing w:val="-4"/>
          <w:sz w:val="32"/>
          <w:u w:val="single"/>
        </w:rPr>
        <w:t>BALANCE</w:t>
      </w:r>
      <w:r>
        <w:rPr>
          <w:spacing w:val="-16"/>
          <w:sz w:val="32"/>
          <w:u w:val="single"/>
        </w:rPr>
        <w:t> </w:t>
      </w:r>
      <w:r>
        <w:rPr>
          <w:spacing w:val="-4"/>
          <w:sz w:val="32"/>
          <w:u w:val="single"/>
        </w:rPr>
        <w:t>DE</w:t>
      </w:r>
      <w:r>
        <w:rPr>
          <w:spacing w:val="-16"/>
          <w:sz w:val="32"/>
          <w:u w:val="single"/>
        </w:rPr>
        <w:t> </w:t>
      </w:r>
      <w:r>
        <w:rPr>
          <w:spacing w:val="-4"/>
          <w:sz w:val="32"/>
          <w:u w:val="single"/>
        </w:rPr>
        <w:t>SITUACIÓN</w:t>
      </w:r>
    </w:p>
    <w:p>
      <w:pPr>
        <w:pStyle w:val="BodyText"/>
        <w:spacing w:before="15"/>
        <w:rPr>
          <w:sz w:val="32"/>
        </w:rPr>
      </w:pPr>
    </w:p>
    <w:p>
      <w:pPr>
        <w:spacing w:before="0"/>
        <w:ind w:left="2904" w:right="3181" w:firstLine="0"/>
        <w:jc w:val="center"/>
        <w:rPr>
          <w:sz w:val="32"/>
        </w:rPr>
      </w:pPr>
      <w:r>
        <w:rPr>
          <w:sz w:val="32"/>
        </w:rPr>
        <mc:AlternateContent>
          <mc:Choice Requires="wps">
            <w:drawing>
              <wp:anchor distT="0" distB="0" distL="0" distR="0" allowOverlap="1" layoutInCell="1" locked="0" behindDoc="0" simplePos="0" relativeHeight="15734784">
                <wp:simplePos x="0" y="0"/>
                <wp:positionH relativeFrom="page">
                  <wp:posOffset>6966436</wp:posOffset>
                </wp:positionH>
                <wp:positionV relativeFrom="paragraph">
                  <wp:posOffset>862969</wp:posOffset>
                </wp:positionV>
                <wp:extent cx="263525" cy="323342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67.950378pt;width:20.75pt;height:254.6pt;mso-position-horizontal-relative:page;mso-position-vertical-relative:paragraph;z-index:15734784" type="#_x0000_t202" id="docshape1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1</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w w:val="90"/>
          <w:sz w:val="32"/>
          <w:u w:val="single"/>
        </w:rPr>
        <w:t>AL</w:t>
      </w:r>
      <w:r>
        <w:rPr>
          <w:spacing w:val="19"/>
          <w:sz w:val="32"/>
          <w:u w:val="single"/>
        </w:rPr>
        <w:t> </w:t>
      </w:r>
      <w:r>
        <w:rPr>
          <w:w w:val="90"/>
          <w:sz w:val="32"/>
          <w:u w:val="single"/>
        </w:rPr>
        <w:t>CIERRE</w:t>
      </w:r>
      <w:r>
        <w:rPr>
          <w:spacing w:val="20"/>
          <w:sz w:val="32"/>
          <w:u w:val="single"/>
        </w:rPr>
        <w:t> </w:t>
      </w:r>
      <w:r>
        <w:rPr>
          <w:w w:val="90"/>
          <w:sz w:val="32"/>
          <w:u w:val="single"/>
        </w:rPr>
        <w:t>DEL</w:t>
      </w:r>
      <w:r>
        <w:rPr>
          <w:spacing w:val="20"/>
          <w:sz w:val="32"/>
          <w:u w:val="single"/>
        </w:rPr>
        <w:t> </w:t>
      </w:r>
      <w:r>
        <w:rPr>
          <w:w w:val="90"/>
          <w:sz w:val="32"/>
          <w:u w:val="single"/>
        </w:rPr>
        <w:t>EJERCICIO</w:t>
      </w:r>
      <w:r>
        <w:rPr>
          <w:spacing w:val="20"/>
          <w:sz w:val="32"/>
          <w:u w:val="single"/>
        </w:rPr>
        <w:t> </w:t>
      </w:r>
      <w:r>
        <w:rPr>
          <w:spacing w:val="-4"/>
          <w:w w:val="90"/>
          <w:sz w:val="32"/>
          <w:u w:val="single"/>
        </w:rPr>
        <w:t>2025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5"/>
      </w:pPr>
      <w:r>
        <w:rPr/>
        <mc:AlternateContent>
          <mc:Choice Requires="wps">
            <w:drawing>
              <wp:anchor distT="0" distB="0" distL="0" distR="0" allowOverlap="1" layoutInCell="1" locked="0" behindDoc="1" simplePos="0" relativeHeight="487592448">
                <wp:simplePos x="0" y="0"/>
                <wp:positionH relativeFrom="page">
                  <wp:posOffset>254000</wp:posOffset>
                </wp:positionH>
                <wp:positionV relativeFrom="paragraph">
                  <wp:posOffset>247534</wp:posOffset>
                </wp:positionV>
                <wp:extent cx="368300" cy="292925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19.490938pt;width:29pt;height:230.64pt;mso-position-horizontal-relative:page;mso-position-vertical-relative:paragraph;z-index:-15724032;mso-wrap-distance-left:0;mso-wrap-distance-right:0" id="docshape13" filled="false" stroked="true" strokeweight=".5pt" strokecolor="#808080">
                <v:stroke dashstyle="solid"/>
                <w10:wrap type="topAndBottom"/>
              </v:rect>
            </w:pict>
          </mc:Fallback>
        </mc:AlternateContent>
      </w:r>
      <w:r>
        <w:rPr/>
        <w:drawing>
          <wp:anchor distT="0" distB="0" distL="0" distR="0" allowOverlap="1" layoutInCell="1" locked="0" behindDoc="1" simplePos="0" relativeHeight="487592960">
            <wp:simplePos x="0" y="0"/>
            <wp:positionH relativeFrom="page">
              <wp:posOffset>6781418</wp:posOffset>
            </wp:positionH>
            <wp:positionV relativeFrom="paragraph">
              <wp:posOffset>2757562</wp:posOffset>
            </wp:positionV>
            <wp:extent cx="418052" cy="418052"/>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418052" cy="418052"/>
                    </a:xfrm>
                    <a:prstGeom prst="rect">
                      <a:avLst/>
                    </a:prstGeom>
                  </pic:spPr>
                </pic:pic>
              </a:graphicData>
            </a:graphic>
          </wp:anchor>
        </w:drawing>
      </w:r>
    </w:p>
    <w:p>
      <w:pPr>
        <w:pStyle w:val="BodyText"/>
        <w:spacing w:after="0"/>
        <w:sectPr>
          <w:headerReference w:type="default" r:id="rId8"/>
          <w:footerReference w:type="default" r:id="rId9"/>
          <w:pgSz w:w="11910" w:h="16840"/>
          <w:pgMar w:header="286" w:footer="315" w:top="1920" w:bottom="500" w:left="360" w:right="360"/>
          <w:pgNumType w:start="1"/>
        </w:sectPr>
      </w:pPr>
    </w:p>
    <w:p>
      <w:pPr>
        <w:pStyle w:val="BodyText"/>
      </w:pPr>
      <w:r>
        <w:rPr/>
        <mc:AlternateContent>
          <mc:Choice Requires="wps">
            <w:drawing>
              <wp:anchor distT="0" distB="0" distL="0" distR="0" allowOverlap="1" layoutInCell="1" locked="0" behindDoc="0" simplePos="0" relativeHeight="15736320">
                <wp:simplePos x="0" y="0"/>
                <wp:positionH relativeFrom="page">
                  <wp:posOffset>254000</wp:posOffset>
                </wp:positionH>
                <wp:positionV relativeFrom="page">
                  <wp:posOffset>1397000</wp:posOffset>
                </wp:positionV>
                <wp:extent cx="368300" cy="292925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110.000046pt;width:29pt;height:230.64pt;mso-position-horizontal-relative:page;mso-position-vertical-relative:page;z-index:15736320" id="docshape14" filled="false" stroked="true" strokeweight=".5pt" strokecolor="#808080">
                <v:stroke dashstyle="solid"/>
                <w10:wrap type="none"/>
              </v:rect>
            </w:pict>
          </mc:Fallback>
        </mc:AlternateContent>
      </w:r>
      <w:r>
        <w:rPr/>
        <mc:AlternateContent>
          <mc:Choice Requires="wps">
            <w:drawing>
              <wp:anchor distT="0" distB="0" distL="0" distR="0" allowOverlap="1" layoutInCell="1" locked="0" behindDoc="0" simplePos="0" relativeHeight="15736832">
                <wp:simplePos x="0" y="0"/>
                <wp:positionH relativeFrom="page">
                  <wp:posOffset>254000</wp:posOffset>
                </wp:positionH>
                <wp:positionV relativeFrom="page">
                  <wp:posOffset>4389628</wp:posOffset>
                </wp:positionV>
                <wp:extent cx="368300" cy="292925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345.640045pt;width:29pt;height:230.64pt;mso-position-horizontal-relative:page;mso-position-vertical-relative:page;z-index:15736832" id="docshape15" filled="false" stroked="true" strokeweight=".5pt" strokecolor="#808080">
                <v:stroke dashstyle="solid"/>
                <w10:wrap type="none"/>
              </v:rect>
            </w:pict>
          </mc:Fallback>
        </mc:AlternateContent>
      </w:r>
      <w:r>
        <w:rPr/>
        <mc:AlternateContent>
          <mc:Choice Requires="wps">
            <w:drawing>
              <wp:anchor distT="0" distB="0" distL="0" distR="0" allowOverlap="1" layoutInCell="1" locked="0" behindDoc="0" simplePos="0" relativeHeight="15737344">
                <wp:simplePos x="0" y="0"/>
                <wp:positionH relativeFrom="page">
                  <wp:posOffset>6966436</wp:posOffset>
                </wp:positionH>
                <wp:positionV relativeFrom="page">
                  <wp:posOffset>6595730</wp:posOffset>
                </wp:positionV>
                <wp:extent cx="263525" cy="323342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37344" type="#_x0000_t202" id="docshape1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2</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spacing w:before="206" w:after="1"/>
      </w:pPr>
    </w:p>
    <w:tbl>
      <w:tblPr>
        <w:tblW w:w="0" w:type="auto"/>
        <w:jc w:val="left"/>
        <w:tblInd w:w="13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67"/>
        <w:gridCol w:w="459"/>
        <w:gridCol w:w="1281"/>
        <w:gridCol w:w="1375"/>
      </w:tblGrid>
      <w:tr>
        <w:trPr>
          <w:trHeight w:val="135" w:hRule="atLeast"/>
        </w:trPr>
        <w:tc>
          <w:tcPr>
            <w:tcW w:w="5367" w:type="dxa"/>
            <w:tcBorders>
              <w:bottom w:val="single" w:sz="6" w:space="0" w:color="000000"/>
              <w:right w:val="single" w:sz="6" w:space="0" w:color="000000"/>
            </w:tcBorders>
            <w:shd w:val="clear" w:color="auto" w:fill="FFC000"/>
          </w:tcPr>
          <w:p>
            <w:pPr>
              <w:pStyle w:val="TableParagraph"/>
              <w:spacing w:line="116" w:lineRule="exact"/>
              <w:ind w:left="20"/>
              <w:jc w:val="center"/>
              <w:rPr>
                <w:b/>
                <w:sz w:val="13"/>
              </w:rPr>
            </w:pPr>
            <w:r>
              <w:rPr>
                <w:b/>
                <w:spacing w:val="-2"/>
                <w:w w:val="110"/>
                <w:sz w:val="13"/>
              </w:rPr>
              <w:t>ACTIVO</w:t>
            </w:r>
          </w:p>
        </w:tc>
        <w:tc>
          <w:tcPr>
            <w:tcW w:w="459" w:type="dxa"/>
            <w:tcBorders>
              <w:left w:val="single" w:sz="6" w:space="0" w:color="000000"/>
              <w:bottom w:val="single" w:sz="6" w:space="0" w:color="000000"/>
              <w:right w:val="single" w:sz="6" w:space="0" w:color="000000"/>
            </w:tcBorders>
            <w:shd w:val="clear" w:color="auto" w:fill="FFC000"/>
          </w:tcPr>
          <w:p>
            <w:pPr>
              <w:pStyle w:val="TableParagraph"/>
              <w:spacing w:line="116" w:lineRule="exact"/>
              <w:ind w:left="47"/>
              <w:jc w:val="center"/>
              <w:rPr>
                <w:b/>
                <w:sz w:val="13"/>
              </w:rPr>
            </w:pPr>
            <w:r>
              <w:rPr>
                <w:b/>
                <w:spacing w:val="-2"/>
                <w:sz w:val="13"/>
              </w:rPr>
              <w:t>Notas</w:t>
            </w:r>
          </w:p>
        </w:tc>
        <w:tc>
          <w:tcPr>
            <w:tcW w:w="1281" w:type="dxa"/>
            <w:tcBorders>
              <w:left w:val="single" w:sz="6" w:space="0" w:color="000000"/>
              <w:bottom w:val="single" w:sz="6" w:space="0" w:color="000000"/>
              <w:right w:val="single" w:sz="8" w:space="0" w:color="000000"/>
            </w:tcBorders>
            <w:shd w:val="clear" w:color="auto" w:fill="FFC000"/>
          </w:tcPr>
          <w:p>
            <w:pPr>
              <w:pStyle w:val="TableParagraph"/>
              <w:spacing w:line="116" w:lineRule="exact"/>
              <w:ind w:left="44"/>
              <w:jc w:val="center"/>
              <w:rPr>
                <w:b/>
                <w:sz w:val="13"/>
              </w:rPr>
            </w:pPr>
            <w:r>
              <w:rPr>
                <w:b/>
                <w:spacing w:val="-4"/>
                <w:w w:val="115"/>
                <w:sz w:val="13"/>
              </w:rPr>
              <w:t>2025</w:t>
            </w:r>
          </w:p>
        </w:tc>
        <w:tc>
          <w:tcPr>
            <w:tcW w:w="1375" w:type="dxa"/>
            <w:tcBorders>
              <w:left w:val="single" w:sz="8" w:space="0" w:color="000000"/>
              <w:bottom w:val="single" w:sz="6" w:space="0" w:color="000000"/>
              <w:right w:val="single" w:sz="12" w:space="0" w:color="0000D0"/>
            </w:tcBorders>
            <w:shd w:val="clear" w:color="auto" w:fill="FFC000"/>
          </w:tcPr>
          <w:p>
            <w:pPr>
              <w:pStyle w:val="TableParagraph"/>
              <w:spacing w:line="116" w:lineRule="exact"/>
              <w:ind w:left="68"/>
              <w:jc w:val="center"/>
              <w:rPr>
                <w:b/>
                <w:sz w:val="13"/>
              </w:rPr>
            </w:pPr>
            <w:r>
              <w:rPr>
                <w:b/>
                <w:spacing w:val="-4"/>
                <w:w w:val="115"/>
                <w:sz w:val="13"/>
              </w:rPr>
              <w:t>2024</w:t>
            </w:r>
          </w:p>
        </w:tc>
      </w:tr>
      <w:tr>
        <w:trPr>
          <w:trHeight w:val="159" w:hRule="atLeast"/>
        </w:trPr>
        <w:tc>
          <w:tcPr>
            <w:tcW w:w="5367" w:type="dxa"/>
            <w:tcBorders>
              <w:top w:val="single" w:sz="6" w:space="0" w:color="000000"/>
              <w:bottom w:val="nil"/>
              <w:right w:val="single" w:sz="6" w:space="0" w:color="000000"/>
            </w:tcBorders>
          </w:tcPr>
          <w:p>
            <w:pPr>
              <w:pStyle w:val="TableParagraph"/>
              <w:spacing w:line="131" w:lineRule="exact" w:before="8"/>
              <w:ind w:left="16"/>
              <w:rPr>
                <w:b/>
                <w:sz w:val="13"/>
              </w:rPr>
            </w:pPr>
            <w:r>
              <w:rPr>
                <w:b/>
                <w:sz w:val="13"/>
              </w:rPr>
              <w:t>ACTIVO</w:t>
            </w:r>
            <w:r>
              <w:rPr>
                <w:b/>
                <w:spacing w:val="7"/>
                <w:sz w:val="13"/>
              </w:rPr>
              <w:t> </w:t>
            </w:r>
            <w:r>
              <w:rPr>
                <w:b/>
                <w:sz w:val="13"/>
              </w:rPr>
              <w:t>NO</w:t>
            </w:r>
            <w:r>
              <w:rPr>
                <w:b/>
                <w:spacing w:val="6"/>
                <w:sz w:val="13"/>
              </w:rPr>
              <w:t> </w:t>
            </w:r>
            <w:r>
              <w:rPr>
                <w:b/>
                <w:spacing w:val="-2"/>
                <w:sz w:val="13"/>
              </w:rPr>
              <w:t>CORRIENTE</w:t>
            </w:r>
          </w:p>
        </w:tc>
        <w:tc>
          <w:tcPr>
            <w:tcW w:w="459" w:type="dxa"/>
            <w:tcBorders>
              <w:top w:val="single" w:sz="6" w:space="0" w:color="000000"/>
              <w:left w:val="single" w:sz="6" w:space="0" w:color="000000"/>
              <w:bottom w:val="nil"/>
              <w:right w:val="single" w:sz="6" w:space="0" w:color="000000"/>
            </w:tcBorders>
          </w:tcPr>
          <w:p>
            <w:pPr>
              <w:pStyle w:val="TableParagraph"/>
              <w:rPr>
                <w:rFonts w:ascii="Times New Roman"/>
                <w:sz w:val="10"/>
              </w:rPr>
            </w:pPr>
          </w:p>
        </w:tc>
        <w:tc>
          <w:tcPr>
            <w:tcW w:w="1281" w:type="dxa"/>
            <w:tcBorders>
              <w:top w:val="single" w:sz="6" w:space="0" w:color="000000"/>
              <w:left w:val="single" w:sz="6" w:space="0" w:color="000000"/>
              <w:bottom w:val="nil"/>
              <w:right w:val="single" w:sz="8" w:space="0" w:color="000000"/>
            </w:tcBorders>
          </w:tcPr>
          <w:p>
            <w:pPr>
              <w:pStyle w:val="TableParagraph"/>
              <w:spacing w:line="131" w:lineRule="exact" w:before="8"/>
              <w:ind w:right="38"/>
              <w:jc w:val="right"/>
              <w:rPr>
                <w:b/>
                <w:sz w:val="13"/>
              </w:rPr>
            </w:pPr>
            <w:r>
              <w:rPr>
                <w:b/>
                <w:spacing w:val="-2"/>
                <w:w w:val="115"/>
                <w:sz w:val="13"/>
              </w:rPr>
              <w:t>89.904.253,68</w:t>
            </w:r>
          </w:p>
        </w:tc>
        <w:tc>
          <w:tcPr>
            <w:tcW w:w="1375" w:type="dxa"/>
            <w:tcBorders>
              <w:top w:val="single" w:sz="6" w:space="0" w:color="000000"/>
              <w:left w:val="single" w:sz="8" w:space="0" w:color="000000"/>
              <w:bottom w:val="nil"/>
              <w:right w:val="single" w:sz="12" w:space="0" w:color="0000D0"/>
            </w:tcBorders>
          </w:tcPr>
          <w:p>
            <w:pPr>
              <w:pStyle w:val="TableParagraph"/>
              <w:spacing w:line="131" w:lineRule="exact" w:before="8"/>
              <w:ind w:right="25"/>
              <w:jc w:val="right"/>
              <w:rPr>
                <w:b/>
                <w:sz w:val="13"/>
              </w:rPr>
            </w:pPr>
            <w:r>
              <w:rPr>
                <w:b/>
                <w:spacing w:val="-2"/>
                <w:w w:val="115"/>
                <w:sz w:val="13"/>
              </w:rPr>
              <w:t>82.551.839,81</w:t>
            </w:r>
          </w:p>
        </w:tc>
      </w:tr>
      <w:tr>
        <w:trPr>
          <w:trHeight w:val="164" w:hRule="atLeast"/>
        </w:trPr>
        <w:tc>
          <w:tcPr>
            <w:tcW w:w="5367" w:type="dxa"/>
            <w:tcBorders>
              <w:top w:val="nil"/>
              <w:bottom w:val="nil"/>
              <w:right w:val="single" w:sz="6" w:space="0" w:color="000000"/>
            </w:tcBorders>
          </w:tcPr>
          <w:p>
            <w:pPr>
              <w:pStyle w:val="TableParagraph"/>
              <w:spacing w:line="133" w:lineRule="exact" w:before="11"/>
              <w:ind w:left="16"/>
              <w:rPr>
                <w:b/>
                <w:sz w:val="13"/>
              </w:rPr>
            </w:pPr>
            <w:r>
              <w:rPr>
                <w:b/>
                <w:spacing w:val="-2"/>
                <w:w w:val="110"/>
                <w:sz w:val="13"/>
              </w:rPr>
              <w:t>Inmovilizado</w:t>
            </w:r>
            <w:r>
              <w:rPr>
                <w:b/>
                <w:spacing w:val="-3"/>
                <w:w w:val="110"/>
                <w:sz w:val="13"/>
              </w:rPr>
              <w:t> </w:t>
            </w:r>
            <w:r>
              <w:rPr>
                <w:b/>
                <w:spacing w:val="-2"/>
                <w:w w:val="110"/>
                <w:sz w:val="13"/>
              </w:rPr>
              <w:t>intangible</w:t>
            </w:r>
          </w:p>
        </w:tc>
        <w:tc>
          <w:tcPr>
            <w:tcW w:w="459" w:type="dxa"/>
            <w:tcBorders>
              <w:top w:val="nil"/>
              <w:left w:val="single" w:sz="6" w:space="0" w:color="000000"/>
              <w:bottom w:val="nil"/>
              <w:right w:val="single" w:sz="6" w:space="0" w:color="000000"/>
            </w:tcBorders>
          </w:tcPr>
          <w:p>
            <w:pPr>
              <w:pStyle w:val="TableParagraph"/>
              <w:spacing w:line="141" w:lineRule="exact" w:before="3"/>
              <w:ind w:left="36"/>
              <w:jc w:val="center"/>
              <w:rPr>
                <w:rFonts w:ascii="Tahoma"/>
                <w:sz w:val="13"/>
              </w:rPr>
            </w:pPr>
            <w:r>
              <w:rPr>
                <w:rFonts w:ascii="Tahoma"/>
                <w:spacing w:val="-10"/>
                <w:sz w:val="13"/>
              </w:rPr>
              <w:t>5</w:t>
            </w:r>
          </w:p>
        </w:tc>
        <w:tc>
          <w:tcPr>
            <w:tcW w:w="1281" w:type="dxa"/>
            <w:tcBorders>
              <w:top w:val="nil"/>
              <w:left w:val="single" w:sz="6" w:space="0" w:color="000000"/>
              <w:bottom w:val="nil"/>
              <w:right w:val="single" w:sz="8" w:space="0" w:color="000000"/>
            </w:tcBorders>
          </w:tcPr>
          <w:p>
            <w:pPr>
              <w:pStyle w:val="TableParagraph"/>
              <w:spacing w:line="133" w:lineRule="exact" w:before="11"/>
              <w:ind w:right="39"/>
              <w:jc w:val="right"/>
              <w:rPr>
                <w:b/>
                <w:sz w:val="13"/>
              </w:rPr>
            </w:pPr>
            <w:r>
              <w:rPr>
                <w:b/>
                <w:spacing w:val="-2"/>
                <w:w w:val="115"/>
                <w:sz w:val="13"/>
              </w:rPr>
              <w:t>36.102.015,59</w:t>
            </w:r>
          </w:p>
        </w:tc>
        <w:tc>
          <w:tcPr>
            <w:tcW w:w="1375" w:type="dxa"/>
            <w:tcBorders>
              <w:top w:val="nil"/>
              <w:left w:val="single" w:sz="8" w:space="0" w:color="000000"/>
              <w:bottom w:val="nil"/>
              <w:right w:val="single" w:sz="12" w:space="0" w:color="0000D0"/>
            </w:tcBorders>
          </w:tcPr>
          <w:p>
            <w:pPr>
              <w:pStyle w:val="TableParagraph"/>
              <w:spacing w:line="133" w:lineRule="exact" w:before="11"/>
              <w:ind w:right="26"/>
              <w:jc w:val="right"/>
              <w:rPr>
                <w:b/>
                <w:sz w:val="13"/>
              </w:rPr>
            </w:pPr>
            <w:r>
              <w:rPr>
                <w:b/>
                <w:spacing w:val="-2"/>
                <w:w w:val="115"/>
                <w:sz w:val="13"/>
              </w:rPr>
              <w:t>35.021.379,32</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pacing w:val="-2"/>
                <w:sz w:val="13"/>
              </w:rPr>
              <w:t>Concesiones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3.260.742,60</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3.381.139,32</w:t>
            </w:r>
          </w:p>
        </w:tc>
      </w:tr>
      <w:tr>
        <w:trPr>
          <w:trHeight w:val="162" w:hRule="atLeast"/>
        </w:trPr>
        <w:tc>
          <w:tcPr>
            <w:tcW w:w="5367" w:type="dxa"/>
            <w:tcBorders>
              <w:top w:val="nil"/>
              <w:bottom w:val="nil"/>
              <w:right w:val="single" w:sz="6" w:space="0" w:color="000000"/>
            </w:tcBorders>
          </w:tcPr>
          <w:p>
            <w:pPr>
              <w:pStyle w:val="TableParagraph"/>
              <w:spacing w:line="139" w:lineRule="exact" w:before="3"/>
              <w:ind w:left="16"/>
              <w:rPr>
                <w:rFonts w:ascii="Tahoma"/>
                <w:sz w:val="13"/>
              </w:rPr>
            </w:pPr>
            <w:r>
              <w:rPr>
                <w:rFonts w:ascii="Tahoma"/>
                <w:sz w:val="13"/>
              </w:rPr>
              <w:t>Patentes,</w:t>
            </w:r>
            <w:r>
              <w:rPr>
                <w:rFonts w:ascii="Tahoma"/>
                <w:spacing w:val="15"/>
                <w:sz w:val="13"/>
              </w:rPr>
              <w:t> </w:t>
            </w:r>
            <w:r>
              <w:rPr>
                <w:rFonts w:ascii="Tahoma"/>
                <w:sz w:val="13"/>
              </w:rPr>
              <w:t>licencias,</w:t>
            </w:r>
            <w:r>
              <w:rPr>
                <w:rFonts w:ascii="Tahoma"/>
                <w:spacing w:val="12"/>
                <w:sz w:val="13"/>
              </w:rPr>
              <w:t> </w:t>
            </w:r>
            <w:r>
              <w:rPr>
                <w:rFonts w:ascii="Tahoma"/>
                <w:sz w:val="13"/>
              </w:rPr>
              <w:t>marcas</w:t>
            </w:r>
            <w:r>
              <w:rPr>
                <w:rFonts w:ascii="Tahoma"/>
                <w:spacing w:val="4"/>
                <w:sz w:val="13"/>
              </w:rPr>
              <w:t> </w:t>
            </w:r>
            <w:r>
              <w:rPr>
                <w:rFonts w:ascii="Tahoma"/>
                <w:sz w:val="13"/>
              </w:rPr>
              <w:t>y</w:t>
            </w:r>
            <w:r>
              <w:rPr>
                <w:rFonts w:ascii="Tahoma"/>
                <w:spacing w:val="11"/>
                <w:sz w:val="13"/>
              </w:rPr>
              <w:t> </w:t>
            </w:r>
            <w:r>
              <w:rPr>
                <w:rFonts w:ascii="Tahoma"/>
                <w:spacing w:val="-2"/>
                <w:sz w:val="13"/>
              </w:rPr>
              <w:t>similares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9" w:lineRule="exact" w:before="3"/>
              <w:ind w:right="38"/>
              <w:jc w:val="right"/>
              <w:rPr>
                <w:rFonts w:ascii="Tahoma"/>
                <w:sz w:val="13"/>
              </w:rPr>
            </w:pPr>
            <w:r>
              <w:rPr>
                <w:rFonts w:ascii="Tahoma"/>
                <w:spacing w:val="-2"/>
                <w:sz w:val="13"/>
              </w:rPr>
              <w:t>3.000,00</w:t>
            </w:r>
          </w:p>
        </w:tc>
        <w:tc>
          <w:tcPr>
            <w:tcW w:w="1375" w:type="dxa"/>
            <w:tcBorders>
              <w:top w:val="nil"/>
              <w:left w:val="single" w:sz="8" w:space="0" w:color="000000"/>
              <w:bottom w:val="nil"/>
              <w:right w:val="single" w:sz="12" w:space="0" w:color="0000D0"/>
            </w:tcBorders>
          </w:tcPr>
          <w:p>
            <w:pPr>
              <w:pStyle w:val="TableParagraph"/>
              <w:spacing w:line="139" w:lineRule="exact" w:before="3"/>
              <w:ind w:right="28"/>
              <w:jc w:val="right"/>
              <w:rPr>
                <w:rFonts w:ascii="Tahoma"/>
                <w:sz w:val="13"/>
              </w:rPr>
            </w:pPr>
            <w:r>
              <w:rPr>
                <w:rFonts w:ascii="Tahoma"/>
                <w:spacing w:val="-2"/>
                <w:sz w:val="13"/>
              </w:rPr>
              <w:t>3.000,00</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hAnsi="Tahoma"/>
                <w:sz w:val="13"/>
              </w:rPr>
            </w:pPr>
            <w:r>
              <w:rPr>
                <w:rFonts w:ascii="Tahoma" w:hAnsi="Tahoma"/>
                <w:sz w:val="13"/>
              </w:rPr>
              <w:t>Aplicaciones</w:t>
            </w:r>
            <w:r>
              <w:rPr>
                <w:rFonts w:ascii="Tahoma" w:hAnsi="Tahoma"/>
                <w:spacing w:val="7"/>
                <w:sz w:val="13"/>
              </w:rPr>
              <w:t> </w:t>
            </w:r>
            <w:r>
              <w:rPr>
                <w:rFonts w:ascii="Tahoma" w:hAnsi="Tahoma"/>
                <w:spacing w:val="-2"/>
                <w:sz w:val="13"/>
              </w:rPr>
              <w:t>informáticas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1.008.308,06</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969.353,72</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z w:val="13"/>
              </w:rPr>
              <w:t>Otro inmovilizado </w:t>
            </w:r>
            <w:r>
              <w:rPr>
                <w:rFonts w:ascii="Tahoma"/>
                <w:spacing w:val="-2"/>
                <w:sz w:val="13"/>
              </w:rPr>
              <w:t>intangible</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31.829.964,93</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30.667.886,28</w:t>
            </w:r>
          </w:p>
        </w:tc>
      </w:tr>
      <w:tr>
        <w:trPr>
          <w:trHeight w:val="162" w:hRule="atLeast"/>
        </w:trPr>
        <w:tc>
          <w:tcPr>
            <w:tcW w:w="5367" w:type="dxa"/>
            <w:tcBorders>
              <w:top w:val="nil"/>
              <w:bottom w:val="nil"/>
              <w:right w:val="single" w:sz="6" w:space="0" w:color="000000"/>
            </w:tcBorders>
          </w:tcPr>
          <w:p>
            <w:pPr>
              <w:pStyle w:val="TableParagraph"/>
              <w:spacing w:line="131" w:lineRule="exact" w:before="11"/>
              <w:ind w:left="16"/>
              <w:rPr>
                <w:b/>
                <w:sz w:val="13"/>
              </w:rPr>
            </w:pPr>
            <w:r>
              <w:rPr>
                <w:b/>
                <w:spacing w:val="-2"/>
                <w:w w:val="110"/>
                <w:sz w:val="13"/>
              </w:rPr>
              <w:t>Inmovilizado</w:t>
            </w:r>
            <w:r>
              <w:rPr>
                <w:b/>
                <w:spacing w:val="-3"/>
                <w:w w:val="110"/>
                <w:sz w:val="13"/>
              </w:rPr>
              <w:t> </w:t>
            </w:r>
            <w:r>
              <w:rPr>
                <w:b/>
                <w:spacing w:val="-2"/>
                <w:w w:val="110"/>
                <w:sz w:val="13"/>
              </w:rPr>
              <w:t>material</w:t>
            </w:r>
          </w:p>
        </w:tc>
        <w:tc>
          <w:tcPr>
            <w:tcW w:w="459" w:type="dxa"/>
            <w:tcBorders>
              <w:top w:val="nil"/>
              <w:left w:val="single" w:sz="6" w:space="0" w:color="000000"/>
              <w:bottom w:val="nil"/>
              <w:right w:val="single" w:sz="6" w:space="0" w:color="000000"/>
            </w:tcBorders>
          </w:tcPr>
          <w:p>
            <w:pPr>
              <w:pStyle w:val="TableParagraph"/>
              <w:spacing w:line="140" w:lineRule="exact" w:before="3"/>
              <w:ind w:left="36"/>
              <w:jc w:val="center"/>
              <w:rPr>
                <w:rFonts w:ascii="Tahoma"/>
                <w:sz w:val="13"/>
              </w:rPr>
            </w:pPr>
            <w:r>
              <w:rPr>
                <w:rFonts w:ascii="Tahoma"/>
                <w:spacing w:val="-10"/>
                <w:sz w:val="13"/>
              </w:rPr>
              <w:t>6</w:t>
            </w:r>
          </w:p>
        </w:tc>
        <w:tc>
          <w:tcPr>
            <w:tcW w:w="1281" w:type="dxa"/>
            <w:tcBorders>
              <w:top w:val="nil"/>
              <w:left w:val="single" w:sz="6" w:space="0" w:color="000000"/>
              <w:bottom w:val="nil"/>
              <w:right w:val="single" w:sz="8" w:space="0" w:color="000000"/>
            </w:tcBorders>
          </w:tcPr>
          <w:p>
            <w:pPr>
              <w:pStyle w:val="TableParagraph"/>
              <w:spacing w:line="131" w:lineRule="exact" w:before="11"/>
              <w:ind w:right="39"/>
              <w:jc w:val="right"/>
              <w:rPr>
                <w:b/>
                <w:sz w:val="13"/>
              </w:rPr>
            </w:pPr>
            <w:r>
              <w:rPr>
                <w:b/>
                <w:spacing w:val="-2"/>
                <w:w w:val="115"/>
                <w:sz w:val="13"/>
              </w:rPr>
              <w:t>52.849.029,14</w:t>
            </w:r>
          </w:p>
        </w:tc>
        <w:tc>
          <w:tcPr>
            <w:tcW w:w="1375" w:type="dxa"/>
            <w:tcBorders>
              <w:top w:val="nil"/>
              <w:left w:val="single" w:sz="8" w:space="0" w:color="000000"/>
              <w:bottom w:val="nil"/>
              <w:right w:val="single" w:sz="12" w:space="0" w:color="0000D0"/>
            </w:tcBorders>
          </w:tcPr>
          <w:p>
            <w:pPr>
              <w:pStyle w:val="TableParagraph"/>
              <w:spacing w:line="131" w:lineRule="exact" w:before="11"/>
              <w:ind w:right="26"/>
              <w:jc w:val="right"/>
              <w:rPr>
                <w:b/>
                <w:sz w:val="13"/>
              </w:rPr>
            </w:pPr>
            <w:r>
              <w:rPr>
                <w:b/>
                <w:spacing w:val="-2"/>
                <w:w w:val="115"/>
                <w:sz w:val="13"/>
              </w:rPr>
              <w:t>46.778.111,65</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z w:val="13"/>
              </w:rPr>
              <w:t>Terrenos</w:t>
            </w:r>
            <w:r>
              <w:rPr>
                <w:rFonts w:ascii="Tahoma"/>
                <w:spacing w:val="12"/>
                <w:sz w:val="13"/>
              </w:rPr>
              <w:t> </w:t>
            </w:r>
            <w:r>
              <w:rPr>
                <w:rFonts w:ascii="Tahoma"/>
                <w:sz w:val="13"/>
              </w:rPr>
              <w:t>y</w:t>
            </w:r>
            <w:r>
              <w:rPr>
                <w:rFonts w:ascii="Tahoma"/>
                <w:spacing w:val="19"/>
                <w:sz w:val="13"/>
              </w:rPr>
              <w:t> </w:t>
            </w:r>
            <w:r>
              <w:rPr>
                <w:rFonts w:ascii="Tahoma"/>
                <w:spacing w:val="-2"/>
                <w:sz w:val="13"/>
              </w:rPr>
              <w:t>construcciones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9.213.386,05</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9.564.241,57</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hAnsi="Tahoma"/>
                <w:sz w:val="13"/>
              </w:rPr>
            </w:pPr>
            <w:r>
              <w:rPr>
                <w:rFonts w:ascii="Tahoma" w:hAnsi="Tahoma"/>
                <w:sz w:val="13"/>
              </w:rPr>
              <w:t>Instalaciones</w:t>
            </w:r>
            <w:r>
              <w:rPr>
                <w:rFonts w:ascii="Tahoma" w:hAnsi="Tahoma"/>
                <w:spacing w:val="1"/>
                <w:sz w:val="13"/>
              </w:rPr>
              <w:t> </w:t>
            </w:r>
            <w:r>
              <w:rPr>
                <w:rFonts w:ascii="Tahoma" w:hAnsi="Tahoma"/>
                <w:sz w:val="13"/>
              </w:rPr>
              <w:t>técnicas</w:t>
            </w:r>
            <w:r>
              <w:rPr>
                <w:rFonts w:ascii="Tahoma" w:hAnsi="Tahoma"/>
                <w:spacing w:val="1"/>
                <w:sz w:val="13"/>
              </w:rPr>
              <w:t> </w:t>
            </w:r>
            <w:r>
              <w:rPr>
                <w:rFonts w:ascii="Tahoma" w:hAnsi="Tahoma"/>
                <w:sz w:val="13"/>
              </w:rPr>
              <w:t>y</w:t>
            </w:r>
            <w:r>
              <w:rPr>
                <w:rFonts w:ascii="Tahoma" w:hAnsi="Tahoma"/>
                <w:spacing w:val="6"/>
                <w:sz w:val="13"/>
              </w:rPr>
              <w:t> </w:t>
            </w:r>
            <w:r>
              <w:rPr>
                <w:rFonts w:ascii="Tahoma" w:hAnsi="Tahoma"/>
                <w:sz w:val="13"/>
              </w:rPr>
              <w:t>otro</w:t>
            </w:r>
            <w:r>
              <w:rPr>
                <w:rFonts w:ascii="Tahoma" w:hAnsi="Tahoma"/>
                <w:spacing w:val="9"/>
                <w:sz w:val="13"/>
              </w:rPr>
              <w:t> </w:t>
            </w:r>
            <w:r>
              <w:rPr>
                <w:rFonts w:ascii="Tahoma" w:hAnsi="Tahoma"/>
                <w:sz w:val="13"/>
              </w:rPr>
              <w:t>inmovilizado</w:t>
            </w:r>
            <w:r>
              <w:rPr>
                <w:rFonts w:ascii="Tahoma" w:hAnsi="Tahoma"/>
                <w:spacing w:val="10"/>
                <w:sz w:val="13"/>
              </w:rPr>
              <w:t> </w:t>
            </w:r>
            <w:r>
              <w:rPr>
                <w:rFonts w:ascii="Tahoma" w:hAnsi="Tahoma"/>
                <w:spacing w:val="-2"/>
                <w:sz w:val="13"/>
              </w:rPr>
              <w:t>material</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43.629.393,09</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36.327.734,60</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z w:val="13"/>
              </w:rPr>
              <w:t>Inmovilizado</w:t>
            </w:r>
            <w:r>
              <w:rPr>
                <w:rFonts w:ascii="Tahoma"/>
                <w:spacing w:val="4"/>
                <w:sz w:val="13"/>
              </w:rPr>
              <w:t> </w:t>
            </w:r>
            <w:r>
              <w:rPr>
                <w:rFonts w:ascii="Tahoma"/>
                <w:sz w:val="13"/>
              </w:rPr>
              <w:t>en</w:t>
            </w:r>
            <w:r>
              <w:rPr>
                <w:rFonts w:ascii="Tahoma"/>
                <w:spacing w:val="2"/>
                <w:sz w:val="13"/>
              </w:rPr>
              <w:t> </w:t>
            </w:r>
            <w:r>
              <w:rPr>
                <w:rFonts w:ascii="Tahoma"/>
                <w:sz w:val="13"/>
              </w:rPr>
              <w:t>curso</w:t>
            </w:r>
            <w:r>
              <w:rPr>
                <w:rFonts w:ascii="Tahoma"/>
                <w:spacing w:val="4"/>
                <w:sz w:val="13"/>
              </w:rPr>
              <w:t> </w:t>
            </w:r>
            <w:r>
              <w:rPr>
                <w:rFonts w:ascii="Tahoma"/>
                <w:sz w:val="13"/>
              </w:rPr>
              <w:t>y</w:t>
            </w:r>
            <w:r>
              <w:rPr>
                <w:rFonts w:ascii="Tahoma"/>
                <w:spacing w:val="-1"/>
                <w:sz w:val="13"/>
              </w:rPr>
              <w:t> </w:t>
            </w:r>
            <w:r>
              <w:rPr>
                <w:rFonts w:ascii="Tahoma"/>
                <w:spacing w:val="-2"/>
                <w:sz w:val="13"/>
              </w:rPr>
              <w:t>anticipos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6.250,00</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886.135,48</w:t>
            </w:r>
          </w:p>
        </w:tc>
      </w:tr>
      <w:tr>
        <w:trPr>
          <w:trHeight w:val="164" w:hRule="atLeast"/>
        </w:trPr>
        <w:tc>
          <w:tcPr>
            <w:tcW w:w="5367" w:type="dxa"/>
            <w:tcBorders>
              <w:top w:val="nil"/>
              <w:bottom w:val="nil"/>
              <w:right w:val="single" w:sz="6" w:space="0" w:color="000000"/>
            </w:tcBorders>
          </w:tcPr>
          <w:p>
            <w:pPr>
              <w:pStyle w:val="TableParagraph"/>
              <w:spacing w:line="131" w:lineRule="exact" w:before="12"/>
              <w:ind w:left="16"/>
              <w:rPr>
                <w:b/>
                <w:sz w:val="13"/>
              </w:rPr>
            </w:pPr>
            <w:r>
              <w:rPr>
                <w:b/>
                <w:w w:val="105"/>
                <w:sz w:val="13"/>
              </w:rPr>
              <w:t>Inversiones</w:t>
            </w:r>
            <w:r>
              <w:rPr>
                <w:b/>
                <w:spacing w:val="3"/>
                <w:w w:val="110"/>
                <w:sz w:val="13"/>
              </w:rPr>
              <w:t> </w:t>
            </w:r>
            <w:r>
              <w:rPr>
                <w:b/>
                <w:spacing w:val="-2"/>
                <w:w w:val="110"/>
                <w:sz w:val="13"/>
              </w:rPr>
              <w:t>inmobiliarias</w:t>
            </w:r>
          </w:p>
        </w:tc>
        <w:tc>
          <w:tcPr>
            <w:tcW w:w="459" w:type="dxa"/>
            <w:tcBorders>
              <w:top w:val="nil"/>
              <w:left w:val="single" w:sz="6" w:space="0" w:color="000000"/>
              <w:bottom w:val="nil"/>
              <w:right w:val="single" w:sz="18" w:space="0" w:color="008000"/>
            </w:tcBorders>
          </w:tcPr>
          <w:p>
            <w:pPr>
              <w:pStyle w:val="TableParagraph"/>
              <w:spacing w:line="139" w:lineRule="exact" w:before="4"/>
              <w:ind w:left="51"/>
              <w:jc w:val="center"/>
              <w:rPr>
                <w:rFonts w:ascii="Tahoma"/>
                <w:sz w:val="13"/>
              </w:rPr>
            </w:pPr>
            <w:r>
              <w:rPr>
                <w:rFonts w:ascii="Tahoma"/>
                <w:spacing w:val="-10"/>
                <w:sz w:val="13"/>
              </w:rPr>
              <w:t>7</w:t>
            </w:r>
          </w:p>
        </w:tc>
        <w:tc>
          <w:tcPr>
            <w:tcW w:w="1281" w:type="dxa"/>
            <w:tcBorders>
              <w:top w:val="nil"/>
              <w:left w:val="single" w:sz="18" w:space="0" w:color="008000"/>
              <w:bottom w:val="nil"/>
              <w:right w:val="single" w:sz="18" w:space="0" w:color="008000"/>
            </w:tcBorders>
          </w:tcPr>
          <w:p>
            <w:pPr>
              <w:pStyle w:val="TableParagraph"/>
              <w:spacing w:line="131" w:lineRule="exact" w:before="12"/>
              <w:ind w:right="26"/>
              <w:jc w:val="right"/>
              <w:rPr>
                <w:b/>
                <w:sz w:val="13"/>
              </w:rPr>
            </w:pPr>
            <w:r>
              <w:rPr>
                <w:b/>
                <w:spacing w:val="-2"/>
                <w:w w:val="115"/>
                <w:sz w:val="13"/>
              </w:rPr>
              <w:t>96.530,70</w:t>
            </w:r>
          </w:p>
        </w:tc>
        <w:tc>
          <w:tcPr>
            <w:tcW w:w="1375" w:type="dxa"/>
            <w:tcBorders>
              <w:top w:val="nil"/>
              <w:left w:val="single" w:sz="18" w:space="0" w:color="008000"/>
              <w:bottom w:val="nil"/>
              <w:right w:val="single" w:sz="12" w:space="0" w:color="0000D0"/>
            </w:tcBorders>
          </w:tcPr>
          <w:p>
            <w:pPr>
              <w:pStyle w:val="TableParagraph"/>
              <w:spacing w:line="131" w:lineRule="exact" w:before="12"/>
              <w:ind w:right="25"/>
              <w:jc w:val="right"/>
              <w:rPr>
                <w:b/>
                <w:sz w:val="13"/>
              </w:rPr>
            </w:pPr>
            <w:r>
              <w:rPr>
                <w:b/>
                <w:spacing w:val="-2"/>
                <w:w w:val="115"/>
                <w:sz w:val="13"/>
              </w:rPr>
              <w:t>99.358,38</w:t>
            </w:r>
          </w:p>
        </w:tc>
      </w:tr>
      <w:tr>
        <w:trPr>
          <w:trHeight w:val="162" w:hRule="atLeast"/>
        </w:trPr>
        <w:tc>
          <w:tcPr>
            <w:tcW w:w="5367" w:type="dxa"/>
            <w:tcBorders>
              <w:top w:val="nil"/>
              <w:bottom w:val="nil"/>
              <w:right w:val="single" w:sz="6" w:space="0" w:color="000000"/>
            </w:tcBorders>
          </w:tcPr>
          <w:p>
            <w:pPr>
              <w:pStyle w:val="TableParagraph"/>
              <w:spacing w:line="140" w:lineRule="exact" w:before="3"/>
              <w:ind w:left="16"/>
              <w:rPr>
                <w:rFonts w:ascii="Tahoma"/>
                <w:sz w:val="13"/>
              </w:rPr>
            </w:pPr>
            <w:r>
              <w:rPr>
                <w:rFonts w:ascii="Tahoma"/>
                <w:spacing w:val="-2"/>
                <w:sz w:val="13"/>
              </w:rPr>
              <w:t>Terrenos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3"/>
              <w:ind w:right="38"/>
              <w:jc w:val="right"/>
              <w:rPr>
                <w:rFonts w:ascii="Tahoma"/>
                <w:sz w:val="13"/>
              </w:rPr>
            </w:pPr>
            <w:r>
              <w:rPr>
                <w:rFonts w:ascii="Tahoma"/>
                <w:spacing w:val="-2"/>
                <w:sz w:val="13"/>
              </w:rPr>
              <w:t>20.891,65</w:t>
            </w:r>
          </w:p>
        </w:tc>
        <w:tc>
          <w:tcPr>
            <w:tcW w:w="1375" w:type="dxa"/>
            <w:tcBorders>
              <w:top w:val="nil"/>
              <w:left w:val="single" w:sz="8" w:space="0" w:color="000000"/>
              <w:bottom w:val="nil"/>
              <w:right w:val="single" w:sz="12" w:space="0" w:color="0000D0"/>
            </w:tcBorders>
          </w:tcPr>
          <w:p>
            <w:pPr>
              <w:pStyle w:val="TableParagraph"/>
              <w:spacing w:line="140" w:lineRule="exact" w:before="3"/>
              <w:ind w:right="28"/>
              <w:jc w:val="right"/>
              <w:rPr>
                <w:rFonts w:ascii="Tahoma"/>
                <w:sz w:val="13"/>
              </w:rPr>
            </w:pPr>
            <w:r>
              <w:rPr>
                <w:rFonts w:ascii="Tahoma"/>
                <w:spacing w:val="-2"/>
                <w:sz w:val="13"/>
              </w:rPr>
              <w:t>20.891,65</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pacing w:val="-2"/>
                <w:sz w:val="13"/>
              </w:rPr>
              <w:t>Construcciones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75.639,05</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78.466,73</w:t>
            </w:r>
          </w:p>
        </w:tc>
      </w:tr>
      <w:tr>
        <w:trPr>
          <w:trHeight w:val="164" w:hRule="atLeast"/>
        </w:trPr>
        <w:tc>
          <w:tcPr>
            <w:tcW w:w="5367" w:type="dxa"/>
            <w:tcBorders>
              <w:top w:val="nil"/>
              <w:bottom w:val="nil"/>
              <w:right w:val="single" w:sz="6" w:space="0" w:color="000000"/>
            </w:tcBorders>
          </w:tcPr>
          <w:p>
            <w:pPr>
              <w:pStyle w:val="TableParagraph"/>
              <w:spacing w:line="131" w:lineRule="exact" w:before="12"/>
              <w:ind w:left="16"/>
              <w:rPr>
                <w:b/>
                <w:sz w:val="13"/>
              </w:rPr>
            </w:pPr>
            <w:r>
              <w:rPr>
                <w:b/>
                <w:w w:val="105"/>
                <w:sz w:val="13"/>
              </w:rPr>
              <w:t>Inversiones</w:t>
            </w:r>
            <w:r>
              <w:rPr>
                <w:b/>
                <w:spacing w:val="1"/>
                <w:w w:val="105"/>
                <w:sz w:val="13"/>
              </w:rPr>
              <w:t> </w:t>
            </w:r>
            <w:r>
              <w:rPr>
                <w:b/>
                <w:w w:val="105"/>
                <w:sz w:val="13"/>
              </w:rPr>
              <w:t>en</w:t>
            </w:r>
            <w:r>
              <w:rPr>
                <w:b/>
                <w:spacing w:val="6"/>
                <w:w w:val="105"/>
                <w:sz w:val="13"/>
              </w:rPr>
              <w:t> </w:t>
            </w:r>
            <w:r>
              <w:rPr>
                <w:b/>
                <w:w w:val="105"/>
                <w:sz w:val="13"/>
              </w:rPr>
              <w:t>empresas</w:t>
            </w:r>
            <w:r>
              <w:rPr>
                <w:b/>
                <w:spacing w:val="1"/>
                <w:w w:val="105"/>
                <w:sz w:val="13"/>
              </w:rPr>
              <w:t> </w:t>
            </w:r>
            <w:r>
              <w:rPr>
                <w:b/>
                <w:w w:val="105"/>
                <w:sz w:val="13"/>
              </w:rPr>
              <w:t>del</w:t>
            </w:r>
            <w:r>
              <w:rPr>
                <w:b/>
                <w:spacing w:val="-3"/>
                <w:w w:val="105"/>
                <w:sz w:val="13"/>
              </w:rPr>
              <w:t> </w:t>
            </w:r>
            <w:r>
              <w:rPr>
                <w:b/>
                <w:w w:val="105"/>
                <w:sz w:val="13"/>
              </w:rPr>
              <w:t>grupo</w:t>
            </w:r>
            <w:r>
              <w:rPr>
                <w:b/>
                <w:spacing w:val="9"/>
                <w:w w:val="105"/>
                <w:sz w:val="13"/>
              </w:rPr>
              <w:t> </w:t>
            </w:r>
            <w:r>
              <w:rPr>
                <w:b/>
                <w:w w:val="105"/>
                <w:sz w:val="13"/>
              </w:rPr>
              <w:t>y</w:t>
            </w:r>
            <w:r>
              <w:rPr>
                <w:b/>
                <w:spacing w:val="2"/>
                <w:w w:val="105"/>
                <w:sz w:val="13"/>
              </w:rPr>
              <w:t> </w:t>
            </w:r>
            <w:r>
              <w:rPr>
                <w:b/>
                <w:w w:val="105"/>
                <w:sz w:val="13"/>
              </w:rPr>
              <w:t>asociadas</w:t>
            </w:r>
            <w:r>
              <w:rPr>
                <w:b/>
                <w:spacing w:val="1"/>
                <w:w w:val="105"/>
                <w:sz w:val="13"/>
              </w:rPr>
              <w:t> </w:t>
            </w:r>
            <w:r>
              <w:rPr>
                <w:b/>
                <w:w w:val="105"/>
                <w:sz w:val="13"/>
              </w:rPr>
              <w:t>a</w:t>
            </w:r>
            <w:r>
              <w:rPr>
                <w:b/>
                <w:spacing w:val="2"/>
                <w:w w:val="105"/>
                <w:sz w:val="13"/>
              </w:rPr>
              <w:t> </w:t>
            </w:r>
            <w:r>
              <w:rPr>
                <w:b/>
                <w:w w:val="105"/>
                <w:sz w:val="13"/>
              </w:rPr>
              <w:t>largo</w:t>
            </w:r>
            <w:r>
              <w:rPr>
                <w:b/>
                <w:spacing w:val="8"/>
                <w:w w:val="105"/>
                <w:sz w:val="13"/>
              </w:rPr>
              <w:t> </w:t>
            </w:r>
            <w:r>
              <w:rPr>
                <w:b/>
                <w:spacing w:val="-4"/>
                <w:w w:val="105"/>
                <w:sz w:val="13"/>
              </w:rPr>
              <w:t>plazo</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1" w:lineRule="exact" w:before="12"/>
              <w:ind w:right="38"/>
              <w:jc w:val="right"/>
              <w:rPr>
                <w:b/>
                <w:sz w:val="13"/>
              </w:rPr>
            </w:pPr>
            <w:r>
              <w:rPr>
                <w:b/>
                <w:spacing w:val="-2"/>
                <w:w w:val="115"/>
                <w:sz w:val="13"/>
              </w:rPr>
              <w:t>24.040,58</w:t>
            </w:r>
          </w:p>
        </w:tc>
        <w:tc>
          <w:tcPr>
            <w:tcW w:w="1375" w:type="dxa"/>
            <w:tcBorders>
              <w:top w:val="nil"/>
              <w:left w:val="single" w:sz="8" w:space="0" w:color="000000"/>
              <w:bottom w:val="nil"/>
              <w:right w:val="single" w:sz="12" w:space="0" w:color="0000D0"/>
            </w:tcBorders>
          </w:tcPr>
          <w:p>
            <w:pPr>
              <w:pStyle w:val="TableParagraph"/>
              <w:spacing w:line="131" w:lineRule="exact" w:before="12"/>
              <w:ind w:right="25"/>
              <w:jc w:val="right"/>
              <w:rPr>
                <w:b/>
                <w:sz w:val="13"/>
              </w:rPr>
            </w:pPr>
            <w:r>
              <w:rPr>
                <w:b/>
                <w:spacing w:val="-2"/>
                <w:w w:val="115"/>
                <w:sz w:val="13"/>
              </w:rPr>
              <w:t>24.040,58</w:t>
            </w:r>
          </w:p>
        </w:tc>
      </w:tr>
      <w:tr>
        <w:trPr>
          <w:trHeight w:val="162" w:hRule="atLeast"/>
        </w:trPr>
        <w:tc>
          <w:tcPr>
            <w:tcW w:w="5367" w:type="dxa"/>
            <w:tcBorders>
              <w:top w:val="nil"/>
              <w:bottom w:val="nil"/>
              <w:right w:val="single" w:sz="6" w:space="0" w:color="000000"/>
            </w:tcBorders>
          </w:tcPr>
          <w:p>
            <w:pPr>
              <w:pStyle w:val="TableParagraph"/>
              <w:spacing w:line="140" w:lineRule="exact" w:before="3"/>
              <w:ind w:left="16"/>
              <w:rPr>
                <w:rFonts w:ascii="Tahoma"/>
                <w:sz w:val="13"/>
              </w:rPr>
            </w:pPr>
            <w:r>
              <w:rPr>
                <w:rFonts w:ascii="Tahoma"/>
                <w:sz w:val="13"/>
              </w:rPr>
              <w:t>Instrumentos</w:t>
            </w:r>
            <w:r>
              <w:rPr>
                <w:rFonts w:ascii="Tahoma"/>
                <w:spacing w:val="15"/>
                <w:sz w:val="13"/>
              </w:rPr>
              <w:t> </w:t>
            </w:r>
            <w:r>
              <w:rPr>
                <w:rFonts w:ascii="Tahoma"/>
                <w:sz w:val="13"/>
              </w:rPr>
              <w:t>de</w:t>
            </w:r>
            <w:r>
              <w:rPr>
                <w:rFonts w:ascii="Tahoma"/>
                <w:spacing w:val="32"/>
                <w:sz w:val="13"/>
              </w:rPr>
              <w:t> </w:t>
            </w:r>
            <w:r>
              <w:rPr>
                <w:rFonts w:ascii="Tahoma"/>
                <w:spacing w:val="-2"/>
                <w:sz w:val="13"/>
              </w:rPr>
              <w:t>patrimonio</w:t>
            </w:r>
          </w:p>
        </w:tc>
        <w:tc>
          <w:tcPr>
            <w:tcW w:w="459" w:type="dxa"/>
            <w:tcBorders>
              <w:top w:val="nil"/>
              <w:left w:val="single" w:sz="6" w:space="0" w:color="000000"/>
              <w:bottom w:val="nil"/>
              <w:right w:val="single" w:sz="6" w:space="0" w:color="000000"/>
            </w:tcBorders>
          </w:tcPr>
          <w:p>
            <w:pPr>
              <w:pStyle w:val="TableParagraph"/>
              <w:spacing w:line="140" w:lineRule="exact" w:before="3"/>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40" w:lineRule="exact" w:before="3"/>
              <w:ind w:right="38"/>
              <w:jc w:val="right"/>
              <w:rPr>
                <w:rFonts w:ascii="Tahoma"/>
                <w:sz w:val="13"/>
              </w:rPr>
            </w:pPr>
            <w:r>
              <w:rPr>
                <w:rFonts w:ascii="Tahoma"/>
                <w:spacing w:val="-2"/>
                <w:sz w:val="13"/>
              </w:rPr>
              <w:t>24.040,58</w:t>
            </w:r>
          </w:p>
        </w:tc>
        <w:tc>
          <w:tcPr>
            <w:tcW w:w="1375" w:type="dxa"/>
            <w:tcBorders>
              <w:top w:val="nil"/>
              <w:left w:val="single" w:sz="8" w:space="0" w:color="000000"/>
              <w:bottom w:val="nil"/>
              <w:right w:val="single" w:sz="12" w:space="0" w:color="0000D0"/>
            </w:tcBorders>
          </w:tcPr>
          <w:p>
            <w:pPr>
              <w:pStyle w:val="TableParagraph"/>
              <w:spacing w:line="140" w:lineRule="exact" w:before="3"/>
              <w:ind w:right="28"/>
              <w:jc w:val="right"/>
              <w:rPr>
                <w:rFonts w:ascii="Tahoma"/>
                <w:sz w:val="13"/>
              </w:rPr>
            </w:pPr>
            <w:r>
              <w:rPr>
                <w:rFonts w:ascii="Tahoma"/>
                <w:spacing w:val="-2"/>
                <w:sz w:val="13"/>
              </w:rPr>
              <w:t>24.040,58</w:t>
            </w:r>
          </w:p>
        </w:tc>
      </w:tr>
      <w:tr>
        <w:trPr>
          <w:trHeight w:val="164" w:hRule="atLeast"/>
        </w:trPr>
        <w:tc>
          <w:tcPr>
            <w:tcW w:w="5367" w:type="dxa"/>
            <w:tcBorders>
              <w:top w:val="nil"/>
              <w:bottom w:val="nil"/>
              <w:right w:val="single" w:sz="6" w:space="0" w:color="000000"/>
            </w:tcBorders>
          </w:tcPr>
          <w:p>
            <w:pPr>
              <w:pStyle w:val="TableParagraph"/>
              <w:spacing w:line="133" w:lineRule="exact" w:before="11"/>
              <w:ind w:left="16"/>
              <w:rPr>
                <w:b/>
                <w:sz w:val="13"/>
              </w:rPr>
            </w:pPr>
            <w:r>
              <w:rPr>
                <w:b/>
                <w:sz w:val="13"/>
              </w:rPr>
              <w:t>Inversiones</w:t>
            </w:r>
            <w:r>
              <w:rPr>
                <w:b/>
                <w:spacing w:val="25"/>
                <w:sz w:val="13"/>
              </w:rPr>
              <w:t> </w:t>
            </w:r>
            <w:r>
              <w:rPr>
                <w:b/>
                <w:sz w:val="13"/>
              </w:rPr>
              <w:t>financieras</w:t>
            </w:r>
            <w:r>
              <w:rPr>
                <w:b/>
                <w:spacing w:val="25"/>
                <w:sz w:val="13"/>
              </w:rPr>
              <w:t> </w:t>
            </w:r>
            <w:r>
              <w:rPr>
                <w:b/>
                <w:sz w:val="13"/>
              </w:rPr>
              <w:t>a</w:t>
            </w:r>
            <w:r>
              <w:rPr>
                <w:b/>
                <w:spacing w:val="22"/>
                <w:sz w:val="13"/>
              </w:rPr>
              <w:t> </w:t>
            </w:r>
            <w:r>
              <w:rPr>
                <w:b/>
                <w:sz w:val="13"/>
              </w:rPr>
              <w:t>largo</w:t>
            </w:r>
            <w:r>
              <w:rPr>
                <w:b/>
                <w:spacing w:val="33"/>
                <w:sz w:val="13"/>
              </w:rPr>
              <w:t> </w:t>
            </w:r>
            <w:r>
              <w:rPr>
                <w:b/>
                <w:spacing w:val="-4"/>
                <w:sz w:val="13"/>
              </w:rPr>
              <w:t>plazo</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3" w:lineRule="exact" w:before="11"/>
              <w:ind w:right="38"/>
              <w:jc w:val="right"/>
              <w:rPr>
                <w:b/>
                <w:sz w:val="13"/>
              </w:rPr>
            </w:pPr>
            <w:r>
              <w:rPr>
                <w:b/>
                <w:spacing w:val="-2"/>
                <w:w w:val="115"/>
                <w:sz w:val="13"/>
              </w:rPr>
              <w:t>832.637,67</w:t>
            </w:r>
          </w:p>
        </w:tc>
        <w:tc>
          <w:tcPr>
            <w:tcW w:w="1375" w:type="dxa"/>
            <w:tcBorders>
              <w:top w:val="nil"/>
              <w:left w:val="single" w:sz="8" w:space="0" w:color="000000"/>
              <w:bottom w:val="nil"/>
              <w:right w:val="single" w:sz="12" w:space="0" w:color="0000D0"/>
            </w:tcBorders>
          </w:tcPr>
          <w:p>
            <w:pPr>
              <w:pStyle w:val="TableParagraph"/>
              <w:spacing w:line="133" w:lineRule="exact" w:before="11"/>
              <w:ind w:right="25"/>
              <w:jc w:val="right"/>
              <w:rPr>
                <w:b/>
                <w:sz w:val="13"/>
              </w:rPr>
            </w:pPr>
            <w:r>
              <w:rPr>
                <w:b/>
                <w:spacing w:val="-2"/>
                <w:w w:val="115"/>
                <w:sz w:val="13"/>
              </w:rPr>
              <w:t>628.949,88</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z w:val="13"/>
              </w:rPr>
              <w:t>Otros</w:t>
            </w:r>
            <w:r>
              <w:rPr>
                <w:rFonts w:ascii="Tahoma"/>
                <w:spacing w:val="7"/>
                <w:sz w:val="13"/>
              </w:rPr>
              <w:t> </w:t>
            </w:r>
            <w:r>
              <w:rPr>
                <w:rFonts w:ascii="Tahoma"/>
                <w:sz w:val="13"/>
              </w:rPr>
              <w:t>activos</w:t>
            </w:r>
            <w:r>
              <w:rPr>
                <w:rFonts w:ascii="Tahoma"/>
                <w:spacing w:val="7"/>
                <w:sz w:val="13"/>
              </w:rPr>
              <w:t> </w:t>
            </w:r>
            <w:r>
              <w:rPr>
                <w:rFonts w:ascii="Tahoma"/>
                <w:sz w:val="13"/>
              </w:rPr>
              <w:t>financieros</w:t>
            </w:r>
            <w:r>
              <w:rPr>
                <w:rFonts w:ascii="Tahoma"/>
                <w:spacing w:val="59"/>
                <w:sz w:val="13"/>
              </w:rPr>
              <w:t> </w:t>
            </w:r>
            <w:r>
              <w:rPr>
                <w:rFonts w:ascii="Tahoma"/>
                <w:spacing w:val="-5"/>
                <w:sz w:val="13"/>
              </w:rPr>
              <w:t>lp</w:t>
            </w:r>
          </w:p>
        </w:tc>
        <w:tc>
          <w:tcPr>
            <w:tcW w:w="459" w:type="dxa"/>
            <w:tcBorders>
              <w:top w:val="nil"/>
              <w:left w:val="single" w:sz="6" w:space="0" w:color="000000"/>
              <w:bottom w:val="nil"/>
              <w:right w:val="single" w:sz="6" w:space="0" w:color="000000"/>
            </w:tcBorders>
          </w:tcPr>
          <w:p>
            <w:pPr>
              <w:pStyle w:val="TableParagraph"/>
              <w:spacing w:line="140" w:lineRule="exact" w:before="4"/>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832.637,67</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628.949,88</w:t>
            </w:r>
          </w:p>
        </w:tc>
      </w:tr>
      <w:tr>
        <w:trPr>
          <w:trHeight w:val="162" w:hRule="atLeast"/>
        </w:trPr>
        <w:tc>
          <w:tcPr>
            <w:tcW w:w="5367" w:type="dxa"/>
            <w:tcBorders>
              <w:top w:val="nil"/>
              <w:bottom w:val="nil"/>
              <w:right w:val="single" w:sz="6" w:space="0" w:color="000000"/>
            </w:tcBorders>
          </w:tcPr>
          <w:p>
            <w:pPr>
              <w:pStyle w:val="TableParagraph"/>
              <w:spacing w:line="131" w:lineRule="exact" w:before="11"/>
              <w:ind w:left="16"/>
              <w:rPr>
                <w:b/>
                <w:sz w:val="13"/>
              </w:rPr>
            </w:pPr>
            <w:r>
              <w:rPr>
                <w:b/>
                <w:w w:val="105"/>
                <w:sz w:val="13"/>
              </w:rPr>
              <w:t>Activos</w:t>
            </w:r>
            <w:r>
              <w:rPr>
                <w:b/>
                <w:spacing w:val="7"/>
                <w:w w:val="105"/>
                <w:sz w:val="13"/>
              </w:rPr>
              <w:t> </w:t>
            </w:r>
            <w:r>
              <w:rPr>
                <w:b/>
                <w:w w:val="105"/>
                <w:sz w:val="13"/>
              </w:rPr>
              <w:t>por</w:t>
            </w:r>
            <w:r>
              <w:rPr>
                <w:b/>
                <w:spacing w:val="7"/>
                <w:w w:val="105"/>
                <w:sz w:val="13"/>
              </w:rPr>
              <w:t> </w:t>
            </w:r>
            <w:r>
              <w:rPr>
                <w:b/>
                <w:w w:val="105"/>
                <w:sz w:val="13"/>
              </w:rPr>
              <w:t>impuesto</w:t>
            </w:r>
            <w:r>
              <w:rPr>
                <w:b/>
                <w:spacing w:val="19"/>
                <w:w w:val="105"/>
                <w:sz w:val="13"/>
              </w:rPr>
              <w:t> </w:t>
            </w:r>
            <w:r>
              <w:rPr>
                <w:b/>
                <w:spacing w:val="-2"/>
                <w:w w:val="105"/>
                <w:sz w:val="13"/>
              </w:rPr>
              <w:t>diferido</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1" w:lineRule="exact" w:before="11"/>
              <w:ind w:right="38"/>
              <w:jc w:val="right"/>
              <w:rPr>
                <w:b/>
                <w:sz w:val="13"/>
              </w:rPr>
            </w:pPr>
            <w:r>
              <w:rPr>
                <w:b/>
                <w:spacing w:val="-4"/>
                <w:w w:val="115"/>
                <w:sz w:val="13"/>
              </w:rPr>
              <w:t>0,00</w:t>
            </w:r>
          </w:p>
        </w:tc>
        <w:tc>
          <w:tcPr>
            <w:tcW w:w="1375" w:type="dxa"/>
            <w:tcBorders>
              <w:top w:val="nil"/>
              <w:left w:val="single" w:sz="8" w:space="0" w:color="000000"/>
              <w:bottom w:val="nil"/>
              <w:right w:val="single" w:sz="12" w:space="0" w:color="0000D0"/>
            </w:tcBorders>
          </w:tcPr>
          <w:p>
            <w:pPr>
              <w:pStyle w:val="TableParagraph"/>
              <w:spacing w:line="131" w:lineRule="exact" w:before="11"/>
              <w:ind w:right="25"/>
              <w:jc w:val="right"/>
              <w:rPr>
                <w:b/>
                <w:sz w:val="13"/>
              </w:rPr>
            </w:pPr>
            <w:r>
              <w:rPr>
                <w:b/>
                <w:spacing w:val="-4"/>
                <w:w w:val="115"/>
                <w:sz w:val="13"/>
              </w:rPr>
              <w:t>0,00</w:t>
            </w:r>
          </w:p>
        </w:tc>
      </w:tr>
      <w:tr>
        <w:trPr>
          <w:trHeight w:val="164" w:hRule="atLeast"/>
        </w:trPr>
        <w:tc>
          <w:tcPr>
            <w:tcW w:w="5367" w:type="dxa"/>
            <w:tcBorders>
              <w:top w:val="nil"/>
              <w:bottom w:val="nil"/>
              <w:right w:val="single" w:sz="6" w:space="0" w:color="000000"/>
            </w:tcBorders>
          </w:tcPr>
          <w:p>
            <w:pPr>
              <w:pStyle w:val="TableParagraph"/>
              <w:spacing w:line="133" w:lineRule="exact" w:before="11"/>
              <w:ind w:left="16"/>
              <w:rPr>
                <w:b/>
                <w:sz w:val="13"/>
              </w:rPr>
            </w:pPr>
            <w:r>
              <w:rPr>
                <w:b/>
                <w:spacing w:val="-2"/>
                <w:w w:val="105"/>
                <w:sz w:val="13"/>
              </w:rPr>
              <w:t>ACTIVO</w:t>
            </w:r>
            <w:r>
              <w:rPr>
                <w:b/>
                <w:w w:val="110"/>
                <w:sz w:val="13"/>
              </w:rPr>
              <w:t> </w:t>
            </w:r>
            <w:r>
              <w:rPr>
                <w:b/>
                <w:spacing w:val="-2"/>
                <w:w w:val="110"/>
                <w:sz w:val="13"/>
              </w:rPr>
              <w:t>CORRIENTE</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3" w:lineRule="exact" w:before="11"/>
              <w:ind w:right="38"/>
              <w:jc w:val="right"/>
              <w:rPr>
                <w:b/>
                <w:sz w:val="13"/>
              </w:rPr>
            </w:pPr>
            <w:r>
              <w:rPr>
                <w:b/>
                <w:spacing w:val="-2"/>
                <w:w w:val="115"/>
                <w:sz w:val="13"/>
              </w:rPr>
              <w:t>67.168.267,69</w:t>
            </w:r>
          </w:p>
        </w:tc>
        <w:tc>
          <w:tcPr>
            <w:tcW w:w="1375" w:type="dxa"/>
            <w:tcBorders>
              <w:top w:val="nil"/>
              <w:left w:val="single" w:sz="8" w:space="0" w:color="000000"/>
              <w:bottom w:val="nil"/>
              <w:right w:val="single" w:sz="12" w:space="0" w:color="0000D0"/>
            </w:tcBorders>
          </w:tcPr>
          <w:p>
            <w:pPr>
              <w:pStyle w:val="TableParagraph"/>
              <w:spacing w:line="133" w:lineRule="exact" w:before="11"/>
              <w:ind w:right="25"/>
              <w:jc w:val="right"/>
              <w:rPr>
                <w:b/>
                <w:sz w:val="13"/>
              </w:rPr>
            </w:pPr>
            <w:r>
              <w:rPr>
                <w:b/>
                <w:spacing w:val="-2"/>
                <w:w w:val="115"/>
                <w:sz w:val="13"/>
              </w:rPr>
              <w:t>50.334.632,96</w:t>
            </w:r>
          </w:p>
        </w:tc>
      </w:tr>
      <w:tr>
        <w:trPr>
          <w:trHeight w:val="164" w:hRule="atLeast"/>
        </w:trPr>
        <w:tc>
          <w:tcPr>
            <w:tcW w:w="5367" w:type="dxa"/>
            <w:tcBorders>
              <w:top w:val="nil"/>
              <w:bottom w:val="nil"/>
              <w:right w:val="single" w:sz="6" w:space="0" w:color="000000"/>
            </w:tcBorders>
          </w:tcPr>
          <w:p>
            <w:pPr>
              <w:pStyle w:val="TableParagraph"/>
              <w:spacing w:line="131" w:lineRule="exact" w:before="12"/>
              <w:ind w:left="16"/>
              <w:rPr>
                <w:b/>
                <w:sz w:val="13"/>
              </w:rPr>
            </w:pPr>
            <w:r>
              <w:rPr>
                <w:b/>
                <w:spacing w:val="-2"/>
                <w:w w:val="105"/>
                <w:sz w:val="13"/>
              </w:rPr>
              <w:t>Existencias</w:t>
            </w:r>
          </w:p>
        </w:tc>
        <w:tc>
          <w:tcPr>
            <w:tcW w:w="459" w:type="dxa"/>
            <w:tcBorders>
              <w:top w:val="nil"/>
              <w:left w:val="single" w:sz="6" w:space="0" w:color="000000"/>
              <w:bottom w:val="nil"/>
              <w:right w:val="single" w:sz="6" w:space="0" w:color="000000"/>
            </w:tcBorders>
          </w:tcPr>
          <w:p>
            <w:pPr>
              <w:pStyle w:val="TableParagraph"/>
              <w:spacing w:line="140" w:lineRule="exact" w:before="4"/>
              <w:ind w:left="50"/>
              <w:jc w:val="center"/>
              <w:rPr>
                <w:rFonts w:ascii="Tahoma"/>
                <w:sz w:val="13"/>
              </w:rPr>
            </w:pPr>
            <w:r>
              <w:rPr>
                <w:rFonts w:ascii="Tahoma"/>
                <w:spacing w:val="-5"/>
                <w:sz w:val="13"/>
              </w:rPr>
              <w:t>11</w:t>
            </w:r>
          </w:p>
        </w:tc>
        <w:tc>
          <w:tcPr>
            <w:tcW w:w="1281" w:type="dxa"/>
            <w:tcBorders>
              <w:top w:val="nil"/>
              <w:left w:val="single" w:sz="6" w:space="0" w:color="000000"/>
              <w:bottom w:val="nil"/>
              <w:right w:val="single" w:sz="8" w:space="0" w:color="000000"/>
            </w:tcBorders>
          </w:tcPr>
          <w:p>
            <w:pPr>
              <w:pStyle w:val="TableParagraph"/>
              <w:spacing w:line="131" w:lineRule="exact" w:before="12"/>
              <w:ind w:right="39"/>
              <w:jc w:val="right"/>
              <w:rPr>
                <w:b/>
                <w:sz w:val="13"/>
              </w:rPr>
            </w:pPr>
            <w:r>
              <w:rPr>
                <w:b/>
                <w:spacing w:val="-2"/>
                <w:w w:val="115"/>
                <w:sz w:val="13"/>
              </w:rPr>
              <w:t>2.151.114,85</w:t>
            </w:r>
          </w:p>
        </w:tc>
        <w:tc>
          <w:tcPr>
            <w:tcW w:w="1375" w:type="dxa"/>
            <w:tcBorders>
              <w:top w:val="nil"/>
              <w:left w:val="single" w:sz="8" w:space="0" w:color="000000"/>
              <w:bottom w:val="nil"/>
              <w:right w:val="single" w:sz="12" w:space="0" w:color="0000D0"/>
            </w:tcBorders>
          </w:tcPr>
          <w:p>
            <w:pPr>
              <w:pStyle w:val="TableParagraph"/>
              <w:spacing w:line="131" w:lineRule="exact" w:before="12"/>
              <w:ind w:right="26"/>
              <w:jc w:val="right"/>
              <w:rPr>
                <w:b/>
                <w:sz w:val="13"/>
              </w:rPr>
            </w:pPr>
            <w:r>
              <w:rPr>
                <w:b/>
                <w:spacing w:val="-2"/>
                <w:w w:val="115"/>
                <w:sz w:val="13"/>
              </w:rPr>
              <w:t>2.136.705,10</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z w:val="13"/>
              </w:rPr>
              <w:t>Materias</w:t>
            </w:r>
            <w:r>
              <w:rPr>
                <w:rFonts w:ascii="Tahoma"/>
                <w:spacing w:val="1"/>
                <w:sz w:val="13"/>
              </w:rPr>
              <w:t> </w:t>
            </w:r>
            <w:r>
              <w:rPr>
                <w:rFonts w:ascii="Tahoma"/>
                <w:sz w:val="13"/>
              </w:rPr>
              <w:t>primas</w:t>
            </w:r>
            <w:r>
              <w:rPr>
                <w:rFonts w:ascii="Tahoma"/>
                <w:spacing w:val="2"/>
                <w:sz w:val="13"/>
              </w:rPr>
              <w:t> </w:t>
            </w:r>
            <w:r>
              <w:rPr>
                <w:rFonts w:ascii="Tahoma"/>
                <w:sz w:val="13"/>
              </w:rPr>
              <w:t>y</w:t>
            </w:r>
            <w:r>
              <w:rPr>
                <w:rFonts w:ascii="Tahoma"/>
                <w:spacing w:val="3"/>
                <w:sz w:val="13"/>
              </w:rPr>
              <w:t> </w:t>
            </w:r>
            <w:r>
              <w:rPr>
                <w:rFonts w:ascii="Tahoma"/>
                <w:sz w:val="13"/>
              </w:rPr>
              <w:t>otros</w:t>
            </w:r>
            <w:r>
              <w:rPr>
                <w:rFonts w:ascii="Tahoma"/>
                <w:spacing w:val="2"/>
                <w:sz w:val="13"/>
              </w:rPr>
              <w:t> </w:t>
            </w:r>
            <w:r>
              <w:rPr>
                <w:rFonts w:ascii="Tahoma"/>
                <w:spacing w:val="-2"/>
                <w:sz w:val="13"/>
              </w:rPr>
              <w:t>aprovisionamientos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2.149.014,85</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2.136.455,10</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z w:val="13"/>
              </w:rPr>
              <w:t>Anticipos</w:t>
            </w:r>
            <w:r>
              <w:rPr>
                <w:rFonts w:ascii="Tahoma"/>
                <w:spacing w:val="8"/>
                <w:sz w:val="13"/>
              </w:rPr>
              <w:t> </w:t>
            </w:r>
            <w:r>
              <w:rPr>
                <w:rFonts w:ascii="Tahoma"/>
                <w:sz w:val="13"/>
              </w:rPr>
              <w:t>a</w:t>
            </w:r>
            <w:r>
              <w:rPr>
                <w:rFonts w:ascii="Tahoma"/>
                <w:spacing w:val="9"/>
                <w:sz w:val="13"/>
              </w:rPr>
              <w:t> </w:t>
            </w:r>
            <w:r>
              <w:rPr>
                <w:rFonts w:ascii="Tahoma"/>
                <w:spacing w:val="-2"/>
                <w:sz w:val="13"/>
              </w:rPr>
              <w:t>proveedores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2.100,00</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250,00</w:t>
            </w:r>
          </w:p>
        </w:tc>
      </w:tr>
      <w:tr>
        <w:trPr>
          <w:trHeight w:val="162" w:hRule="atLeast"/>
        </w:trPr>
        <w:tc>
          <w:tcPr>
            <w:tcW w:w="5367" w:type="dxa"/>
            <w:tcBorders>
              <w:top w:val="nil"/>
              <w:bottom w:val="nil"/>
              <w:right w:val="single" w:sz="6" w:space="0" w:color="000000"/>
            </w:tcBorders>
          </w:tcPr>
          <w:p>
            <w:pPr>
              <w:pStyle w:val="TableParagraph"/>
              <w:spacing w:line="131" w:lineRule="exact" w:before="11"/>
              <w:ind w:left="16"/>
              <w:rPr>
                <w:b/>
                <w:sz w:val="13"/>
              </w:rPr>
            </w:pPr>
            <w:r>
              <w:rPr>
                <w:b/>
                <w:w w:val="105"/>
                <w:sz w:val="13"/>
              </w:rPr>
              <w:t>Deudores</w:t>
            </w:r>
            <w:r>
              <w:rPr>
                <w:b/>
                <w:spacing w:val="1"/>
                <w:w w:val="105"/>
                <w:sz w:val="13"/>
              </w:rPr>
              <w:t> </w:t>
            </w:r>
            <w:r>
              <w:rPr>
                <w:b/>
                <w:w w:val="105"/>
                <w:sz w:val="13"/>
              </w:rPr>
              <w:t>comerciales</w:t>
            </w:r>
            <w:r>
              <w:rPr>
                <w:b/>
                <w:spacing w:val="2"/>
                <w:w w:val="105"/>
                <w:sz w:val="13"/>
              </w:rPr>
              <w:t> </w:t>
            </w:r>
            <w:r>
              <w:rPr>
                <w:b/>
                <w:w w:val="105"/>
                <w:sz w:val="13"/>
              </w:rPr>
              <w:t>y</w:t>
            </w:r>
            <w:r>
              <w:rPr>
                <w:b/>
                <w:spacing w:val="5"/>
                <w:w w:val="105"/>
                <w:sz w:val="13"/>
              </w:rPr>
              <w:t> </w:t>
            </w:r>
            <w:r>
              <w:rPr>
                <w:b/>
                <w:w w:val="105"/>
                <w:sz w:val="13"/>
              </w:rPr>
              <w:t>otras</w:t>
            </w:r>
            <w:r>
              <w:rPr>
                <w:b/>
                <w:spacing w:val="2"/>
                <w:w w:val="105"/>
                <w:sz w:val="13"/>
              </w:rPr>
              <w:t> </w:t>
            </w:r>
            <w:r>
              <w:rPr>
                <w:b/>
                <w:w w:val="105"/>
                <w:sz w:val="13"/>
              </w:rPr>
              <w:t>cuentas</w:t>
            </w:r>
            <w:r>
              <w:rPr>
                <w:b/>
                <w:spacing w:val="2"/>
                <w:w w:val="105"/>
                <w:sz w:val="13"/>
              </w:rPr>
              <w:t> </w:t>
            </w:r>
            <w:r>
              <w:rPr>
                <w:b/>
                <w:w w:val="105"/>
                <w:sz w:val="13"/>
              </w:rPr>
              <w:t>a</w:t>
            </w:r>
            <w:r>
              <w:rPr>
                <w:b/>
                <w:spacing w:val="4"/>
                <w:w w:val="105"/>
                <w:sz w:val="13"/>
              </w:rPr>
              <w:t> </w:t>
            </w:r>
            <w:r>
              <w:rPr>
                <w:b/>
                <w:spacing w:val="-2"/>
                <w:w w:val="105"/>
                <w:sz w:val="13"/>
              </w:rPr>
              <w:t>cobrar</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1" w:lineRule="exact" w:before="11"/>
              <w:ind w:right="38"/>
              <w:jc w:val="right"/>
              <w:rPr>
                <w:b/>
                <w:sz w:val="13"/>
              </w:rPr>
            </w:pPr>
            <w:r>
              <w:rPr>
                <w:b/>
                <w:spacing w:val="-2"/>
                <w:w w:val="115"/>
                <w:sz w:val="13"/>
              </w:rPr>
              <w:t>34.962.346,96</w:t>
            </w:r>
          </w:p>
        </w:tc>
        <w:tc>
          <w:tcPr>
            <w:tcW w:w="1375" w:type="dxa"/>
            <w:tcBorders>
              <w:top w:val="nil"/>
              <w:left w:val="single" w:sz="8" w:space="0" w:color="000000"/>
              <w:bottom w:val="nil"/>
              <w:right w:val="single" w:sz="12" w:space="0" w:color="0000D0"/>
            </w:tcBorders>
          </w:tcPr>
          <w:p>
            <w:pPr>
              <w:pStyle w:val="TableParagraph"/>
              <w:spacing w:line="131" w:lineRule="exact" w:before="11"/>
              <w:ind w:right="25"/>
              <w:jc w:val="right"/>
              <w:rPr>
                <w:b/>
                <w:sz w:val="13"/>
              </w:rPr>
            </w:pPr>
            <w:r>
              <w:rPr>
                <w:b/>
                <w:spacing w:val="-2"/>
                <w:w w:val="115"/>
                <w:sz w:val="13"/>
              </w:rPr>
              <w:t>22.738.472,48</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z w:val="13"/>
              </w:rPr>
              <w:t>Clientes</w:t>
            </w:r>
            <w:r>
              <w:rPr>
                <w:rFonts w:ascii="Tahoma"/>
                <w:spacing w:val="10"/>
                <w:sz w:val="13"/>
              </w:rPr>
              <w:t> </w:t>
            </w:r>
            <w:r>
              <w:rPr>
                <w:rFonts w:ascii="Tahoma"/>
                <w:sz w:val="13"/>
              </w:rPr>
              <w:t>por</w:t>
            </w:r>
            <w:r>
              <w:rPr>
                <w:rFonts w:ascii="Tahoma"/>
                <w:spacing w:val="11"/>
                <w:sz w:val="13"/>
              </w:rPr>
              <w:t> </w:t>
            </w:r>
            <w:r>
              <w:rPr>
                <w:rFonts w:ascii="Tahoma"/>
                <w:sz w:val="13"/>
              </w:rPr>
              <w:t>ventas</w:t>
            </w:r>
            <w:r>
              <w:rPr>
                <w:rFonts w:ascii="Tahoma"/>
                <w:spacing w:val="9"/>
                <w:sz w:val="13"/>
              </w:rPr>
              <w:t> </w:t>
            </w:r>
            <w:r>
              <w:rPr>
                <w:rFonts w:ascii="Tahoma"/>
                <w:sz w:val="13"/>
              </w:rPr>
              <w:t>y</w:t>
            </w:r>
            <w:r>
              <w:rPr>
                <w:rFonts w:ascii="Tahoma"/>
                <w:spacing w:val="17"/>
                <w:sz w:val="13"/>
              </w:rPr>
              <w:t> </w:t>
            </w:r>
            <w:r>
              <w:rPr>
                <w:rFonts w:ascii="Tahoma"/>
                <w:sz w:val="13"/>
              </w:rPr>
              <w:t>prestaciones</w:t>
            </w:r>
            <w:r>
              <w:rPr>
                <w:rFonts w:ascii="Tahoma"/>
                <w:spacing w:val="9"/>
                <w:sz w:val="13"/>
              </w:rPr>
              <w:t> </w:t>
            </w:r>
            <w:r>
              <w:rPr>
                <w:rFonts w:ascii="Tahoma"/>
                <w:sz w:val="13"/>
              </w:rPr>
              <w:t>de</w:t>
            </w:r>
            <w:r>
              <w:rPr>
                <w:rFonts w:ascii="Tahoma"/>
                <w:spacing w:val="23"/>
                <w:sz w:val="13"/>
              </w:rPr>
              <w:t> </w:t>
            </w:r>
            <w:r>
              <w:rPr>
                <w:rFonts w:ascii="Tahoma"/>
                <w:spacing w:val="-2"/>
                <w:sz w:val="13"/>
              </w:rPr>
              <w:t>servicios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488.148,66</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465.901,90</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z w:val="13"/>
              </w:rPr>
              <w:t>Clientes</w:t>
            </w:r>
            <w:r>
              <w:rPr>
                <w:rFonts w:ascii="Tahoma"/>
                <w:spacing w:val="8"/>
                <w:sz w:val="13"/>
              </w:rPr>
              <w:t> </w:t>
            </w:r>
            <w:r>
              <w:rPr>
                <w:rFonts w:ascii="Tahoma"/>
                <w:sz w:val="13"/>
              </w:rPr>
              <w:t>por</w:t>
            </w:r>
            <w:r>
              <w:rPr>
                <w:rFonts w:ascii="Tahoma"/>
                <w:spacing w:val="9"/>
                <w:sz w:val="13"/>
              </w:rPr>
              <w:t> </w:t>
            </w:r>
            <w:r>
              <w:rPr>
                <w:rFonts w:ascii="Tahoma"/>
                <w:sz w:val="13"/>
              </w:rPr>
              <w:t>ventas</w:t>
            </w:r>
            <w:r>
              <w:rPr>
                <w:rFonts w:ascii="Tahoma"/>
                <w:spacing w:val="7"/>
                <w:sz w:val="13"/>
              </w:rPr>
              <w:t> </w:t>
            </w:r>
            <w:r>
              <w:rPr>
                <w:rFonts w:ascii="Tahoma"/>
                <w:sz w:val="13"/>
              </w:rPr>
              <w:t>y</w:t>
            </w:r>
            <w:r>
              <w:rPr>
                <w:rFonts w:ascii="Tahoma"/>
                <w:spacing w:val="15"/>
                <w:sz w:val="13"/>
              </w:rPr>
              <w:t> </w:t>
            </w:r>
            <w:r>
              <w:rPr>
                <w:rFonts w:ascii="Tahoma"/>
                <w:sz w:val="13"/>
              </w:rPr>
              <w:t>prestaciones</w:t>
            </w:r>
            <w:r>
              <w:rPr>
                <w:rFonts w:ascii="Tahoma"/>
                <w:spacing w:val="7"/>
                <w:sz w:val="13"/>
              </w:rPr>
              <w:t> </w:t>
            </w:r>
            <w:r>
              <w:rPr>
                <w:rFonts w:ascii="Tahoma"/>
                <w:sz w:val="13"/>
              </w:rPr>
              <w:t>de</w:t>
            </w:r>
            <w:r>
              <w:rPr>
                <w:rFonts w:ascii="Tahoma"/>
                <w:spacing w:val="21"/>
                <w:sz w:val="13"/>
              </w:rPr>
              <w:t> </w:t>
            </w:r>
            <w:r>
              <w:rPr>
                <w:rFonts w:ascii="Tahoma"/>
                <w:sz w:val="13"/>
              </w:rPr>
              <w:t>servicios</w:t>
            </w:r>
            <w:r>
              <w:rPr>
                <w:rFonts w:ascii="Tahoma"/>
                <w:spacing w:val="8"/>
                <w:sz w:val="13"/>
              </w:rPr>
              <w:t> </w:t>
            </w:r>
            <w:r>
              <w:rPr>
                <w:rFonts w:ascii="Tahoma"/>
                <w:sz w:val="13"/>
              </w:rPr>
              <w:t>a</w:t>
            </w:r>
            <w:r>
              <w:rPr>
                <w:rFonts w:ascii="Tahoma"/>
                <w:spacing w:val="7"/>
                <w:sz w:val="13"/>
              </w:rPr>
              <w:t> </w:t>
            </w:r>
            <w:r>
              <w:rPr>
                <w:rFonts w:ascii="Tahoma"/>
                <w:sz w:val="13"/>
              </w:rPr>
              <w:t>corto</w:t>
            </w:r>
            <w:r>
              <w:rPr>
                <w:rFonts w:ascii="Tahoma"/>
                <w:spacing w:val="18"/>
                <w:sz w:val="13"/>
              </w:rPr>
              <w:t> </w:t>
            </w:r>
            <w:r>
              <w:rPr>
                <w:rFonts w:ascii="Tahoma"/>
                <w:spacing w:val="-4"/>
                <w:sz w:val="13"/>
              </w:rPr>
              <w:t>plazo</w:t>
            </w:r>
          </w:p>
        </w:tc>
        <w:tc>
          <w:tcPr>
            <w:tcW w:w="459" w:type="dxa"/>
            <w:tcBorders>
              <w:top w:val="nil"/>
              <w:left w:val="single" w:sz="6" w:space="0" w:color="000000"/>
              <w:bottom w:val="nil"/>
              <w:right w:val="single" w:sz="6" w:space="0" w:color="000000"/>
            </w:tcBorders>
          </w:tcPr>
          <w:p>
            <w:pPr>
              <w:pStyle w:val="TableParagraph"/>
              <w:spacing w:line="140" w:lineRule="exact" w:before="4"/>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488.148,66</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465.901,90</w:t>
            </w:r>
          </w:p>
        </w:tc>
      </w:tr>
      <w:tr>
        <w:trPr>
          <w:trHeight w:val="162" w:hRule="atLeast"/>
        </w:trPr>
        <w:tc>
          <w:tcPr>
            <w:tcW w:w="5367" w:type="dxa"/>
            <w:tcBorders>
              <w:top w:val="nil"/>
              <w:bottom w:val="nil"/>
              <w:right w:val="single" w:sz="18" w:space="0" w:color="008000"/>
            </w:tcBorders>
          </w:tcPr>
          <w:p>
            <w:pPr>
              <w:pStyle w:val="TableParagraph"/>
              <w:spacing w:line="140" w:lineRule="exact" w:before="3"/>
              <w:ind w:left="16"/>
              <w:rPr>
                <w:rFonts w:ascii="Tahoma"/>
                <w:sz w:val="13"/>
              </w:rPr>
            </w:pPr>
            <w:r>
              <w:rPr>
                <w:rFonts w:ascii="Tahoma"/>
                <w:sz w:val="13"/>
              </w:rPr>
              <w:t>Clientes</w:t>
            </w:r>
            <w:r>
              <w:rPr>
                <w:rFonts w:ascii="Tahoma"/>
                <w:spacing w:val="6"/>
                <w:sz w:val="13"/>
              </w:rPr>
              <w:t> </w:t>
            </w:r>
            <w:r>
              <w:rPr>
                <w:rFonts w:ascii="Tahoma"/>
                <w:sz w:val="13"/>
              </w:rPr>
              <w:t>empresas</w:t>
            </w:r>
            <w:r>
              <w:rPr>
                <w:rFonts w:ascii="Tahoma"/>
                <w:spacing w:val="7"/>
                <w:sz w:val="13"/>
              </w:rPr>
              <w:t> </w:t>
            </w:r>
            <w:r>
              <w:rPr>
                <w:rFonts w:ascii="Tahoma"/>
                <w:sz w:val="13"/>
              </w:rPr>
              <w:t>del grupo</w:t>
            </w:r>
            <w:r>
              <w:rPr>
                <w:rFonts w:ascii="Tahoma"/>
                <w:spacing w:val="18"/>
                <w:sz w:val="13"/>
              </w:rPr>
              <w:t> </w:t>
            </w:r>
            <w:r>
              <w:rPr>
                <w:rFonts w:ascii="Tahoma"/>
                <w:sz w:val="13"/>
              </w:rPr>
              <w:t>y</w:t>
            </w:r>
            <w:r>
              <w:rPr>
                <w:rFonts w:ascii="Tahoma"/>
                <w:spacing w:val="13"/>
                <w:sz w:val="13"/>
              </w:rPr>
              <w:t> </w:t>
            </w:r>
            <w:r>
              <w:rPr>
                <w:rFonts w:ascii="Tahoma"/>
                <w:spacing w:val="-2"/>
                <w:sz w:val="13"/>
              </w:rPr>
              <w:t>asociadas</w:t>
            </w:r>
          </w:p>
        </w:tc>
        <w:tc>
          <w:tcPr>
            <w:tcW w:w="459" w:type="dxa"/>
            <w:tcBorders>
              <w:top w:val="nil"/>
              <w:left w:val="single" w:sz="18" w:space="0" w:color="008000"/>
              <w:bottom w:val="nil"/>
              <w:right w:val="single" w:sz="6" w:space="0" w:color="000000"/>
            </w:tcBorders>
          </w:tcPr>
          <w:p>
            <w:pPr>
              <w:pStyle w:val="TableParagraph"/>
              <w:spacing w:line="140" w:lineRule="exact" w:before="3"/>
              <w:ind w:left="51" w:right="30"/>
              <w:jc w:val="center"/>
              <w:rPr>
                <w:rFonts w:ascii="Tahoma"/>
                <w:sz w:val="13"/>
              </w:rPr>
            </w:pPr>
            <w:r>
              <w:rPr>
                <w:rFonts w:ascii="Tahoma"/>
                <w:sz w:val="13"/>
              </w:rPr>
              <w:t>9-</w:t>
            </w:r>
            <w:r>
              <w:rPr>
                <w:rFonts w:ascii="Tahoma"/>
                <w:spacing w:val="-5"/>
                <w:sz w:val="13"/>
              </w:rPr>
              <w:t>18</w:t>
            </w:r>
          </w:p>
        </w:tc>
        <w:tc>
          <w:tcPr>
            <w:tcW w:w="1281" w:type="dxa"/>
            <w:tcBorders>
              <w:top w:val="nil"/>
              <w:left w:val="single" w:sz="6" w:space="0" w:color="000000"/>
              <w:bottom w:val="nil"/>
              <w:right w:val="single" w:sz="8" w:space="0" w:color="000000"/>
            </w:tcBorders>
          </w:tcPr>
          <w:p>
            <w:pPr>
              <w:pStyle w:val="TableParagraph"/>
              <w:spacing w:line="140" w:lineRule="exact" w:before="3"/>
              <w:ind w:right="38"/>
              <w:jc w:val="right"/>
              <w:rPr>
                <w:rFonts w:ascii="Tahoma"/>
                <w:sz w:val="13"/>
              </w:rPr>
            </w:pPr>
            <w:r>
              <w:rPr>
                <w:rFonts w:ascii="Tahoma"/>
                <w:spacing w:val="-2"/>
                <w:sz w:val="13"/>
              </w:rPr>
              <w:t>30.724,46</w:t>
            </w:r>
          </w:p>
        </w:tc>
        <w:tc>
          <w:tcPr>
            <w:tcW w:w="1375" w:type="dxa"/>
            <w:tcBorders>
              <w:top w:val="nil"/>
              <w:left w:val="single" w:sz="8" w:space="0" w:color="000000"/>
              <w:bottom w:val="nil"/>
              <w:right w:val="single" w:sz="12" w:space="0" w:color="0000D0"/>
            </w:tcBorders>
          </w:tcPr>
          <w:p>
            <w:pPr>
              <w:pStyle w:val="TableParagraph"/>
              <w:spacing w:line="140" w:lineRule="exact" w:before="3"/>
              <w:ind w:right="28"/>
              <w:jc w:val="right"/>
              <w:rPr>
                <w:rFonts w:ascii="Tahoma"/>
                <w:sz w:val="13"/>
              </w:rPr>
            </w:pPr>
            <w:r>
              <w:rPr>
                <w:rFonts w:ascii="Tahoma"/>
                <w:spacing w:val="-2"/>
                <w:sz w:val="13"/>
              </w:rPr>
              <w:t>30.724,46</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sz w:val="13"/>
              </w:rPr>
            </w:pPr>
            <w:r>
              <w:rPr>
                <w:rFonts w:ascii="Tahoma"/>
                <w:sz w:val="13"/>
              </w:rPr>
              <w:t>Deudores</w:t>
            </w:r>
            <w:r>
              <w:rPr>
                <w:rFonts w:ascii="Tahoma"/>
                <w:spacing w:val="23"/>
                <w:sz w:val="13"/>
              </w:rPr>
              <w:t> </w:t>
            </w:r>
            <w:r>
              <w:rPr>
                <w:rFonts w:ascii="Tahoma"/>
                <w:spacing w:val="-2"/>
                <w:sz w:val="13"/>
              </w:rPr>
              <w:t>varios</w:t>
            </w:r>
          </w:p>
        </w:tc>
        <w:tc>
          <w:tcPr>
            <w:tcW w:w="459" w:type="dxa"/>
            <w:tcBorders>
              <w:top w:val="nil"/>
              <w:left w:val="single" w:sz="6" w:space="0" w:color="000000"/>
              <w:bottom w:val="nil"/>
              <w:right w:val="single" w:sz="6" w:space="0" w:color="000000"/>
            </w:tcBorders>
          </w:tcPr>
          <w:p>
            <w:pPr>
              <w:pStyle w:val="TableParagraph"/>
              <w:spacing w:line="141" w:lineRule="exact" w:before="3"/>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4"/>
                <w:sz w:val="13"/>
              </w:rPr>
              <w:t>0,00</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4"/>
                <w:sz w:val="13"/>
              </w:rPr>
              <w:t>0,00</w:t>
            </w:r>
          </w:p>
        </w:tc>
      </w:tr>
      <w:tr>
        <w:trPr>
          <w:trHeight w:val="164" w:hRule="atLeast"/>
        </w:trPr>
        <w:tc>
          <w:tcPr>
            <w:tcW w:w="5367" w:type="dxa"/>
            <w:tcBorders>
              <w:top w:val="nil"/>
              <w:bottom w:val="nil"/>
              <w:right w:val="single" w:sz="6" w:space="0" w:color="000000"/>
            </w:tcBorders>
          </w:tcPr>
          <w:p>
            <w:pPr>
              <w:pStyle w:val="TableParagraph"/>
              <w:spacing w:line="139" w:lineRule="exact" w:before="4"/>
              <w:ind w:left="16"/>
              <w:rPr>
                <w:rFonts w:ascii="Tahoma"/>
                <w:sz w:val="13"/>
              </w:rPr>
            </w:pPr>
            <w:r>
              <w:rPr>
                <w:rFonts w:ascii="Tahoma"/>
                <w:spacing w:val="-2"/>
                <w:sz w:val="13"/>
              </w:rPr>
              <w:t>Personal</w:t>
            </w:r>
          </w:p>
        </w:tc>
        <w:tc>
          <w:tcPr>
            <w:tcW w:w="459" w:type="dxa"/>
            <w:tcBorders>
              <w:top w:val="nil"/>
              <w:left w:val="single" w:sz="6" w:space="0" w:color="000000"/>
              <w:bottom w:val="nil"/>
              <w:right w:val="single" w:sz="6" w:space="0" w:color="000000"/>
            </w:tcBorders>
          </w:tcPr>
          <w:p>
            <w:pPr>
              <w:pStyle w:val="TableParagraph"/>
              <w:spacing w:line="139" w:lineRule="exact" w:before="4"/>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39" w:lineRule="exact" w:before="4"/>
              <w:ind w:right="38"/>
              <w:jc w:val="right"/>
              <w:rPr>
                <w:rFonts w:ascii="Tahoma"/>
                <w:sz w:val="13"/>
              </w:rPr>
            </w:pPr>
            <w:r>
              <w:rPr>
                <w:rFonts w:ascii="Tahoma"/>
                <w:spacing w:val="-2"/>
                <w:sz w:val="13"/>
              </w:rPr>
              <w:t>86.300,69</w:t>
            </w:r>
          </w:p>
        </w:tc>
        <w:tc>
          <w:tcPr>
            <w:tcW w:w="1375" w:type="dxa"/>
            <w:tcBorders>
              <w:top w:val="nil"/>
              <w:left w:val="single" w:sz="8" w:space="0" w:color="000000"/>
              <w:bottom w:val="nil"/>
              <w:right w:val="single" w:sz="12" w:space="0" w:color="0000D0"/>
            </w:tcBorders>
          </w:tcPr>
          <w:p>
            <w:pPr>
              <w:pStyle w:val="TableParagraph"/>
              <w:spacing w:line="139" w:lineRule="exact" w:before="4"/>
              <w:ind w:right="28"/>
              <w:jc w:val="right"/>
              <w:rPr>
                <w:rFonts w:ascii="Tahoma"/>
                <w:sz w:val="13"/>
              </w:rPr>
            </w:pPr>
            <w:r>
              <w:rPr>
                <w:rFonts w:ascii="Tahoma"/>
                <w:spacing w:val="-2"/>
                <w:sz w:val="13"/>
              </w:rPr>
              <w:t>140.577,29</w:t>
            </w:r>
          </w:p>
        </w:tc>
      </w:tr>
      <w:tr>
        <w:trPr>
          <w:trHeight w:val="162" w:hRule="atLeast"/>
        </w:trPr>
        <w:tc>
          <w:tcPr>
            <w:tcW w:w="5367" w:type="dxa"/>
            <w:tcBorders>
              <w:top w:val="nil"/>
              <w:bottom w:val="nil"/>
              <w:right w:val="single" w:sz="6" w:space="0" w:color="000000"/>
            </w:tcBorders>
          </w:tcPr>
          <w:p>
            <w:pPr>
              <w:pStyle w:val="TableParagraph"/>
              <w:spacing w:line="140" w:lineRule="exact" w:before="3"/>
              <w:ind w:left="16"/>
              <w:rPr>
                <w:rFonts w:ascii="Tahoma"/>
                <w:sz w:val="13"/>
              </w:rPr>
            </w:pPr>
            <w:r>
              <w:rPr>
                <w:rFonts w:ascii="Tahoma"/>
                <w:sz w:val="13"/>
              </w:rPr>
              <w:t>Activos</w:t>
            </w:r>
            <w:r>
              <w:rPr>
                <w:rFonts w:ascii="Tahoma"/>
                <w:spacing w:val="13"/>
                <w:sz w:val="13"/>
              </w:rPr>
              <w:t> </w:t>
            </w:r>
            <w:r>
              <w:rPr>
                <w:rFonts w:ascii="Tahoma"/>
                <w:sz w:val="13"/>
              </w:rPr>
              <w:t>por</w:t>
            </w:r>
            <w:r>
              <w:rPr>
                <w:rFonts w:ascii="Tahoma"/>
                <w:spacing w:val="11"/>
                <w:sz w:val="13"/>
              </w:rPr>
              <w:t> </w:t>
            </w:r>
            <w:r>
              <w:rPr>
                <w:rFonts w:ascii="Tahoma"/>
                <w:sz w:val="13"/>
              </w:rPr>
              <w:t>impuesto</w:t>
            </w:r>
            <w:r>
              <w:rPr>
                <w:rFonts w:ascii="Tahoma"/>
                <w:spacing w:val="27"/>
                <w:sz w:val="13"/>
              </w:rPr>
              <w:t> </w:t>
            </w:r>
            <w:r>
              <w:rPr>
                <w:rFonts w:ascii="Tahoma"/>
                <w:spacing w:val="-2"/>
                <w:sz w:val="13"/>
              </w:rPr>
              <w:t>corriente</w:t>
            </w:r>
          </w:p>
        </w:tc>
        <w:tc>
          <w:tcPr>
            <w:tcW w:w="459" w:type="dxa"/>
            <w:tcBorders>
              <w:top w:val="nil"/>
              <w:left w:val="single" w:sz="6" w:space="0" w:color="000000"/>
              <w:bottom w:val="nil"/>
              <w:right w:val="single" w:sz="6" w:space="0" w:color="000000"/>
            </w:tcBorders>
          </w:tcPr>
          <w:p>
            <w:pPr>
              <w:pStyle w:val="TableParagraph"/>
              <w:spacing w:line="140" w:lineRule="exact" w:before="3"/>
              <w:ind w:left="50"/>
              <w:jc w:val="center"/>
              <w:rPr>
                <w:rFonts w:ascii="Tahoma"/>
                <w:sz w:val="13"/>
              </w:rPr>
            </w:pPr>
            <w:r>
              <w:rPr>
                <w:rFonts w:ascii="Tahoma"/>
                <w:spacing w:val="-5"/>
                <w:sz w:val="13"/>
              </w:rPr>
              <w:t>12</w:t>
            </w:r>
          </w:p>
        </w:tc>
        <w:tc>
          <w:tcPr>
            <w:tcW w:w="1281" w:type="dxa"/>
            <w:tcBorders>
              <w:top w:val="nil"/>
              <w:left w:val="single" w:sz="6" w:space="0" w:color="000000"/>
              <w:bottom w:val="nil"/>
              <w:right w:val="single" w:sz="8" w:space="0" w:color="000000"/>
            </w:tcBorders>
          </w:tcPr>
          <w:p>
            <w:pPr>
              <w:pStyle w:val="TableParagraph"/>
              <w:spacing w:line="140" w:lineRule="exact" w:before="3"/>
              <w:ind w:right="38"/>
              <w:jc w:val="right"/>
              <w:rPr>
                <w:rFonts w:ascii="Tahoma"/>
                <w:sz w:val="13"/>
              </w:rPr>
            </w:pPr>
            <w:r>
              <w:rPr>
                <w:rFonts w:ascii="Tahoma"/>
                <w:spacing w:val="-2"/>
                <w:sz w:val="13"/>
              </w:rPr>
              <w:t>118.825,91</w:t>
            </w:r>
          </w:p>
        </w:tc>
        <w:tc>
          <w:tcPr>
            <w:tcW w:w="1375" w:type="dxa"/>
            <w:tcBorders>
              <w:top w:val="nil"/>
              <w:left w:val="single" w:sz="8" w:space="0" w:color="000000"/>
              <w:bottom w:val="nil"/>
              <w:right w:val="single" w:sz="12" w:space="0" w:color="0000D0"/>
            </w:tcBorders>
          </w:tcPr>
          <w:p>
            <w:pPr>
              <w:pStyle w:val="TableParagraph"/>
              <w:spacing w:line="140" w:lineRule="exact" w:before="3"/>
              <w:ind w:right="28"/>
              <w:jc w:val="right"/>
              <w:rPr>
                <w:rFonts w:ascii="Tahoma"/>
                <w:sz w:val="13"/>
              </w:rPr>
            </w:pPr>
            <w:r>
              <w:rPr>
                <w:rFonts w:ascii="Tahoma"/>
                <w:spacing w:val="-2"/>
                <w:sz w:val="13"/>
              </w:rPr>
              <w:t>180.653,43</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hAnsi="Tahoma"/>
                <w:sz w:val="13"/>
              </w:rPr>
            </w:pPr>
            <w:r>
              <w:rPr>
                <w:rFonts w:ascii="Tahoma" w:hAnsi="Tahoma"/>
                <w:sz w:val="13"/>
              </w:rPr>
              <w:t>Otros</w:t>
            </w:r>
            <w:r>
              <w:rPr>
                <w:rFonts w:ascii="Tahoma" w:hAnsi="Tahoma"/>
                <w:spacing w:val="9"/>
                <w:sz w:val="13"/>
              </w:rPr>
              <w:t> </w:t>
            </w:r>
            <w:r>
              <w:rPr>
                <w:rFonts w:ascii="Tahoma" w:hAnsi="Tahoma"/>
                <w:sz w:val="13"/>
              </w:rPr>
              <w:t>créditos</w:t>
            </w:r>
            <w:r>
              <w:rPr>
                <w:rFonts w:ascii="Tahoma" w:hAnsi="Tahoma"/>
                <w:spacing w:val="9"/>
                <w:sz w:val="13"/>
              </w:rPr>
              <w:t> </w:t>
            </w:r>
            <w:r>
              <w:rPr>
                <w:rFonts w:ascii="Tahoma" w:hAnsi="Tahoma"/>
                <w:sz w:val="13"/>
              </w:rPr>
              <w:t>con</w:t>
            </w:r>
            <w:r>
              <w:rPr>
                <w:rFonts w:ascii="Tahoma" w:hAnsi="Tahoma"/>
                <w:spacing w:val="17"/>
                <w:sz w:val="13"/>
              </w:rPr>
              <w:t> </w:t>
            </w:r>
            <w:r>
              <w:rPr>
                <w:rFonts w:ascii="Tahoma" w:hAnsi="Tahoma"/>
                <w:sz w:val="13"/>
              </w:rPr>
              <w:t>las</w:t>
            </w:r>
            <w:r>
              <w:rPr>
                <w:rFonts w:ascii="Tahoma" w:hAnsi="Tahoma"/>
                <w:spacing w:val="9"/>
                <w:sz w:val="13"/>
              </w:rPr>
              <w:t> </w:t>
            </w:r>
            <w:r>
              <w:rPr>
                <w:rFonts w:ascii="Tahoma" w:hAnsi="Tahoma"/>
                <w:sz w:val="13"/>
              </w:rPr>
              <w:t>Administraciones</w:t>
            </w:r>
            <w:r>
              <w:rPr>
                <w:rFonts w:ascii="Tahoma" w:hAnsi="Tahoma"/>
                <w:spacing w:val="9"/>
                <w:sz w:val="13"/>
              </w:rPr>
              <w:t> </w:t>
            </w:r>
            <w:r>
              <w:rPr>
                <w:rFonts w:ascii="Tahoma" w:hAnsi="Tahoma"/>
                <w:spacing w:val="-2"/>
                <w:sz w:val="13"/>
              </w:rPr>
              <w:t>públicas</w:t>
            </w:r>
          </w:p>
        </w:tc>
        <w:tc>
          <w:tcPr>
            <w:tcW w:w="459" w:type="dxa"/>
            <w:tcBorders>
              <w:top w:val="nil"/>
              <w:left w:val="single" w:sz="6" w:space="0" w:color="000000"/>
              <w:bottom w:val="nil"/>
              <w:right w:val="single" w:sz="6" w:space="0" w:color="000000"/>
            </w:tcBorders>
          </w:tcPr>
          <w:p>
            <w:pPr>
              <w:pStyle w:val="TableParagraph"/>
              <w:spacing w:line="141" w:lineRule="exact" w:before="3"/>
              <w:ind w:left="50"/>
              <w:jc w:val="center"/>
              <w:rPr>
                <w:rFonts w:ascii="Tahoma"/>
                <w:sz w:val="13"/>
              </w:rPr>
            </w:pPr>
            <w:r>
              <w:rPr>
                <w:rFonts w:ascii="Tahoma"/>
                <w:spacing w:val="-5"/>
                <w:sz w:val="13"/>
              </w:rPr>
              <w:t>12</w:t>
            </w: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2"/>
                <w:sz w:val="13"/>
              </w:rPr>
              <w:t>34.238.347,24</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2"/>
                <w:sz w:val="13"/>
              </w:rPr>
              <w:t>21.920.615,40</w:t>
            </w:r>
          </w:p>
        </w:tc>
      </w:tr>
      <w:tr>
        <w:trPr>
          <w:trHeight w:val="164" w:hRule="atLeast"/>
        </w:trPr>
        <w:tc>
          <w:tcPr>
            <w:tcW w:w="5367" w:type="dxa"/>
            <w:tcBorders>
              <w:top w:val="nil"/>
              <w:bottom w:val="nil"/>
              <w:right w:val="single" w:sz="6" w:space="0" w:color="000000"/>
            </w:tcBorders>
          </w:tcPr>
          <w:p>
            <w:pPr>
              <w:pStyle w:val="TableParagraph"/>
              <w:spacing w:line="131" w:lineRule="exact" w:before="12"/>
              <w:ind w:left="16"/>
              <w:rPr>
                <w:b/>
                <w:sz w:val="13"/>
              </w:rPr>
            </w:pPr>
            <w:r>
              <w:rPr>
                <w:b/>
                <w:w w:val="105"/>
                <w:sz w:val="13"/>
              </w:rPr>
              <w:t>Inversiones</w:t>
            </w:r>
            <w:r>
              <w:rPr>
                <w:b/>
                <w:spacing w:val="2"/>
                <w:w w:val="105"/>
                <w:sz w:val="13"/>
              </w:rPr>
              <w:t> </w:t>
            </w:r>
            <w:r>
              <w:rPr>
                <w:b/>
                <w:w w:val="105"/>
                <w:sz w:val="13"/>
              </w:rPr>
              <w:t>en</w:t>
            </w:r>
            <w:r>
              <w:rPr>
                <w:b/>
                <w:spacing w:val="8"/>
                <w:w w:val="105"/>
                <w:sz w:val="13"/>
              </w:rPr>
              <w:t> </w:t>
            </w:r>
            <w:r>
              <w:rPr>
                <w:b/>
                <w:w w:val="105"/>
                <w:sz w:val="13"/>
              </w:rPr>
              <w:t>empresas</w:t>
            </w:r>
            <w:r>
              <w:rPr>
                <w:b/>
                <w:spacing w:val="3"/>
                <w:w w:val="105"/>
                <w:sz w:val="13"/>
              </w:rPr>
              <w:t> </w:t>
            </w:r>
            <w:r>
              <w:rPr>
                <w:b/>
                <w:w w:val="105"/>
                <w:sz w:val="13"/>
              </w:rPr>
              <w:t>del</w:t>
            </w:r>
            <w:r>
              <w:rPr>
                <w:b/>
                <w:spacing w:val="-2"/>
                <w:w w:val="105"/>
                <w:sz w:val="13"/>
              </w:rPr>
              <w:t> </w:t>
            </w:r>
            <w:r>
              <w:rPr>
                <w:b/>
                <w:w w:val="105"/>
                <w:sz w:val="13"/>
              </w:rPr>
              <w:t>grupo</w:t>
            </w:r>
            <w:r>
              <w:rPr>
                <w:b/>
                <w:spacing w:val="10"/>
                <w:w w:val="105"/>
                <w:sz w:val="13"/>
              </w:rPr>
              <w:t> </w:t>
            </w:r>
            <w:r>
              <w:rPr>
                <w:b/>
                <w:w w:val="105"/>
                <w:sz w:val="13"/>
              </w:rPr>
              <w:t>y</w:t>
            </w:r>
            <w:r>
              <w:rPr>
                <w:b/>
                <w:spacing w:val="4"/>
                <w:w w:val="105"/>
                <w:sz w:val="13"/>
              </w:rPr>
              <w:t> </w:t>
            </w:r>
            <w:r>
              <w:rPr>
                <w:b/>
                <w:w w:val="105"/>
                <w:sz w:val="13"/>
              </w:rPr>
              <w:t>asociadas</w:t>
            </w:r>
            <w:r>
              <w:rPr>
                <w:b/>
                <w:spacing w:val="3"/>
                <w:w w:val="105"/>
                <w:sz w:val="13"/>
              </w:rPr>
              <w:t> </w:t>
            </w:r>
            <w:r>
              <w:rPr>
                <w:b/>
                <w:w w:val="105"/>
                <w:sz w:val="13"/>
              </w:rPr>
              <w:t>a</w:t>
            </w:r>
            <w:r>
              <w:rPr>
                <w:b/>
                <w:spacing w:val="2"/>
                <w:w w:val="105"/>
                <w:sz w:val="13"/>
              </w:rPr>
              <w:t> </w:t>
            </w:r>
            <w:r>
              <w:rPr>
                <w:b/>
                <w:w w:val="105"/>
                <w:sz w:val="13"/>
              </w:rPr>
              <w:t>corto</w:t>
            </w:r>
            <w:r>
              <w:rPr>
                <w:b/>
                <w:spacing w:val="11"/>
                <w:w w:val="105"/>
                <w:sz w:val="13"/>
              </w:rPr>
              <w:t> </w:t>
            </w:r>
            <w:r>
              <w:rPr>
                <w:b/>
                <w:spacing w:val="-4"/>
                <w:w w:val="105"/>
                <w:sz w:val="13"/>
              </w:rPr>
              <w:t>plazo</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1" w:lineRule="exact" w:before="12"/>
              <w:ind w:right="38"/>
              <w:jc w:val="right"/>
              <w:rPr>
                <w:b/>
                <w:sz w:val="13"/>
              </w:rPr>
            </w:pPr>
            <w:r>
              <w:rPr>
                <w:b/>
                <w:spacing w:val="-4"/>
                <w:w w:val="115"/>
                <w:sz w:val="13"/>
              </w:rPr>
              <w:t>0,00</w:t>
            </w:r>
          </w:p>
        </w:tc>
        <w:tc>
          <w:tcPr>
            <w:tcW w:w="1375" w:type="dxa"/>
            <w:tcBorders>
              <w:top w:val="nil"/>
              <w:left w:val="single" w:sz="8" w:space="0" w:color="000000"/>
              <w:bottom w:val="nil"/>
              <w:right w:val="single" w:sz="12" w:space="0" w:color="0000D0"/>
            </w:tcBorders>
          </w:tcPr>
          <w:p>
            <w:pPr>
              <w:pStyle w:val="TableParagraph"/>
              <w:spacing w:line="131" w:lineRule="exact" w:before="12"/>
              <w:ind w:right="25"/>
              <w:jc w:val="right"/>
              <w:rPr>
                <w:b/>
                <w:sz w:val="13"/>
              </w:rPr>
            </w:pPr>
            <w:r>
              <w:rPr>
                <w:b/>
                <w:spacing w:val="-4"/>
                <w:w w:val="115"/>
                <w:sz w:val="13"/>
              </w:rPr>
              <w:t>0,00</w:t>
            </w:r>
          </w:p>
        </w:tc>
      </w:tr>
      <w:tr>
        <w:trPr>
          <w:trHeight w:val="162" w:hRule="atLeast"/>
        </w:trPr>
        <w:tc>
          <w:tcPr>
            <w:tcW w:w="5367" w:type="dxa"/>
            <w:tcBorders>
              <w:top w:val="nil"/>
              <w:bottom w:val="nil"/>
              <w:right w:val="single" w:sz="6" w:space="0" w:color="000000"/>
            </w:tcBorders>
          </w:tcPr>
          <w:p>
            <w:pPr>
              <w:pStyle w:val="TableParagraph"/>
              <w:spacing w:line="131" w:lineRule="exact" w:before="11"/>
              <w:ind w:left="16"/>
              <w:rPr>
                <w:b/>
                <w:sz w:val="13"/>
              </w:rPr>
            </w:pPr>
            <w:r>
              <w:rPr>
                <w:b/>
                <w:sz w:val="13"/>
              </w:rPr>
              <w:t>Inversiones</w:t>
            </w:r>
            <w:r>
              <w:rPr>
                <w:b/>
                <w:spacing w:val="28"/>
                <w:sz w:val="13"/>
              </w:rPr>
              <w:t> </w:t>
            </w:r>
            <w:r>
              <w:rPr>
                <w:b/>
                <w:sz w:val="13"/>
              </w:rPr>
              <w:t>financieras</w:t>
            </w:r>
            <w:r>
              <w:rPr>
                <w:b/>
                <w:spacing w:val="29"/>
                <w:sz w:val="13"/>
              </w:rPr>
              <w:t> </w:t>
            </w:r>
            <w:r>
              <w:rPr>
                <w:b/>
                <w:sz w:val="13"/>
              </w:rPr>
              <w:t>a</w:t>
            </w:r>
            <w:r>
              <w:rPr>
                <w:b/>
                <w:spacing w:val="25"/>
                <w:sz w:val="13"/>
              </w:rPr>
              <w:t> </w:t>
            </w:r>
            <w:r>
              <w:rPr>
                <w:b/>
                <w:sz w:val="13"/>
              </w:rPr>
              <w:t>corto</w:t>
            </w:r>
            <w:r>
              <w:rPr>
                <w:b/>
                <w:spacing w:val="40"/>
                <w:sz w:val="13"/>
              </w:rPr>
              <w:t> </w:t>
            </w:r>
            <w:r>
              <w:rPr>
                <w:b/>
                <w:spacing w:val="-4"/>
                <w:sz w:val="13"/>
              </w:rPr>
              <w:t>plazo</w:t>
            </w:r>
          </w:p>
        </w:tc>
        <w:tc>
          <w:tcPr>
            <w:tcW w:w="459" w:type="dxa"/>
            <w:tcBorders>
              <w:top w:val="nil"/>
              <w:left w:val="single" w:sz="6" w:space="0" w:color="000000"/>
              <w:bottom w:val="nil"/>
              <w:right w:val="single" w:sz="6" w:space="0" w:color="000000"/>
            </w:tcBorders>
          </w:tcPr>
          <w:p>
            <w:pPr>
              <w:pStyle w:val="TableParagraph"/>
              <w:spacing w:line="140" w:lineRule="exact" w:before="3"/>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31" w:lineRule="exact" w:before="11"/>
              <w:ind w:right="39"/>
              <w:jc w:val="right"/>
              <w:rPr>
                <w:b/>
                <w:sz w:val="13"/>
              </w:rPr>
            </w:pPr>
            <w:r>
              <w:rPr>
                <w:b/>
                <w:spacing w:val="-2"/>
                <w:w w:val="115"/>
                <w:sz w:val="13"/>
              </w:rPr>
              <w:t>20.000.000,00</w:t>
            </w:r>
          </w:p>
        </w:tc>
        <w:tc>
          <w:tcPr>
            <w:tcW w:w="1375" w:type="dxa"/>
            <w:tcBorders>
              <w:top w:val="nil"/>
              <w:left w:val="single" w:sz="8" w:space="0" w:color="000000"/>
              <w:bottom w:val="nil"/>
              <w:right w:val="single" w:sz="12" w:space="0" w:color="0000D0"/>
            </w:tcBorders>
          </w:tcPr>
          <w:p>
            <w:pPr>
              <w:pStyle w:val="TableParagraph"/>
              <w:spacing w:line="131" w:lineRule="exact" w:before="11"/>
              <w:ind w:right="26"/>
              <w:jc w:val="right"/>
              <w:rPr>
                <w:b/>
                <w:sz w:val="13"/>
              </w:rPr>
            </w:pPr>
            <w:r>
              <w:rPr>
                <w:b/>
                <w:spacing w:val="-2"/>
                <w:w w:val="115"/>
                <w:sz w:val="13"/>
              </w:rPr>
              <w:t>12.500.000,00</w:t>
            </w:r>
          </w:p>
        </w:tc>
      </w:tr>
      <w:tr>
        <w:trPr>
          <w:trHeight w:val="164" w:hRule="atLeast"/>
        </w:trPr>
        <w:tc>
          <w:tcPr>
            <w:tcW w:w="5367" w:type="dxa"/>
            <w:tcBorders>
              <w:top w:val="nil"/>
              <w:bottom w:val="nil"/>
              <w:right w:val="single" w:sz="6" w:space="0" w:color="000000"/>
            </w:tcBorders>
          </w:tcPr>
          <w:p>
            <w:pPr>
              <w:pStyle w:val="TableParagraph"/>
              <w:spacing w:line="141" w:lineRule="exact" w:before="3"/>
              <w:ind w:left="16"/>
              <w:rPr>
                <w:rFonts w:ascii="Tahoma" w:hAnsi="Tahoma"/>
                <w:sz w:val="13"/>
              </w:rPr>
            </w:pPr>
            <w:r>
              <w:rPr>
                <w:rFonts w:ascii="Tahoma" w:hAnsi="Tahoma"/>
                <w:sz w:val="13"/>
              </w:rPr>
              <w:t>Créditos</w:t>
            </w:r>
            <w:r>
              <w:rPr>
                <w:rFonts w:ascii="Tahoma" w:hAnsi="Tahoma"/>
                <w:spacing w:val="7"/>
                <w:sz w:val="13"/>
              </w:rPr>
              <w:t> </w:t>
            </w:r>
            <w:r>
              <w:rPr>
                <w:rFonts w:ascii="Tahoma" w:hAnsi="Tahoma"/>
                <w:sz w:val="13"/>
              </w:rPr>
              <w:t>a</w:t>
            </w:r>
            <w:r>
              <w:rPr>
                <w:rFonts w:ascii="Tahoma" w:hAnsi="Tahoma"/>
                <w:spacing w:val="6"/>
                <w:sz w:val="13"/>
              </w:rPr>
              <w:t> </w:t>
            </w:r>
            <w:r>
              <w:rPr>
                <w:rFonts w:ascii="Tahoma" w:hAnsi="Tahoma"/>
                <w:spacing w:val="-2"/>
                <w:sz w:val="13"/>
              </w:rPr>
              <w:t>empresas</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1" w:lineRule="exact" w:before="3"/>
              <w:ind w:right="38"/>
              <w:jc w:val="right"/>
              <w:rPr>
                <w:rFonts w:ascii="Tahoma"/>
                <w:sz w:val="13"/>
              </w:rPr>
            </w:pPr>
            <w:r>
              <w:rPr>
                <w:rFonts w:ascii="Tahoma"/>
                <w:spacing w:val="-4"/>
                <w:sz w:val="13"/>
              </w:rPr>
              <w:t>0,00</w:t>
            </w:r>
          </w:p>
        </w:tc>
        <w:tc>
          <w:tcPr>
            <w:tcW w:w="1375" w:type="dxa"/>
            <w:tcBorders>
              <w:top w:val="nil"/>
              <w:left w:val="single" w:sz="8" w:space="0" w:color="000000"/>
              <w:bottom w:val="nil"/>
              <w:right w:val="single" w:sz="12" w:space="0" w:color="0000D0"/>
            </w:tcBorders>
          </w:tcPr>
          <w:p>
            <w:pPr>
              <w:pStyle w:val="TableParagraph"/>
              <w:spacing w:line="141" w:lineRule="exact" w:before="3"/>
              <w:ind w:right="28"/>
              <w:jc w:val="right"/>
              <w:rPr>
                <w:rFonts w:ascii="Tahoma"/>
                <w:sz w:val="13"/>
              </w:rPr>
            </w:pPr>
            <w:r>
              <w:rPr>
                <w:rFonts w:ascii="Tahoma"/>
                <w:spacing w:val="-4"/>
                <w:sz w:val="13"/>
              </w:rPr>
              <w:t>0,00</w:t>
            </w:r>
          </w:p>
        </w:tc>
      </w:tr>
      <w:tr>
        <w:trPr>
          <w:trHeight w:val="164" w:hRule="atLeast"/>
        </w:trPr>
        <w:tc>
          <w:tcPr>
            <w:tcW w:w="5367" w:type="dxa"/>
            <w:tcBorders>
              <w:top w:val="nil"/>
              <w:bottom w:val="nil"/>
              <w:right w:val="single" w:sz="6" w:space="0" w:color="000000"/>
            </w:tcBorders>
          </w:tcPr>
          <w:p>
            <w:pPr>
              <w:pStyle w:val="TableParagraph"/>
              <w:spacing w:line="140" w:lineRule="exact" w:before="4"/>
              <w:ind w:left="16"/>
              <w:rPr>
                <w:rFonts w:ascii="Tahoma"/>
                <w:sz w:val="13"/>
              </w:rPr>
            </w:pPr>
            <w:r>
              <w:rPr>
                <w:rFonts w:ascii="Tahoma"/>
                <w:sz w:val="13"/>
              </w:rPr>
              <w:t>Otros</w:t>
            </w:r>
            <w:r>
              <w:rPr>
                <w:rFonts w:ascii="Tahoma"/>
                <w:spacing w:val="10"/>
                <w:sz w:val="13"/>
              </w:rPr>
              <w:t> </w:t>
            </w:r>
            <w:r>
              <w:rPr>
                <w:rFonts w:ascii="Tahoma"/>
                <w:sz w:val="13"/>
              </w:rPr>
              <w:t>activos</w:t>
            </w:r>
            <w:r>
              <w:rPr>
                <w:rFonts w:ascii="Tahoma"/>
                <w:spacing w:val="10"/>
                <w:sz w:val="13"/>
              </w:rPr>
              <w:t> </w:t>
            </w:r>
            <w:r>
              <w:rPr>
                <w:rFonts w:ascii="Tahoma"/>
                <w:sz w:val="13"/>
              </w:rPr>
              <w:t>financieros</w:t>
            </w:r>
            <w:r>
              <w:rPr>
                <w:rFonts w:ascii="Tahoma"/>
                <w:spacing w:val="10"/>
                <w:sz w:val="13"/>
              </w:rPr>
              <w:t> </w:t>
            </w:r>
            <w:r>
              <w:rPr>
                <w:rFonts w:ascii="Tahoma"/>
                <w:spacing w:val="-5"/>
                <w:sz w:val="13"/>
              </w:rPr>
              <w:t>cp</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4"/>
              <w:ind w:right="38"/>
              <w:jc w:val="right"/>
              <w:rPr>
                <w:rFonts w:ascii="Tahoma"/>
                <w:sz w:val="13"/>
              </w:rPr>
            </w:pPr>
            <w:r>
              <w:rPr>
                <w:rFonts w:ascii="Tahoma"/>
                <w:spacing w:val="-2"/>
                <w:sz w:val="13"/>
              </w:rPr>
              <w:t>20.000.000,00</w:t>
            </w:r>
          </w:p>
        </w:tc>
        <w:tc>
          <w:tcPr>
            <w:tcW w:w="1375" w:type="dxa"/>
            <w:tcBorders>
              <w:top w:val="nil"/>
              <w:left w:val="single" w:sz="8" w:space="0" w:color="000000"/>
              <w:bottom w:val="nil"/>
              <w:right w:val="single" w:sz="12" w:space="0" w:color="0000D0"/>
            </w:tcBorders>
          </w:tcPr>
          <w:p>
            <w:pPr>
              <w:pStyle w:val="TableParagraph"/>
              <w:spacing w:line="140" w:lineRule="exact" w:before="4"/>
              <w:ind w:right="28"/>
              <w:jc w:val="right"/>
              <w:rPr>
                <w:rFonts w:ascii="Tahoma"/>
                <w:sz w:val="13"/>
              </w:rPr>
            </w:pPr>
            <w:r>
              <w:rPr>
                <w:rFonts w:ascii="Tahoma"/>
                <w:spacing w:val="-2"/>
                <w:sz w:val="13"/>
              </w:rPr>
              <w:t>12.500.000,00</w:t>
            </w:r>
          </w:p>
        </w:tc>
      </w:tr>
      <w:tr>
        <w:trPr>
          <w:trHeight w:val="164" w:hRule="atLeast"/>
        </w:trPr>
        <w:tc>
          <w:tcPr>
            <w:tcW w:w="5367" w:type="dxa"/>
            <w:tcBorders>
              <w:top w:val="nil"/>
              <w:bottom w:val="nil"/>
              <w:right w:val="single" w:sz="6" w:space="0" w:color="000000"/>
            </w:tcBorders>
          </w:tcPr>
          <w:p>
            <w:pPr>
              <w:pStyle w:val="TableParagraph"/>
              <w:spacing w:line="133" w:lineRule="exact" w:before="11"/>
              <w:ind w:left="16"/>
              <w:rPr>
                <w:b/>
                <w:sz w:val="13"/>
              </w:rPr>
            </w:pPr>
            <w:r>
              <w:rPr>
                <w:b/>
                <w:w w:val="105"/>
                <w:sz w:val="13"/>
              </w:rPr>
              <w:t>Periodificaciones</w:t>
            </w:r>
            <w:r>
              <w:rPr>
                <w:b/>
                <w:spacing w:val="-4"/>
                <w:w w:val="105"/>
                <w:sz w:val="13"/>
              </w:rPr>
              <w:t> </w:t>
            </w:r>
            <w:r>
              <w:rPr>
                <w:b/>
                <w:w w:val="105"/>
                <w:sz w:val="13"/>
              </w:rPr>
              <w:t>a</w:t>
            </w:r>
            <w:r>
              <w:rPr>
                <w:b/>
                <w:spacing w:val="-2"/>
                <w:w w:val="105"/>
                <w:sz w:val="13"/>
              </w:rPr>
              <w:t> </w:t>
            </w:r>
            <w:r>
              <w:rPr>
                <w:b/>
                <w:w w:val="105"/>
                <w:sz w:val="13"/>
              </w:rPr>
              <w:t>corto</w:t>
            </w:r>
            <w:r>
              <w:rPr>
                <w:b/>
                <w:spacing w:val="5"/>
                <w:w w:val="105"/>
                <w:sz w:val="13"/>
              </w:rPr>
              <w:t> </w:t>
            </w:r>
            <w:r>
              <w:rPr>
                <w:b/>
                <w:spacing w:val="-2"/>
                <w:w w:val="105"/>
                <w:sz w:val="13"/>
              </w:rPr>
              <w:t>plazo</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33" w:lineRule="exact" w:before="11"/>
              <w:ind w:right="38"/>
              <w:jc w:val="right"/>
              <w:rPr>
                <w:b/>
                <w:sz w:val="13"/>
              </w:rPr>
            </w:pPr>
            <w:r>
              <w:rPr>
                <w:b/>
                <w:spacing w:val="-2"/>
                <w:w w:val="115"/>
                <w:sz w:val="13"/>
              </w:rPr>
              <w:t>85.957,09</w:t>
            </w:r>
          </w:p>
        </w:tc>
        <w:tc>
          <w:tcPr>
            <w:tcW w:w="1375" w:type="dxa"/>
            <w:tcBorders>
              <w:top w:val="nil"/>
              <w:left w:val="single" w:sz="8" w:space="0" w:color="000000"/>
              <w:bottom w:val="nil"/>
              <w:right w:val="single" w:sz="12" w:space="0" w:color="0000D0"/>
            </w:tcBorders>
          </w:tcPr>
          <w:p>
            <w:pPr>
              <w:pStyle w:val="TableParagraph"/>
              <w:spacing w:line="133" w:lineRule="exact" w:before="11"/>
              <w:ind w:right="25"/>
              <w:jc w:val="right"/>
              <w:rPr>
                <w:b/>
                <w:sz w:val="13"/>
              </w:rPr>
            </w:pPr>
            <w:r>
              <w:rPr>
                <w:b/>
                <w:spacing w:val="-2"/>
                <w:w w:val="115"/>
                <w:sz w:val="13"/>
              </w:rPr>
              <w:t>109.103,03</w:t>
            </w:r>
          </w:p>
        </w:tc>
      </w:tr>
      <w:tr>
        <w:trPr>
          <w:trHeight w:val="164" w:hRule="atLeast"/>
        </w:trPr>
        <w:tc>
          <w:tcPr>
            <w:tcW w:w="5367" w:type="dxa"/>
            <w:tcBorders>
              <w:top w:val="nil"/>
              <w:bottom w:val="nil"/>
              <w:right w:val="single" w:sz="6" w:space="0" w:color="000000"/>
            </w:tcBorders>
          </w:tcPr>
          <w:p>
            <w:pPr>
              <w:pStyle w:val="TableParagraph"/>
              <w:spacing w:line="131" w:lineRule="exact" w:before="12"/>
              <w:ind w:left="16"/>
              <w:rPr>
                <w:b/>
                <w:sz w:val="13"/>
              </w:rPr>
            </w:pPr>
            <w:r>
              <w:rPr>
                <w:b/>
                <w:w w:val="105"/>
                <w:sz w:val="13"/>
              </w:rPr>
              <w:t>Efectivo</w:t>
            </w:r>
            <w:r>
              <w:rPr>
                <w:b/>
                <w:spacing w:val="10"/>
                <w:w w:val="105"/>
                <w:sz w:val="13"/>
              </w:rPr>
              <w:t> </w:t>
            </w:r>
            <w:r>
              <w:rPr>
                <w:b/>
                <w:w w:val="105"/>
                <w:sz w:val="13"/>
              </w:rPr>
              <w:t>y</w:t>
            </w:r>
            <w:r>
              <w:rPr>
                <w:b/>
                <w:spacing w:val="7"/>
                <w:w w:val="105"/>
                <w:sz w:val="13"/>
              </w:rPr>
              <w:t> </w:t>
            </w:r>
            <w:r>
              <w:rPr>
                <w:b/>
                <w:w w:val="105"/>
                <w:sz w:val="13"/>
              </w:rPr>
              <w:t>otros</w:t>
            </w:r>
            <w:r>
              <w:rPr>
                <w:b/>
                <w:spacing w:val="3"/>
                <w:w w:val="105"/>
                <w:sz w:val="13"/>
              </w:rPr>
              <w:t> </w:t>
            </w:r>
            <w:r>
              <w:rPr>
                <w:b/>
                <w:w w:val="105"/>
                <w:sz w:val="13"/>
              </w:rPr>
              <w:t>activos</w:t>
            </w:r>
            <w:r>
              <w:rPr>
                <w:b/>
                <w:spacing w:val="4"/>
                <w:w w:val="105"/>
                <w:sz w:val="13"/>
              </w:rPr>
              <w:t> </w:t>
            </w:r>
            <w:r>
              <w:rPr>
                <w:b/>
                <w:w w:val="105"/>
                <w:sz w:val="13"/>
              </w:rPr>
              <w:t>líquidos</w:t>
            </w:r>
            <w:r>
              <w:rPr>
                <w:b/>
                <w:spacing w:val="5"/>
                <w:w w:val="105"/>
                <w:sz w:val="13"/>
              </w:rPr>
              <w:t> </w:t>
            </w:r>
            <w:r>
              <w:rPr>
                <w:b/>
                <w:spacing w:val="-2"/>
                <w:w w:val="105"/>
                <w:sz w:val="13"/>
              </w:rPr>
              <w:t>equivalentes</w:t>
            </w:r>
          </w:p>
        </w:tc>
        <w:tc>
          <w:tcPr>
            <w:tcW w:w="459" w:type="dxa"/>
            <w:tcBorders>
              <w:top w:val="nil"/>
              <w:left w:val="single" w:sz="6" w:space="0" w:color="000000"/>
              <w:bottom w:val="nil"/>
              <w:right w:val="single" w:sz="6" w:space="0" w:color="000000"/>
            </w:tcBorders>
          </w:tcPr>
          <w:p>
            <w:pPr>
              <w:pStyle w:val="TableParagraph"/>
              <w:spacing w:line="140" w:lineRule="exact" w:before="4"/>
              <w:ind w:left="36"/>
              <w:jc w:val="center"/>
              <w:rPr>
                <w:rFonts w:ascii="Tahoma"/>
                <w:sz w:val="13"/>
              </w:rPr>
            </w:pPr>
            <w:r>
              <w:rPr>
                <w:rFonts w:ascii="Tahoma"/>
                <w:spacing w:val="-10"/>
                <w:sz w:val="13"/>
              </w:rPr>
              <w:t>9</w:t>
            </w:r>
          </w:p>
        </w:tc>
        <w:tc>
          <w:tcPr>
            <w:tcW w:w="1281" w:type="dxa"/>
            <w:tcBorders>
              <w:top w:val="nil"/>
              <w:left w:val="single" w:sz="6" w:space="0" w:color="000000"/>
              <w:bottom w:val="nil"/>
              <w:right w:val="single" w:sz="8" w:space="0" w:color="000000"/>
            </w:tcBorders>
          </w:tcPr>
          <w:p>
            <w:pPr>
              <w:pStyle w:val="TableParagraph"/>
              <w:spacing w:line="131" w:lineRule="exact" w:before="12"/>
              <w:ind w:right="39"/>
              <w:jc w:val="right"/>
              <w:rPr>
                <w:b/>
                <w:sz w:val="13"/>
              </w:rPr>
            </w:pPr>
            <w:r>
              <w:rPr>
                <w:b/>
                <w:spacing w:val="-2"/>
                <w:w w:val="115"/>
                <w:sz w:val="13"/>
              </w:rPr>
              <w:t>9.968.848,79</w:t>
            </w:r>
          </w:p>
        </w:tc>
        <w:tc>
          <w:tcPr>
            <w:tcW w:w="1375" w:type="dxa"/>
            <w:tcBorders>
              <w:top w:val="nil"/>
              <w:left w:val="single" w:sz="8" w:space="0" w:color="000000"/>
              <w:bottom w:val="nil"/>
              <w:right w:val="single" w:sz="12" w:space="0" w:color="0000D0"/>
            </w:tcBorders>
          </w:tcPr>
          <w:p>
            <w:pPr>
              <w:pStyle w:val="TableParagraph"/>
              <w:spacing w:line="131" w:lineRule="exact" w:before="12"/>
              <w:ind w:right="26"/>
              <w:jc w:val="right"/>
              <w:rPr>
                <w:b/>
                <w:sz w:val="13"/>
              </w:rPr>
            </w:pPr>
            <w:r>
              <w:rPr>
                <w:b/>
                <w:spacing w:val="-2"/>
                <w:w w:val="115"/>
                <w:sz w:val="13"/>
              </w:rPr>
              <w:t>12.850.352,35</w:t>
            </w:r>
          </w:p>
        </w:tc>
      </w:tr>
      <w:tr>
        <w:trPr>
          <w:trHeight w:val="162" w:hRule="atLeast"/>
        </w:trPr>
        <w:tc>
          <w:tcPr>
            <w:tcW w:w="5367" w:type="dxa"/>
            <w:tcBorders>
              <w:top w:val="nil"/>
              <w:bottom w:val="nil"/>
              <w:right w:val="single" w:sz="6" w:space="0" w:color="000000"/>
            </w:tcBorders>
          </w:tcPr>
          <w:p>
            <w:pPr>
              <w:pStyle w:val="TableParagraph"/>
              <w:spacing w:line="140" w:lineRule="exact" w:before="3"/>
              <w:ind w:left="16"/>
              <w:rPr>
                <w:rFonts w:ascii="Tahoma" w:hAnsi="Tahoma"/>
                <w:sz w:val="13"/>
              </w:rPr>
            </w:pPr>
            <w:r>
              <w:rPr>
                <w:rFonts w:ascii="Tahoma" w:hAnsi="Tahoma"/>
                <w:spacing w:val="-2"/>
                <w:sz w:val="13"/>
              </w:rPr>
              <w:t>Tesorería</w:t>
            </w:r>
          </w:p>
        </w:tc>
        <w:tc>
          <w:tcPr>
            <w:tcW w:w="459" w:type="dxa"/>
            <w:tcBorders>
              <w:top w:val="nil"/>
              <w:left w:val="single" w:sz="6" w:space="0" w:color="000000"/>
              <w:bottom w:val="nil"/>
              <w:right w:val="single" w:sz="6" w:space="0" w:color="000000"/>
            </w:tcBorders>
          </w:tcPr>
          <w:p>
            <w:pPr>
              <w:pStyle w:val="TableParagraph"/>
              <w:rPr>
                <w:rFonts w:ascii="Times New Roman"/>
                <w:sz w:val="10"/>
              </w:rPr>
            </w:pPr>
          </w:p>
        </w:tc>
        <w:tc>
          <w:tcPr>
            <w:tcW w:w="1281" w:type="dxa"/>
            <w:tcBorders>
              <w:top w:val="nil"/>
              <w:left w:val="single" w:sz="6" w:space="0" w:color="000000"/>
              <w:bottom w:val="nil"/>
              <w:right w:val="single" w:sz="8" w:space="0" w:color="000000"/>
            </w:tcBorders>
          </w:tcPr>
          <w:p>
            <w:pPr>
              <w:pStyle w:val="TableParagraph"/>
              <w:spacing w:line="140" w:lineRule="exact" w:before="3"/>
              <w:ind w:right="38"/>
              <w:jc w:val="right"/>
              <w:rPr>
                <w:rFonts w:ascii="Tahoma"/>
                <w:sz w:val="13"/>
              </w:rPr>
            </w:pPr>
            <w:r>
              <w:rPr>
                <w:rFonts w:ascii="Tahoma"/>
                <w:spacing w:val="-2"/>
                <w:sz w:val="13"/>
              </w:rPr>
              <w:t>9.944.541,91</w:t>
            </w:r>
          </w:p>
        </w:tc>
        <w:tc>
          <w:tcPr>
            <w:tcW w:w="1375" w:type="dxa"/>
            <w:tcBorders>
              <w:top w:val="nil"/>
              <w:left w:val="single" w:sz="8" w:space="0" w:color="000000"/>
              <w:bottom w:val="nil"/>
              <w:right w:val="single" w:sz="12" w:space="0" w:color="0000D0"/>
            </w:tcBorders>
          </w:tcPr>
          <w:p>
            <w:pPr>
              <w:pStyle w:val="TableParagraph"/>
              <w:spacing w:line="140" w:lineRule="exact" w:before="3"/>
              <w:ind w:right="28"/>
              <w:jc w:val="right"/>
              <w:rPr>
                <w:rFonts w:ascii="Tahoma"/>
                <w:sz w:val="13"/>
              </w:rPr>
            </w:pPr>
            <w:r>
              <w:rPr>
                <w:rFonts w:ascii="Tahoma"/>
                <w:spacing w:val="-2"/>
                <w:sz w:val="13"/>
              </w:rPr>
              <w:t>12.833.908,79</w:t>
            </w:r>
          </w:p>
        </w:tc>
      </w:tr>
      <w:tr>
        <w:trPr>
          <w:trHeight w:val="162" w:hRule="atLeast"/>
        </w:trPr>
        <w:tc>
          <w:tcPr>
            <w:tcW w:w="5367" w:type="dxa"/>
            <w:tcBorders>
              <w:top w:val="nil"/>
              <w:bottom w:val="single" w:sz="6" w:space="0" w:color="000000"/>
              <w:right w:val="single" w:sz="6" w:space="0" w:color="000000"/>
            </w:tcBorders>
          </w:tcPr>
          <w:p>
            <w:pPr>
              <w:pStyle w:val="TableParagraph"/>
              <w:spacing w:line="139" w:lineRule="exact" w:before="3"/>
              <w:ind w:left="16"/>
              <w:rPr>
                <w:rFonts w:ascii="Tahoma" w:hAnsi="Tahoma"/>
                <w:sz w:val="13"/>
              </w:rPr>
            </w:pPr>
            <w:r>
              <w:rPr>
                <w:rFonts w:ascii="Tahoma" w:hAnsi="Tahoma"/>
                <w:sz w:val="13"/>
              </w:rPr>
              <w:t>Otros</w:t>
            </w:r>
            <w:r>
              <w:rPr>
                <w:rFonts w:ascii="Tahoma" w:hAnsi="Tahoma"/>
                <w:spacing w:val="6"/>
                <w:sz w:val="13"/>
              </w:rPr>
              <w:t> </w:t>
            </w:r>
            <w:r>
              <w:rPr>
                <w:rFonts w:ascii="Tahoma" w:hAnsi="Tahoma"/>
                <w:sz w:val="13"/>
              </w:rPr>
              <w:t>activos</w:t>
            </w:r>
            <w:r>
              <w:rPr>
                <w:rFonts w:ascii="Tahoma" w:hAnsi="Tahoma"/>
                <w:spacing w:val="7"/>
                <w:sz w:val="13"/>
              </w:rPr>
              <w:t> </w:t>
            </w:r>
            <w:r>
              <w:rPr>
                <w:rFonts w:ascii="Tahoma" w:hAnsi="Tahoma"/>
                <w:sz w:val="13"/>
              </w:rPr>
              <w:t>líquidos</w:t>
            </w:r>
            <w:r>
              <w:rPr>
                <w:rFonts w:ascii="Tahoma" w:hAnsi="Tahoma"/>
                <w:spacing w:val="5"/>
                <w:sz w:val="13"/>
              </w:rPr>
              <w:t> </w:t>
            </w:r>
            <w:r>
              <w:rPr>
                <w:rFonts w:ascii="Tahoma" w:hAnsi="Tahoma"/>
                <w:spacing w:val="-2"/>
                <w:sz w:val="13"/>
              </w:rPr>
              <w:t>equivalentes</w:t>
            </w:r>
          </w:p>
        </w:tc>
        <w:tc>
          <w:tcPr>
            <w:tcW w:w="459" w:type="dxa"/>
            <w:tcBorders>
              <w:top w:val="nil"/>
              <w:left w:val="single" w:sz="6" w:space="0" w:color="000000"/>
              <w:bottom w:val="single" w:sz="6" w:space="0" w:color="000000"/>
              <w:right w:val="single" w:sz="6" w:space="0" w:color="000000"/>
            </w:tcBorders>
          </w:tcPr>
          <w:p>
            <w:pPr>
              <w:pStyle w:val="TableParagraph"/>
              <w:rPr>
                <w:rFonts w:ascii="Times New Roman"/>
                <w:sz w:val="10"/>
              </w:rPr>
            </w:pPr>
          </w:p>
        </w:tc>
        <w:tc>
          <w:tcPr>
            <w:tcW w:w="1281" w:type="dxa"/>
            <w:tcBorders>
              <w:top w:val="nil"/>
              <w:left w:val="single" w:sz="6" w:space="0" w:color="000000"/>
              <w:bottom w:val="single" w:sz="6" w:space="0" w:color="000000"/>
              <w:right w:val="single" w:sz="8" w:space="0" w:color="000000"/>
            </w:tcBorders>
          </w:tcPr>
          <w:p>
            <w:pPr>
              <w:pStyle w:val="TableParagraph"/>
              <w:spacing w:line="139" w:lineRule="exact" w:before="3"/>
              <w:ind w:right="38"/>
              <w:jc w:val="right"/>
              <w:rPr>
                <w:rFonts w:ascii="Tahoma"/>
                <w:sz w:val="13"/>
              </w:rPr>
            </w:pPr>
            <w:r>
              <w:rPr>
                <w:rFonts w:ascii="Tahoma"/>
                <w:spacing w:val="-2"/>
                <w:sz w:val="13"/>
              </w:rPr>
              <w:t>24.306,88</w:t>
            </w:r>
          </w:p>
        </w:tc>
        <w:tc>
          <w:tcPr>
            <w:tcW w:w="1375" w:type="dxa"/>
            <w:tcBorders>
              <w:top w:val="nil"/>
              <w:left w:val="single" w:sz="8" w:space="0" w:color="000000"/>
              <w:bottom w:val="single" w:sz="6" w:space="0" w:color="000000"/>
              <w:right w:val="single" w:sz="12" w:space="0" w:color="0000D0"/>
            </w:tcBorders>
          </w:tcPr>
          <w:p>
            <w:pPr>
              <w:pStyle w:val="TableParagraph"/>
              <w:spacing w:line="139" w:lineRule="exact" w:before="3"/>
              <w:ind w:right="28"/>
              <w:jc w:val="right"/>
              <w:rPr>
                <w:rFonts w:ascii="Tahoma"/>
                <w:sz w:val="13"/>
              </w:rPr>
            </w:pPr>
            <w:r>
              <w:rPr>
                <w:rFonts w:ascii="Tahoma"/>
                <w:spacing w:val="-2"/>
                <w:sz w:val="13"/>
              </w:rPr>
              <w:t>16.443,56</w:t>
            </w:r>
          </w:p>
        </w:tc>
      </w:tr>
      <w:tr>
        <w:trPr>
          <w:trHeight w:val="148" w:hRule="atLeast"/>
        </w:trPr>
        <w:tc>
          <w:tcPr>
            <w:tcW w:w="5367" w:type="dxa"/>
            <w:tcBorders>
              <w:top w:val="single" w:sz="6" w:space="0" w:color="000000"/>
              <w:bottom w:val="single" w:sz="6" w:space="0" w:color="000000"/>
              <w:right w:val="single" w:sz="6" w:space="0" w:color="000000"/>
            </w:tcBorders>
            <w:shd w:val="clear" w:color="auto" w:fill="FFC000"/>
          </w:tcPr>
          <w:p>
            <w:pPr>
              <w:pStyle w:val="TableParagraph"/>
              <w:spacing w:line="128" w:lineRule="exact"/>
              <w:ind w:left="16"/>
              <w:rPr>
                <w:b/>
                <w:sz w:val="13"/>
              </w:rPr>
            </w:pPr>
            <w:r>
              <w:rPr>
                <w:b/>
                <w:sz w:val="13"/>
              </w:rPr>
              <w:t>TOTAL</w:t>
            </w:r>
            <w:r>
              <w:rPr>
                <w:b/>
                <w:spacing w:val="-2"/>
                <w:sz w:val="13"/>
              </w:rPr>
              <w:t> </w:t>
            </w:r>
            <w:r>
              <w:rPr>
                <w:b/>
                <w:spacing w:val="-2"/>
                <w:w w:val="110"/>
                <w:sz w:val="13"/>
              </w:rPr>
              <w:t>ACTIVO</w:t>
            </w:r>
          </w:p>
        </w:tc>
        <w:tc>
          <w:tcPr>
            <w:tcW w:w="459" w:type="dxa"/>
            <w:tcBorders>
              <w:top w:val="single" w:sz="6" w:space="0" w:color="000000"/>
              <w:left w:val="single" w:sz="6" w:space="0" w:color="000000"/>
              <w:bottom w:val="single" w:sz="6" w:space="0" w:color="000000"/>
              <w:right w:val="single" w:sz="6" w:space="0" w:color="000000"/>
            </w:tcBorders>
            <w:shd w:val="clear" w:color="auto" w:fill="FFC000"/>
          </w:tcPr>
          <w:p>
            <w:pPr>
              <w:pStyle w:val="TableParagraph"/>
              <w:rPr>
                <w:rFonts w:ascii="Times New Roman"/>
                <w:sz w:val="8"/>
              </w:rPr>
            </w:pPr>
          </w:p>
        </w:tc>
        <w:tc>
          <w:tcPr>
            <w:tcW w:w="1281" w:type="dxa"/>
            <w:tcBorders>
              <w:top w:val="single" w:sz="6" w:space="0" w:color="000000"/>
              <w:left w:val="single" w:sz="6" w:space="0" w:color="000000"/>
              <w:bottom w:val="single" w:sz="6" w:space="0" w:color="000000"/>
              <w:right w:val="single" w:sz="8" w:space="0" w:color="000000"/>
            </w:tcBorders>
            <w:shd w:val="clear" w:color="auto" w:fill="FFC000"/>
          </w:tcPr>
          <w:p>
            <w:pPr>
              <w:pStyle w:val="TableParagraph"/>
              <w:spacing w:line="128" w:lineRule="exact"/>
              <w:ind w:right="49"/>
              <w:jc w:val="right"/>
              <w:rPr>
                <w:b/>
                <w:sz w:val="13"/>
              </w:rPr>
            </w:pPr>
            <w:r>
              <w:rPr>
                <w:b/>
                <w:spacing w:val="-2"/>
                <w:w w:val="115"/>
                <w:sz w:val="13"/>
              </w:rPr>
              <w:t>157.072.521,37</w:t>
            </w:r>
          </w:p>
        </w:tc>
        <w:tc>
          <w:tcPr>
            <w:tcW w:w="1375" w:type="dxa"/>
            <w:tcBorders>
              <w:top w:val="single" w:sz="6" w:space="0" w:color="000000"/>
              <w:left w:val="single" w:sz="8" w:space="0" w:color="000000"/>
              <w:bottom w:val="single" w:sz="6" w:space="0" w:color="000000"/>
              <w:right w:val="single" w:sz="12" w:space="0" w:color="0000D0"/>
            </w:tcBorders>
            <w:shd w:val="clear" w:color="auto" w:fill="FFC000"/>
          </w:tcPr>
          <w:p>
            <w:pPr>
              <w:pStyle w:val="TableParagraph"/>
              <w:spacing w:line="128" w:lineRule="exact"/>
              <w:ind w:right="37"/>
              <w:jc w:val="right"/>
              <w:rPr>
                <w:b/>
                <w:sz w:val="13"/>
              </w:rPr>
            </w:pPr>
            <w:r>
              <w:rPr>
                <w:b/>
                <w:spacing w:val="-2"/>
                <w:w w:val="115"/>
                <w:sz w:val="13"/>
              </w:rPr>
              <w:t>132.886.472,77</w:t>
            </w:r>
          </w:p>
        </w:tc>
      </w:tr>
    </w:tbl>
    <w:p>
      <w:pPr>
        <w:pStyle w:val="BodyText"/>
      </w:pPr>
    </w:p>
    <w:p>
      <w:pPr>
        <w:pStyle w:val="BodyText"/>
      </w:pPr>
    </w:p>
    <w:p>
      <w:pPr>
        <w:pStyle w:val="BodyText"/>
      </w:pPr>
    </w:p>
    <w:p>
      <w:pPr>
        <w:pStyle w:val="BodyText"/>
      </w:pPr>
    </w:p>
    <w:p>
      <w:pPr>
        <w:pStyle w:val="BodyText"/>
        <w:spacing w:before="132"/>
      </w:pPr>
      <w:r>
        <w:rPr/>
        <mc:AlternateContent>
          <mc:Choice Requires="wps">
            <w:drawing>
              <wp:anchor distT="0" distB="0" distL="0" distR="0" allowOverlap="1" layoutInCell="1" locked="0" behindDoc="1" simplePos="0" relativeHeight="487594496">
                <wp:simplePos x="0" y="0"/>
                <wp:positionH relativeFrom="page">
                  <wp:posOffset>254000</wp:posOffset>
                </wp:positionH>
                <wp:positionV relativeFrom="paragraph">
                  <wp:posOffset>245541</wp:posOffset>
                </wp:positionV>
                <wp:extent cx="368300" cy="292925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19.333979pt;width:29pt;height:230.64pt;mso-position-horizontal-relative:page;mso-position-vertical-relative:paragraph;z-index:-15721984;mso-wrap-distance-left:0;mso-wrap-distance-right:0" id="docshape17" filled="false" stroked="true" strokeweight=".5pt" strokecolor="#808080">
                <v:stroke dashstyle="solid"/>
                <w10:wrap type="topAndBottom"/>
              </v:rect>
            </w:pict>
          </mc:Fallback>
        </mc:AlternateContent>
      </w:r>
      <w:r>
        <w:rPr/>
        <w:drawing>
          <wp:anchor distT="0" distB="0" distL="0" distR="0" allowOverlap="1" layoutInCell="1" locked="0" behindDoc="1" simplePos="0" relativeHeight="487595008">
            <wp:simplePos x="0" y="0"/>
            <wp:positionH relativeFrom="page">
              <wp:posOffset>6781418</wp:posOffset>
            </wp:positionH>
            <wp:positionV relativeFrom="paragraph">
              <wp:posOffset>2755569</wp:posOffset>
            </wp:positionV>
            <wp:extent cx="418052" cy="41805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1" cstate="print"/>
                    <a:stretch>
                      <a:fillRect/>
                    </a:stretch>
                  </pic:blipFill>
                  <pic:spPr>
                    <a:xfrm>
                      <a:off x="0" y="0"/>
                      <a:ext cx="418052" cy="418052"/>
                    </a:xfrm>
                    <a:prstGeom prst="rect">
                      <a:avLst/>
                    </a:prstGeom>
                  </pic:spPr>
                </pic:pic>
              </a:graphicData>
            </a:graphic>
          </wp:anchor>
        </w:drawing>
      </w:r>
    </w:p>
    <w:p>
      <w:pPr>
        <w:pStyle w:val="BodyText"/>
        <w:spacing w:after="0"/>
        <w:sectPr>
          <w:pgSz w:w="11910" w:h="16840"/>
          <w:pgMar w:header="286" w:footer="315" w:top="1920" w:bottom="500" w:left="360" w:right="360"/>
        </w:sectPr>
      </w:pPr>
    </w:p>
    <w:p>
      <w:pPr>
        <w:pStyle w:val="BodyText"/>
        <w:spacing w:before="30" w:after="1"/>
      </w:pPr>
      <w:r>
        <w:rPr/>
        <mc:AlternateContent>
          <mc:Choice Requires="wps">
            <w:drawing>
              <wp:anchor distT="0" distB="0" distL="0" distR="0" allowOverlap="1" layoutInCell="1" locked="0" behindDoc="0" simplePos="0" relativeHeight="15738368">
                <wp:simplePos x="0" y="0"/>
                <wp:positionH relativeFrom="page">
                  <wp:posOffset>6966436</wp:posOffset>
                </wp:positionH>
                <wp:positionV relativeFrom="page">
                  <wp:posOffset>6595730</wp:posOffset>
                </wp:positionV>
                <wp:extent cx="263525" cy="323342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38368" type="#_x0000_t202" id="docshape2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3</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tabs>
          <w:tab w:pos="1369" w:val="left" w:leader="none"/>
        </w:tabs>
        <w:spacing w:line="240" w:lineRule="auto"/>
        <w:ind w:left="40" w:right="0" w:firstLine="0"/>
        <w:rPr>
          <w:sz w:val="20"/>
        </w:rPr>
      </w:pPr>
      <w:r>
        <w:rPr>
          <w:position w:val="345"/>
          <w:sz w:val="20"/>
        </w:rPr>
        <mc:AlternateContent>
          <mc:Choice Requires="wps">
            <w:drawing>
              <wp:inline distT="0" distB="0" distL="0" distR="0">
                <wp:extent cx="374650" cy="2935605"/>
                <wp:effectExtent l="0" t="0" r="0" b="7619"/>
                <wp:docPr id="32" name="Group 32"/>
                <wp:cNvGraphicFramePr>
                  <a:graphicFrameLocks/>
                </wp:cNvGraphicFramePr>
                <a:graphic>
                  <a:graphicData uri="http://schemas.microsoft.com/office/word/2010/wordprocessingGroup">
                    <wpg:wgp>
                      <wpg:cNvPr id="32" name="Group 32"/>
                      <wpg:cNvGrpSpPr/>
                      <wpg:grpSpPr>
                        <a:xfrm>
                          <a:off x="0" y="0"/>
                          <a:ext cx="374650" cy="2935605"/>
                          <a:chExt cx="374650" cy="2935605"/>
                        </a:xfrm>
                      </wpg:grpSpPr>
                      <wps:wsp>
                        <wps:cNvPr id="33" name="Graphic 33"/>
                        <wps:cNvSpPr/>
                        <wps:spPr>
                          <a:xfrm>
                            <a:off x="3175" y="3175"/>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style="width:29.5pt;height:231.15pt;mso-position-horizontal-relative:char;mso-position-vertical-relative:line" id="docshapegroup22" coordorigin="0,0" coordsize="590,4623">
                <v:rect style="position:absolute;left:5;top:5;width:580;height:4613" id="docshape23" filled="false" stroked="true" strokeweight=".5pt" strokecolor="#808080">
                  <v:stroke dashstyle="solid"/>
                </v:rect>
              </v:group>
            </w:pict>
          </mc:Fallback>
        </mc:AlternateContent>
      </w:r>
      <w:r>
        <w:rPr>
          <w:position w:val="345"/>
          <w:sz w:val="20"/>
        </w:rPr>
      </w:r>
      <w:r>
        <w:rPr>
          <w:position w:val="345"/>
          <w:sz w:val="20"/>
        </w:rPr>
        <w:tab/>
      </w:r>
      <w:r>
        <w:rPr>
          <w:sz w:val="20"/>
        </w:rPr>
        <mc:AlternateContent>
          <mc:Choice Requires="wps">
            <w:drawing>
              <wp:inline distT="0" distB="0" distL="0" distR="0">
                <wp:extent cx="5401945" cy="3957954"/>
                <wp:effectExtent l="0" t="0" r="0" b="0"/>
                <wp:docPr id="34" name="Textbox 34"/>
                <wp:cNvGraphicFramePr>
                  <a:graphicFrameLocks/>
                </wp:cNvGraphicFramePr>
                <a:graphic>
                  <a:graphicData uri="http://schemas.microsoft.com/office/word/2010/wordprocessingShape">
                    <wps:wsp>
                      <wps:cNvPr id="34" name="Textbox 34"/>
                      <wps:cNvSpPr txBox="1"/>
                      <wps:spPr>
                        <a:xfrm>
                          <a:off x="0" y="0"/>
                          <a:ext cx="5401945" cy="3957954"/>
                        </a:xfrm>
                        <a:prstGeom prst="rect">
                          <a:avLst/>
                        </a:prstGeom>
                      </wps:spPr>
                      <wps:txbx>
                        <w:txbxContent>
                          <w:tbl>
                            <w:tblPr>
                              <w:tblW w:w="0" w:type="auto"/>
                              <w:jc w:val="left"/>
                              <w:tblInd w:w="15"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top w:w="0" w:type="dxa"/>
                                <w:left w:w="0" w:type="dxa"/>
                                <w:bottom w:w="0" w:type="dxa"/>
                                <w:right w:w="0" w:type="dxa"/>
                              </w:tblCellMar>
                              <w:tblLook w:val="01E0"/>
                            </w:tblPr>
                            <w:tblGrid>
                              <w:gridCol w:w="5803"/>
                              <w:gridCol w:w="430"/>
                              <w:gridCol w:w="1131"/>
                              <w:gridCol w:w="1120"/>
                            </w:tblGrid>
                            <w:tr>
                              <w:trPr>
                                <w:trHeight w:val="157" w:hRule="atLeast"/>
                              </w:trPr>
                              <w:tc>
                                <w:tcPr>
                                  <w:tcW w:w="5803" w:type="dxa"/>
                                  <w:tcBorders>
                                    <w:left w:val="single" w:sz="12" w:space="0" w:color="0000D0"/>
                                    <w:bottom w:val="single" w:sz="4" w:space="0" w:color="000000"/>
                                    <w:right w:val="single" w:sz="6" w:space="0" w:color="000000"/>
                                  </w:tcBorders>
                                  <w:shd w:val="clear" w:color="auto" w:fill="FFC000"/>
                                </w:tcPr>
                                <w:p>
                                  <w:pPr>
                                    <w:pStyle w:val="TableParagraph"/>
                                    <w:spacing w:line="109" w:lineRule="exact" w:before="28"/>
                                    <w:ind w:left="17"/>
                                    <w:rPr>
                                      <w:b/>
                                      <w:sz w:val="11"/>
                                    </w:rPr>
                                  </w:pPr>
                                  <w:r>
                                    <w:rPr>
                                      <w:b/>
                                      <w:sz w:val="11"/>
                                    </w:rPr>
                                    <w:t>PATRIMONIO</w:t>
                                  </w:r>
                                  <w:r>
                                    <w:rPr>
                                      <w:b/>
                                      <w:spacing w:val="12"/>
                                      <w:sz w:val="11"/>
                                    </w:rPr>
                                    <w:t> </w:t>
                                  </w:r>
                                  <w:r>
                                    <w:rPr>
                                      <w:b/>
                                      <w:sz w:val="11"/>
                                    </w:rPr>
                                    <w:t>NETO</w:t>
                                  </w:r>
                                  <w:r>
                                    <w:rPr>
                                      <w:b/>
                                      <w:spacing w:val="11"/>
                                      <w:sz w:val="11"/>
                                    </w:rPr>
                                    <w:t> </w:t>
                                  </w:r>
                                  <w:r>
                                    <w:rPr>
                                      <w:b/>
                                      <w:sz w:val="11"/>
                                    </w:rPr>
                                    <w:t>Y</w:t>
                                  </w:r>
                                  <w:r>
                                    <w:rPr>
                                      <w:b/>
                                      <w:spacing w:val="3"/>
                                      <w:sz w:val="11"/>
                                    </w:rPr>
                                    <w:t> </w:t>
                                  </w:r>
                                  <w:r>
                                    <w:rPr>
                                      <w:b/>
                                      <w:spacing w:val="-2"/>
                                      <w:sz w:val="11"/>
                                    </w:rPr>
                                    <w:t>PASIVO</w:t>
                                  </w:r>
                                </w:p>
                              </w:tc>
                              <w:tc>
                                <w:tcPr>
                                  <w:tcW w:w="430" w:type="dxa"/>
                                  <w:tcBorders>
                                    <w:left w:val="single" w:sz="6" w:space="0" w:color="000000"/>
                                    <w:bottom w:val="single" w:sz="4" w:space="0" w:color="000000"/>
                                    <w:right w:val="single" w:sz="6" w:space="0" w:color="000000"/>
                                  </w:tcBorders>
                                  <w:shd w:val="clear" w:color="auto" w:fill="FFC000"/>
                                </w:tcPr>
                                <w:p>
                                  <w:pPr>
                                    <w:pStyle w:val="TableParagraph"/>
                                    <w:spacing w:line="109" w:lineRule="exact" w:before="28"/>
                                    <w:ind w:left="3" w:right="4"/>
                                    <w:jc w:val="center"/>
                                    <w:rPr>
                                      <w:b/>
                                      <w:sz w:val="11"/>
                                    </w:rPr>
                                  </w:pPr>
                                  <w:r>
                                    <w:rPr>
                                      <w:b/>
                                      <w:spacing w:val="-2"/>
                                      <w:w w:val="110"/>
                                      <w:sz w:val="11"/>
                                    </w:rPr>
                                    <w:t>Notas</w:t>
                                  </w:r>
                                </w:p>
                              </w:tc>
                              <w:tc>
                                <w:tcPr>
                                  <w:tcW w:w="1131" w:type="dxa"/>
                                  <w:tcBorders>
                                    <w:left w:val="single" w:sz="6" w:space="0" w:color="000000"/>
                                    <w:bottom w:val="single" w:sz="4" w:space="0" w:color="000000"/>
                                    <w:right w:val="single" w:sz="6" w:space="0" w:color="000000"/>
                                  </w:tcBorders>
                                  <w:shd w:val="clear" w:color="auto" w:fill="FFC000"/>
                                </w:tcPr>
                                <w:p>
                                  <w:pPr>
                                    <w:pStyle w:val="TableParagraph"/>
                                    <w:spacing w:line="109" w:lineRule="exact" w:before="28"/>
                                    <w:ind w:left="2" w:right="9"/>
                                    <w:jc w:val="center"/>
                                    <w:rPr>
                                      <w:b/>
                                      <w:sz w:val="11"/>
                                    </w:rPr>
                                  </w:pPr>
                                  <w:r>
                                    <w:rPr>
                                      <w:b/>
                                      <w:spacing w:val="-4"/>
                                      <w:w w:val="115"/>
                                      <w:sz w:val="11"/>
                                    </w:rPr>
                                    <w:t>2025</w:t>
                                  </w:r>
                                </w:p>
                              </w:tc>
                              <w:tc>
                                <w:tcPr>
                                  <w:tcW w:w="1120" w:type="dxa"/>
                                  <w:tcBorders>
                                    <w:left w:val="single" w:sz="6" w:space="0" w:color="000000"/>
                                    <w:bottom w:val="single" w:sz="4" w:space="0" w:color="000000"/>
                                  </w:tcBorders>
                                  <w:shd w:val="clear" w:color="auto" w:fill="FFC000"/>
                                </w:tcPr>
                                <w:p>
                                  <w:pPr>
                                    <w:pStyle w:val="TableParagraph"/>
                                    <w:spacing w:line="109" w:lineRule="exact" w:before="28"/>
                                    <w:jc w:val="center"/>
                                    <w:rPr>
                                      <w:b/>
                                      <w:sz w:val="11"/>
                                    </w:rPr>
                                  </w:pPr>
                                  <w:r>
                                    <w:rPr>
                                      <w:b/>
                                      <w:spacing w:val="-4"/>
                                      <w:w w:val="115"/>
                                      <w:sz w:val="11"/>
                                    </w:rPr>
                                    <w:t>2024</w:t>
                                  </w:r>
                                </w:p>
                              </w:tc>
                            </w:tr>
                            <w:tr>
                              <w:trPr>
                                <w:trHeight w:val="185" w:hRule="atLeast"/>
                              </w:trPr>
                              <w:tc>
                                <w:tcPr>
                                  <w:tcW w:w="5803" w:type="dxa"/>
                                  <w:tcBorders>
                                    <w:top w:val="single" w:sz="4" w:space="0" w:color="000000"/>
                                    <w:left w:val="single" w:sz="12" w:space="0" w:color="0000D0"/>
                                    <w:bottom w:val="nil"/>
                                    <w:right w:val="single" w:sz="6" w:space="0" w:color="000000"/>
                                  </w:tcBorders>
                                </w:tcPr>
                                <w:p>
                                  <w:pPr>
                                    <w:pStyle w:val="TableParagraph"/>
                                    <w:spacing w:before="38"/>
                                    <w:ind w:left="17"/>
                                    <w:rPr>
                                      <w:b/>
                                      <w:sz w:val="11"/>
                                    </w:rPr>
                                  </w:pPr>
                                  <w:r>
                                    <w:rPr>
                                      <w:b/>
                                      <w:w w:val="105"/>
                                      <w:sz w:val="11"/>
                                    </w:rPr>
                                    <w:t>PATRIMONIO</w:t>
                                  </w:r>
                                  <w:r>
                                    <w:rPr>
                                      <w:b/>
                                      <w:spacing w:val="3"/>
                                      <w:w w:val="110"/>
                                      <w:sz w:val="11"/>
                                    </w:rPr>
                                    <w:t> </w:t>
                                  </w:r>
                                  <w:r>
                                    <w:rPr>
                                      <w:b/>
                                      <w:spacing w:val="-4"/>
                                      <w:w w:val="110"/>
                                      <w:sz w:val="11"/>
                                    </w:rPr>
                                    <w:t>NETO</w:t>
                                  </w:r>
                                </w:p>
                              </w:tc>
                              <w:tc>
                                <w:tcPr>
                                  <w:tcW w:w="430" w:type="dxa"/>
                                  <w:tcBorders>
                                    <w:top w:val="single" w:sz="4" w:space="0" w:color="000000"/>
                                    <w:left w:val="single" w:sz="6" w:space="0" w:color="000000"/>
                                    <w:bottom w:val="nil"/>
                                    <w:right w:val="single" w:sz="6" w:space="0" w:color="000000"/>
                                  </w:tcBorders>
                                </w:tcPr>
                                <w:p>
                                  <w:pPr>
                                    <w:pStyle w:val="TableParagraph"/>
                                    <w:rPr>
                                      <w:rFonts w:ascii="Times New Roman"/>
                                      <w:sz w:val="10"/>
                                    </w:rPr>
                                  </w:pPr>
                                </w:p>
                              </w:tc>
                              <w:tc>
                                <w:tcPr>
                                  <w:tcW w:w="1131" w:type="dxa"/>
                                  <w:tcBorders>
                                    <w:top w:val="single" w:sz="4" w:space="0" w:color="000000"/>
                                    <w:left w:val="single" w:sz="6" w:space="0" w:color="000000"/>
                                    <w:bottom w:val="nil"/>
                                    <w:right w:val="single" w:sz="6" w:space="0" w:color="000000"/>
                                  </w:tcBorders>
                                </w:tcPr>
                                <w:p>
                                  <w:pPr>
                                    <w:pStyle w:val="TableParagraph"/>
                                    <w:spacing w:before="38"/>
                                    <w:ind w:right="58"/>
                                    <w:jc w:val="right"/>
                                    <w:rPr>
                                      <w:b/>
                                      <w:sz w:val="11"/>
                                    </w:rPr>
                                  </w:pPr>
                                  <w:r>
                                    <w:rPr>
                                      <w:b/>
                                      <w:spacing w:val="-2"/>
                                      <w:w w:val="115"/>
                                      <w:sz w:val="11"/>
                                    </w:rPr>
                                    <w:t>58.745.431,72</w:t>
                                  </w:r>
                                </w:p>
                              </w:tc>
                              <w:tc>
                                <w:tcPr>
                                  <w:tcW w:w="1120" w:type="dxa"/>
                                  <w:tcBorders>
                                    <w:top w:val="single" w:sz="4" w:space="0" w:color="000000"/>
                                    <w:left w:val="single" w:sz="6" w:space="0" w:color="000000"/>
                                    <w:bottom w:val="nil"/>
                                  </w:tcBorders>
                                </w:tcPr>
                                <w:p>
                                  <w:pPr>
                                    <w:pStyle w:val="TableParagraph"/>
                                    <w:spacing w:before="38"/>
                                    <w:ind w:right="55"/>
                                    <w:jc w:val="right"/>
                                    <w:rPr>
                                      <w:b/>
                                      <w:sz w:val="11"/>
                                    </w:rPr>
                                  </w:pPr>
                                  <w:r>
                                    <w:rPr>
                                      <w:b/>
                                      <w:spacing w:val="-2"/>
                                      <w:w w:val="115"/>
                                      <w:sz w:val="11"/>
                                    </w:rPr>
                                    <w:t>49.707.841,80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Fondos</w:t>
                                  </w:r>
                                  <w:r>
                                    <w:rPr>
                                      <w:b/>
                                      <w:spacing w:val="13"/>
                                      <w:sz w:val="11"/>
                                    </w:rPr>
                                    <w:t> </w:t>
                                  </w:r>
                                  <w:r>
                                    <w:rPr>
                                      <w:b/>
                                      <w:spacing w:val="-2"/>
                                      <w:sz w:val="11"/>
                                    </w:rPr>
                                    <w:t>propios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36.128.454,10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29.858.645,83</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Capital</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15.608.538,40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15.608.538,40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Capital</w:t>
                                  </w:r>
                                  <w:r>
                                    <w:rPr>
                                      <w:rFonts w:ascii="Tahoma"/>
                                      <w:spacing w:val="-5"/>
                                      <w:sz w:val="11"/>
                                    </w:rPr>
                                    <w:t> </w:t>
                                  </w:r>
                                  <w:r>
                                    <w:rPr>
                                      <w:rFonts w:ascii="Tahoma"/>
                                      <w:spacing w:val="-2"/>
                                      <w:sz w:val="11"/>
                                    </w:rPr>
                                    <w:t>escriturado</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10</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15.608.538,40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15.608.538,40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Reservas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14.250.107,43</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12.162.355,22</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Resultados</w:t>
                                  </w:r>
                                  <w:r>
                                    <w:rPr>
                                      <w:rFonts w:ascii="Tahoma"/>
                                      <w:spacing w:val="6"/>
                                      <w:sz w:val="11"/>
                                    </w:rPr>
                                    <w:t> </w:t>
                                  </w:r>
                                  <w:r>
                                    <w:rPr>
                                      <w:rFonts w:ascii="Tahoma"/>
                                      <w:sz w:val="11"/>
                                    </w:rPr>
                                    <w:t>de</w:t>
                                  </w:r>
                                  <w:r>
                                    <w:rPr>
                                      <w:rFonts w:ascii="Tahoma"/>
                                      <w:spacing w:val="14"/>
                                      <w:sz w:val="11"/>
                                    </w:rPr>
                                    <w:t> </w:t>
                                  </w:r>
                                  <w:r>
                                    <w:rPr>
                                      <w:rFonts w:ascii="Tahoma"/>
                                      <w:sz w:val="11"/>
                                    </w:rPr>
                                    <w:t>ejercicios</w:t>
                                  </w:r>
                                  <w:r>
                                    <w:rPr>
                                      <w:rFonts w:ascii="Tahoma"/>
                                      <w:spacing w:val="6"/>
                                      <w:sz w:val="11"/>
                                    </w:rPr>
                                    <w:t> </w:t>
                                  </w:r>
                                  <w:r>
                                    <w:rPr>
                                      <w:rFonts w:ascii="Tahoma"/>
                                      <w:spacing w:val="-2"/>
                                      <w:sz w:val="11"/>
                                    </w:rPr>
                                    <w:t>anteriores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(Resultados</w:t>
                                  </w:r>
                                  <w:r>
                                    <w:rPr>
                                      <w:rFonts w:ascii="Tahoma"/>
                                      <w:spacing w:val="9"/>
                                      <w:sz w:val="11"/>
                                    </w:rPr>
                                    <w:t> </w:t>
                                  </w:r>
                                  <w:r>
                                    <w:rPr>
                                      <w:rFonts w:ascii="Tahoma"/>
                                      <w:sz w:val="11"/>
                                    </w:rPr>
                                    <w:t>negativos</w:t>
                                  </w:r>
                                  <w:r>
                                    <w:rPr>
                                      <w:rFonts w:ascii="Tahoma"/>
                                      <w:spacing w:val="8"/>
                                      <w:sz w:val="11"/>
                                    </w:rPr>
                                    <w:t> </w:t>
                                  </w:r>
                                  <w:r>
                                    <w:rPr>
                                      <w:rFonts w:ascii="Tahoma"/>
                                      <w:sz w:val="11"/>
                                    </w:rPr>
                                    <w:t>de</w:t>
                                  </w:r>
                                  <w:r>
                                    <w:rPr>
                                      <w:rFonts w:ascii="Tahoma"/>
                                      <w:spacing w:val="23"/>
                                      <w:sz w:val="11"/>
                                    </w:rPr>
                                    <w:t> </w:t>
                                  </w:r>
                                  <w:r>
                                    <w:rPr>
                                      <w:rFonts w:ascii="Tahoma"/>
                                      <w:sz w:val="11"/>
                                    </w:rPr>
                                    <w:t>ejercicios</w:t>
                                  </w:r>
                                  <w:r>
                                    <w:rPr>
                                      <w:rFonts w:ascii="Tahoma"/>
                                      <w:spacing w:val="9"/>
                                      <w:sz w:val="11"/>
                                    </w:rPr>
                                    <w:t> </w:t>
                                  </w:r>
                                  <w:r>
                                    <w:rPr>
                                      <w:rFonts w:ascii="Tahoma"/>
                                      <w:spacing w:val="-2"/>
                                      <w:sz w:val="11"/>
                                    </w:rPr>
                                    <w:t>anteriores)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8"/>
                                      <w:sz w:val="11"/>
                                    </w:rPr>
                                    <w:t> </w:t>
                                  </w:r>
                                  <w:r>
                                    <w:rPr>
                                      <w:rFonts w:ascii="Tahoma"/>
                                      <w:sz w:val="11"/>
                                    </w:rPr>
                                    <w:t>aportaciones</w:t>
                                  </w:r>
                                  <w:r>
                                    <w:rPr>
                                      <w:rFonts w:ascii="Tahoma"/>
                                      <w:spacing w:val="8"/>
                                      <w:sz w:val="11"/>
                                    </w:rPr>
                                    <w:t> </w:t>
                                  </w:r>
                                  <w:r>
                                    <w:rPr>
                                      <w:rFonts w:ascii="Tahoma"/>
                                      <w:sz w:val="11"/>
                                    </w:rPr>
                                    <w:t>de</w:t>
                                  </w:r>
                                  <w:r>
                                    <w:rPr>
                                      <w:rFonts w:ascii="Tahoma"/>
                                      <w:spacing w:val="23"/>
                                      <w:sz w:val="11"/>
                                    </w:rPr>
                                    <w:t> </w:t>
                                  </w:r>
                                  <w:r>
                                    <w:rPr>
                                      <w:rFonts w:ascii="Tahoma"/>
                                      <w:spacing w:val="-2"/>
                                      <w:sz w:val="11"/>
                                    </w:rPr>
                                    <w:t>socios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w:t>
                                  </w:r>
                                  <w:r>
                                    <w:rPr>
                                      <w:rFonts w:ascii="Tahoma"/>
                                      <w:spacing w:val="13"/>
                                      <w:sz w:val="11"/>
                                    </w:rPr>
                                    <w:t> </w:t>
                                  </w:r>
                                  <w:r>
                                    <w:rPr>
                                      <w:rFonts w:ascii="Tahoma"/>
                                      <w:sz w:val="11"/>
                                    </w:rPr>
                                    <w:t>del</w:t>
                                  </w:r>
                                  <w:r>
                                    <w:rPr>
                                      <w:rFonts w:ascii="Tahoma"/>
                                      <w:spacing w:val="3"/>
                                      <w:sz w:val="11"/>
                                    </w:rPr>
                                    <w:t> </w:t>
                                  </w:r>
                                  <w:r>
                                    <w:rPr>
                                      <w:rFonts w:ascii="Tahoma"/>
                                      <w:spacing w:val="-2"/>
                                      <w:sz w:val="11"/>
                                    </w:rPr>
                                    <w:t>ejercicio</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3</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6.269.808,27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2.087.752,21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Subvenciones,</w:t>
                                  </w:r>
                                  <w:r>
                                    <w:rPr>
                                      <w:b/>
                                      <w:spacing w:val="1"/>
                                      <w:w w:val="105"/>
                                      <w:sz w:val="11"/>
                                    </w:rPr>
                                    <w:t> </w:t>
                                  </w:r>
                                  <w:r>
                                    <w:rPr>
                                      <w:b/>
                                      <w:w w:val="105"/>
                                      <w:sz w:val="11"/>
                                    </w:rPr>
                                    <w:t>donaciones</w:t>
                                  </w:r>
                                  <w:r>
                                    <w:rPr>
                                      <w:b/>
                                      <w:spacing w:val="-1"/>
                                      <w:w w:val="105"/>
                                      <w:sz w:val="11"/>
                                    </w:rPr>
                                    <w:t> </w:t>
                                  </w:r>
                                  <w:r>
                                    <w:rPr>
                                      <w:b/>
                                      <w:w w:val="105"/>
                                      <w:sz w:val="11"/>
                                    </w:rPr>
                                    <w:t>y</w:t>
                                  </w:r>
                                  <w:r>
                                    <w:rPr>
                                      <w:b/>
                                      <w:spacing w:val="2"/>
                                      <w:w w:val="105"/>
                                      <w:sz w:val="11"/>
                                    </w:rPr>
                                    <w:t> </w:t>
                                  </w:r>
                                  <w:r>
                                    <w:rPr>
                                      <w:b/>
                                      <w:w w:val="105"/>
                                      <w:sz w:val="11"/>
                                    </w:rPr>
                                    <w:t>legados</w:t>
                                  </w:r>
                                  <w:r>
                                    <w:rPr>
                                      <w:b/>
                                      <w:spacing w:val="-1"/>
                                      <w:w w:val="105"/>
                                      <w:sz w:val="11"/>
                                    </w:rPr>
                                    <w:t> </w:t>
                                  </w:r>
                                  <w:r>
                                    <w:rPr>
                                      <w:b/>
                                      <w:spacing w:val="-2"/>
                                      <w:w w:val="105"/>
                                      <w:sz w:val="11"/>
                                    </w:rPr>
                                    <w:t>recibidos</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16</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22.616.977,62</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19.849.195,97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PASIVO</w:t>
                                  </w:r>
                                  <w:r>
                                    <w:rPr>
                                      <w:b/>
                                      <w:spacing w:val="11"/>
                                      <w:sz w:val="11"/>
                                    </w:rPr>
                                    <w:t> </w:t>
                                  </w:r>
                                  <w:r>
                                    <w:rPr>
                                      <w:b/>
                                      <w:sz w:val="11"/>
                                    </w:rPr>
                                    <w:t>NO</w:t>
                                  </w:r>
                                  <w:r>
                                    <w:rPr>
                                      <w:b/>
                                      <w:spacing w:val="11"/>
                                      <w:sz w:val="11"/>
                                    </w:rPr>
                                    <w:t> </w:t>
                                  </w:r>
                                  <w:r>
                                    <w:rPr>
                                      <w:b/>
                                      <w:spacing w:val="-2"/>
                                      <w:sz w:val="11"/>
                                    </w:rPr>
                                    <w:t>CORRIENTE</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72.807.915,23</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61.510.631,38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Provisiones</w:t>
                                  </w:r>
                                  <w:r>
                                    <w:rPr>
                                      <w:b/>
                                      <w:spacing w:val="-3"/>
                                      <w:w w:val="105"/>
                                      <w:sz w:val="11"/>
                                    </w:rPr>
                                    <w:t> </w:t>
                                  </w:r>
                                  <w:r>
                                    <w:rPr>
                                      <w:b/>
                                      <w:w w:val="105"/>
                                      <w:sz w:val="11"/>
                                    </w:rPr>
                                    <w:t>a</w:t>
                                  </w:r>
                                  <w:r>
                                    <w:rPr>
                                      <w:b/>
                                      <w:spacing w:val="-2"/>
                                      <w:w w:val="105"/>
                                      <w:sz w:val="11"/>
                                    </w:rPr>
                                    <w:t> </w:t>
                                  </w:r>
                                  <w:r>
                                    <w:rPr>
                                      <w:b/>
                                      <w:w w:val="105"/>
                                      <w:sz w:val="11"/>
                                    </w:rPr>
                                    <w:t>largo</w:t>
                                  </w:r>
                                  <w:r>
                                    <w:rPr>
                                      <w:b/>
                                      <w:spacing w:val="2"/>
                                      <w:w w:val="105"/>
                                      <w:sz w:val="11"/>
                                    </w:rPr>
                                    <w:t> </w:t>
                                  </w:r>
                                  <w:r>
                                    <w:rPr>
                                      <w:b/>
                                      <w:spacing w:val="-4"/>
                                      <w:w w:val="105"/>
                                      <w:sz w:val="11"/>
                                    </w:rPr>
                                    <w:t>plazo</w:t>
                                  </w:r>
                                </w:p>
                              </w:tc>
                              <w:tc>
                                <w:tcPr>
                                  <w:tcW w:w="430" w:type="dxa"/>
                                  <w:tcBorders>
                                    <w:top w:val="nil"/>
                                    <w:left w:val="single" w:sz="6" w:space="0" w:color="000000"/>
                                    <w:bottom w:val="nil"/>
                                    <w:right w:val="single" w:sz="12" w:space="0" w:color="000000"/>
                                  </w:tcBorders>
                                </w:tcPr>
                                <w:p>
                                  <w:pPr>
                                    <w:pStyle w:val="TableParagraph"/>
                                    <w:rPr>
                                      <w:rFonts w:ascii="Times New Roman"/>
                                      <w:sz w:val="10"/>
                                    </w:rPr>
                                  </w:pPr>
                                </w:p>
                              </w:tc>
                              <w:tc>
                                <w:tcPr>
                                  <w:tcW w:w="1131" w:type="dxa"/>
                                  <w:tcBorders>
                                    <w:top w:val="nil"/>
                                    <w:left w:val="single" w:sz="12" w:space="0" w:color="000000"/>
                                    <w:bottom w:val="nil"/>
                                    <w:right w:val="single" w:sz="12" w:space="0" w:color="000000"/>
                                  </w:tcBorders>
                                </w:tcPr>
                                <w:p>
                                  <w:pPr>
                                    <w:pStyle w:val="TableParagraph"/>
                                    <w:spacing w:before="30"/>
                                    <w:ind w:right="50"/>
                                    <w:jc w:val="right"/>
                                    <w:rPr>
                                      <w:b/>
                                      <w:sz w:val="11"/>
                                    </w:rPr>
                                  </w:pPr>
                                  <w:r>
                                    <w:rPr>
                                      <w:b/>
                                      <w:spacing w:val="-2"/>
                                      <w:w w:val="115"/>
                                      <w:sz w:val="11"/>
                                    </w:rPr>
                                    <w:t>7.367.163,82</w:t>
                                  </w:r>
                                </w:p>
                              </w:tc>
                              <w:tc>
                                <w:tcPr>
                                  <w:tcW w:w="1120" w:type="dxa"/>
                                  <w:tcBorders>
                                    <w:top w:val="nil"/>
                                    <w:left w:val="single" w:sz="12" w:space="0" w:color="000000"/>
                                    <w:bottom w:val="nil"/>
                                  </w:tcBorders>
                                </w:tcPr>
                                <w:p>
                                  <w:pPr>
                                    <w:pStyle w:val="TableParagraph"/>
                                    <w:spacing w:before="30"/>
                                    <w:ind w:right="55"/>
                                    <w:jc w:val="right"/>
                                    <w:rPr>
                                      <w:b/>
                                      <w:sz w:val="11"/>
                                    </w:rPr>
                                  </w:pPr>
                                  <w:r>
                                    <w:rPr>
                                      <w:b/>
                                      <w:spacing w:val="-2"/>
                                      <w:w w:val="115"/>
                                      <w:sz w:val="11"/>
                                    </w:rPr>
                                    <w:t>4.244.031,60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3"/>
                                      <w:sz w:val="11"/>
                                    </w:rPr>
                                    <w:t> </w:t>
                                  </w:r>
                                  <w:r>
                                    <w:rPr>
                                      <w:rFonts w:ascii="Tahoma"/>
                                      <w:sz w:val="11"/>
                                    </w:rPr>
                                    <w:t>provisiones</w:t>
                                  </w:r>
                                  <w:r>
                                    <w:rPr>
                                      <w:rFonts w:ascii="Tahoma"/>
                                      <w:spacing w:val="6"/>
                                      <w:sz w:val="11"/>
                                    </w:rPr>
                                    <w:t> </w:t>
                                  </w:r>
                                  <w:r>
                                    <w:rPr>
                                      <w:rFonts w:asci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7.367.163,82</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4.244.031,60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Deudas</w:t>
                                  </w:r>
                                  <w:r>
                                    <w:rPr>
                                      <w:b/>
                                      <w:spacing w:val="-1"/>
                                      <w:w w:val="105"/>
                                      <w:sz w:val="11"/>
                                    </w:rPr>
                                    <w:t> </w:t>
                                  </w:r>
                                  <w:r>
                                    <w:rPr>
                                      <w:b/>
                                      <w:w w:val="105"/>
                                      <w:sz w:val="11"/>
                                    </w:rPr>
                                    <w:t>a</w:t>
                                  </w:r>
                                  <w:r>
                                    <w:rPr>
                                      <w:b/>
                                      <w:spacing w:val="3"/>
                                      <w:w w:val="105"/>
                                      <w:sz w:val="11"/>
                                    </w:rPr>
                                    <w:t> </w:t>
                                  </w:r>
                                  <w:r>
                                    <w:rPr>
                                      <w:b/>
                                      <w:w w:val="105"/>
                                      <w:sz w:val="11"/>
                                    </w:rPr>
                                    <w:t>largo</w:t>
                                  </w:r>
                                  <w:r>
                                    <w:rPr>
                                      <w:b/>
                                      <w:spacing w:val="9"/>
                                      <w:w w:val="105"/>
                                      <w:sz w:val="11"/>
                                    </w:rPr>
                                    <w:t> </w:t>
                                  </w:r>
                                  <w:r>
                                    <w:rPr>
                                      <w:b/>
                                      <w:spacing w:val="-2"/>
                                      <w:w w:val="105"/>
                                      <w:sz w:val="11"/>
                                    </w:rPr>
                                    <w:t>plazo</w:t>
                                  </w:r>
                                </w:p>
                              </w:tc>
                              <w:tc>
                                <w:tcPr>
                                  <w:tcW w:w="430" w:type="dxa"/>
                                  <w:tcBorders>
                                    <w:top w:val="nil"/>
                                    <w:left w:val="single" w:sz="6" w:space="0" w:color="000000"/>
                                    <w:bottom w:val="nil"/>
                                    <w:right w:val="single" w:sz="6" w:space="0" w:color="000000"/>
                                  </w:tcBorders>
                                </w:tcPr>
                                <w:p>
                                  <w:pPr>
                                    <w:pStyle w:val="TableParagraph"/>
                                    <w:spacing w:before="23"/>
                                    <w:ind w:left="1" w:right="4"/>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65.440.751,41</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57.266.599,78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Deudas</w:t>
                                  </w:r>
                                  <w:r>
                                    <w:rPr>
                                      <w:rFonts w:ascii="Tahoma" w:hAnsi="Tahoma"/>
                                      <w:spacing w:val="9"/>
                                      <w:sz w:val="11"/>
                                    </w:rPr>
                                    <w:t> </w:t>
                                  </w:r>
                                  <w:r>
                                    <w:rPr>
                                      <w:rFonts w:ascii="Tahoma" w:hAnsi="Tahoma"/>
                                      <w:sz w:val="11"/>
                                    </w:rPr>
                                    <w:t>con</w:t>
                                  </w:r>
                                  <w:r>
                                    <w:rPr>
                                      <w:rFonts w:ascii="Tahoma" w:hAnsi="Tahoma"/>
                                      <w:spacing w:val="19"/>
                                      <w:sz w:val="11"/>
                                    </w:rPr>
                                    <w:t> </w:t>
                                  </w:r>
                                  <w:r>
                                    <w:rPr>
                                      <w:rFonts w:ascii="Tahoma" w:hAnsi="Tahoma"/>
                                      <w:sz w:val="11"/>
                                    </w:rPr>
                                    <w:t>entidades</w:t>
                                  </w:r>
                                  <w:r>
                                    <w:rPr>
                                      <w:rFonts w:ascii="Tahoma" w:hAnsi="Tahoma"/>
                                      <w:spacing w:val="9"/>
                                      <w:sz w:val="11"/>
                                    </w:rPr>
                                    <w:t> </w:t>
                                  </w:r>
                                  <w:r>
                                    <w:rPr>
                                      <w:rFonts w:ascii="Tahoma" w:hAnsi="Tahoma"/>
                                      <w:sz w:val="11"/>
                                    </w:rPr>
                                    <w:t>de</w:t>
                                  </w:r>
                                  <w:r>
                                    <w:rPr>
                                      <w:rFonts w:ascii="Tahoma" w:hAnsi="Tahoma"/>
                                      <w:spacing w:val="24"/>
                                      <w:sz w:val="11"/>
                                    </w:rPr>
                                    <w:t> </w:t>
                                  </w:r>
                                  <w:r>
                                    <w:rPr>
                                      <w:rFonts w:ascii="Tahoma" w:hAnsi="Tahoma"/>
                                      <w:sz w:val="11"/>
                                    </w:rPr>
                                    <w:t>crédito</w:t>
                                  </w:r>
                                  <w:r>
                                    <w:rPr>
                                      <w:rFonts w:ascii="Tahoma" w:hAnsi="Tahoma"/>
                                      <w:spacing w:val="20"/>
                                      <w:sz w:val="11"/>
                                    </w:rPr>
                                    <w:t> </w:t>
                                  </w:r>
                                  <w:r>
                                    <w:rPr>
                                      <w:rFonts w:ascii="Tahoma" w:hAns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65.090.163,27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56.928.273,34</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Otros</w:t>
                                  </w:r>
                                  <w:r>
                                    <w:rPr>
                                      <w:rFonts w:ascii="Tahoma"/>
                                      <w:spacing w:val="2"/>
                                      <w:sz w:val="11"/>
                                    </w:rPr>
                                    <w:t> </w:t>
                                  </w:r>
                                  <w:r>
                                    <w:rPr>
                                      <w:rFonts w:ascii="Tahoma"/>
                                      <w:sz w:val="11"/>
                                    </w:rPr>
                                    <w:t>pasivos</w:t>
                                  </w:r>
                                  <w:r>
                                    <w:rPr>
                                      <w:rFonts w:ascii="Tahoma"/>
                                      <w:spacing w:val="3"/>
                                      <w:sz w:val="11"/>
                                    </w:rPr>
                                    <w:t> </w:t>
                                  </w:r>
                                  <w:r>
                                    <w:rPr>
                                      <w:rFonts w:ascii="Tahoma"/>
                                      <w:sz w:val="11"/>
                                    </w:rPr>
                                    <w:t>financieros</w:t>
                                  </w:r>
                                  <w:r>
                                    <w:rPr>
                                      <w:rFonts w:ascii="Tahoma"/>
                                      <w:spacing w:val="6"/>
                                      <w:sz w:val="11"/>
                                    </w:rPr>
                                    <w:t> </w:t>
                                  </w:r>
                                  <w:r>
                                    <w:rPr>
                                      <w:rFonts w:asci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350.588,14</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338.326,44</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Pasivos</w:t>
                                  </w:r>
                                  <w:r>
                                    <w:rPr>
                                      <w:b/>
                                      <w:spacing w:val="1"/>
                                      <w:w w:val="105"/>
                                      <w:sz w:val="11"/>
                                    </w:rPr>
                                    <w:t> </w:t>
                                  </w:r>
                                  <w:r>
                                    <w:rPr>
                                      <w:b/>
                                      <w:w w:val="105"/>
                                      <w:sz w:val="11"/>
                                    </w:rPr>
                                    <w:t>por impuesto</w:t>
                                  </w:r>
                                  <w:r>
                                    <w:rPr>
                                      <w:b/>
                                      <w:spacing w:val="10"/>
                                      <w:w w:val="105"/>
                                      <w:sz w:val="11"/>
                                    </w:rPr>
                                    <w:t> </w:t>
                                  </w:r>
                                  <w:r>
                                    <w:rPr>
                                      <w:b/>
                                      <w:spacing w:val="-2"/>
                                      <w:w w:val="105"/>
                                      <w:sz w:val="11"/>
                                    </w:rPr>
                                    <w:t>diferido</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4"/>
                                      <w:w w:val="115"/>
                                      <w:sz w:val="11"/>
                                    </w:rPr>
                                    <w:t>0,00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4"/>
                                      <w:w w:val="115"/>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PASIVO</w:t>
                                  </w:r>
                                  <w:r>
                                    <w:rPr>
                                      <w:b/>
                                      <w:spacing w:val="22"/>
                                      <w:sz w:val="11"/>
                                    </w:rPr>
                                    <w:t> </w:t>
                                  </w:r>
                                  <w:r>
                                    <w:rPr>
                                      <w:b/>
                                      <w:spacing w:val="-2"/>
                                      <w:sz w:val="11"/>
                                    </w:rPr>
                                    <w:t>CORRIENTE</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25.519.174,42</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21.667.999,59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Provisiones</w:t>
                                  </w:r>
                                  <w:r>
                                    <w:rPr>
                                      <w:b/>
                                      <w:spacing w:val="1"/>
                                      <w:w w:val="105"/>
                                      <w:sz w:val="11"/>
                                    </w:rPr>
                                    <w:t> </w:t>
                                  </w:r>
                                  <w:r>
                                    <w:rPr>
                                      <w:b/>
                                      <w:w w:val="105"/>
                                      <w:sz w:val="11"/>
                                    </w:rPr>
                                    <w:t>a</w:t>
                                  </w:r>
                                  <w:r>
                                    <w:rPr>
                                      <w:b/>
                                      <w:spacing w:val="1"/>
                                      <w:w w:val="105"/>
                                      <w:sz w:val="11"/>
                                    </w:rPr>
                                    <w:t> </w:t>
                                  </w:r>
                                  <w:r>
                                    <w:rPr>
                                      <w:b/>
                                      <w:w w:val="105"/>
                                      <w:sz w:val="11"/>
                                    </w:rPr>
                                    <w:t>corto</w:t>
                                  </w:r>
                                  <w:r>
                                    <w:rPr>
                                      <w:b/>
                                      <w:spacing w:val="8"/>
                                      <w:w w:val="105"/>
                                      <w:sz w:val="11"/>
                                    </w:rPr>
                                    <w:t> </w:t>
                                  </w:r>
                                  <w:r>
                                    <w:rPr>
                                      <w:b/>
                                      <w:spacing w:val="-2"/>
                                      <w:w w:val="105"/>
                                      <w:sz w:val="11"/>
                                    </w:rPr>
                                    <w:t>plazo</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4"/>
                                      <w:w w:val="115"/>
                                      <w:sz w:val="11"/>
                                    </w:rPr>
                                    <w:t>0,00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4"/>
                                      <w:w w:val="115"/>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5"/>
                                      <w:sz w:val="11"/>
                                    </w:rPr>
                                    <w:t> </w:t>
                                  </w:r>
                                  <w:r>
                                    <w:rPr>
                                      <w:rFonts w:ascii="Tahoma"/>
                                      <w:spacing w:val="-2"/>
                                      <w:sz w:val="11"/>
                                    </w:rPr>
                                    <w:t>provisiones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Deudas</w:t>
                                  </w:r>
                                  <w:r>
                                    <w:rPr>
                                      <w:b/>
                                      <w:spacing w:val="5"/>
                                      <w:w w:val="105"/>
                                      <w:sz w:val="11"/>
                                    </w:rPr>
                                    <w:t> </w:t>
                                  </w:r>
                                  <w:r>
                                    <w:rPr>
                                      <w:b/>
                                      <w:w w:val="105"/>
                                      <w:sz w:val="11"/>
                                    </w:rPr>
                                    <w:t>a</w:t>
                                  </w:r>
                                  <w:r>
                                    <w:rPr>
                                      <w:b/>
                                      <w:spacing w:val="7"/>
                                      <w:w w:val="105"/>
                                      <w:sz w:val="11"/>
                                    </w:rPr>
                                    <w:t> </w:t>
                                  </w:r>
                                  <w:r>
                                    <w:rPr>
                                      <w:b/>
                                      <w:w w:val="105"/>
                                      <w:sz w:val="11"/>
                                    </w:rPr>
                                    <w:t>corto</w:t>
                                  </w:r>
                                  <w:r>
                                    <w:rPr>
                                      <w:b/>
                                      <w:spacing w:val="16"/>
                                      <w:w w:val="105"/>
                                      <w:sz w:val="11"/>
                                    </w:rPr>
                                    <w:t> </w:t>
                                  </w:r>
                                  <w:r>
                                    <w:rPr>
                                      <w:b/>
                                      <w:spacing w:val="-4"/>
                                      <w:w w:val="105"/>
                                      <w:sz w:val="11"/>
                                    </w:rPr>
                                    <w:t>plazo</w:t>
                                  </w:r>
                                </w:p>
                              </w:tc>
                              <w:tc>
                                <w:tcPr>
                                  <w:tcW w:w="430" w:type="dxa"/>
                                  <w:tcBorders>
                                    <w:top w:val="nil"/>
                                    <w:left w:val="single" w:sz="6" w:space="0" w:color="000000"/>
                                    <w:bottom w:val="nil"/>
                                    <w:right w:val="single" w:sz="6" w:space="0" w:color="000000"/>
                                  </w:tcBorders>
                                </w:tcPr>
                                <w:p>
                                  <w:pPr>
                                    <w:pStyle w:val="TableParagraph"/>
                                    <w:spacing w:before="23"/>
                                    <w:ind w:left="1" w:right="4"/>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14.804.525,83</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10.317.186,51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Deudas</w:t>
                                  </w:r>
                                  <w:r>
                                    <w:rPr>
                                      <w:rFonts w:ascii="Tahoma" w:hAnsi="Tahoma"/>
                                      <w:spacing w:val="9"/>
                                      <w:sz w:val="11"/>
                                    </w:rPr>
                                    <w:t> </w:t>
                                  </w:r>
                                  <w:r>
                                    <w:rPr>
                                      <w:rFonts w:ascii="Tahoma" w:hAnsi="Tahoma"/>
                                      <w:sz w:val="11"/>
                                    </w:rPr>
                                    <w:t>con</w:t>
                                  </w:r>
                                  <w:r>
                                    <w:rPr>
                                      <w:rFonts w:ascii="Tahoma" w:hAnsi="Tahoma"/>
                                      <w:spacing w:val="19"/>
                                      <w:sz w:val="11"/>
                                    </w:rPr>
                                    <w:t> </w:t>
                                  </w:r>
                                  <w:r>
                                    <w:rPr>
                                      <w:rFonts w:ascii="Tahoma" w:hAnsi="Tahoma"/>
                                      <w:sz w:val="11"/>
                                    </w:rPr>
                                    <w:t>entidades</w:t>
                                  </w:r>
                                  <w:r>
                                    <w:rPr>
                                      <w:rFonts w:ascii="Tahoma" w:hAnsi="Tahoma"/>
                                      <w:spacing w:val="9"/>
                                      <w:sz w:val="11"/>
                                    </w:rPr>
                                    <w:t> </w:t>
                                  </w:r>
                                  <w:r>
                                    <w:rPr>
                                      <w:rFonts w:ascii="Tahoma" w:hAnsi="Tahoma"/>
                                      <w:sz w:val="11"/>
                                    </w:rPr>
                                    <w:t>de</w:t>
                                  </w:r>
                                  <w:r>
                                    <w:rPr>
                                      <w:rFonts w:ascii="Tahoma" w:hAnsi="Tahoma"/>
                                      <w:spacing w:val="24"/>
                                      <w:sz w:val="11"/>
                                    </w:rPr>
                                    <w:t> </w:t>
                                  </w:r>
                                  <w:r>
                                    <w:rPr>
                                      <w:rFonts w:ascii="Tahoma" w:hAnsi="Tahoma"/>
                                      <w:sz w:val="11"/>
                                    </w:rPr>
                                    <w:t>crédito</w:t>
                                  </w:r>
                                  <w:r>
                                    <w:rPr>
                                      <w:rFonts w:ascii="Tahoma" w:hAnsi="Tahoma"/>
                                      <w:spacing w:val="20"/>
                                      <w:sz w:val="11"/>
                                    </w:rPr>
                                    <w:t> </w:t>
                                  </w:r>
                                  <w:r>
                                    <w:rPr>
                                      <w:rFonts w:ascii="Tahoma" w:hAnsi="Tahoma"/>
                                      <w:spacing w:val="-5"/>
                                      <w:sz w:val="11"/>
                                    </w:rPr>
                                    <w:t>cp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10.108.740,17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6.743.681,89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Otros</w:t>
                                  </w:r>
                                  <w:r>
                                    <w:rPr>
                                      <w:rFonts w:ascii="Tahoma"/>
                                      <w:spacing w:val="2"/>
                                      <w:sz w:val="11"/>
                                    </w:rPr>
                                    <w:t> </w:t>
                                  </w:r>
                                  <w:r>
                                    <w:rPr>
                                      <w:rFonts w:ascii="Tahoma"/>
                                      <w:sz w:val="11"/>
                                    </w:rPr>
                                    <w:t>pasivos</w:t>
                                  </w:r>
                                  <w:r>
                                    <w:rPr>
                                      <w:rFonts w:ascii="Tahoma"/>
                                      <w:spacing w:val="3"/>
                                      <w:sz w:val="11"/>
                                    </w:rPr>
                                    <w:t> </w:t>
                                  </w:r>
                                  <w:r>
                                    <w:rPr>
                                      <w:rFonts w:ascii="Tahoma"/>
                                      <w:sz w:val="11"/>
                                    </w:rPr>
                                    <w:t>financieros</w:t>
                                  </w:r>
                                  <w:r>
                                    <w:rPr>
                                      <w:rFonts w:ascii="Tahoma"/>
                                      <w:spacing w:val="6"/>
                                      <w:sz w:val="11"/>
                                    </w:rPr>
                                    <w:t> </w:t>
                                  </w:r>
                                  <w:r>
                                    <w:rPr>
                                      <w:rFonts w:ascii="Tahoma"/>
                                      <w:spacing w:val="-5"/>
                                      <w:sz w:val="11"/>
                                    </w:rPr>
                                    <w:t>cp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4.695.785,66</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3.573.504,62</w:t>
                                  </w:r>
                                </w:p>
                              </w:tc>
                            </w:tr>
                            <w:tr>
                              <w:trPr>
                                <w:trHeight w:val="177" w:hRule="atLeast"/>
                              </w:trPr>
                              <w:tc>
                                <w:tcPr>
                                  <w:tcW w:w="5803" w:type="dxa"/>
                                  <w:tcBorders>
                                    <w:top w:val="nil"/>
                                    <w:left w:val="single" w:sz="12" w:space="0" w:color="0000D0"/>
                                    <w:bottom w:val="nil"/>
                                    <w:right w:val="single" w:sz="18" w:space="0" w:color="008000"/>
                                  </w:tcBorders>
                                </w:tcPr>
                                <w:p>
                                  <w:pPr>
                                    <w:pStyle w:val="TableParagraph"/>
                                    <w:spacing w:before="30"/>
                                    <w:ind w:left="17"/>
                                    <w:rPr>
                                      <w:b/>
                                      <w:sz w:val="11"/>
                                    </w:rPr>
                                  </w:pPr>
                                  <w:r>
                                    <w:rPr>
                                      <w:b/>
                                      <w:w w:val="105"/>
                                      <w:sz w:val="11"/>
                                    </w:rPr>
                                    <w:t>Deudas con</w:t>
                                  </w:r>
                                  <w:r>
                                    <w:rPr>
                                      <w:b/>
                                      <w:spacing w:val="7"/>
                                      <w:w w:val="105"/>
                                      <w:sz w:val="11"/>
                                    </w:rPr>
                                    <w:t> </w:t>
                                  </w:r>
                                  <w:r>
                                    <w:rPr>
                                      <w:b/>
                                      <w:w w:val="105"/>
                                      <w:sz w:val="11"/>
                                    </w:rPr>
                                    <w:t>empresas</w:t>
                                  </w:r>
                                  <w:r>
                                    <w:rPr>
                                      <w:b/>
                                      <w:spacing w:val="1"/>
                                      <w:w w:val="105"/>
                                      <w:sz w:val="11"/>
                                    </w:rPr>
                                    <w:t> </w:t>
                                  </w:r>
                                  <w:r>
                                    <w:rPr>
                                      <w:b/>
                                      <w:w w:val="105"/>
                                      <w:sz w:val="11"/>
                                    </w:rPr>
                                    <w:t>del</w:t>
                                  </w:r>
                                  <w:r>
                                    <w:rPr>
                                      <w:b/>
                                      <w:spacing w:val="-3"/>
                                      <w:w w:val="105"/>
                                      <w:sz w:val="11"/>
                                    </w:rPr>
                                    <w:t> </w:t>
                                  </w:r>
                                  <w:r>
                                    <w:rPr>
                                      <w:b/>
                                      <w:w w:val="105"/>
                                      <w:sz w:val="11"/>
                                    </w:rPr>
                                    <w:t>grupo</w:t>
                                  </w:r>
                                  <w:r>
                                    <w:rPr>
                                      <w:b/>
                                      <w:spacing w:val="9"/>
                                      <w:w w:val="105"/>
                                      <w:sz w:val="11"/>
                                    </w:rPr>
                                    <w:t> </w:t>
                                  </w:r>
                                  <w:r>
                                    <w:rPr>
                                      <w:b/>
                                      <w:w w:val="105"/>
                                      <w:sz w:val="11"/>
                                    </w:rPr>
                                    <w:t>y</w:t>
                                  </w:r>
                                  <w:r>
                                    <w:rPr>
                                      <w:b/>
                                      <w:spacing w:val="5"/>
                                      <w:w w:val="105"/>
                                      <w:sz w:val="11"/>
                                    </w:rPr>
                                    <w:t> </w:t>
                                  </w:r>
                                  <w:r>
                                    <w:rPr>
                                      <w:b/>
                                      <w:w w:val="105"/>
                                      <w:sz w:val="11"/>
                                    </w:rPr>
                                    <w:t>asociadas</w:t>
                                  </w:r>
                                  <w:r>
                                    <w:rPr>
                                      <w:b/>
                                      <w:spacing w:val="1"/>
                                      <w:w w:val="105"/>
                                      <w:sz w:val="11"/>
                                    </w:rPr>
                                    <w:t> </w:t>
                                  </w:r>
                                  <w:r>
                                    <w:rPr>
                                      <w:b/>
                                      <w:w w:val="105"/>
                                      <w:sz w:val="11"/>
                                    </w:rPr>
                                    <w:t>a</w:t>
                                  </w:r>
                                  <w:r>
                                    <w:rPr>
                                      <w:b/>
                                      <w:spacing w:val="-1"/>
                                      <w:w w:val="105"/>
                                      <w:sz w:val="11"/>
                                    </w:rPr>
                                    <w:t> </w:t>
                                  </w:r>
                                  <w:r>
                                    <w:rPr>
                                      <w:b/>
                                      <w:w w:val="105"/>
                                      <w:sz w:val="11"/>
                                    </w:rPr>
                                    <w:t>corto</w:t>
                                  </w:r>
                                  <w:r>
                                    <w:rPr>
                                      <w:b/>
                                      <w:spacing w:val="9"/>
                                      <w:w w:val="105"/>
                                      <w:sz w:val="11"/>
                                    </w:rPr>
                                    <w:t> </w:t>
                                  </w:r>
                                  <w:r>
                                    <w:rPr>
                                      <w:b/>
                                      <w:spacing w:val="-2"/>
                                      <w:w w:val="105"/>
                                      <w:sz w:val="11"/>
                                    </w:rPr>
                                    <w:t>plazo</w:t>
                                  </w:r>
                                </w:p>
                              </w:tc>
                              <w:tc>
                                <w:tcPr>
                                  <w:tcW w:w="430" w:type="dxa"/>
                                  <w:tcBorders>
                                    <w:top w:val="nil"/>
                                    <w:left w:val="single" w:sz="18" w:space="0" w:color="008000"/>
                                    <w:bottom w:val="nil"/>
                                    <w:right w:val="single" w:sz="6" w:space="0" w:color="000000"/>
                                  </w:tcBorders>
                                </w:tcPr>
                                <w:p>
                                  <w:pPr>
                                    <w:pStyle w:val="TableParagraph"/>
                                    <w:spacing w:before="23"/>
                                    <w:ind w:left="20" w:right="38"/>
                                    <w:jc w:val="center"/>
                                    <w:rPr>
                                      <w:rFonts w:ascii="Tahoma"/>
                                      <w:sz w:val="11"/>
                                    </w:rPr>
                                  </w:pPr>
                                  <w:r>
                                    <w:rPr>
                                      <w:rFonts w:ascii="Tahoma"/>
                                      <w:sz w:val="11"/>
                                    </w:rPr>
                                    <w:t>9-</w:t>
                                  </w:r>
                                  <w:r>
                                    <w:rPr>
                                      <w:rFonts w:ascii="Tahoma"/>
                                      <w:spacing w:val="-5"/>
                                      <w:sz w:val="11"/>
                                    </w:rPr>
                                    <w:t>18</w:t>
                                  </w: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80.757,49</w:t>
                                  </w:r>
                                </w:p>
                              </w:tc>
                              <w:tc>
                                <w:tcPr>
                                  <w:tcW w:w="1120" w:type="dxa"/>
                                  <w:tcBorders>
                                    <w:top w:val="nil"/>
                                    <w:left w:val="single" w:sz="6" w:space="0" w:color="000000"/>
                                    <w:bottom w:val="nil"/>
                                  </w:tcBorders>
                                </w:tcPr>
                                <w:p>
                                  <w:pPr>
                                    <w:pStyle w:val="TableParagraph"/>
                                    <w:spacing w:before="30"/>
                                    <w:ind w:right="54"/>
                                    <w:jc w:val="right"/>
                                    <w:rPr>
                                      <w:b/>
                                      <w:sz w:val="11"/>
                                    </w:rPr>
                                  </w:pPr>
                                  <w:r>
                                    <w:rPr>
                                      <w:b/>
                                      <w:spacing w:val="-2"/>
                                      <w:w w:val="115"/>
                                      <w:sz w:val="11"/>
                                    </w:rPr>
                                    <w:t>80.757,49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Acreedores comerciales y</w:t>
                                  </w:r>
                                  <w:r>
                                    <w:rPr>
                                      <w:b/>
                                      <w:spacing w:val="4"/>
                                      <w:w w:val="105"/>
                                      <w:sz w:val="11"/>
                                    </w:rPr>
                                    <w:t> </w:t>
                                  </w:r>
                                  <w:r>
                                    <w:rPr>
                                      <w:b/>
                                      <w:w w:val="105"/>
                                      <w:sz w:val="11"/>
                                    </w:rPr>
                                    <w:t>otras</w:t>
                                  </w:r>
                                  <w:r>
                                    <w:rPr>
                                      <w:b/>
                                      <w:spacing w:val="1"/>
                                      <w:w w:val="105"/>
                                      <w:sz w:val="11"/>
                                    </w:rPr>
                                    <w:t> </w:t>
                                  </w:r>
                                  <w:r>
                                    <w:rPr>
                                      <w:b/>
                                      <w:w w:val="105"/>
                                      <w:sz w:val="11"/>
                                    </w:rPr>
                                    <w:t>cuentas</w:t>
                                  </w:r>
                                  <w:r>
                                    <w:rPr>
                                      <w:b/>
                                      <w:spacing w:val="-1"/>
                                      <w:w w:val="105"/>
                                      <w:sz w:val="11"/>
                                    </w:rPr>
                                    <w:t> </w:t>
                                  </w:r>
                                  <w:r>
                                    <w:rPr>
                                      <w:b/>
                                      <w:w w:val="105"/>
                                      <w:sz w:val="11"/>
                                    </w:rPr>
                                    <w:t>a </w:t>
                                  </w:r>
                                  <w:r>
                                    <w:rPr>
                                      <w:b/>
                                      <w:spacing w:val="-2"/>
                                      <w:w w:val="105"/>
                                      <w:sz w:val="11"/>
                                    </w:rPr>
                                    <w:t>pagar</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9.344.079,11</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9.912.563,84</w:t>
                                  </w:r>
                                </w:p>
                              </w:tc>
                            </w:tr>
                            <w:tr>
                              <w:trPr>
                                <w:trHeight w:val="178"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Proveedores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275.710,39</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563.755,61</w:t>
                                  </w:r>
                                </w:p>
                              </w:tc>
                            </w:tr>
                            <w:tr>
                              <w:trPr>
                                <w:trHeight w:val="178" w:hRule="atLeast"/>
                              </w:trPr>
                              <w:tc>
                                <w:tcPr>
                                  <w:tcW w:w="5803" w:type="dxa"/>
                                  <w:tcBorders>
                                    <w:top w:val="nil"/>
                                    <w:left w:val="single" w:sz="12" w:space="0" w:color="0000D0"/>
                                    <w:bottom w:val="nil"/>
                                    <w:right w:val="single" w:sz="6" w:space="0" w:color="000000"/>
                                  </w:tcBorders>
                                </w:tcPr>
                                <w:p>
                                  <w:pPr>
                                    <w:pStyle w:val="TableParagraph"/>
                                    <w:spacing w:before="24"/>
                                    <w:ind w:left="17"/>
                                    <w:rPr>
                                      <w:rFonts w:ascii="Tahoma"/>
                                      <w:sz w:val="11"/>
                                    </w:rPr>
                                  </w:pPr>
                                  <w:r>
                                    <w:rPr>
                                      <w:rFonts w:ascii="Tahoma"/>
                                      <w:sz w:val="11"/>
                                    </w:rPr>
                                    <w:t>Proveedores</w:t>
                                  </w:r>
                                  <w:r>
                                    <w:rPr>
                                      <w:rFonts w:ascii="Tahoma"/>
                                      <w:spacing w:val="12"/>
                                      <w:sz w:val="11"/>
                                    </w:rPr>
                                    <w:t> </w:t>
                                  </w:r>
                                  <w:r>
                                    <w:rPr>
                                      <w:rFonts w:ascii="Tahoma"/>
                                      <w:sz w:val="11"/>
                                    </w:rPr>
                                    <w:t>a</w:t>
                                  </w:r>
                                  <w:r>
                                    <w:rPr>
                                      <w:rFonts w:ascii="Tahoma"/>
                                      <w:spacing w:val="14"/>
                                      <w:sz w:val="11"/>
                                    </w:rPr>
                                    <w:t> </w:t>
                                  </w:r>
                                  <w:r>
                                    <w:rPr>
                                      <w:rFonts w:ascii="Tahoma"/>
                                      <w:sz w:val="11"/>
                                    </w:rPr>
                                    <w:t>corto</w:t>
                                  </w:r>
                                  <w:r>
                                    <w:rPr>
                                      <w:rFonts w:ascii="Tahoma"/>
                                      <w:spacing w:val="25"/>
                                      <w:sz w:val="11"/>
                                    </w:rPr>
                                    <w:t> </w:t>
                                  </w:r>
                                  <w:r>
                                    <w:rPr>
                                      <w:rFonts w:ascii="Tahoma"/>
                                      <w:spacing w:val="-4"/>
                                      <w:sz w:val="11"/>
                                    </w:rPr>
                                    <w:t>plazo</w:t>
                                  </w:r>
                                </w:p>
                              </w:tc>
                              <w:tc>
                                <w:tcPr>
                                  <w:tcW w:w="430" w:type="dxa"/>
                                  <w:tcBorders>
                                    <w:top w:val="nil"/>
                                    <w:left w:val="single" w:sz="6" w:space="0" w:color="000000"/>
                                    <w:bottom w:val="nil"/>
                                    <w:right w:val="single" w:sz="6" w:space="0" w:color="000000"/>
                                  </w:tcBorders>
                                </w:tcPr>
                                <w:p>
                                  <w:pPr>
                                    <w:pStyle w:val="TableParagraph"/>
                                    <w:spacing w:before="24"/>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4"/>
                                    <w:ind w:right="59"/>
                                    <w:jc w:val="right"/>
                                    <w:rPr>
                                      <w:rFonts w:ascii="Tahoma"/>
                                      <w:sz w:val="11"/>
                                    </w:rPr>
                                  </w:pPr>
                                  <w:r>
                                    <w:rPr>
                                      <w:rFonts w:ascii="Tahoma"/>
                                      <w:spacing w:val="-2"/>
                                      <w:sz w:val="11"/>
                                    </w:rPr>
                                    <w:t>275.710,39</w:t>
                                  </w:r>
                                </w:p>
                              </w:tc>
                              <w:tc>
                                <w:tcPr>
                                  <w:tcW w:w="1120" w:type="dxa"/>
                                  <w:tcBorders>
                                    <w:top w:val="nil"/>
                                    <w:left w:val="single" w:sz="6" w:space="0" w:color="000000"/>
                                    <w:bottom w:val="nil"/>
                                  </w:tcBorders>
                                </w:tcPr>
                                <w:p>
                                  <w:pPr>
                                    <w:pStyle w:val="TableParagraph"/>
                                    <w:spacing w:before="24"/>
                                    <w:ind w:right="58"/>
                                    <w:jc w:val="right"/>
                                    <w:rPr>
                                      <w:rFonts w:ascii="Tahoma"/>
                                      <w:sz w:val="11"/>
                                    </w:rPr>
                                  </w:pPr>
                                  <w:r>
                                    <w:rPr>
                                      <w:rFonts w:ascii="Tahoma"/>
                                      <w:spacing w:val="-2"/>
                                      <w:sz w:val="11"/>
                                    </w:rPr>
                                    <w:t>563.755,61</w:t>
                                  </w:r>
                                </w:p>
                              </w:tc>
                            </w:tr>
                            <w:tr>
                              <w:trPr>
                                <w:trHeight w:val="177" w:hRule="atLeast"/>
                              </w:trPr>
                              <w:tc>
                                <w:tcPr>
                                  <w:tcW w:w="5803" w:type="dxa"/>
                                  <w:tcBorders>
                                    <w:top w:val="nil"/>
                                    <w:left w:val="single" w:sz="12" w:space="0" w:color="0000D0"/>
                                    <w:bottom w:val="nil"/>
                                    <w:right w:val="single" w:sz="18" w:space="0" w:color="008000"/>
                                  </w:tcBorders>
                                </w:tcPr>
                                <w:p>
                                  <w:pPr>
                                    <w:pStyle w:val="TableParagraph"/>
                                    <w:spacing w:before="23"/>
                                    <w:ind w:left="17"/>
                                    <w:rPr>
                                      <w:rFonts w:ascii="Tahoma"/>
                                      <w:sz w:val="11"/>
                                    </w:rPr>
                                  </w:pPr>
                                  <w:r>
                                    <w:rPr>
                                      <w:rFonts w:ascii="Tahoma"/>
                                      <w:sz w:val="11"/>
                                    </w:rPr>
                                    <w:t>Proveedores,</w:t>
                                  </w:r>
                                  <w:r>
                                    <w:rPr>
                                      <w:rFonts w:ascii="Tahoma"/>
                                      <w:spacing w:val="17"/>
                                      <w:sz w:val="11"/>
                                    </w:rPr>
                                    <w:t> </w:t>
                                  </w:r>
                                  <w:r>
                                    <w:rPr>
                                      <w:rFonts w:ascii="Tahoma"/>
                                      <w:sz w:val="11"/>
                                    </w:rPr>
                                    <w:t>empresas</w:t>
                                  </w:r>
                                  <w:r>
                                    <w:rPr>
                                      <w:rFonts w:ascii="Tahoma"/>
                                      <w:spacing w:val="10"/>
                                      <w:sz w:val="11"/>
                                    </w:rPr>
                                    <w:t> </w:t>
                                  </w:r>
                                  <w:r>
                                    <w:rPr>
                                      <w:rFonts w:ascii="Tahoma"/>
                                      <w:sz w:val="11"/>
                                    </w:rPr>
                                    <w:t>del</w:t>
                                  </w:r>
                                  <w:r>
                                    <w:rPr>
                                      <w:rFonts w:ascii="Tahoma"/>
                                      <w:spacing w:val="3"/>
                                      <w:sz w:val="11"/>
                                    </w:rPr>
                                    <w:t> </w:t>
                                  </w:r>
                                  <w:r>
                                    <w:rPr>
                                      <w:rFonts w:ascii="Tahoma"/>
                                      <w:sz w:val="11"/>
                                    </w:rPr>
                                    <w:t>grupo</w:t>
                                  </w:r>
                                  <w:r>
                                    <w:rPr>
                                      <w:rFonts w:ascii="Tahoma"/>
                                      <w:spacing w:val="16"/>
                                      <w:sz w:val="11"/>
                                    </w:rPr>
                                    <w:t> </w:t>
                                  </w:r>
                                  <w:r>
                                    <w:rPr>
                                      <w:rFonts w:ascii="Tahoma"/>
                                      <w:sz w:val="11"/>
                                    </w:rPr>
                                    <w:t>y</w:t>
                                  </w:r>
                                  <w:r>
                                    <w:rPr>
                                      <w:rFonts w:ascii="Tahoma"/>
                                      <w:spacing w:val="15"/>
                                      <w:sz w:val="11"/>
                                    </w:rPr>
                                    <w:t> </w:t>
                                  </w:r>
                                  <w:r>
                                    <w:rPr>
                                      <w:rFonts w:ascii="Tahoma"/>
                                      <w:spacing w:val="-2"/>
                                      <w:sz w:val="11"/>
                                    </w:rPr>
                                    <w:t>asociadas</w:t>
                                  </w:r>
                                </w:p>
                              </w:tc>
                              <w:tc>
                                <w:tcPr>
                                  <w:tcW w:w="430" w:type="dxa"/>
                                  <w:tcBorders>
                                    <w:top w:val="nil"/>
                                    <w:left w:val="single" w:sz="18" w:space="0" w:color="008000"/>
                                    <w:bottom w:val="nil"/>
                                    <w:right w:val="single" w:sz="6" w:space="0" w:color="000000"/>
                                  </w:tcBorders>
                                </w:tcPr>
                                <w:p>
                                  <w:pPr>
                                    <w:pStyle w:val="TableParagraph"/>
                                    <w:spacing w:before="23"/>
                                    <w:ind w:left="20" w:right="39"/>
                                    <w:jc w:val="center"/>
                                    <w:rPr>
                                      <w:rFonts w:ascii="Tahoma"/>
                                      <w:sz w:val="11"/>
                                    </w:rPr>
                                  </w:pPr>
                                  <w:r>
                                    <w:rPr>
                                      <w:rFonts w:ascii="Tahoma"/>
                                      <w:sz w:val="11"/>
                                    </w:rPr>
                                    <w:t>9-</w:t>
                                  </w:r>
                                  <w:r>
                                    <w:rPr>
                                      <w:rFonts w:ascii="Tahoma"/>
                                      <w:spacing w:val="-5"/>
                                      <w:sz w:val="11"/>
                                    </w:rPr>
                                    <w:t>18</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130.896,64</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110.159,37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Acreedores</w:t>
                                  </w:r>
                                  <w:r>
                                    <w:rPr>
                                      <w:rFonts w:ascii="Tahoma"/>
                                      <w:spacing w:val="31"/>
                                      <w:sz w:val="11"/>
                                    </w:rPr>
                                    <w:t> </w:t>
                                  </w:r>
                                  <w:r>
                                    <w:rPr>
                                      <w:rFonts w:ascii="Tahoma"/>
                                      <w:spacing w:val="-2"/>
                                      <w:sz w:val="11"/>
                                    </w:rPr>
                                    <w:t>varios</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1.539.574,72</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2.131.471,98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Personal</w:t>
                                  </w:r>
                                  <w:r>
                                    <w:rPr>
                                      <w:rFonts w:ascii="Tahoma"/>
                                      <w:spacing w:val="12"/>
                                      <w:sz w:val="11"/>
                                    </w:rPr>
                                    <w:t> </w:t>
                                  </w:r>
                                  <w:r>
                                    <w:rPr>
                                      <w:rFonts w:ascii="Tahoma"/>
                                      <w:sz w:val="11"/>
                                    </w:rPr>
                                    <w:t>(remuneraciones</w:t>
                                  </w:r>
                                  <w:r>
                                    <w:rPr>
                                      <w:rFonts w:ascii="Tahoma"/>
                                      <w:spacing w:val="15"/>
                                      <w:sz w:val="11"/>
                                    </w:rPr>
                                    <w:t> </w:t>
                                  </w:r>
                                  <w:r>
                                    <w:rPr>
                                      <w:rFonts w:ascii="Tahoma"/>
                                      <w:sz w:val="11"/>
                                    </w:rPr>
                                    <w:t>pendientes</w:t>
                                  </w:r>
                                  <w:r>
                                    <w:rPr>
                                      <w:rFonts w:ascii="Tahoma"/>
                                      <w:spacing w:val="15"/>
                                      <w:sz w:val="11"/>
                                    </w:rPr>
                                    <w:t> </w:t>
                                  </w:r>
                                  <w:r>
                                    <w:rPr>
                                      <w:rFonts w:ascii="Tahoma"/>
                                      <w:sz w:val="11"/>
                                    </w:rPr>
                                    <w:t>de</w:t>
                                  </w:r>
                                  <w:r>
                                    <w:rPr>
                                      <w:rFonts w:ascii="Tahoma"/>
                                      <w:spacing w:val="30"/>
                                      <w:sz w:val="11"/>
                                    </w:rPr>
                                    <w:t> </w:t>
                                  </w:r>
                                  <w:r>
                                    <w:rPr>
                                      <w:rFonts w:ascii="Tahoma"/>
                                      <w:spacing w:val="-4"/>
                                      <w:sz w:val="11"/>
                                    </w:rPr>
                                    <w:t>pago)</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5.690.897,99</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4.951.308,57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Otras</w:t>
                                  </w:r>
                                  <w:r>
                                    <w:rPr>
                                      <w:rFonts w:ascii="Tahoma" w:hAnsi="Tahoma"/>
                                      <w:spacing w:val="4"/>
                                      <w:sz w:val="11"/>
                                    </w:rPr>
                                    <w:t> </w:t>
                                  </w:r>
                                  <w:r>
                                    <w:rPr>
                                      <w:rFonts w:ascii="Tahoma" w:hAnsi="Tahoma"/>
                                      <w:sz w:val="11"/>
                                    </w:rPr>
                                    <w:t>deudas</w:t>
                                  </w:r>
                                  <w:r>
                                    <w:rPr>
                                      <w:rFonts w:ascii="Tahoma" w:hAnsi="Tahoma"/>
                                      <w:spacing w:val="5"/>
                                      <w:sz w:val="11"/>
                                    </w:rPr>
                                    <w:t> </w:t>
                                  </w:r>
                                  <w:r>
                                    <w:rPr>
                                      <w:rFonts w:ascii="Tahoma" w:hAnsi="Tahoma"/>
                                      <w:sz w:val="11"/>
                                    </w:rPr>
                                    <w:t>con</w:t>
                                  </w:r>
                                  <w:r>
                                    <w:rPr>
                                      <w:rFonts w:ascii="Tahoma" w:hAnsi="Tahoma"/>
                                      <w:spacing w:val="13"/>
                                      <w:sz w:val="11"/>
                                    </w:rPr>
                                    <w:t> </w:t>
                                  </w:r>
                                  <w:r>
                                    <w:rPr>
                                      <w:rFonts w:ascii="Tahoma" w:hAnsi="Tahoma"/>
                                      <w:sz w:val="11"/>
                                    </w:rPr>
                                    <w:t>las</w:t>
                                  </w:r>
                                  <w:r>
                                    <w:rPr>
                                      <w:rFonts w:ascii="Tahoma" w:hAnsi="Tahoma"/>
                                      <w:spacing w:val="6"/>
                                      <w:sz w:val="11"/>
                                    </w:rPr>
                                    <w:t> </w:t>
                                  </w:r>
                                  <w:r>
                                    <w:rPr>
                                      <w:rFonts w:ascii="Tahoma" w:hAnsi="Tahoma"/>
                                      <w:sz w:val="11"/>
                                    </w:rPr>
                                    <w:t>Administraciones</w:t>
                                  </w:r>
                                  <w:r>
                                    <w:rPr>
                                      <w:rFonts w:ascii="Tahoma" w:hAnsi="Tahoma"/>
                                      <w:spacing w:val="6"/>
                                      <w:sz w:val="11"/>
                                    </w:rPr>
                                    <w:t> </w:t>
                                  </w:r>
                                  <w:r>
                                    <w:rPr>
                                      <w:rFonts w:ascii="Tahoma" w:hAnsi="Tahoma"/>
                                      <w:spacing w:val="-2"/>
                                      <w:sz w:val="11"/>
                                    </w:rPr>
                                    <w:t>Públicas</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12</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1.706.999,37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1.963.851,11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Anticipos</w:t>
                                  </w:r>
                                  <w:r>
                                    <w:rPr>
                                      <w:rFonts w:ascii="Tahoma"/>
                                      <w:spacing w:val="9"/>
                                      <w:sz w:val="11"/>
                                    </w:rPr>
                                    <w:t> </w:t>
                                  </w:r>
                                  <w:r>
                                    <w:rPr>
                                      <w:rFonts w:ascii="Tahoma"/>
                                      <w:sz w:val="11"/>
                                    </w:rPr>
                                    <w:t>de</w:t>
                                  </w:r>
                                  <w:r>
                                    <w:rPr>
                                      <w:rFonts w:ascii="Tahoma"/>
                                      <w:spacing w:val="20"/>
                                      <w:sz w:val="11"/>
                                    </w:rPr>
                                    <w:t> </w:t>
                                  </w:r>
                                  <w:r>
                                    <w:rPr>
                                      <w:rFonts w:ascii="Tahoma"/>
                                      <w:spacing w:val="-2"/>
                                      <w:sz w:val="11"/>
                                    </w:rPr>
                                    <w:t>clientes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192.017,20</w:t>
                                  </w:r>
                                </w:p>
                              </w:tc>
                            </w:tr>
                            <w:tr>
                              <w:trPr>
                                <w:trHeight w:val="163" w:hRule="atLeast"/>
                              </w:trPr>
                              <w:tc>
                                <w:tcPr>
                                  <w:tcW w:w="5803" w:type="dxa"/>
                                  <w:tcBorders>
                                    <w:top w:val="nil"/>
                                    <w:left w:val="single" w:sz="12" w:space="0" w:color="0000D0"/>
                                    <w:bottom w:val="single" w:sz="6" w:space="0" w:color="000000"/>
                                    <w:right w:val="single" w:sz="6" w:space="0" w:color="000000"/>
                                  </w:tcBorders>
                                </w:tcPr>
                                <w:p>
                                  <w:pPr>
                                    <w:pStyle w:val="TableParagraph"/>
                                    <w:spacing w:line="113" w:lineRule="exact" w:before="30"/>
                                    <w:ind w:left="17"/>
                                    <w:rPr>
                                      <w:b/>
                                      <w:sz w:val="11"/>
                                    </w:rPr>
                                  </w:pPr>
                                  <w:r>
                                    <w:rPr>
                                      <w:b/>
                                      <w:w w:val="105"/>
                                      <w:sz w:val="11"/>
                                    </w:rPr>
                                    <w:t>Periodificaciones</w:t>
                                  </w:r>
                                  <w:r>
                                    <w:rPr>
                                      <w:b/>
                                      <w:spacing w:val="32"/>
                                      <w:w w:val="105"/>
                                      <w:sz w:val="11"/>
                                    </w:rPr>
                                    <w:t> </w:t>
                                  </w:r>
                                  <w:r>
                                    <w:rPr>
                                      <w:b/>
                                      <w:w w:val="105"/>
                                      <w:sz w:val="11"/>
                                    </w:rPr>
                                    <w:t>a</w:t>
                                  </w:r>
                                  <w:r>
                                    <w:rPr>
                                      <w:b/>
                                      <w:spacing w:val="-1"/>
                                      <w:w w:val="105"/>
                                      <w:sz w:val="11"/>
                                    </w:rPr>
                                    <w:t> </w:t>
                                  </w:r>
                                  <w:r>
                                    <w:rPr>
                                      <w:b/>
                                      <w:w w:val="105"/>
                                      <w:sz w:val="11"/>
                                    </w:rPr>
                                    <w:t>corto</w:t>
                                  </w:r>
                                  <w:r>
                                    <w:rPr>
                                      <w:b/>
                                      <w:spacing w:val="5"/>
                                      <w:w w:val="105"/>
                                      <w:sz w:val="11"/>
                                    </w:rPr>
                                    <w:t> </w:t>
                                  </w:r>
                                  <w:r>
                                    <w:rPr>
                                      <w:b/>
                                      <w:spacing w:val="-2"/>
                                      <w:w w:val="105"/>
                                      <w:sz w:val="11"/>
                                    </w:rPr>
                                    <w:t>plazo</w:t>
                                  </w:r>
                                </w:p>
                              </w:tc>
                              <w:tc>
                                <w:tcPr>
                                  <w:tcW w:w="430" w:type="dxa"/>
                                  <w:tcBorders>
                                    <w:top w:val="nil"/>
                                    <w:left w:val="single" w:sz="6" w:space="0" w:color="000000"/>
                                    <w:bottom w:val="single" w:sz="6" w:space="0" w:color="000000"/>
                                    <w:right w:val="single" w:sz="6" w:space="0" w:color="000000"/>
                                  </w:tcBorders>
                                </w:tcPr>
                                <w:p>
                                  <w:pPr>
                                    <w:pStyle w:val="TableParagraph"/>
                                    <w:spacing w:line="120" w:lineRule="exact" w:before="23"/>
                                    <w:ind w:left="5" w:right="4"/>
                                    <w:jc w:val="center"/>
                                    <w:rPr>
                                      <w:rFonts w:ascii="Tahoma"/>
                                      <w:sz w:val="11"/>
                                    </w:rPr>
                                  </w:pPr>
                                  <w:r>
                                    <w:rPr>
                                      <w:rFonts w:ascii="Tahoma"/>
                                      <w:spacing w:val="-5"/>
                                      <w:sz w:val="11"/>
                                    </w:rPr>
                                    <w:t>19</w:t>
                                  </w:r>
                                </w:p>
                              </w:tc>
                              <w:tc>
                                <w:tcPr>
                                  <w:tcW w:w="1131" w:type="dxa"/>
                                  <w:tcBorders>
                                    <w:top w:val="nil"/>
                                    <w:left w:val="single" w:sz="6" w:space="0" w:color="000000"/>
                                    <w:bottom w:val="single" w:sz="6" w:space="0" w:color="000000"/>
                                    <w:right w:val="single" w:sz="6" w:space="0" w:color="000000"/>
                                  </w:tcBorders>
                                </w:tcPr>
                                <w:p>
                                  <w:pPr>
                                    <w:pStyle w:val="TableParagraph"/>
                                    <w:spacing w:line="113" w:lineRule="exact" w:before="30"/>
                                    <w:ind w:right="58"/>
                                    <w:jc w:val="right"/>
                                    <w:rPr>
                                      <w:b/>
                                      <w:sz w:val="11"/>
                                    </w:rPr>
                                  </w:pPr>
                                  <w:r>
                                    <w:rPr>
                                      <w:b/>
                                      <w:spacing w:val="-2"/>
                                      <w:w w:val="115"/>
                                      <w:sz w:val="11"/>
                                    </w:rPr>
                                    <w:t>1.289.811,99</w:t>
                                  </w:r>
                                </w:p>
                              </w:tc>
                              <w:tc>
                                <w:tcPr>
                                  <w:tcW w:w="1120" w:type="dxa"/>
                                  <w:tcBorders>
                                    <w:top w:val="nil"/>
                                    <w:left w:val="single" w:sz="6" w:space="0" w:color="000000"/>
                                    <w:bottom w:val="single" w:sz="6" w:space="0" w:color="000000"/>
                                  </w:tcBorders>
                                </w:tcPr>
                                <w:p>
                                  <w:pPr>
                                    <w:pStyle w:val="TableParagraph"/>
                                    <w:spacing w:line="113" w:lineRule="exact" w:before="30"/>
                                    <w:ind w:right="55"/>
                                    <w:jc w:val="right"/>
                                    <w:rPr>
                                      <w:b/>
                                      <w:sz w:val="11"/>
                                    </w:rPr>
                                  </w:pPr>
                                  <w:r>
                                    <w:rPr>
                                      <w:b/>
                                      <w:spacing w:val="-2"/>
                                      <w:w w:val="115"/>
                                      <w:sz w:val="11"/>
                                    </w:rPr>
                                    <w:t>1.357.491,75</w:t>
                                  </w:r>
                                </w:p>
                              </w:tc>
                            </w:tr>
                            <w:tr>
                              <w:trPr>
                                <w:trHeight w:val="166" w:hRule="atLeast"/>
                              </w:trPr>
                              <w:tc>
                                <w:tcPr>
                                  <w:tcW w:w="5803" w:type="dxa"/>
                                  <w:tcBorders>
                                    <w:top w:val="single" w:sz="6" w:space="0" w:color="000000"/>
                                    <w:left w:val="single" w:sz="12" w:space="0" w:color="0000D0"/>
                                    <w:bottom w:val="single" w:sz="4" w:space="0" w:color="000000"/>
                                    <w:right w:val="single" w:sz="6" w:space="0" w:color="000000"/>
                                  </w:tcBorders>
                                  <w:shd w:val="clear" w:color="auto" w:fill="FFC000"/>
                                </w:tcPr>
                                <w:p>
                                  <w:pPr>
                                    <w:pStyle w:val="TableParagraph"/>
                                    <w:spacing w:line="117" w:lineRule="exact" w:before="29"/>
                                    <w:ind w:left="17"/>
                                    <w:rPr>
                                      <w:b/>
                                      <w:sz w:val="11"/>
                                    </w:rPr>
                                  </w:pPr>
                                  <w:r>
                                    <w:rPr>
                                      <w:b/>
                                      <w:sz w:val="11"/>
                                    </w:rPr>
                                    <w:t>TOTAL</w:t>
                                  </w:r>
                                  <w:r>
                                    <w:rPr>
                                      <w:b/>
                                      <w:spacing w:val="11"/>
                                      <w:sz w:val="11"/>
                                    </w:rPr>
                                    <w:t> </w:t>
                                  </w:r>
                                  <w:r>
                                    <w:rPr>
                                      <w:b/>
                                      <w:sz w:val="11"/>
                                    </w:rPr>
                                    <w:t>PATRIMONIO</w:t>
                                  </w:r>
                                  <w:r>
                                    <w:rPr>
                                      <w:b/>
                                      <w:spacing w:val="8"/>
                                      <w:sz w:val="11"/>
                                    </w:rPr>
                                    <w:t> </w:t>
                                  </w:r>
                                  <w:r>
                                    <w:rPr>
                                      <w:b/>
                                      <w:sz w:val="11"/>
                                    </w:rPr>
                                    <w:t>NETO</w:t>
                                  </w:r>
                                  <w:r>
                                    <w:rPr>
                                      <w:b/>
                                      <w:spacing w:val="8"/>
                                      <w:sz w:val="11"/>
                                    </w:rPr>
                                    <w:t> </w:t>
                                  </w:r>
                                  <w:r>
                                    <w:rPr>
                                      <w:b/>
                                      <w:sz w:val="11"/>
                                    </w:rPr>
                                    <w:t>Y</w:t>
                                  </w:r>
                                  <w:r>
                                    <w:rPr>
                                      <w:b/>
                                      <w:spacing w:val="-1"/>
                                      <w:sz w:val="11"/>
                                    </w:rPr>
                                    <w:t> </w:t>
                                  </w:r>
                                  <w:r>
                                    <w:rPr>
                                      <w:b/>
                                      <w:spacing w:val="-2"/>
                                      <w:sz w:val="11"/>
                                    </w:rPr>
                                    <w:t>PASIVO</w:t>
                                  </w:r>
                                </w:p>
                              </w:tc>
                              <w:tc>
                                <w:tcPr>
                                  <w:tcW w:w="430" w:type="dxa"/>
                                  <w:tcBorders>
                                    <w:top w:val="single" w:sz="6" w:space="0" w:color="000000"/>
                                    <w:left w:val="single" w:sz="6" w:space="0" w:color="000000"/>
                                    <w:bottom w:val="single" w:sz="4" w:space="0" w:color="000000"/>
                                    <w:right w:val="single" w:sz="6" w:space="0" w:color="000000"/>
                                  </w:tcBorders>
                                  <w:shd w:val="clear" w:color="auto" w:fill="FFC000"/>
                                </w:tcPr>
                                <w:p>
                                  <w:pPr>
                                    <w:pStyle w:val="TableParagraph"/>
                                    <w:rPr>
                                      <w:rFonts w:ascii="Times New Roman"/>
                                      <w:sz w:val="10"/>
                                    </w:rPr>
                                  </w:pPr>
                                </w:p>
                              </w:tc>
                              <w:tc>
                                <w:tcPr>
                                  <w:tcW w:w="1131" w:type="dxa"/>
                                  <w:tcBorders>
                                    <w:top w:val="single" w:sz="6" w:space="0" w:color="000000"/>
                                    <w:left w:val="single" w:sz="6" w:space="0" w:color="000000"/>
                                    <w:bottom w:val="single" w:sz="4" w:space="0" w:color="000000"/>
                                    <w:right w:val="single" w:sz="6" w:space="0" w:color="000000"/>
                                  </w:tcBorders>
                                  <w:shd w:val="clear" w:color="auto" w:fill="FFC000"/>
                                </w:tcPr>
                                <w:p>
                                  <w:pPr>
                                    <w:pStyle w:val="TableParagraph"/>
                                    <w:spacing w:line="117" w:lineRule="exact" w:before="29"/>
                                    <w:ind w:right="68"/>
                                    <w:jc w:val="right"/>
                                    <w:rPr>
                                      <w:b/>
                                      <w:sz w:val="11"/>
                                    </w:rPr>
                                  </w:pPr>
                                  <w:r>
                                    <w:rPr>
                                      <w:b/>
                                      <w:spacing w:val="-2"/>
                                      <w:w w:val="115"/>
                                      <w:sz w:val="11"/>
                                    </w:rPr>
                                    <w:t>157.072.521,37</w:t>
                                  </w:r>
                                </w:p>
                              </w:tc>
                              <w:tc>
                                <w:tcPr>
                                  <w:tcW w:w="1120" w:type="dxa"/>
                                  <w:tcBorders>
                                    <w:top w:val="single" w:sz="6" w:space="0" w:color="000000"/>
                                    <w:left w:val="single" w:sz="6" w:space="0" w:color="000000"/>
                                    <w:bottom w:val="single" w:sz="4" w:space="0" w:color="000000"/>
                                  </w:tcBorders>
                                  <w:shd w:val="clear" w:color="auto" w:fill="FFC000"/>
                                </w:tcPr>
                                <w:p>
                                  <w:pPr>
                                    <w:pStyle w:val="TableParagraph"/>
                                    <w:spacing w:line="117" w:lineRule="exact" w:before="29"/>
                                    <w:ind w:right="64"/>
                                    <w:jc w:val="right"/>
                                    <w:rPr>
                                      <w:b/>
                                      <w:sz w:val="11"/>
                                    </w:rPr>
                                  </w:pPr>
                                  <w:r>
                                    <w:rPr>
                                      <w:b/>
                                      <w:spacing w:val="-2"/>
                                      <w:w w:val="115"/>
                                      <w:sz w:val="11"/>
                                    </w:rPr>
                                    <w:t>132.886.472,77</w:t>
                                  </w:r>
                                </w:p>
                              </w:tc>
                            </w:tr>
                          </w:tbl>
                          <w:p>
                            <w:pPr>
                              <w:pStyle w:val="BodyText"/>
                            </w:pPr>
                          </w:p>
                        </w:txbxContent>
                      </wps:txbx>
                      <wps:bodyPr wrap="square" lIns="0" tIns="0" rIns="0" bIns="0" rtlCol="0">
                        <a:noAutofit/>
                      </wps:bodyPr>
                    </wps:wsp>
                  </a:graphicData>
                </a:graphic>
              </wp:inline>
            </w:drawing>
          </mc:Choice>
          <mc:Fallback>
            <w:pict>
              <v:shape style="width:425.35pt;height:311.650pt;mso-position-horizontal-relative:char;mso-position-vertical-relative:line" type="#_x0000_t202" id="docshape24" filled="false" stroked="false">
                <w10:anchorlock/>
                <v:textbox inset="0,0,0,0">
                  <w:txbxContent>
                    <w:tbl>
                      <w:tblPr>
                        <w:tblW w:w="0" w:type="auto"/>
                        <w:jc w:val="left"/>
                        <w:tblInd w:w="15"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top w:w="0" w:type="dxa"/>
                          <w:left w:w="0" w:type="dxa"/>
                          <w:bottom w:w="0" w:type="dxa"/>
                          <w:right w:w="0" w:type="dxa"/>
                        </w:tblCellMar>
                        <w:tblLook w:val="01E0"/>
                      </w:tblPr>
                      <w:tblGrid>
                        <w:gridCol w:w="5803"/>
                        <w:gridCol w:w="430"/>
                        <w:gridCol w:w="1131"/>
                        <w:gridCol w:w="1120"/>
                      </w:tblGrid>
                      <w:tr>
                        <w:trPr>
                          <w:trHeight w:val="157" w:hRule="atLeast"/>
                        </w:trPr>
                        <w:tc>
                          <w:tcPr>
                            <w:tcW w:w="5803" w:type="dxa"/>
                            <w:tcBorders>
                              <w:left w:val="single" w:sz="12" w:space="0" w:color="0000D0"/>
                              <w:bottom w:val="single" w:sz="4" w:space="0" w:color="000000"/>
                              <w:right w:val="single" w:sz="6" w:space="0" w:color="000000"/>
                            </w:tcBorders>
                            <w:shd w:val="clear" w:color="auto" w:fill="FFC000"/>
                          </w:tcPr>
                          <w:p>
                            <w:pPr>
                              <w:pStyle w:val="TableParagraph"/>
                              <w:spacing w:line="109" w:lineRule="exact" w:before="28"/>
                              <w:ind w:left="17"/>
                              <w:rPr>
                                <w:b/>
                                <w:sz w:val="11"/>
                              </w:rPr>
                            </w:pPr>
                            <w:r>
                              <w:rPr>
                                <w:b/>
                                <w:sz w:val="11"/>
                              </w:rPr>
                              <w:t>PATRIMONIO</w:t>
                            </w:r>
                            <w:r>
                              <w:rPr>
                                <w:b/>
                                <w:spacing w:val="12"/>
                                <w:sz w:val="11"/>
                              </w:rPr>
                              <w:t> </w:t>
                            </w:r>
                            <w:r>
                              <w:rPr>
                                <w:b/>
                                <w:sz w:val="11"/>
                              </w:rPr>
                              <w:t>NETO</w:t>
                            </w:r>
                            <w:r>
                              <w:rPr>
                                <w:b/>
                                <w:spacing w:val="11"/>
                                <w:sz w:val="11"/>
                              </w:rPr>
                              <w:t> </w:t>
                            </w:r>
                            <w:r>
                              <w:rPr>
                                <w:b/>
                                <w:sz w:val="11"/>
                              </w:rPr>
                              <w:t>Y</w:t>
                            </w:r>
                            <w:r>
                              <w:rPr>
                                <w:b/>
                                <w:spacing w:val="3"/>
                                <w:sz w:val="11"/>
                              </w:rPr>
                              <w:t> </w:t>
                            </w:r>
                            <w:r>
                              <w:rPr>
                                <w:b/>
                                <w:spacing w:val="-2"/>
                                <w:sz w:val="11"/>
                              </w:rPr>
                              <w:t>PASIVO</w:t>
                            </w:r>
                          </w:p>
                        </w:tc>
                        <w:tc>
                          <w:tcPr>
                            <w:tcW w:w="430" w:type="dxa"/>
                            <w:tcBorders>
                              <w:left w:val="single" w:sz="6" w:space="0" w:color="000000"/>
                              <w:bottom w:val="single" w:sz="4" w:space="0" w:color="000000"/>
                              <w:right w:val="single" w:sz="6" w:space="0" w:color="000000"/>
                            </w:tcBorders>
                            <w:shd w:val="clear" w:color="auto" w:fill="FFC000"/>
                          </w:tcPr>
                          <w:p>
                            <w:pPr>
                              <w:pStyle w:val="TableParagraph"/>
                              <w:spacing w:line="109" w:lineRule="exact" w:before="28"/>
                              <w:ind w:left="3" w:right="4"/>
                              <w:jc w:val="center"/>
                              <w:rPr>
                                <w:b/>
                                <w:sz w:val="11"/>
                              </w:rPr>
                            </w:pPr>
                            <w:r>
                              <w:rPr>
                                <w:b/>
                                <w:spacing w:val="-2"/>
                                <w:w w:val="110"/>
                                <w:sz w:val="11"/>
                              </w:rPr>
                              <w:t>Notas</w:t>
                            </w:r>
                          </w:p>
                        </w:tc>
                        <w:tc>
                          <w:tcPr>
                            <w:tcW w:w="1131" w:type="dxa"/>
                            <w:tcBorders>
                              <w:left w:val="single" w:sz="6" w:space="0" w:color="000000"/>
                              <w:bottom w:val="single" w:sz="4" w:space="0" w:color="000000"/>
                              <w:right w:val="single" w:sz="6" w:space="0" w:color="000000"/>
                            </w:tcBorders>
                            <w:shd w:val="clear" w:color="auto" w:fill="FFC000"/>
                          </w:tcPr>
                          <w:p>
                            <w:pPr>
                              <w:pStyle w:val="TableParagraph"/>
                              <w:spacing w:line="109" w:lineRule="exact" w:before="28"/>
                              <w:ind w:left="2" w:right="9"/>
                              <w:jc w:val="center"/>
                              <w:rPr>
                                <w:b/>
                                <w:sz w:val="11"/>
                              </w:rPr>
                            </w:pPr>
                            <w:r>
                              <w:rPr>
                                <w:b/>
                                <w:spacing w:val="-4"/>
                                <w:w w:val="115"/>
                                <w:sz w:val="11"/>
                              </w:rPr>
                              <w:t>2025</w:t>
                            </w:r>
                          </w:p>
                        </w:tc>
                        <w:tc>
                          <w:tcPr>
                            <w:tcW w:w="1120" w:type="dxa"/>
                            <w:tcBorders>
                              <w:left w:val="single" w:sz="6" w:space="0" w:color="000000"/>
                              <w:bottom w:val="single" w:sz="4" w:space="0" w:color="000000"/>
                            </w:tcBorders>
                            <w:shd w:val="clear" w:color="auto" w:fill="FFC000"/>
                          </w:tcPr>
                          <w:p>
                            <w:pPr>
                              <w:pStyle w:val="TableParagraph"/>
                              <w:spacing w:line="109" w:lineRule="exact" w:before="28"/>
                              <w:jc w:val="center"/>
                              <w:rPr>
                                <w:b/>
                                <w:sz w:val="11"/>
                              </w:rPr>
                            </w:pPr>
                            <w:r>
                              <w:rPr>
                                <w:b/>
                                <w:spacing w:val="-4"/>
                                <w:w w:val="115"/>
                                <w:sz w:val="11"/>
                              </w:rPr>
                              <w:t>2024</w:t>
                            </w:r>
                          </w:p>
                        </w:tc>
                      </w:tr>
                      <w:tr>
                        <w:trPr>
                          <w:trHeight w:val="185" w:hRule="atLeast"/>
                        </w:trPr>
                        <w:tc>
                          <w:tcPr>
                            <w:tcW w:w="5803" w:type="dxa"/>
                            <w:tcBorders>
                              <w:top w:val="single" w:sz="4" w:space="0" w:color="000000"/>
                              <w:left w:val="single" w:sz="12" w:space="0" w:color="0000D0"/>
                              <w:bottom w:val="nil"/>
                              <w:right w:val="single" w:sz="6" w:space="0" w:color="000000"/>
                            </w:tcBorders>
                          </w:tcPr>
                          <w:p>
                            <w:pPr>
                              <w:pStyle w:val="TableParagraph"/>
                              <w:spacing w:before="38"/>
                              <w:ind w:left="17"/>
                              <w:rPr>
                                <w:b/>
                                <w:sz w:val="11"/>
                              </w:rPr>
                            </w:pPr>
                            <w:r>
                              <w:rPr>
                                <w:b/>
                                <w:w w:val="105"/>
                                <w:sz w:val="11"/>
                              </w:rPr>
                              <w:t>PATRIMONIO</w:t>
                            </w:r>
                            <w:r>
                              <w:rPr>
                                <w:b/>
                                <w:spacing w:val="3"/>
                                <w:w w:val="110"/>
                                <w:sz w:val="11"/>
                              </w:rPr>
                              <w:t> </w:t>
                            </w:r>
                            <w:r>
                              <w:rPr>
                                <w:b/>
                                <w:spacing w:val="-4"/>
                                <w:w w:val="110"/>
                                <w:sz w:val="11"/>
                              </w:rPr>
                              <w:t>NETO</w:t>
                            </w:r>
                          </w:p>
                        </w:tc>
                        <w:tc>
                          <w:tcPr>
                            <w:tcW w:w="430" w:type="dxa"/>
                            <w:tcBorders>
                              <w:top w:val="single" w:sz="4" w:space="0" w:color="000000"/>
                              <w:left w:val="single" w:sz="6" w:space="0" w:color="000000"/>
                              <w:bottom w:val="nil"/>
                              <w:right w:val="single" w:sz="6" w:space="0" w:color="000000"/>
                            </w:tcBorders>
                          </w:tcPr>
                          <w:p>
                            <w:pPr>
                              <w:pStyle w:val="TableParagraph"/>
                              <w:rPr>
                                <w:rFonts w:ascii="Times New Roman"/>
                                <w:sz w:val="10"/>
                              </w:rPr>
                            </w:pPr>
                          </w:p>
                        </w:tc>
                        <w:tc>
                          <w:tcPr>
                            <w:tcW w:w="1131" w:type="dxa"/>
                            <w:tcBorders>
                              <w:top w:val="single" w:sz="4" w:space="0" w:color="000000"/>
                              <w:left w:val="single" w:sz="6" w:space="0" w:color="000000"/>
                              <w:bottom w:val="nil"/>
                              <w:right w:val="single" w:sz="6" w:space="0" w:color="000000"/>
                            </w:tcBorders>
                          </w:tcPr>
                          <w:p>
                            <w:pPr>
                              <w:pStyle w:val="TableParagraph"/>
                              <w:spacing w:before="38"/>
                              <w:ind w:right="58"/>
                              <w:jc w:val="right"/>
                              <w:rPr>
                                <w:b/>
                                <w:sz w:val="11"/>
                              </w:rPr>
                            </w:pPr>
                            <w:r>
                              <w:rPr>
                                <w:b/>
                                <w:spacing w:val="-2"/>
                                <w:w w:val="115"/>
                                <w:sz w:val="11"/>
                              </w:rPr>
                              <w:t>58.745.431,72</w:t>
                            </w:r>
                          </w:p>
                        </w:tc>
                        <w:tc>
                          <w:tcPr>
                            <w:tcW w:w="1120" w:type="dxa"/>
                            <w:tcBorders>
                              <w:top w:val="single" w:sz="4" w:space="0" w:color="000000"/>
                              <w:left w:val="single" w:sz="6" w:space="0" w:color="000000"/>
                              <w:bottom w:val="nil"/>
                            </w:tcBorders>
                          </w:tcPr>
                          <w:p>
                            <w:pPr>
                              <w:pStyle w:val="TableParagraph"/>
                              <w:spacing w:before="38"/>
                              <w:ind w:right="55"/>
                              <w:jc w:val="right"/>
                              <w:rPr>
                                <w:b/>
                                <w:sz w:val="11"/>
                              </w:rPr>
                            </w:pPr>
                            <w:r>
                              <w:rPr>
                                <w:b/>
                                <w:spacing w:val="-2"/>
                                <w:w w:val="115"/>
                                <w:sz w:val="11"/>
                              </w:rPr>
                              <w:t>49.707.841,80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Fondos</w:t>
                            </w:r>
                            <w:r>
                              <w:rPr>
                                <w:b/>
                                <w:spacing w:val="13"/>
                                <w:sz w:val="11"/>
                              </w:rPr>
                              <w:t> </w:t>
                            </w:r>
                            <w:r>
                              <w:rPr>
                                <w:b/>
                                <w:spacing w:val="-2"/>
                                <w:sz w:val="11"/>
                              </w:rPr>
                              <w:t>propios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36.128.454,10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29.858.645,83</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Capital</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15.608.538,40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15.608.538,40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Capital</w:t>
                            </w:r>
                            <w:r>
                              <w:rPr>
                                <w:rFonts w:ascii="Tahoma"/>
                                <w:spacing w:val="-5"/>
                                <w:sz w:val="11"/>
                              </w:rPr>
                              <w:t> </w:t>
                            </w:r>
                            <w:r>
                              <w:rPr>
                                <w:rFonts w:ascii="Tahoma"/>
                                <w:spacing w:val="-2"/>
                                <w:sz w:val="11"/>
                              </w:rPr>
                              <w:t>escriturado</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10</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15.608.538,40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15.608.538,40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Reservas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14.250.107,43</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12.162.355,22</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Resultados</w:t>
                            </w:r>
                            <w:r>
                              <w:rPr>
                                <w:rFonts w:ascii="Tahoma"/>
                                <w:spacing w:val="6"/>
                                <w:sz w:val="11"/>
                              </w:rPr>
                              <w:t> </w:t>
                            </w:r>
                            <w:r>
                              <w:rPr>
                                <w:rFonts w:ascii="Tahoma"/>
                                <w:sz w:val="11"/>
                              </w:rPr>
                              <w:t>de</w:t>
                            </w:r>
                            <w:r>
                              <w:rPr>
                                <w:rFonts w:ascii="Tahoma"/>
                                <w:spacing w:val="14"/>
                                <w:sz w:val="11"/>
                              </w:rPr>
                              <w:t> </w:t>
                            </w:r>
                            <w:r>
                              <w:rPr>
                                <w:rFonts w:ascii="Tahoma"/>
                                <w:sz w:val="11"/>
                              </w:rPr>
                              <w:t>ejercicios</w:t>
                            </w:r>
                            <w:r>
                              <w:rPr>
                                <w:rFonts w:ascii="Tahoma"/>
                                <w:spacing w:val="6"/>
                                <w:sz w:val="11"/>
                              </w:rPr>
                              <w:t> </w:t>
                            </w:r>
                            <w:r>
                              <w:rPr>
                                <w:rFonts w:ascii="Tahoma"/>
                                <w:spacing w:val="-2"/>
                                <w:sz w:val="11"/>
                              </w:rPr>
                              <w:t>anteriores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(Resultados</w:t>
                            </w:r>
                            <w:r>
                              <w:rPr>
                                <w:rFonts w:ascii="Tahoma"/>
                                <w:spacing w:val="9"/>
                                <w:sz w:val="11"/>
                              </w:rPr>
                              <w:t> </w:t>
                            </w:r>
                            <w:r>
                              <w:rPr>
                                <w:rFonts w:ascii="Tahoma"/>
                                <w:sz w:val="11"/>
                              </w:rPr>
                              <w:t>negativos</w:t>
                            </w:r>
                            <w:r>
                              <w:rPr>
                                <w:rFonts w:ascii="Tahoma"/>
                                <w:spacing w:val="8"/>
                                <w:sz w:val="11"/>
                              </w:rPr>
                              <w:t> </w:t>
                            </w:r>
                            <w:r>
                              <w:rPr>
                                <w:rFonts w:ascii="Tahoma"/>
                                <w:sz w:val="11"/>
                              </w:rPr>
                              <w:t>de</w:t>
                            </w:r>
                            <w:r>
                              <w:rPr>
                                <w:rFonts w:ascii="Tahoma"/>
                                <w:spacing w:val="23"/>
                                <w:sz w:val="11"/>
                              </w:rPr>
                              <w:t> </w:t>
                            </w:r>
                            <w:r>
                              <w:rPr>
                                <w:rFonts w:ascii="Tahoma"/>
                                <w:sz w:val="11"/>
                              </w:rPr>
                              <w:t>ejercicios</w:t>
                            </w:r>
                            <w:r>
                              <w:rPr>
                                <w:rFonts w:ascii="Tahoma"/>
                                <w:spacing w:val="9"/>
                                <w:sz w:val="11"/>
                              </w:rPr>
                              <w:t> </w:t>
                            </w:r>
                            <w:r>
                              <w:rPr>
                                <w:rFonts w:ascii="Tahoma"/>
                                <w:spacing w:val="-2"/>
                                <w:sz w:val="11"/>
                              </w:rPr>
                              <w:t>anteriores)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8"/>
                                <w:sz w:val="11"/>
                              </w:rPr>
                              <w:t> </w:t>
                            </w:r>
                            <w:r>
                              <w:rPr>
                                <w:rFonts w:ascii="Tahoma"/>
                                <w:sz w:val="11"/>
                              </w:rPr>
                              <w:t>aportaciones</w:t>
                            </w:r>
                            <w:r>
                              <w:rPr>
                                <w:rFonts w:ascii="Tahoma"/>
                                <w:spacing w:val="8"/>
                                <w:sz w:val="11"/>
                              </w:rPr>
                              <w:t> </w:t>
                            </w:r>
                            <w:r>
                              <w:rPr>
                                <w:rFonts w:ascii="Tahoma"/>
                                <w:sz w:val="11"/>
                              </w:rPr>
                              <w:t>de</w:t>
                            </w:r>
                            <w:r>
                              <w:rPr>
                                <w:rFonts w:ascii="Tahoma"/>
                                <w:spacing w:val="23"/>
                                <w:sz w:val="11"/>
                              </w:rPr>
                              <w:t> </w:t>
                            </w:r>
                            <w:r>
                              <w:rPr>
                                <w:rFonts w:ascii="Tahoma"/>
                                <w:spacing w:val="-2"/>
                                <w:sz w:val="11"/>
                              </w:rPr>
                              <w:t>socios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Resultado</w:t>
                            </w:r>
                            <w:r>
                              <w:rPr>
                                <w:rFonts w:ascii="Tahoma"/>
                                <w:spacing w:val="13"/>
                                <w:sz w:val="11"/>
                              </w:rPr>
                              <w:t> </w:t>
                            </w:r>
                            <w:r>
                              <w:rPr>
                                <w:rFonts w:ascii="Tahoma"/>
                                <w:sz w:val="11"/>
                              </w:rPr>
                              <w:t>del</w:t>
                            </w:r>
                            <w:r>
                              <w:rPr>
                                <w:rFonts w:ascii="Tahoma"/>
                                <w:spacing w:val="3"/>
                                <w:sz w:val="11"/>
                              </w:rPr>
                              <w:t> </w:t>
                            </w:r>
                            <w:r>
                              <w:rPr>
                                <w:rFonts w:ascii="Tahoma"/>
                                <w:spacing w:val="-2"/>
                                <w:sz w:val="11"/>
                              </w:rPr>
                              <w:t>ejercicio</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3</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6.269.808,27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2.087.752,21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Subvenciones,</w:t>
                            </w:r>
                            <w:r>
                              <w:rPr>
                                <w:b/>
                                <w:spacing w:val="1"/>
                                <w:w w:val="105"/>
                                <w:sz w:val="11"/>
                              </w:rPr>
                              <w:t> </w:t>
                            </w:r>
                            <w:r>
                              <w:rPr>
                                <w:b/>
                                <w:w w:val="105"/>
                                <w:sz w:val="11"/>
                              </w:rPr>
                              <w:t>donaciones</w:t>
                            </w:r>
                            <w:r>
                              <w:rPr>
                                <w:b/>
                                <w:spacing w:val="-1"/>
                                <w:w w:val="105"/>
                                <w:sz w:val="11"/>
                              </w:rPr>
                              <w:t> </w:t>
                            </w:r>
                            <w:r>
                              <w:rPr>
                                <w:b/>
                                <w:w w:val="105"/>
                                <w:sz w:val="11"/>
                              </w:rPr>
                              <w:t>y</w:t>
                            </w:r>
                            <w:r>
                              <w:rPr>
                                <w:b/>
                                <w:spacing w:val="2"/>
                                <w:w w:val="105"/>
                                <w:sz w:val="11"/>
                              </w:rPr>
                              <w:t> </w:t>
                            </w:r>
                            <w:r>
                              <w:rPr>
                                <w:b/>
                                <w:w w:val="105"/>
                                <w:sz w:val="11"/>
                              </w:rPr>
                              <w:t>legados</w:t>
                            </w:r>
                            <w:r>
                              <w:rPr>
                                <w:b/>
                                <w:spacing w:val="-1"/>
                                <w:w w:val="105"/>
                                <w:sz w:val="11"/>
                              </w:rPr>
                              <w:t> </w:t>
                            </w:r>
                            <w:r>
                              <w:rPr>
                                <w:b/>
                                <w:spacing w:val="-2"/>
                                <w:w w:val="105"/>
                                <w:sz w:val="11"/>
                              </w:rPr>
                              <w:t>recibidos</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16</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22.616.977,62</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19.849.195,97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PASIVO</w:t>
                            </w:r>
                            <w:r>
                              <w:rPr>
                                <w:b/>
                                <w:spacing w:val="11"/>
                                <w:sz w:val="11"/>
                              </w:rPr>
                              <w:t> </w:t>
                            </w:r>
                            <w:r>
                              <w:rPr>
                                <w:b/>
                                <w:sz w:val="11"/>
                              </w:rPr>
                              <w:t>NO</w:t>
                            </w:r>
                            <w:r>
                              <w:rPr>
                                <w:b/>
                                <w:spacing w:val="11"/>
                                <w:sz w:val="11"/>
                              </w:rPr>
                              <w:t> </w:t>
                            </w:r>
                            <w:r>
                              <w:rPr>
                                <w:b/>
                                <w:spacing w:val="-2"/>
                                <w:sz w:val="11"/>
                              </w:rPr>
                              <w:t>CORRIENTE</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72.807.915,23</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61.510.631,38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Provisiones</w:t>
                            </w:r>
                            <w:r>
                              <w:rPr>
                                <w:b/>
                                <w:spacing w:val="-3"/>
                                <w:w w:val="105"/>
                                <w:sz w:val="11"/>
                              </w:rPr>
                              <w:t> </w:t>
                            </w:r>
                            <w:r>
                              <w:rPr>
                                <w:b/>
                                <w:w w:val="105"/>
                                <w:sz w:val="11"/>
                              </w:rPr>
                              <w:t>a</w:t>
                            </w:r>
                            <w:r>
                              <w:rPr>
                                <w:b/>
                                <w:spacing w:val="-2"/>
                                <w:w w:val="105"/>
                                <w:sz w:val="11"/>
                              </w:rPr>
                              <w:t> </w:t>
                            </w:r>
                            <w:r>
                              <w:rPr>
                                <w:b/>
                                <w:w w:val="105"/>
                                <w:sz w:val="11"/>
                              </w:rPr>
                              <w:t>largo</w:t>
                            </w:r>
                            <w:r>
                              <w:rPr>
                                <w:b/>
                                <w:spacing w:val="2"/>
                                <w:w w:val="105"/>
                                <w:sz w:val="11"/>
                              </w:rPr>
                              <w:t> </w:t>
                            </w:r>
                            <w:r>
                              <w:rPr>
                                <w:b/>
                                <w:spacing w:val="-4"/>
                                <w:w w:val="105"/>
                                <w:sz w:val="11"/>
                              </w:rPr>
                              <w:t>plazo</w:t>
                            </w:r>
                          </w:p>
                        </w:tc>
                        <w:tc>
                          <w:tcPr>
                            <w:tcW w:w="430" w:type="dxa"/>
                            <w:tcBorders>
                              <w:top w:val="nil"/>
                              <w:left w:val="single" w:sz="6" w:space="0" w:color="000000"/>
                              <w:bottom w:val="nil"/>
                              <w:right w:val="single" w:sz="12" w:space="0" w:color="000000"/>
                            </w:tcBorders>
                          </w:tcPr>
                          <w:p>
                            <w:pPr>
                              <w:pStyle w:val="TableParagraph"/>
                              <w:rPr>
                                <w:rFonts w:ascii="Times New Roman"/>
                                <w:sz w:val="10"/>
                              </w:rPr>
                            </w:pPr>
                          </w:p>
                        </w:tc>
                        <w:tc>
                          <w:tcPr>
                            <w:tcW w:w="1131" w:type="dxa"/>
                            <w:tcBorders>
                              <w:top w:val="nil"/>
                              <w:left w:val="single" w:sz="12" w:space="0" w:color="000000"/>
                              <w:bottom w:val="nil"/>
                              <w:right w:val="single" w:sz="12" w:space="0" w:color="000000"/>
                            </w:tcBorders>
                          </w:tcPr>
                          <w:p>
                            <w:pPr>
                              <w:pStyle w:val="TableParagraph"/>
                              <w:spacing w:before="30"/>
                              <w:ind w:right="50"/>
                              <w:jc w:val="right"/>
                              <w:rPr>
                                <w:b/>
                                <w:sz w:val="11"/>
                              </w:rPr>
                            </w:pPr>
                            <w:r>
                              <w:rPr>
                                <w:b/>
                                <w:spacing w:val="-2"/>
                                <w:w w:val="115"/>
                                <w:sz w:val="11"/>
                              </w:rPr>
                              <w:t>7.367.163,82</w:t>
                            </w:r>
                          </w:p>
                        </w:tc>
                        <w:tc>
                          <w:tcPr>
                            <w:tcW w:w="1120" w:type="dxa"/>
                            <w:tcBorders>
                              <w:top w:val="nil"/>
                              <w:left w:val="single" w:sz="12" w:space="0" w:color="000000"/>
                              <w:bottom w:val="nil"/>
                            </w:tcBorders>
                          </w:tcPr>
                          <w:p>
                            <w:pPr>
                              <w:pStyle w:val="TableParagraph"/>
                              <w:spacing w:before="30"/>
                              <w:ind w:right="55"/>
                              <w:jc w:val="right"/>
                              <w:rPr>
                                <w:b/>
                                <w:sz w:val="11"/>
                              </w:rPr>
                            </w:pPr>
                            <w:r>
                              <w:rPr>
                                <w:b/>
                                <w:spacing w:val="-2"/>
                                <w:w w:val="115"/>
                                <w:sz w:val="11"/>
                              </w:rPr>
                              <w:t>4.244.031,60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3"/>
                                <w:sz w:val="11"/>
                              </w:rPr>
                              <w:t> </w:t>
                            </w:r>
                            <w:r>
                              <w:rPr>
                                <w:rFonts w:ascii="Tahoma"/>
                                <w:sz w:val="11"/>
                              </w:rPr>
                              <w:t>provisiones</w:t>
                            </w:r>
                            <w:r>
                              <w:rPr>
                                <w:rFonts w:ascii="Tahoma"/>
                                <w:spacing w:val="6"/>
                                <w:sz w:val="11"/>
                              </w:rPr>
                              <w:t> </w:t>
                            </w:r>
                            <w:r>
                              <w:rPr>
                                <w:rFonts w:asci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7.367.163,82</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4.244.031,60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Deudas</w:t>
                            </w:r>
                            <w:r>
                              <w:rPr>
                                <w:b/>
                                <w:spacing w:val="-1"/>
                                <w:w w:val="105"/>
                                <w:sz w:val="11"/>
                              </w:rPr>
                              <w:t> </w:t>
                            </w:r>
                            <w:r>
                              <w:rPr>
                                <w:b/>
                                <w:w w:val="105"/>
                                <w:sz w:val="11"/>
                              </w:rPr>
                              <w:t>a</w:t>
                            </w:r>
                            <w:r>
                              <w:rPr>
                                <w:b/>
                                <w:spacing w:val="3"/>
                                <w:w w:val="105"/>
                                <w:sz w:val="11"/>
                              </w:rPr>
                              <w:t> </w:t>
                            </w:r>
                            <w:r>
                              <w:rPr>
                                <w:b/>
                                <w:w w:val="105"/>
                                <w:sz w:val="11"/>
                              </w:rPr>
                              <w:t>largo</w:t>
                            </w:r>
                            <w:r>
                              <w:rPr>
                                <w:b/>
                                <w:spacing w:val="9"/>
                                <w:w w:val="105"/>
                                <w:sz w:val="11"/>
                              </w:rPr>
                              <w:t> </w:t>
                            </w:r>
                            <w:r>
                              <w:rPr>
                                <w:b/>
                                <w:spacing w:val="-2"/>
                                <w:w w:val="105"/>
                                <w:sz w:val="11"/>
                              </w:rPr>
                              <w:t>plazo</w:t>
                            </w:r>
                          </w:p>
                        </w:tc>
                        <w:tc>
                          <w:tcPr>
                            <w:tcW w:w="430" w:type="dxa"/>
                            <w:tcBorders>
                              <w:top w:val="nil"/>
                              <w:left w:val="single" w:sz="6" w:space="0" w:color="000000"/>
                              <w:bottom w:val="nil"/>
                              <w:right w:val="single" w:sz="6" w:space="0" w:color="000000"/>
                            </w:tcBorders>
                          </w:tcPr>
                          <w:p>
                            <w:pPr>
                              <w:pStyle w:val="TableParagraph"/>
                              <w:spacing w:before="23"/>
                              <w:ind w:left="1" w:right="4"/>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65.440.751,41</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57.266.599,78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Deudas</w:t>
                            </w:r>
                            <w:r>
                              <w:rPr>
                                <w:rFonts w:ascii="Tahoma" w:hAnsi="Tahoma"/>
                                <w:spacing w:val="9"/>
                                <w:sz w:val="11"/>
                              </w:rPr>
                              <w:t> </w:t>
                            </w:r>
                            <w:r>
                              <w:rPr>
                                <w:rFonts w:ascii="Tahoma" w:hAnsi="Tahoma"/>
                                <w:sz w:val="11"/>
                              </w:rPr>
                              <w:t>con</w:t>
                            </w:r>
                            <w:r>
                              <w:rPr>
                                <w:rFonts w:ascii="Tahoma" w:hAnsi="Tahoma"/>
                                <w:spacing w:val="19"/>
                                <w:sz w:val="11"/>
                              </w:rPr>
                              <w:t> </w:t>
                            </w:r>
                            <w:r>
                              <w:rPr>
                                <w:rFonts w:ascii="Tahoma" w:hAnsi="Tahoma"/>
                                <w:sz w:val="11"/>
                              </w:rPr>
                              <w:t>entidades</w:t>
                            </w:r>
                            <w:r>
                              <w:rPr>
                                <w:rFonts w:ascii="Tahoma" w:hAnsi="Tahoma"/>
                                <w:spacing w:val="9"/>
                                <w:sz w:val="11"/>
                              </w:rPr>
                              <w:t> </w:t>
                            </w:r>
                            <w:r>
                              <w:rPr>
                                <w:rFonts w:ascii="Tahoma" w:hAnsi="Tahoma"/>
                                <w:sz w:val="11"/>
                              </w:rPr>
                              <w:t>de</w:t>
                            </w:r>
                            <w:r>
                              <w:rPr>
                                <w:rFonts w:ascii="Tahoma" w:hAnsi="Tahoma"/>
                                <w:spacing w:val="24"/>
                                <w:sz w:val="11"/>
                              </w:rPr>
                              <w:t> </w:t>
                            </w:r>
                            <w:r>
                              <w:rPr>
                                <w:rFonts w:ascii="Tahoma" w:hAnsi="Tahoma"/>
                                <w:sz w:val="11"/>
                              </w:rPr>
                              <w:t>crédito</w:t>
                            </w:r>
                            <w:r>
                              <w:rPr>
                                <w:rFonts w:ascii="Tahoma" w:hAnsi="Tahoma"/>
                                <w:spacing w:val="20"/>
                                <w:sz w:val="11"/>
                              </w:rPr>
                              <w:t> </w:t>
                            </w:r>
                            <w:r>
                              <w:rPr>
                                <w:rFonts w:ascii="Tahoma" w:hAns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65.090.163,27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56.928.273,34</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Otros</w:t>
                            </w:r>
                            <w:r>
                              <w:rPr>
                                <w:rFonts w:ascii="Tahoma"/>
                                <w:spacing w:val="2"/>
                                <w:sz w:val="11"/>
                              </w:rPr>
                              <w:t> </w:t>
                            </w:r>
                            <w:r>
                              <w:rPr>
                                <w:rFonts w:ascii="Tahoma"/>
                                <w:sz w:val="11"/>
                              </w:rPr>
                              <w:t>pasivos</w:t>
                            </w:r>
                            <w:r>
                              <w:rPr>
                                <w:rFonts w:ascii="Tahoma"/>
                                <w:spacing w:val="3"/>
                                <w:sz w:val="11"/>
                              </w:rPr>
                              <w:t> </w:t>
                            </w:r>
                            <w:r>
                              <w:rPr>
                                <w:rFonts w:ascii="Tahoma"/>
                                <w:sz w:val="11"/>
                              </w:rPr>
                              <w:t>financieros</w:t>
                            </w:r>
                            <w:r>
                              <w:rPr>
                                <w:rFonts w:ascii="Tahoma"/>
                                <w:spacing w:val="6"/>
                                <w:sz w:val="11"/>
                              </w:rPr>
                              <w:t> </w:t>
                            </w:r>
                            <w:r>
                              <w:rPr>
                                <w:rFonts w:ascii="Tahoma"/>
                                <w:spacing w:val="-5"/>
                                <w:sz w:val="11"/>
                              </w:rPr>
                              <w:t>lp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350.588,14</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338.326,44</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Pasivos</w:t>
                            </w:r>
                            <w:r>
                              <w:rPr>
                                <w:b/>
                                <w:spacing w:val="1"/>
                                <w:w w:val="105"/>
                                <w:sz w:val="11"/>
                              </w:rPr>
                              <w:t> </w:t>
                            </w:r>
                            <w:r>
                              <w:rPr>
                                <w:b/>
                                <w:w w:val="105"/>
                                <w:sz w:val="11"/>
                              </w:rPr>
                              <w:t>por impuesto</w:t>
                            </w:r>
                            <w:r>
                              <w:rPr>
                                <w:b/>
                                <w:spacing w:val="10"/>
                                <w:w w:val="105"/>
                                <w:sz w:val="11"/>
                              </w:rPr>
                              <w:t> </w:t>
                            </w:r>
                            <w:r>
                              <w:rPr>
                                <w:b/>
                                <w:spacing w:val="-2"/>
                                <w:w w:val="105"/>
                                <w:sz w:val="11"/>
                              </w:rPr>
                              <w:t>diferido</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4"/>
                                <w:w w:val="115"/>
                                <w:sz w:val="11"/>
                              </w:rPr>
                              <w:t>0,00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4"/>
                                <w:w w:val="115"/>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sz w:val="11"/>
                              </w:rPr>
                              <w:t>PASIVO</w:t>
                            </w:r>
                            <w:r>
                              <w:rPr>
                                <w:b/>
                                <w:spacing w:val="22"/>
                                <w:sz w:val="11"/>
                              </w:rPr>
                              <w:t> </w:t>
                            </w:r>
                            <w:r>
                              <w:rPr>
                                <w:b/>
                                <w:spacing w:val="-2"/>
                                <w:sz w:val="11"/>
                              </w:rPr>
                              <w:t>CORRIENTE</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25.519.174,42</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21.667.999,59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Provisiones</w:t>
                            </w:r>
                            <w:r>
                              <w:rPr>
                                <w:b/>
                                <w:spacing w:val="1"/>
                                <w:w w:val="105"/>
                                <w:sz w:val="11"/>
                              </w:rPr>
                              <w:t> </w:t>
                            </w:r>
                            <w:r>
                              <w:rPr>
                                <w:b/>
                                <w:w w:val="105"/>
                                <w:sz w:val="11"/>
                              </w:rPr>
                              <w:t>a</w:t>
                            </w:r>
                            <w:r>
                              <w:rPr>
                                <w:b/>
                                <w:spacing w:val="1"/>
                                <w:w w:val="105"/>
                                <w:sz w:val="11"/>
                              </w:rPr>
                              <w:t> </w:t>
                            </w:r>
                            <w:r>
                              <w:rPr>
                                <w:b/>
                                <w:w w:val="105"/>
                                <w:sz w:val="11"/>
                              </w:rPr>
                              <w:t>corto</w:t>
                            </w:r>
                            <w:r>
                              <w:rPr>
                                <w:b/>
                                <w:spacing w:val="8"/>
                                <w:w w:val="105"/>
                                <w:sz w:val="11"/>
                              </w:rPr>
                              <w:t> </w:t>
                            </w:r>
                            <w:r>
                              <w:rPr>
                                <w:b/>
                                <w:spacing w:val="-2"/>
                                <w:w w:val="105"/>
                                <w:sz w:val="11"/>
                              </w:rPr>
                              <w:t>plazo</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4"/>
                                <w:w w:val="115"/>
                                <w:sz w:val="11"/>
                              </w:rPr>
                              <w:t>0,00</w:t>
                            </w:r>
                          </w:p>
                        </w:tc>
                        <w:tc>
                          <w:tcPr>
                            <w:tcW w:w="1120" w:type="dxa"/>
                            <w:tcBorders>
                              <w:top w:val="nil"/>
                              <w:left w:val="single" w:sz="6" w:space="0" w:color="000000"/>
                              <w:bottom w:val="nil"/>
                            </w:tcBorders>
                          </w:tcPr>
                          <w:p>
                            <w:pPr>
                              <w:pStyle w:val="TableParagraph"/>
                              <w:spacing w:before="30"/>
                              <w:ind w:right="55"/>
                              <w:jc w:val="right"/>
                              <w:rPr>
                                <w:b/>
                                <w:sz w:val="11"/>
                              </w:rPr>
                            </w:pPr>
                            <w:r>
                              <w:rPr>
                                <w:b/>
                                <w:spacing w:val="-4"/>
                                <w:w w:val="115"/>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Otras</w:t>
                            </w:r>
                            <w:r>
                              <w:rPr>
                                <w:rFonts w:ascii="Tahoma"/>
                                <w:spacing w:val="5"/>
                                <w:sz w:val="11"/>
                              </w:rPr>
                              <w:t> </w:t>
                            </w:r>
                            <w:r>
                              <w:rPr>
                                <w:rFonts w:ascii="Tahoma"/>
                                <w:spacing w:val="-2"/>
                                <w:sz w:val="11"/>
                              </w:rPr>
                              <w:t>provisiones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4"/>
                                <w:sz w:val="11"/>
                              </w:rPr>
                              <w:t>0,00</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Deudas</w:t>
                            </w:r>
                            <w:r>
                              <w:rPr>
                                <w:b/>
                                <w:spacing w:val="5"/>
                                <w:w w:val="105"/>
                                <w:sz w:val="11"/>
                              </w:rPr>
                              <w:t> </w:t>
                            </w:r>
                            <w:r>
                              <w:rPr>
                                <w:b/>
                                <w:w w:val="105"/>
                                <w:sz w:val="11"/>
                              </w:rPr>
                              <w:t>a</w:t>
                            </w:r>
                            <w:r>
                              <w:rPr>
                                <w:b/>
                                <w:spacing w:val="7"/>
                                <w:w w:val="105"/>
                                <w:sz w:val="11"/>
                              </w:rPr>
                              <w:t> </w:t>
                            </w:r>
                            <w:r>
                              <w:rPr>
                                <w:b/>
                                <w:w w:val="105"/>
                                <w:sz w:val="11"/>
                              </w:rPr>
                              <w:t>corto</w:t>
                            </w:r>
                            <w:r>
                              <w:rPr>
                                <w:b/>
                                <w:spacing w:val="16"/>
                                <w:w w:val="105"/>
                                <w:sz w:val="11"/>
                              </w:rPr>
                              <w:t> </w:t>
                            </w:r>
                            <w:r>
                              <w:rPr>
                                <w:b/>
                                <w:spacing w:val="-4"/>
                                <w:w w:val="105"/>
                                <w:sz w:val="11"/>
                              </w:rPr>
                              <w:t>plazo</w:t>
                            </w:r>
                          </w:p>
                        </w:tc>
                        <w:tc>
                          <w:tcPr>
                            <w:tcW w:w="430" w:type="dxa"/>
                            <w:tcBorders>
                              <w:top w:val="nil"/>
                              <w:left w:val="single" w:sz="6" w:space="0" w:color="000000"/>
                              <w:bottom w:val="nil"/>
                              <w:right w:val="single" w:sz="6" w:space="0" w:color="000000"/>
                            </w:tcBorders>
                          </w:tcPr>
                          <w:p>
                            <w:pPr>
                              <w:pStyle w:val="TableParagraph"/>
                              <w:spacing w:before="23"/>
                              <w:ind w:left="1" w:right="4"/>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30"/>
                              <w:ind w:right="57"/>
                              <w:jc w:val="right"/>
                              <w:rPr>
                                <w:b/>
                                <w:sz w:val="11"/>
                              </w:rPr>
                            </w:pPr>
                            <w:r>
                              <w:rPr>
                                <w:b/>
                                <w:spacing w:val="-2"/>
                                <w:w w:val="115"/>
                                <w:sz w:val="11"/>
                              </w:rPr>
                              <w:t>14.804.525,83</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10.317.186,51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Deudas</w:t>
                            </w:r>
                            <w:r>
                              <w:rPr>
                                <w:rFonts w:ascii="Tahoma" w:hAnsi="Tahoma"/>
                                <w:spacing w:val="9"/>
                                <w:sz w:val="11"/>
                              </w:rPr>
                              <w:t> </w:t>
                            </w:r>
                            <w:r>
                              <w:rPr>
                                <w:rFonts w:ascii="Tahoma" w:hAnsi="Tahoma"/>
                                <w:sz w:val="11"/>
                              </w:rPr>
                              <w:t>con</w:t>
                            </w:r>
                            <w:r>
                              <w:rPr>
                                <w:rFonts w:ascii="Tahoma" w:hAnsi="Tahoma"/>
                                <w:spacing w:val="19"/>
                                <w:sz w:val="11"/>
                              </w:rPr>
                              <w:t> </w:t>
                            </w:r>
                            <w:r>
                              <w:rPr>
                                <w:rFonts w:ascii="Tahoma" w:hAnsi="Tahoma"/>
                                <w:sz w:val="11"/>
                              </w:rPr>
                              <w:t>entidades</w:t>
                            </w:r>
                            <w:r>
                              <w:rPr>
                                <w:rFonts w:ascii="Tahoma" w:hAnsi="Tahoma"/>
                                <w:spacing w:val="9"/>
                                <w:sz w:val="11"/>
                              </w:rPr>
                              <w:t> </w:t>
                            </w:r>
                            <w:r>
                              <w:rPr>
                                <w:rFonts w:ascii="Tahoma" w:hAnsi="Tahoma"/>
                                <w:sz w:val="11"/>
                              </w:rPr>
                              <w:t>de</w:t>
                            </w:r>
                            <w:r>
                              <w:rPr>
                                <w:rFonts w:ascii="Tahoma" w:hAnsi="Tahoma"/>
                                <w:spacing w:val="24"/>
                                <w:sz w:val="11"/>
                              </w:rPr>
                              <w:t> </w:t>
                            </w:r>
                            <w:r>
                              <w:rPr>
                                <w:rFonts w:ascii="Tahoma" w:hAnsi="Tahoma"/>
                                <w:sz w:val="11"/>
                              </w:rPr>
                              <w:t>crédito</w:t>
                            </w:r>
                            <w:r>
                              <w:rPr>
                                <w:rFonts w:ascii="Tahoma" w:hAnsi="Tahoma"/>
                                <w:spacing w:val="20"/>
                                <w:sz w:val="11"/>
                              </w:rPr>
                              <w:t> </w:t>
                            </w:r>
                            <w:r>
                              <w:rPr>
                                <w:rFonts w:ascii="Tahoma" w:hAnsi="Tahoma"/>
                                <w:spacing w:val="-5"/>
                                <w:sz w:val="11"/>
                              </w:rPr>
                              <w:t>cp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10.108.740,17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6.743.681,89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Otros</w:t>
                            </w:r>
                            <w:r>
                              <w:rPr>
                                <w:rFonts w:ascii="Tahoma"/>
                                <w:spacing w:val="2"/>
                                <w:sz w:val="11"/>
                              </w:rPr>
                              <w:t> </w:t>
                            </w:r>
                            <w:r>
                              <w:rPr>
                                <w:rFonts w:ascii="Tahoma"/>
                                <w:sz w:val="11"/>
                              </w:rPr>
                              <w:t>pasivos</w:t>
                            </w:r>
                            <w:r>
                              <w:rPr>
                                <w:rFonts w:ascii="Tahoma"/>
                                <w:spacing w:val="3"/>
                                <w:sz w:val="11"/>
                              </w:rPr>
                              <w:t> </w:t>
                            </w:r>
                            <w:r>
                              <w:rPr>
                                <w:rFonts w:ascii="Tahoma"/>
                                <w:sz w:val="11"/>
                              </w:rPr>
                              <w:t>financieros</w:t>
                            </w:r>
                            <w:r>
                              <w:rPr>
                                <w:rFonts w:ascii="Tahoma"/>
                                <w:spacing w:val="6"/>
                                <w:sz w:val="11"/>
                              </w:rPr>
                              <w:t> </w:t>
                            </w:r>
                            <w:r>
                              <w:rPr>
                                <w:rFonts w:ascii="Tahoma"/>
                                <w:spacing w:val="-5"/>
                                <w:sz w:val="11"/>
                              </w:rPr>
                              <w:t>cp</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4.695.785,66</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3.573.504,62</w:t>
                            </w:r>
                          </w:p>
                        </w:tc>
                      </w:tr>
                      <w:tr>
                        <w:trPr>
                          <w:trHeight w:val="177" w:hRule="atLeast"/>
                        </w:trPr>
                        <w:tc>
                          <w:tcPr>
                            <w:tcW w:w="5803" w:type="dxa"/>
                            <w:tcBorders>
                              <w:top w:val="nil"/>
                              <w:left w:val="single" w:sz="12" w:space="0" w:color="0000D0"/>
                              <w:bottom w:val="nil"/>
                              <w:right w:val="single" w:sz="18" w:space="0" w:color="008000"/>
                            </w:tcBorders>
                          </w:tcPr>
                          <w:p>
                            <w:pPr>
                              <w:pStyle w:val="TableParagraph"/>
                              <w:spacing w:before="30"/>
                              <w:ind w:left="17"/>
                              <w:rPr>
                                <w:b/>
                                <w:sz w:val="11"/>
                              </w:rPr>
                            </w:pPr>
                            <w:r>
                              <w:rPr>
                                <w:b/>
                                <w:w w:val="105"/>
                                <w:sz w:val="11"/>
                              </w:rPr>
                              <w:t>Deudas con</w:t>
                            </w:r>
                            <w:r>
                              <w:rPr>
                                <w:b/>
                                <w:spacing w:val="7"/>
                                <w:w w:val="105"/>
                                <w:sz w:val="11"/>
                              </w:rPr>
                              <w:t> </w:t>
                            </w:r>
                            <w:r>
                              <w:rPr>
                                <w:b/>
                                <w:w w:val="105"/>
                                <w:sz w:val="11"/>
                              </w:rPr>
                              <w:t>empresas</w:t>
                            </w:r>
                            <w:r>
                              <w:rPr>
                                <w:b/>
                                <w:spacing w:val="1"/>
                                <w:w w:val="105"/>
                                <w:sz w:val="11"/>
                              </w:rPr>
                              <w:t> </w:t>
                            </w:r>
                            <w:r>
                              <w:rPr>
                                <w:b/>
                                <w:w w:val="105"/>
                                <w:sz w:val="11"/>
                              </w:rPr>
                              <w:t>del</w:t>
                            </w:r>
                            <w:r>
                              <w:rPr>
                                <w:b/>
                                <w:spacing w:val="-3"/>
                                <w:w w:val="105"/>
                                <w:sz w:val="11"/>
                              </w:rPr>
                              <w:t> </w:t>
                            </w:r>
                            <w:r>
                              <w:rPr>
                                <w:b/>
                                <w:w w:val="105"/>
                                <w:sz w:val="11"/>
                              </w:rPr>
                              <w:t>grupo</w:t>
                            </w:r>
                            <w:r>
                              <w:rPr>
                                <w:b/>
                                <w:spacing w:val="9"/>
                                <w:w w:val="105"/>
                                <w:sz w:val="11"/>
                              </w:rPr>
                              <w:t> </w:t>
                            </w:r>
                            <w:r>
                              <w:rPr>
                                <w:b/>
                                <w:w w:val="105"/>
                                <w:sz w:val="11"/>
                              </w:rPr>
                              <w:t>y</w:t>
                            </w:r>
                            <w:r>
                              <w:rPr>
                                <w:b/>
                                <w:spacing w:val="5"/>
                                <w:w w:val="105"/>
                                <w:sz w:val="11"/>
                              </w:rPr>
                              <w:t> </w:t>
                            </w:r>
                            <w:r>
                              <w:rPr>
                                <w:b/>
                                <w:w w:val="105"/>
                                <w:sz w:val="11"/>
                              </w:rPr>
                              <w:t>asociadas</w:t>
                            </w:r>
                            <w:r>
                              <w:rPr>
                                <w:b/>
                                <w:spacing w:val="1"/>
                                <w:w w:val="105"/>
                                <w:sz w:val="11"/>
                              </w:rPr>
                              <w:t> </w:t>
                            </w:r>
                            <w:r>
                              <w:rPr>
                                <w:b/>
                                <w:w w:val="105"/>
                                <w:sz w:val="11"/>
                              </w:rPr>
                              <w:t>a</w:t>
                            </w:r>
                            <w:r>
                              <w:rPr>
                                <w:b/>
                                <w:spacing w:val="-1"/>
                                <w:w w:val="105"/>
                                <w:sz w:val="11"/>
                              </w:rPr>
                              <w:t> </w:t>
                            </w:r>
                            <w:r>
                              <w:rPr>
                                <w:b/>
                                <w:w w:val="105"/>
                                <w:sz w:val="11"/>
                              </w:rPr>
                              <w:t>corto</w:t>
                            </w:r>
                            <w:r>
                              <w:rPr>
                                <w:b/>
                                <w:spacing w:val="9"/>
                                <w:w w:val="105"/>
                                <w:sz w:val="11"/>
                              </w:rPr>
                              <w:t> </w:t>
                            </w:r>
                            <w:r>
                              <w:rPr>
                                <w:b/>
                                <w:spacing w:val="-2"/>
                                <w:w w:val="105"/>
                                <w:sz w:val="11"/>
                              </w:rPr>
                              <w:t>plazo</w:t>
                            </w:r>
                          </w:p>
                        </w:tc>
                        <w:tc>
                          <w:tcPr>
                            <w:tcW w:w="430" w:type="dxa"/>
                            <w:tcBorders>
                              <w:top w:val="nil"/>
                              <w:left w:val="single" w:sz="18" w:space="0" w:color="008000"/>
                              <w:bottom w:val="nil"/>
                              <w:right w:val="single" w:sz="6" w:space="0" w:color="000000"/>
                            </w:tcBorders>
                          </w:tcPr>
                          <w:p>
                            <w:pPr>
                              <w:pStyle w:val="TableParagraph"/>
                              <w:spacing w:before="23"/>
                              <w:ind w:left="20" w:right="38"/>
                              <w:jc w:val="center"/>
                              <w:rPr>
                                <w:rFonts w:ascii="Tahoma"/>
                                <w:sz w:val="11"/>
                              </w:rPr>
                            </w:pPr>
                            <w:r>
                              <w:rPr>
                                <w:rFonts w:ascii="Tahoma"/>
                                <w:sz w:val="11"/>
                              </w:rPr>
                              <w:t>9-</w:t>
                            </w:r>
                            <w:r>
                              <w:rPr>
                                <w:rFonts w:ascii="Tahoma"/>
                                <w:spacing w:val="-5"/>
                                <w:sz w:val="11"/>
                              </w:rPr>
                              <w:t>18</w:t>
                            </w: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80.757,49</w:t>
                            </w:r>
                          </w:p>
                        </w:tc>
                        <w:tc>
                          <w:tcPr>
                            <w:tcW w:w="1120" w:type="dxa"/>
                            <w:tcBorders>
                              <w:top w:val="nil"/>
                              <w:left w:val="single" w:sz="6" w:space="0" w:color="000000"/>
                              <w:bottom w:val="nil"/>
                            </w:tcBorders>
                          </w:tcPr>
                          <w:p>
                            <w:pPr>
                              <w:pStyle w:val="TableParagraph"/>
                              <w:spacing w:before="30"/>
                              <w:ind w:right="54"/>
                              <w:jc w:val="right"/>
                              <w:rPr>
                                <w:b/>
                                <w:sz w:val="11"/>
                              </w:rPr>
                            </w:pPr>
                            <w:r>
                              <w:rPr>
                                <w:b/>
                                <w:spacing w:val="-2"/>
                                <w:w w:val="115"/>
                                <w:sz w:val="11"/>
                              </w:rPr>
                              <w:t>80.757,49</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30"/>
                              <w:ind w:left="17"/>
                              <w:rPr>
                                <w:b/>
                                <w:sz w:val="11"/>
                              </w:rPr>
                            </w:pPr>
                            <w:r>
                              <w:rPr>
                                <w:b/>
                                <w:w w:val="105"/>
                                <w:sz w:val="11"/>
                              </w:rPr>
                              <w:t>Acreedores comerciales y</w:t>
                            </w:r>
                            <w:r>
                              <w:rPr>
                                <w:b/>
                                <w:spacing w:val="4"/>
                                <w:w w:val="105"/>
                                <w:sz w:val="11"/>
                              </w:rPr>
                              <w:t> </w:t>
                            </w:r>
                            <w:r>
                              <w:rPr>
                                <w:b/>
                                <w:w w:val="105"/>
                                <w:sz w:val="11"/>
                              </w:rPr>
                              <w:t>otras</w:t>
                            </w:r>
                            <w:r>
                              <w:rPr>
                                <w:b/>
                                <w:spacing w:val="1"/>
                                <w:w w:val="105"/>
                                <w:sz w:val="11"/>
                              </w:rPr>
                              <w:t> </w:t>
                            </w:r>
                            <w:r>
                              <w:rPr>
                                <w:b/>
                                <w:w w:val="105"/>
                                <w:sz w:val="11"/>
                              </w:rPr>
                              <w:t>cuentas</w:t>
                            </w:r>
                            <w:r>
                              <w:rPr>
                                <w:b/>
                                <w:spacing w:val="-1"/>
                                <w:w w:val="105"/>
                                <w:sz w:val="11"/>
                              </w:rPr>
                              <w:t> </w:t>
                            </w:r>
                            <w:r>
                              <w:rPr>
                                <w:b/>
                                <w:w w:val="105"/>
                                <w:sz w:val="11"/>
                              </w:rPr>
                              <w:t>a </w:t>
                            </w:r>
                            <w:r>
                              <w:rPr>
                                <w:b/>
                                <w:spacing w:val="-2"/>
                                <w:w w:val="105"/>
                                <w:sz w:val="11"/>
                              </w:rPr>
                              <w:t>pagar</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30"/>
                              <w:ind w:right="58"/>
                              <w:jc w:val="right"/>
                              <w:rPr>
                                <w:b/>
                                <w:sz w:val="11"/>
                              </w:rPr>
                            </w:pPr>
                            <w:r>
                              <w:rPr>
                                <w:b/>
                                <w:spacing w:val="-2"/>
                                <w:w w:val="115"/>
                                <w:sz w:val="11"/>
                              </w:rPr>
                              <w:t>9.344.079,11</w:t>
                            </w:r>
                          </w:p>
                        </w:tc>
                        <w:tc>
                          <w:tcPr>
                            <w:tcW w:w="1120" w:type="dxa"/>
                            <w:tcBorders>
                              <w:top w:val="nil"/>
                              <w:left w:val="single" w:sz="6" w:space="0" w:color="000000"/>
                              <w:bottom w:val="nil"/>
                            </w:tcBorders>
                          </w:tcPr>
                          <w:p>
                            <w:pPr>
                              <w:pStyle w:val="TableParagraph"/>
                              <w:spacing w:before="30"/>
                              <w:ind w:right="55"/>
                              <w:jc w:val="right"/>
                              <w:rPr>
                                <w:b/>
                                <w:sz w:val="11"/>
                              </w:rPr>
                            </w:pPr>
                            <w:r>
                              <w:rPr>
                                <w:b/>
                                <w:spacing w:val="-2"/>
                                <w:w w:val="115"/>
                                <w:sz w:val="11"/>
                              </w:rPr>
                              <w:t>9.912.563,84</w:t>
                            </w:r>
                          </w:p>
                        </w:tc>
                      </w:tr>
                      <w:tr>
                        <w:trPr>
                          <w:trHeight w:val="178"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pacing w:val="-2"/>
                                <w:sz w:val="11"/>
                              </w:rPr>
                              <w:t>Proveedores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275.710,39</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563.755,61</w:t>
                            </w:r>
                          </w:p>
                        </w:tc>
                      </w:tr>
                      <w:tr>
                        <w:trPr>
                          <w:trHeight w:val="178" w:hRule="atLeast"/>
                        </w:trPr>
                        <w:tc>
                          <w:tcPr>
                            <w:tcW w:w="5803" w:type="dxa"/>
                            <w:tcBorders>
                              <w:top w:val="nil"/>
                              <w:left w:val="single" w:sz="12" w:space="0" w:color="0000D0"/>
                              <w:bottom w:val="nil"/>
                              <w:right w:val="single" w:sz="6" w:space="0" w:color="000000"/>
                            </w:tcBorders>
                          </w:tcPr>
                          <w:p>
                            <w:pPr>
                              <w:pStyle w:val="TableParagraph"/>
                              <w:spacing w:before="24"/>
                              <w:ind w:left="17"/>
                              <w:rPr>
                                <w:rFonts w:ascii="Tahoma"/>
                                <w:sz w:val="11"/>
                              </w:rPr>
                            </w:pPr>
                            <w:r>
                              <w:rPr>
                                <w:rFonts w:ascii="Tahoma"/>
                                <w:sz w:val="11"/>
                              </w:rPr>
                              <w:t>Proveedores</w:t>
                            </w:r>
                            <w:r>
                              <w:rPr>
                                <w:rFonts w:ascii="Tahoma"/>
                                <w:spacing w:val="12"/>
                                <w:sz w:val="11"/>
                              </w:rPr>
                              <w:t> </w:t>
                            </w:r>
                            <w:r>
                              <w:rPr>
                                <w:rFonts w:ascii="Tahoma"/>
                                <w:sz w:val="11"/>
                              </w:rPr>
                              <w:t>a</w:t>
                            </w:r>
                            <w:r>
                              <w:rPr>
                                <w:rFonts w:ascii="Tahoma"/>
                                <w:spacing w:val="14"/>
                                <w:sz w:val="11"/>
                              </w:rPr>
                              <w:t> </w:t>
                            </w:r>
                            <w:r>
                              <w:rPr>
                                <w:rFonts w:ascii="Tahoma"/>
                                <w:sz w:val="11"/>
                              </w:rPr>
                              <w:t>corto</w:t>
                            </w:r>
                            <w:r>
                              <w:rPr>
                                <w:rFonts w:ascii="Tahoma"/>
                                <w:spacing w:val="25"/>
                                <w:sz w:val="11"/>
                              </w:rPr>
                              <w:t> </w:t>
                            </w:r>
                            <w:r>
                              <w:rPr>
                                <w:rFonts w:ascii="Tahoma"/>
                                <w:spacing w:val="-4"/>
                                <w:sz w:val="11"/>
                              </w:rPr>
                              <w:t>plazo</w:t>
                            </w:r>
                          </w:p>
                        </w:tc>
                        <w:tc>
                          <w:tcPr>
                            <w:tcW w:w="430" w:type="dxa"/>
                            <w:tcBorders>
                              <w:top w:val="nil"/>
                              <w:left w:val="single" w:sz="6" w:space="0" w:color="000000"/>
                              <w:bottom w:val="nil"/>
                              <w:right w:val="single" w:sz="6" w:space="0" w:color="000000"/>
                            </w:tcBorders>
                          </w:tcPr>
                          <w:p>
                            <w:pPr>
                              <w:pStyle w:val="TableParagraph"/>
                              <w:spacing w:before="24"/>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4"/>
                              <w:ind w:right="59"/>
                              <w:jc w:val="right"/>
                              <w:rPr>
                                <w:rFonts w:ascii="Tahoma"/>
                                <w:sz w:val="11"/>
                              </w:rPr>
                            </w:pPr>
                            <w:r>
                              <w:rPr>
                                <w:rFonts w:ascii="Tahoma"/>
                                <w:spacing w:val="-2"/>
                                <w:sz w:val="11"/>
                              </w:rPr>
                              <w:t>275.710,39</w:t>
                            </w:r>
                          </w:p>
                        </w:tc>
                        <w:tc>
                          <w:tcPr>
                            <w:tcW w:w="1120" w:type="dxa"/>
                            <w:tcBorders>
                              <w:top w:val="nil"/>
                              <w:left w:val="single" w:sz="6" w:space="0" w:color="000000"/>
                              <w:bottom w:val="nil"/>
                            </w:tcBorders>
                          </w:tcPr>
                          <w:p>
                            <w:pPr>
                              <w:pStyle w:val="TableParagraph"/>
                              <w:spacing w:before="24"/>
                              <w:ind w:right="58"/>
                              <w:jc w:val="right"/>
                              <w:rPr>
                                <w:rFonts w:ascii="Tahoma"/>
                                <w:sz w:val="11"/>
                              </w:rPr>
                            </w:pPr>
                            <w:r>
                              <w:rPr>
                                <w:rFonts w:ascii="Tahoma"/>
                                <w:spacing w:val="-2"/>
                                <w:sz w:val="11"/>
                              </w:rPr>
                              <w:t>563.755,61</w:t>
                            </w:r>
                          </w:p>
                        </w:tc>
                      </w:tr>
                      <w:tr>
                        <w:trPr>
                          <w:trHeight w:val="177" w:hRule="atLeast"/>
                        </w:trPr>
                        <w:tc>
                          <w:tcPr>
                            <w:tcW w:w="5803" w:type="dxa"/>
                            <w:tcBorders>
                              <w:top w:val="nil"/>
                              <w:left w:val="single" w:sz="12" w:space="0" w:color="0000D0"/>
                              <w:bottom w:val="nil"/>
                              <w:right w:val="single" w:sz="18" w:space="0" w:color="008000"/>
                            </w:tcBorders>
                          </w:tcPr>
                          <w:p>
                            <w:pPr>
                              <w:pStyle w:val="TableParagraph"/>
                              <w:spacing w:before="23"/>
                              <w:ind w:left="17"/>
                              <w:rPr>
                                <w:rFonts w:ascii="Tahoma"/>
                                <w:sz w:val="11"/>
                              </w:rPr>
                            </w:pPr>
                            <w:r>
                              <w:rPr>
                                <w:rFonts w:ascii="Tahoma"/>
                                <w:sz w:val="11"/>
                              </w:rPr>
                              <w:t>Proveedores,</w:t>
                            </w:r>
                            <w:r>
                              <w:rPr>
                                <w:rFonts w:ascii="Tahoma"/>
                                <w:spacing w:val="17"/>
                                <w:sz w:val="11"/>
                              </w:rPr>
                              <w:t> </w:t>
                            </w:r>
                            <w:r>
                              <w:rPr>
                                <w:rFonts w:ascii="Tahoma"/>
                                <w:sz w:val="11"/>
                              </w:rPr>
                              <w:t>empresas</w:t>
                            </w:r>
                            <w:r>
                              <w:rPr>
                                <w:rFonts w:ascii="Tahoma"/>
                                <w:spacing w:val="10"/>
                                <w:sz w:val="11"/>
                              </w:rPr>
                              <w:t> </w:t>
                            </w:r>
                            <w:r>
                              <w:rPr>
                                <w:rFonts w:ascii="Tahoma"/>
                                <w:sz w:val="11"/>
                              </w:rPr>
                              <w:t>del</w:t>
                            </w:r>
                            <w:r>
                              <w:rPr>
                                <w:rFonts w:ascii="Tahoma"/>
                                <w:spacing w:val="3"/>
                                <w:sz w:val="11"/>
                              </w:rPr>
                              <w:t> </w:t>
                            </w:r>
                            <w:r>
                              <w:rPr>
                                <w:rFonts w:ascii="Tahoma"/>
                                <w:sz w:val="11"/>
                              </w:rPr>
                              <w:t>grupo</w:t>
                            </w:r>
                            <w:r>
                              <w:rPr>
                                <w:rFonts w:ascii="Tahoma"/>
                                <w:spacing w:val="16"/>
                                <w:sz w:val="11"/>
                              </w:rPr>
                              <w:t> </w:t>
                            </w:r>
                            <w:r>
                              <w:rPr>
                                <w:rFonts w:ascii="Tahoma"/>
                                <w:sz w:val="11"/>
                              </w:rPr>
                              <w:t>y</w:t>
                            </w:r>
                            <w:r>
                              <w:rPr>
                                <w:rFonts w:ascii="Tahoma"/>
                                <w:spacing w:val="15"/>
                                <w:sz w:val="11"/>
                              </w:rPr>
                              <w:t> </w:t>
                            </w:r>
                            <w:r>
                              <w:rPr>
                                <w:rFonts w:ascii="Tahoma"/>
                                <w:spacing w:val="-2"/>
                                <w:sz w:val="11"/>
                              </w:rPr>
                              <w:t>asociadas</w:t>
                            </w:r>
                          </w:p>
                        </w:tc>
                        <w:tc>
                          <w:tcPr>
                            <w:tcW w:w="430" w:type="dxa"/>
                            <w:tcBorders>
                              <w:top w:val="nil"/>
                              <w:left w:val="single" w:sz="18" w:space="0" w:color="008000"/>
                              <w:bottom w:val="nil"/>
                              <w:right w:val="single" w:sz="6" w:space="0" w:color="000000"/>
                            </w:tcBorders>
                          </w:tcPr>
                          <w:p>
                            <w:pPr>
                              <w:pStyle w:val="TableParagraph"/>
                              <w:spacing w:before="23"/>
                              <w:ind w:left="20" w:right="39"/>
                              <w:jc w:val="center"/>
                              <w:rPr>
                                <w:rFonts w:ascii="Tahoma"/>
                                <w:sz w:val="11"/>
                              </w:rPr>
                            </w:pPr>
                            <w:r>
                              <w:rPr>
                                <w:rFonts w:ascii="Tahoma"/>
                                <w:sz w:val="11"/>
                              </w:rPr>
                              <w:t>9-</w:t>
                            </w:r>
                            <w:r>
                              <w:rPr>
                                <w:rFonts w:ascii="Tahoma"/>
                                <w:spacing w:val="-5"/>
                                <w:sz w:val="11"/>
                              </w:rPr>
                              <w:t>18</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130.896,64</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110.159,37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Acreedores</w:t>
                            </w:r>
                            <w:r>
                              <w:rPr>
                                <w:rFonts w:ascii="Tahoma"/>
                                <w:spacing w:val="31"/>
                                <w:sz w:val="11"/>
                              </w:rPr>
                              <w:t> </w:t>
                            </w:r>
                            <w:r>
                              <w:rPr>
                                <w:rFonts w:ascii="Tahoma"/>
                                <w:spacing w:val="-2"/>
                                <w:sz w:val="11"/>
                              </w:rPr>
                              <w:t>varios</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1.539.574,72</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2.131.471,98</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Personal</w:t>
                            </w:r>
                            <w:r>
                              <w:rPr>
                                <w:rFonts w:ascii="Tahoma"/>
                                <w:spacing w:val="12"/>
                                <w:sz w:val="11"/>
                              </w:rPr>
                              <w:t> </w:t>
                            </w:r>
                            <w:r>
                              <w:rPr>
                                <w:rFonts w:ascii="Tahoma"/>
                                <w:sz w:val="11"/>
                              </w:rPr>
                              <w:t>(remuneraciones</w:t>
                            </w:r>
                            <w:r>
                              <w:rPr>
                                <w:rFonts w:ascii="Tahoma"/>
                                <w:spacing w:val="15"/>
                                <w:sz w:val="11"/>
                              </w:rPr>
                              <w:t> </w:t>
                            </w:r>
                            <w:r>
                              <w:rPr>
                                <w:rFonts w:ascii="Tahoma"/>
                                <w:sz w:val="11"/>
                              </w:rPr>
                              <w:t>pendientes</w:t>
                            </w:r>
                            <w:r>
                              <w:rPr>
                                <w:rFonts w:ascii="Tahoma"/>
                                <w:spacing w:val="15"/>
                                <w:sz w:val="11"/>
                              </w:rPr>
                              <w:t> </w:t>
                            </w:r>
                            <w:r>
                              <w:rPr>
                                <w:rFonts w:ascii="Tahoma"/>
                                <w:sz w:val="11"/>
                              </w:rPr>
                              <w:t>de</w:t>
                            </w:r>
                            <w:r>
                              <w:rPr>
                                <w:rFonts w:ascii="Tahoma"/>
                                <w:spacing w:val="30"/>
                                <w:sz w:val="11"/>
                              </w:rPr>
                              <w:t> </w:t>
                            </w:r>
                            <w:r>
                              <w:rPr>
                                <w:rFonts w:ascii="Tahoma"/>
                                <w:spacing w:val="-4"/>
                                <w:sz w:val="11"/>
                              </w:rPr>
                              <w:t>pago)</w:t>
                            </w:r>
                          </w:p>
                        </w:tc>
                        <w:tc>
                          <w:tcPr>
                            <w:tcW w:w="430" w:type="dxa"/>
                            <w:tcBorders>
                              <w:top w:val="nil"/>
                              <w:left w:val="single" w:sz="6" w:space="0" w:color="000000"/>
                              <w:bottom w:val="nil"/>
                              <w:right w:val="single" w:sz="6" w:space="0" w:color="000000"/>
                            </w:tcBorders>
                          </w:tcPr>
                          <w:p>
                            <w:pPr>
                              <w:pStyle w:val="TableParagraph"/>
                              <w:spacing w:before="23"/>
                              <w:ind w:left="1" w:right="5"/>
                              <w:jc w:val="center"/>
                              <w:rPr>
                                <w:rFonts w:ascii="Tahoma"/>
                                <w:sz w:val="11"/>
                              </w:rPr>
                            </w:pPr>
                            <w:r>
                              <w:rPr>
                                <w:rFonts w:ascii="Tahoma"/>
                                <w:spacing w:val="-10"/>
                                <w:sz w:val="11"/>
                              </w:rPr>
                              <w:t>9</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5.690.897,99</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4.951.308,57</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hAnsi="Tahoma"/>
                                <w:sz w:val="11"/>
                              </w:rPr>
                            </w:pPr>
                            <w:r>
                              <w:rPr>
                                <w:rFonts w:ascii="Tahoma" w:hAnsi="Tahoma"/>
                                <w:sz w:val="11"/>
                              </w:rPr>
                              <w:t>Otras</w:t>
                            </w:r>
                            <w:r>
                              <w:rPr>
                                <w:rFonts w:ascii="Tahoma" w:hAnsi="Tahoma"/>
                                <w:spacing w:val="4"/>
                                <w:sz w:val="11"/>
                              </w:rPr>
                              <w:t> </w:t>
                            </w:r>
                            <w:r>
                              <w:rPr>
                                <w:rFonts w:ascii="Tahoma" w:hAnsi="Tahoma"/>
                                <w:sz w:val="11"/>
                              </w:rPr>
                              <w:t>deudas</w:t>
                            </w:r>
                            <w:r>
                              <w:rPr>
                                <w:rFonts w:ascii="Tahoma" w:hAnsi="Tahoma"/>
                                <w:spacing w:val="5"/>
                                <w:sz w:val="11"/>
                              </w:rPr>
                              <w:t> </w:t>
                            </w:r>
                            <w:r>
                              <w:rPr>
                                <w:rFonts w:ascii="Tahoma" w:hAnsi="Tahoma"/>
                                <w:sz w:val="11"/>
                              </w:rPr>
                              <w:t>con</w:t>
                            </w:r>
                            <w:r>
                              <w:rPr>
                                <w:rFonts w:ascii="Tahoma" w:hAnsi="Tahoma"/>
                                <w:spacing w:val="13"/>
                                <w:sz w:val="11"/>
                              </w:rPr>
                              <w:t> </w:t>
                            </w:r>
                            <w:r>
                              <w:rPr>
                                <w:rFonts w:ascii="Tahoma" w:hAnsi="Tahoma"/>
                                <w:sz w:val="11"/>
                              </w:rPr>
                              <w:t>las</w:t>
                            </w:r>
                            <w:r>
                              <w:rPr>
                                <w:rFonts w:ascii="Tahoma" w:hAnsi="Tahoma"/>
                                <w:spacing w:val="6"/>
                                <w:sz w:val="11"/>
                              </w:rPr>
                              <w:t> </w:t>
                            </w:r>
                            <w:r>
                              <w:rPr>
                                <w:rFonts w:ascii="Tahoma" w:hAnsi="Tahoma"/>
                                <w:sz w:val="11"/>
                              </w:rPr>
                              <w:t>Administraciones</w:t>
                            </w:r>
                            <w:r>
                              <w:rPr>
                                <w:rFonts w:ascii="Tahoma" w:hAnsi="Tahoma"/>
                                <w:spacing w:val="6"/>
                                <w:sz w:val="11"/>
                              </w:rPr>
                              <w:t> </w:t>
                            </w:r>
                            <w:r>
                              <w:rPr>
                                <w:rFonts w:ascii="Tahoma" w:hAnsi="Tahoma"/>
                                <w:spacing w:val="-2"/>
                                <w:sz w:val="11"/>
                              </w:rPr>
                              <w:t>Públicas</w:t>
                            </w:r>
                          </w:p>
                        </w:tc>
                        <w:tc>
                          <w:tcPr>
                            <w:tcW w:w="430" w:type="dxa"/>
                            <w:tcBorders>
                              <w:top w:val="nil"/>
                              <w:left w:val="single" w:sz="6" w:space="0" w:color="000000"/>
                              <w:bottom w:val="nil"/>
                              <w:right w:val="single" w:sz="6" w:space="0" w:color="000000"/>
                            </w:tcBorders>
                          </w:tcPr>
                          <w:p>
                            <w:pPr>
                              <w:pStyle w:val="TableParagraph"/>
                              <w:spacing w:before="23"/>
                              <w:ind w:left="5" w:right="4"/>
                              <w:jc w:val="center"/>
                              <w:rPr>
                                <w:rFonts w:ascii="Tahoma"/>
                                <w:sz w:val="11"/>
                              </w:rPr>
                            </w:pPr>
                            <w:r>
                              <w:rPr>
                                <w:rFonts w:ascii="Tahoma"/>
                                <w:spacing w:val="-5"/>
                                <w:sz w:val="11"/>
                              </w:rPr>
                              <w:t>12</w:t>
                            </w: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2"/>
                                <w:sz w:val="11"/>
                              </w:rPr>
                              <w:t>1.706.999,37</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1.963.851,11</w:t>
                            </w:r>
                          </w:p>
                        </w:tc>
                      </w:tr>
                      <w:tr>
                        <w:trPr>
                          <w:trHeight w:val="177" w:hRule="atLeast"/>
                        </w:trPr>
                        <w:tc>
                          <w:tcPr>
                            <w:tcW w:w="5803" w:type="dxa"/>
                            <w:tcBorders>
                              <w:top w:val="nil"/>
                              <w:left w:val="single" w:sz="12" w:space="0" w:color="0000D0"/>
                              <w:bottom w:val="nil"/>
                              <w:right w:val="single" w:sz="6" w:space="0" w:color="000000"/>
                            </w:tcBorders>
                          </w:tcPr>
                          <w:p>
                            <w:pPr>
                              <w:pStyle w:val="TableParagraph"/>
                              <w:spacing w:before="23"/>
                              <w:ind w:left="17"/>
                              <w:rPr>
                                <w:rFonts w:ascii="Tahoma"/>
                                <w:sz w:val="11"/>
                              </w:rPr>
                            </w:pPr>
                            <w:r>
                              <w:rPr>
                                <w:rFonts w:ascii="Tahoma"/>
                                <w:sz w:val="11"/>
                              </w:rPr>
                              <w:t>Anticipos</w:t>
                            </w:r>
                            <w:r>
                              <w:rPr>
                                <w:rFonts w:ascii="Tahoma"/>
                                <w:spacing w:val="9"/>
                                <w:sz w:val="11"/>
                              </w:rPr>
                              <w:t> </w:t>
                            </w:r>
                            <w:r>
                              <w:rPr>
                                <w:rFonts w:ascii="Tahoma"/>
                                <w:sz w:val="11"/>
                              </w:rPr>
                              <w:t>de</w:t>
                            </w:r>
                            <w:r>
                              <w:rPr>
                                <w:rFonts w:ascii="Tahoma"/>
                                <w:spacing w:val="20"/>
                                <w:sz w:val="11"/>
                              </w:rPr>
                              <w:t> </w:t>
                            </w:r>
                            <w:r>
                              <w:rPr>
                                <w:rFonts w:ascii="Tahoma"/>
                                <w:spacing w:val="-2"/>
                                <w:sz w:val="11"/>
                              </w:rPr>
                              <w:t>clientes</w:t>
                            </w:r>
                          </w:p>
                        </w:tc>
                        <w:tc>
                          <w:tcPr>
                            <w:tcW w:w="430" w:type="dxa"/>
                            <w:tcBorders>
                              <w:top w:val="nil"/>
                              <w:left w:val="single" w:sz="6" w:space="0" w:color="000000"/>
                              <w:bottom w:val="nil"/>
                              <w:right w:val="single" w:sz="6" w:space="0" w:color="000000"/>
                            </w:tcBorders>
                          </w:tcPr>
                          <w:p>
                            <w:pPr>
                              <w:pStyle w:val="TableParagraph"/>
                              <w:rPr>
                                <w:rFonts w:ascii="Times New Roman"/>
                                <w:sz w:val="10"/>
                              </w:rPr>
                            </w:pPr>
                          </w:p>
                        </w:tc>
                        <w:tc>
                          <w:tcPr>
                            <w:tcW w:w="1131" w:type="dxa"/>
                            <w:tcBorders>
                              <w:top w:val="nil"/>
                              <w:left w:val="single" w:sz="6" w:space="0" w:color="000000"/>
                              <w:bottom w:val="nil"/>
                              <w:right w:val="single" w:sz="6" w:space="0" w:color="000000"/>
                            </w:tcBorders>
                          </w:tcPr>
                          <w:p>
                            <w:pPr>
                              <w:pStyle w:val="TableParagraph"/>
                              <w:spacing w:before="23"/>
                              <w:ind w:right="59"/>
                              <w:jc w:val="right"/>
                              <w:rPr>
                                <w:rFonts w:ascii="Tahoma"/>
                                <w:sz w:val="11"/>
                              </w:rPr>
                            </w:pPr>
                            <w:r>
                              <w:rPr>
                                <w:rFonts w:ascii="Tahoma"/>
                                <w:spacing w:val="-4"/>
                                <w:sz w:val="11"/>
                              </w:rPr>
                              <w:t>0,00</w:t>
                            </w:r>
                          </w:p>
                        </w:tc>
                        <w:tc>
                          <w:tcPr>
                            <w:tcW w:w="1120" w:type="dxa"/>
                            <w:tcBorders>
                              <w:top w:val="nil"/>
                              <w:left w:val="single" w:sz="6" w:space="0" w:color="000000"/>
                              <w:bottom w:val="nil"/>
                            </w:tcBorders>
                          </w:tcPr>
                          <w:p>
                            <w:pPr>
                              <w:pStyle w:val="TableParagraph"/>
                              <w:spacing w:before="23"/>
                              <w:ind w:right="58"/>
                              <w:jc w:val="right"/>
                              <w:rPr>
                                <w:rFonts w:ascii="Tahoma"/>
                                <w:sz w:val="11"/>
                              </w:rPr>
                            </w:pPr>
                            <w:r>
                              <w:rPr>
                                <w:rFonts w:ascii="Tahoma"/>
                                <w:spacing w:val="-2"/>
                                <w:sz w:val="11"/>
                              </w:rPr>
                              <w:t>192.017,20</w:t>
                            </w:r>
                          </w:p>
                        </w:tc>
                      </w:tr>
                      <w:tr>
                        <w:trPr>
                          <w:trHeight w:val="163" w:hRule="atLeast"/>
                        </w:trPr>
                        <w:tc>
                          <w:tcPr>
                            <w:tcW w:w="5803" w:type="dxa"/>
                            <w:tcBorders>
                              <w:top w:val="nil"/>
                              <w:left w:val="single" w:sz="12" w:space="0" w:color="0000D0"/>
                              <w:bottom w:val="single" w:sz="6" w:space="0" w:color="000000"/>
                              <w:right w:val="single" w:sz="6" w:space="0" w:color="000000"/>
                            </w:tcBorders>
                          </w:tcPr>
                          <w:p>
                            <w:pPr>
                              <w:pStyle w:val="TableParagraph"/>
                              <w:spacing w:line="113" w:lineRule="exact" w:before="30"/>
                              <w:ind w:left="17"/>
                              <w:rPr>
                                <w:b/>
                                <w:sz w:val="11"/>
                              </w:rPr>
                            </w:pPr>
                            <w:r>
                              <w:rPr>
                                <w:b/>
                                <w:w w:val="105"/>
                                <w:sz w:val="11"/>
                              </w:rPr>
                              <w:t>Periodificaciones</w:t>
                            </w:r>
                            <w:r>
                              <w:rPr>
                                <w:b/>
                                <w:spacing w:val="32"/>
                                <w:w w:val="105"/>
                                <w:sz w:val="11"/>
                              </w:rPr>
                              <w:t> </w:t>
                            </w:r>
                            <w:r>
                              <w:rPr>
                                <w:b/>
                                <w:w w:val="105"/>
                                <w:sz w:val="11"/>
                              </w:rPr>
                              <w:t>a</w:t>
                            </w:r>
                            <w:r>
                              <w:rPr>
                                <w:b/>
                                <w:spacing w:val="-1"/>
                                <w:w w:val="105"/>
                                <w:sz w:val="11"/>
                              </w:rPr>
                              <w:t> </w:t>
                            </w:r>
                            <w:r>
                              <w:rPr>
                                <w:b/>
                                <w:w w:val="105"/>
                                <w:sz w:val="11"/>
                              </w:rPr>
                              <w:t>corto</w:t>
                            </w:r>
                            <w:r>
                              <w:rPr>
                                <w:b/>
                                <w:spacing w:val="5"/>
                                <w:w w:val="105"/>
                                <w:sz w:val="11"/>
                              </w:rPr>
                              <w:t> </w:t>
                            </w:r>
                            <w:r>
                              <w:rPr>
                                <w:b/>
                                <w:spacing w:val="-2"/>
                                <w:w w:val="105"/>
                                <w:sz w:val="11"/>
                              </w:rPr>
                              <w:t>plazo</w:t>
                            </w:r>
                          </w:p>
                        </w:tc>
                        <w:tc>
                          <w:tcPr>
                            <w:tcW w:w="430" w:type="dxa"/>
                            <w:tcBorders>
                              <w:top w:val="nil"/>
                              <w:left w:val="single" w:sz="6" w:space="0" w:color="000000"/>
                              <w:bottom w:val="single" w:sz="6" w:space="0" w:color="000000"/>
                              <w:right w:val="single" w:sz="6" w:space="0" w:color="000000"/>
                            </w:tcBorders>
                          </w:tcPr>
                          <w:p>
                            <w:pPr>
                              <w:pStyle w:val="TableParagraph"/>
                              <w:spacing w:line="120" w:lineRule="exact" w:before="23"/>
                              <w:ind w:left="5" w:right="4"/>
                              <w:jc w:val="center"/>
                              <w:rPr>
                                <w:rFonts w:ascii="Tahoma"/>
                                <w:sz w:val="11"/>
                              </w:rPr>
                            </w:pPr>
                            <w:r>
                              <w:rPr>
                                <w:rFonts w:ascii="Tahoma"/>
                                <w:spacing w:val="-5"/>
                                <w:sz w:val="11"/>
                              </w:rPr>
                              <w:t>19</w:t>
                            </w:r>
                          </w:p>
                        </w:tc>
                        <w:tc>
                          <w:tcPr>
                            <w:tcW w:w="1131" w:type="dxa"/>
                            <w:tcBorders>
                              <w:top w:val="nil"/>
                              <w:left w:val="single" w:sz="6" w:space="0" w:color="000000"/>
                              <w:bottom w:val="single" w:sz="6" w:space="0" w:color="000000"/>
                              <w:right w:val="single" w:sz="6" w:space="0" w:color="000000"/>
                            </w:tcBorders>
                          </w:tcPr>
                          <w:p>
                            <w:pPr>
                              <w:pStyle w:val="TableParagraph"/>
                              <w:spacing w:line="113" w:lineRule="exact" w:before="30"/>
                              <w:ind w:right="58"/>
                              <w:jc w:val="right"/>
                              <w:rPr>
                                <w:b/>
                                <w:sz w:val="11"/>
                              </w:rPr>
                            </w:pPr>
                            <w:r>
                              <w:rPr>
                                <w:b/>
                                <w:spacing w:val="-2"/>
                                <w:w w:val="115"/>
                                <w:sz w:val="11"/>
                              </w:rPr>
                              <w:t>1.289.811,99</w:t>
                            </w:r>
                          </w:p>
                        </w:tc>
                        <w:tc>
                          <w:tcPr>
                            <w:tcW w:w="1120" w:type="dxa"/>
                            <w:tcBorders>
                              <w:top w:val="nil"/>
                              <w:left w:val="single" w:sz="6" w:space="0" w:color="000000"/>
                              <w:bottom w:val="single" w:sz="6" w:space="0" w:color="000000"/>
                            </w:tcBorders>
                          </w:tcPr>
                          <w:p>
                            <w:pPr>
                              <w:pStyle w:val="TableParagraph"/>
                              <w:spacing w:line="113" w:lineRule="exact" w:before="30"/>
                              <w:ind w:right="55"/>
                              <w:jc w:val="right"/>
                              <w:rPr>
                                <w:b/>
                                <w:sz w:val="11"/>
                              </w:rPr>
                            </w:pPr>
                            <w:r>
                              <w:rPr>
                                <w:b/>
                                <w:spacing w:val="-2"/>
                                <w:w w:val="115"/>
                                <w:sz w:val="11"/>
                              </w:rPr>
                              <w:t>1.357.491,75</w:t>
                            </w:r>
                          </w:p>
                        </w:tc>
                      </w:tr>
                      <w:tr>
                        <w:trPr>
                          <w:trHeight w:val="166" w:hRule="atLeast"/>
                        </w:trPr>
                        <w:tc>
                          <w:tcPr>
                            <w:tcW w:w="5803" w:type="dxa"/>
                            <w:tcBorders>
                              <w:top w:val="single" w:sz="6" w:space="0" w:color="000000"/>
                              <w:left w:val="single" w:sz="12" w:space="0" w:color="0000D0"/>
                              <w:bottom w:val="single" w:sz="4" w:space="0" w:color="000000"/>
                              <w:right w:val="single" w:sz="6" w:space="0" w:color="000000"/>
                            </w:tcBorders>
                            <w:shd w:val="clear" w:color="auto" w:fill="FFC000"/>
                          </w:tcPr>
                          <w:p>
                            <w:pPr>
                              <w:pStyle w:val="TableParagraph"/>
                              <w:spacing w:line="117" w:lineRule="exact" w:before="29"/>
                              <w:ind w:left="17"/>
                              <w:rPr>
                                <w:b/>
                                <w:sz w:val="11"/>
                              </w:rPr>
                            </w:pPr>
                            <w:r>
                              <w:rPr>
                                <w:b/>
                                <w:sz w:val="11"/>
                              </w:rPr>
                              <w:t>TOTAL</w:t>
                            </w:r>
                            <w:r>
                              <w:rPr>
                                <w:b/>
                                <w:spacing w:val="11"/>
                                <w:sz w:val="11"/>
                              </w:rPr>
                              <w:t> </w:t>
                            </w:r>
                            <w:r>
                              <w:rPr>
                                <w:b/>
                                <w:sz w:val="11"/>
                              </w:rPr>
                              <w:t>PATRIMONIO</w:t>
                            </w:r>
                            <w:r>
                              <w:rPr>
                                <w:b/>
                                <w:spacing w:val="8"/>
                                <w:sz w:val="11"/>
                              </w:rPr>
                              <w:t> </w:t>
                            </w:r>
                            <w:r>
                              <w:rPr>
                                <w:b/>
                                <w:sz w:val="11"/>
                              </w:rPr>
                              <w:t>NETO</w:t>
                            </w:r>
                            <w:r>
                              <w:rPr>
                                <w:b/>
                                <w:spacing w:val="8"/>
                                <w:sz w:val="11"/>
                              </w:rPr>
                              <w:t> </w:t>
                            </w:r>
                            <w:r>
                              <w:rPr>
                                <w:b/>
                                <w:sz w:val="11"/>
                              </w:rPr>
                              <w:t>Y</w:t>
                            </w:r>
                            <w:r>
                              <w:rPr>
                                <w:b/>
                                <w:spacing w:val="-1"/>
                                <w:sz w:val="11"/>
                              </w:rPr>
                              <w:t> </w:t>
                            </w:r>
                            <w:r>
                              <w:rPr>
                                <w:b/>
                                <w:spacing w:val="-2"/>
                                <w:sz w:val="11"/>
                              </w:rPr>
                              <w:t>PASIVO</w:t>
                            </w:r>
                          </w:p>
                        </w:tc>
                        <w:tc>
                          <w:tcPr>
                            <w:tcW w:w="430" w:type="dxa"/>
                            <w:tcBorders>
                              <w:top w:val="single" w:sz="6" w:space="0" w:color="000000"/>
                              <w:left w:val="single" w:sz="6" w:space="0" w:color="000000"/>
                              <w:bottom w:val="single" w:sz="4" w:space="0" w:color="000000"/>
                              <w:right w:val="single" w:sz="6" w:space="0" w:color="000000"/>
                            </w:tcBorders>
                            <w:shd w:val="clear" w:color="auto" w:fill="FFC000"/>
                          </w:tcPr>
                          <w:p>
                            <w:pPr>
                              <w:pStyle w:val="TableParagraph"/>
                              <w:rPr>
                                <w:rFonts w:ascii="Times New Roman"/>
                                <w:sz w:val="10"/>
                              </w:rPr>
                            </w:pPr>
                          </w:p>
                        </w:tc>
                        <w:tc>
                          <w:tcPr>
                            <w:tcW w:w="1131" w:type="dxa"/>
                            <w:tcBorders>
                              <w:top w:val="single" w:sz="6" w:space="0" w:color="000000"/>
                              <w:left w:val="single" w:sz="6" w:space="0" w:color="000000"/>
                              <w:bottom w:val="single" w:sz="4" w:space="0" w:color="000000"/>
                              <w:right w:val="single" w:sz="6" w:space="0" w:color="000000"/>
                            </w:tcBorders>
                            <w:shd w:val="clear" w:color="auto" w:fill="FFC000"/>
                          </w:tcPr>
                          <w:p>
                            <w:pPr>
                              <w:pStyle w:val="TableParagraph"/>
                              <w:spacing w:line="117" w:lineRule="exact" w:before="29"/>
                              <w:ind w:right="68"/>
                              <w:jc w:val="right"/>
                              <w:rPr>
                                <w:b/>
                                <w:sz w:val="11"/>
                              </w:rPr>
                            </w:pPr>
                            <w:r>
                              <w:rPr>
                                <w:b/>
                                <w:spacing w:val="-2"/>
                                <w:w w:val="115"/>
                                <w:sz w:val="11"/>
                              </w:rPr>
                              <w:t>157.072.521,37</w:t>
                            </w:r>
                          </w:p>
                        </w:tc>
                        <w:tc>
                          <w:tcPr>
                            <w:tcW w:w="1120" w:type="dxa"/>
                            <w:tcBorders>
                              <w:top w:val="single" w:sz="6" w:space="0" w:color="000000"/>
                              <w:left w:val="single" w:sz="6" w:space="0" w:color="000000"/>
                              <w:bottom w:val="single" w:sz="4" w:space="0" w:color="000000"/>
                            </w:tcBorders>
                            <w:shd w:val="clear" w:color="auto" w:fill="FFC000"/>
                          </w:tcPr>
                          <w:p>
                            <w:pPr>
                              <w:pStyle w:val="TableParagraph"/>
                              <w:spacing w:line="117" w:lineRule="exact" w:before="29"/>
                              <w:ind w:right="64"/>
                              <w:jc w:val="right"/>
                              <w:rPr>
                                <w:b/>
                                <w:sz w:val="11"/>
                              </w:rPr>
                            </w:pPr>
                            <w:r>
                              <w:rPr>
                                <w:b/>
                                <w:spacing w:val="-2"/>
                                <w:w w:val="115"/>
                                <w:sz w:val="11"/>
                              </w:rPr>
                              <w:t>132.886.472,77</w:t>
                            </w:r>
                          </w:p>
                        </w:tc>
                      </w:tr>
                    </w:tbl>
                    <w:p>
                      <w:pPr>
                        <w:pStyle w:val="BodyText"/>
                      </w:pPr>
                    </w:p>
                  </w:txbxContent>
                </v:textbox>
              </v:shape>
            </w:pict>
          </mc:Fallback>
        </mc:AlternateContent>
      </w:r>
      <w:r>
        <w:rPr>
          <w:sz w:val="20"/>
        </w:rPr>
      </w:r>
    </w:p>
    <w:p>
      <w:pPr>
        <w:spacing w:after="0" w:line="240" w:lineRule="auto"/>
        <w:rPr>
          <w:sz w:val="20"/>
        </w:rPr>
        <w:sectPr>
          <w:headerReference w:type="default" r:id="rId12"/>
          <w:footerReference w:type="default" r:id="rId13"/>
          <w:pgSz w:w="11910" w:h="16840"/>
          <w:pgMar w:header="286" w:footer="570" w:top="1920" w:bottom="760" w:left="360" w:right="36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74"/>
        <w:rPr>
          <w:sz w:val="32"/>
        </w:rPr>
      </w:pPr>
    </w:p>
    <w:p>
      <w:pPr>
        <w:spacing w:line="256" w:lineRule="auto" w:before="0"/>
        <w:ind w:left="2904" w:right="3181" w:firstLine="0"/>
        <w:jc w:val="center"/>
        <w:rPr>
          <w:sz w:val="32"/>
        </w:rPr>
      </w:pPr>
      <w:r>
        <w:rPr>
          <w:w w:val="90"/>
          <w:sz w:val="32"/>
          <w:u w:val="single"/>
        </w:rPr>
        <w:t>CUENTA DE PÉRDIDAS Y</w:t>
      </w:r>
      <w:r>
        <w:rPr>
          <w:w w:val="90"/>
          <w:sz w:val="32"/>
          <w:u w:val="none"/>
        </w:rPr>
        <w:t> </w:t>
      </w:r>
      <w:r>
        <w:rPr>
          <w:spacing w:val="-2"/>
          <w:sz w:val="32"/>
          <w:u w:val="single"/>
        </w:rPr>
        <w:t>GANANCIAS</w:t>
      </w:r>
    </w:p>
    <w:p>
      <w:pPr>
        <w:spacing w:before="358"/>
        <w:ind w:left="2904" w:right="3182" w:firstLine="0"/>
        <w:jc w:val="center"/>
        <w:rPr>
          <w:sz w:val="32"/>
        </w:rPr>
      </w:pPr>
      <w:r>
        <w:rPr>
          <w:spacing w:val="-6"/>
          <w:sz w:val="32"/>
          <w:u w:val="single"/>
        </w:rPr>
        <w:t>CORRESPONDIENTE</w:t>
      </w:r>
    </w:p>
    <w:p>
      <w:pPr>
        <w:pStyle w:val="BodyText"/>
        <w:spacing w:before="17"/>
        <w:rPr>
          <w:sz w:val="32"/>
        </w:rPr>
      </w:pPr>
    </w:p>
    <w:p>
      <w:pPr>
        <w:spacing w:line="254" w:lineRule="auto" w:before="0"/>
        <w:ind w:left="2904" w:right="3181" w:firstLine="0"/>
        <w:jc w:val="center"/>
        <w:rPr>
          <w:sz w:val="32"/>
        </w:rPr>
      </w:pPr>
      <w:r>
        <w:rPr>
          <w:spacing w:val="-4"/>
          <w:sz w:val="32"/>
          <w:u w:val="single"/>
        </w:rPr>
        <w:t>AL</w:t>
      </w:r>
      <w:r>
        <w:rPr>
          <w:spacing w:val="-19"/>
          <w:sz w:val="32"/>
          <w:u w:val="single"/>
        </w:rPr>
        <w:t> </w:t>
      </w:r>
      <w:r>
        <w:rPr>
          <w:spacing w:val="-4"/>
          <w:sz w:val="32"/>
          <w:u w:val="single"/>
        </w:rPr>
        <w:t>EJERCICIO</w:t>
      </w:r>
      <w:r>
        <w:rPr>
          <w:spacing w:val="-18"/>
          <w:sz w:val="32"/>
          <w:u w:val="single"/>
        </w:rPr>
        <w:t> </w:t>
      </w:r>
      <w:r>
        <w:rPr>
          <w:spacing w:val="-4"/>
          <w:sz w:val="32"/>
          <w:u w:val="single"/>
        </w:rPr>
        <w:t>ANUAL</w:t>
      </w:r>
      <w:r>
        <w:rPr>
          <w:spacing w:val="-4"/>
          <w:sz w:val="32"/>
          <w:u w:val="none"/>
        </w:rPr>
        <w:t> </w:t>
      </w:r>
      <w:r>
        <w:rPr>
          <w:spacing w:val="-2"/>
          <w:sz w:val="32"/>
          <w:u w:val="single"/>
        </w:rPr>
        <w:t>TERMINADO</w:t>
      </w:r>
    </w:p>
    <w:p>
      <w:pPr>
        <w:spacing w:before="363"/>
        <w:ind w:left="2904" w:right="3185" w:firstLine="0"/>
        <w:jc w:val="center"/>
        <w:rPr>
          <w:sz w:val="32"/>
        </w:rPr>
      </w:pPr>
      <w:r>
        <w:rPr>
          <w:sz w:val="32"/>
        </w:rPr>
        <mc:AlternateContent>
          <mc:Choice Requires="wps">
            <w:drawing>
              <wp:anchor distT="0" distB="0" distL="0" distR="0" allowOverlap="1" layoutInCell="1" locked="0" behindDoc="0" simplePos="0" relativeHeight="15738880">
                <wp:simplePos x="0" y="0"/>
                <wp:positionH relativeFrom="page">
                  <wp:posOffset>6966436</wp:posOffset>
                </wp:positionH>
                <wp:positionV relativeFrom="paragraph">
                  <wp:posOffset>1216409</wp:posOffset>
                </wp:positionV>
                <wp:extent cx="263525" cy="323342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95.780266pt;width:20.75pt;height:254.6pt;mso-position-horizontal-relative:page;mso-position-vertical-relative:paragraph;z-index:15738880" type="#_x0000_t202" id="docshape2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w w:val="90"/>
          <w:sz w:val="32"/>
          <w:u w:val="single"/>
        </w:rPr>
        <w:t>EL</w:t>
      </w:r>
      <w:r>
        <w:rPr>
          <w:spacing w:val="10"/>
          <w:sz w:val="32"/>
          <w:u w:val="single"/>
        </w:rPr>
        <w:t> </w:t>
      </w:r>
      <w:r>
        <w:rPr>
          <w:w w:val="90"/>
          <w:sz w:val="32"/>
          <w:u w:val="single"/>
        </w:rPr>
        <w:t>31</w:t>
      </w:r>
      <w:r>
        <w:rPr>
          <w:spacing w:val="10"/>
          <w:sz w:val="32"/>
          <w:u w:val="single"/>
        </w:rPr>
        <w:t> </w:t>
      </w:r>
      <w:r>
        <w:rPr>
          <w:w w:val="90"/>
          <w:sz w:val="32"/>
          <w:u w:val="single"/>
        </w:rPr>
        <w:t>DE</w:t>
      </w:r>
      <w:r>
        <w:rPr>
          <w:spacing w:val="12"/>
          <w:sz w:val="32"/>
          <w:u w:val="single"/>
        </w:rPr>
        <w:t> </w:t>
      </w:r>
      <w:r>
        <w:rPr>
          <w:w w:val="90"/>
          <w:sz w:val="32"/>
          <w:u w:val="single"/>
        </w:rPr>
        <w:t>DICIEMBRE</w:t>
      </w:r>
      <w:r>
        <w:rPr>
          <w:spacing w:val="10"/>
          <w:sz w:val="32"/>
          <w:u w:val="single"/>
        </w:rPr>
        <w:t> </w:t>
      </w:r>
      <w:r>
        <w:rPr>
          <w:w w:val="90"/>
          <w:sz w:val="32"/>
          <w:u w:val="single"/>
        </w:rPr>
        <w:t>DE</w:t>
      </w:r>
      <w:r>
        <w:rPr>
          <w:spacing w:val="8"/>
          <w:sz w:val="32"/>
          <w:u w:val="single"/>
        </w:rPr>
        <w:t> </w:t>
      </w:r>
      <w:r>
        <w:rPr>
          <w:spacing w:val="-4"/>
          <w:w w:val="90"/>
          <w:sz w:val="32"/>
          <w:u w:val="single"/>
        </w:rPr>
        <w:t>2025</w:t>
      </w:r>
    </w:p>
    <w:p>
      <w:pPr>
        <w:spacing w:after="0"/>
        <w:jc w:val="center"/>
        <w:rPr>
          <w:sz w:val="32"/>
        </w:rPr>
        <w:sectPr>
          <w:pgSz w:w="11910" w:h="16840"/>
          <w:pgMar w:header="286" w:footer="570" w:top="1920" w:bottom="1260" w:left="360" w:right="360"/>
        </w:sectPr>
      </w:pPr>
    </w:p>
    <w:p>
      <w:pPr>
        <w:pStyle w:val="BodyText"/>
      </w:pPr>
      <w:r>
        <w:rPr/>
        <mc:AlternateContent>
          <mc:Choice Requires="wps">
            <w:drawing>
              <wp:anchor distT="0" distB="0" distL="0" distR="0" allowOverlap="1" layoutInCell="1" locked="0" behindDoc="0" simplePos="0" relativeHeight="15739392">
                <wp:simplePos x="0" y="0"/>
                <wp:positionH relativeFrom="page">
                  <wp:posOffset>6966436</wp:posOffset>
                </wp:positionH>
                <wp:positionV relativeFrom="page">
                  <wp:posOffset>6595730</wp:posOffset>
                </wp:positionV>
                <wp:extent cx="263525" cy="323342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39392" type="#_x0000_t202" id="docshape2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5</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BodyText"/>
      </w:pPr>
    </w:p>
    <w:p>
      <w:pPr>
        <w:pStyle w:val="BodyText"/>
      </w:pPr>
    </w:p>
    <w:p>
      <w:pPr>
        <w:pStyle w:val="BodyText"/>
      </w:pPr>
    </w:p>
    <w:p>
      <w:pPr>
        <w:pStyle w:val="BodyText"/>
      </w:pPr>
    </w:p>
    <w:p>
      <w:pPr>
        <w:pStyle w:val="BodyText"/>
        <w:spacing w:before="160" w:after="1"/>
      </w:pPr>
    </w:p>
    <w:tbl>
      <w:tblPr>
        <w:tblW w:w="0" w:type="auto"/>
        <w:jc w:val="left"/>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1"/>
        <w:gridCol w:w="435"/>
        <w:gridCol w:w="1027"/>
        <w:gridCol w:w="1027"/>
      </w:tblGrid>
      <w:tr>
        <w:trPr>
          <w:trHeight w:val="151" w:hRule="atLeast"/>
        </w:trPr>
        <w:tc>
          <w:tcPr>
            <w:tcW w:w="6001" w:type="dxa"/>
            <w:tcBorders>
              <w:bottom w:val="single" w:sz="6" w:space="0" w:color="000000"/>
              <w:right w:val="single" w:sz="6" w:space="0" w:color="000000"/>
            </w:tcBorders>
            <w:shd w:val="clear" w:color="auto" w:fill="FFC000"/>
          </w:tcPr>
          <w:p>
            <w:pPr>
              <w:pStyle w:val="TableParagraph"/>
              <w:spacing w:line="94" w:lineRule="exact" w:before="38"/>
              <w:ind w:left="18"/>
              <w:jc w:val="center"/>
              <w:rPr>
                <w:b/>
                <w:sz w:val="10"/>
              </w:rPr>
            </w:pPr>
            <w:r>
              <w:rPr>
                <w:b/>
                <w:sz w:val="10"/>
              </w:rPr>
              <w:t>CUENTA</w:t>
            </w:r>
            <w:r>
              <w:rPr>
                <w:b/>
                <w:spacing w:val="2"/>
                <w:sz w:val="10"/>
              </w:rPr>
              <w:t> </w:t>
            </w:r>
            <w:r>
              <w:rPr>
                <w:b/>
                <w:sz w:val="10"/>
              </w:rPr>
              <w:t>DE</w:t>
            </w:r>
            <w:r>
              <w:rPr>
                <w:b/>
                <w:spacing w:val="-5"/>
                <w:sz w:val="10"/>
              </w:rPr>
              <w:t> </w:t>
            </w:r>
            <w:r>
              <w:rPr>
                <w:b/>
                <w:spacing w:val="-2"/>
                <w:sz w:val="10"/>
              </w:rPr>
              <w:t>RESULTADOS</w:t>
            </w:r>
          </w:p>
        </w:tc>
        <w:tc>
          <w:tcPr>
            <w:tcW w:w="435" w:type="dxa"/>
            <w:tcBorders>
              <w:left w:val="single" w:sz="6" w:space="0" w:color="000000"/>
              <w:bottom w:val="single" w:sz="6" w:space="0" w:color="000000"/>
              <w:right w:val="single" w:sz="6" w:space="0" w:color="000000"/>
            </w:tcBorders>
            <w:shd w:val="clear" w:color="auto" w:fill="FFC000"/>
          </w:tcPr>
          <w:p>
            <w:pPr>
              <w:pStyle w:val="TableParagraph"/>
              <w:spacing w:line="94" w:lineRule="exact" w:before="38"/>
              <w:ind w:left="9" w:right="9"/>
              <w:jc w:val="center"/>
              <w:rPr>
                <w:b/>
                <w:sz w:val="10"/>
              </w:rPr>
            </w:pPr>
            <w:r>
              <w:rPr>
                <w:b/>
                <w:spacing w:val="-2"/>
                <w:w w:val="110"/>
                <w:sz w:val="10"/>
              </w:rPr>
              <w:t>Notas</w:t>
            </w:r>
          </w:p>
        </w:tc>
        <w:tc>
          <w:tcPr>
            <w:tcW w:w="1027" w:type="dxa"/>
            <w:tcBorders>
              <w:left w:val="single" w:sz="6" w:space="0" w:color="000000"/>
              <w:bottom w:val="single" w:sz="6" w:space="0" w:color="000000"/>
              <w:right w:val="single" w:sz="6" w:space="0" w:color="000000"/>
            </w:tcBorders>
            <w:shd w:val="clear" w:color="auto" w:fill="FFC000"/>
          </w:tcPr>
          <w:p>
            <w:pPr>
              <w:pStyle w:val="TableParagraph"/>
              <w:spacing w:line="94" w:lineRule="exact" w:before="38"/>
              <w:ind w:left="245"/>
              <w:rPr>
                <w:b/>
                <w:sz w:val="10"/>
              </w:rPr>
            </w:pPr>
            <w:r>
              <w:rPr>
                <w:b/>
                <w:spacing w:val="-2"/>
                <w:w w:val="115"/>
                <w:sz w:val="10"/>
              </w:rPr>
              <w:t>31-dic-</w:t>
            </w:r>
            <w:r>
              <w:rPr>
                <w:b/>
                <w:spacing w:val="-5"/>
                <w:w w:val="115"/>
                <w:sz w:val="10"/>
              </w:rPr>
              <w:t>25</w:t>
            </w:r>
          </w:p>
        </w:tc>
        <w:tc>
          <w:tcPr>
            <w:tcW w:w="1027" w:type="dxa"/>
            <w:tcBorders>
              <w:left w:val="single" w:sz="6" w:space="0" w:color="000000"/>
              <w:bottom w:val="single" w:sz="6" w:space="0" w:color="000000"/>
              <w:right w:val="single" w:sz="6" w:space="0" w:color="000000"/>
            </w:tcBorders>
            <w:shd w:val="clear" w:color="auto" w:fill="FFC000"/>
          </w:tcPr>
          <w:p>
            <w:pPr>
              <w:pStyle w:val="TableParagraph"/>
              <w:spacing w:line="94" w:lineRule="exact" w:before="38"/>
              <w:ind w:left="239"/>
              <w:rPr>
                <w:b/>
                <w:sz w:val="10"/>
              </w:rPr>
            </w:pPr>
            <w:r>
              <w:rPr>
                <w:b/>
                <w:spacing w:val="-2"/>
                <w:w w:val="115"/>
                <w:sz w:val="10"/>
              </w:rPr>
              <w:t>31-dic-</w:t>
            </w:r>
            <w:r>
              <w:rPr>
                <w:b/>
                <w:spacing w:val="-5"/>
                <w:w w:val="115"/>
                <w:sz w:val="10"/>
              </w:rPr>
              <w:t>24</w:t>
            </w:r>
          </w:p>
        </w:tc>
      </w:tr>
      <w:tr>
        <w:trPr>
          <w:trHeight w:val="168" w:hRule="atLeast"/>
        </w:trPr>
        <w:tc>
          <w:tcPr>
            <w:tcW w:w="6001" w:type="dxa"/>
            <w:tcBorders>
              <w:top w:val="single" w:sz="6" w:space="0" w:color="000000"/>
              <w:bottom w:val="nil"/>
              <w:right w:val="single" w:sz="6" w:space="0" w:color="000000"/>
            </w:tcBorders>
          </w:tcPr>
          <w:p>
            <w:pPr>
              <w:pStyle w:val="TableParagraph"/>
              <w:spacing w:before="34"/>
              <w:ind w:left="29"/>
              <w:rPr>
                <w:b/>
                <w:sz w:val="10"/>
              </w:rPr>
            </w:pPr>
            <w:r>
              <w:rPr>
                <w:b/>
                <w:sz w:val="10"/>
              </w:rPr>
              <w:t>OPERACIONES</w:t>
            </w:r>
            <w:r>
              <w:rPr>
                <w:b/>
                <w:spacing w:val="14"/>
                <w:sz w:val="10"/>
              </w:rPr>
              <w:t> </w:t>
            </w:r>
            <w:r>
              <w:rPr>
                <w:b/>
                <w:spacing w:val="-2"/>
                <w:sz w:val="10"/>
              </w:rPr>
              <w:t>CONTINUADAS</w:t>
            </w:r>
          </w:p>
        </w:tc>
        <w:tc>
          <w:tcPr>
            <w:tcW w:w="435" w:type="dxa"/>
            <w:tcBorders>
              <w:top w:val="single" w:sz="6" w:space="0" w:color="000000"/>
              <w:left w:val="single" w:sz="6" w:space="0" w:color="000000"/>
              <w:bottom w:val="nil"/>
              <w:right w:val="single" w:sz="6" w:space="0" w:color="000000"/>
            </w:tcBorders>
          </w:tcPr>
          <w:p>
            <w:pPr>
              <w:pStyle w:val="TableParagraph"/>
              <w:rPr>
                <w:rFonts w:ascii="Times New Roman"/>
                <w:sz w:val="10"/>
              </w:rPr>
            </w:pPr>
          </w:p>
        </w:tc>
        <w:tc>
          <w:tcPr>
            <w:tcW w:w="1027" w:type="dxa"/>
            <w:tcBorders>
              <w:top w:val="single" w:sz="6" w:space="0" w:color="000000"/>
              <w:left w:val="single" w:sz="6" w:space="0" w:color="000000"/>
              <w:bottom w:val="nil"/>
              <w:right w:val="single" w:sz="6" w:space="0" w:color="000000"/>
            </w:tcBorders>
          </w:tcPr>
          <w:p>
            <w:pPr>
              <w:pStyle w:val="TableParagraph"/>
              <w:rPr>
                <w:rFonts w:ascii="Times New Roman"/>
                <w:sz w:val="10"/>
              </w:rPr>
            </w:pPr>
          </w:p>
        </w:tc>
        <w:tc>
          <w:tcPr>
            <w:tcW w:w="1027" w:type="dxa"/>
            <w:tcBorders>
              <w:top w:val="single" w:sz="6" w:space="0" w:color="000000"/>
              <w:left w:val="single" w:sz="6" w:space="0" w:color="000000"/>
              <w:bottom w:val="nil"/>
              <w:right w:val="single" w:sz="6" w:space="0" w:color="000000"/>
            </w:tcBorders>
          </w:tcPr>
          <w:p>
            <w:pPr>
              <w:pStyle w:val="TableParagraph"/>
              <w:rPr>
                <w:rFonts w:ascii="Times New Roman"/>
                <w:sz w:val="10"/>
              </w:rPr>
            </w:pP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Importe</w:t>
            </w:r>
            <w:r>
              <w:rPr>
                <w:b/>
                <w:spacing w:val="8"/>
                <w:w w:val="110"/>
                <w:sz w:val="10"/>
              </w:rPr>
              <w:t> </w:t>
            </w:r>
            <w:r>
              <w:rPr>
                <w:b/>
                <w:w w:val="110"/>
                <w:sz w:val="10"/>
              </w:rPr>
              <w:t>neto</w:t>
            </w:r>
            <w:r>
              <w:rPr>
                <w:b/>
                <w:spacing w:val="13"/>
                <w:w w:val="110"/>
                <w:sz w:val="10"/>
              </w:rPr>
              <w:t> </w:t>
            </w:r>
            <w:r>
              <w:rPr>
                <w:b/>
                <w:w w:val="110"/>
                <w:sz w:val="10"/>
              </w:rPr>
              <w:t>de</w:t>
            </w:r>
            <w:r>
              <w:rPr>
                <w:b/>
                <w:spacing w:val="9"/>
                <w:w w:val="110"/>
                <w:sz w:val="10"/>
              </w:rPr>
              <w:t> </w:t>
            </w:r>
            <w:r>
              <w:rPr>
                <w:b/>
                <w:w w:val="110"/>
                <w:sz w:val="10"/>
              </w:rPr>
              <w:t>la</w:t>
            </w:r>
            <w:r>
              <w:rPr>
                <w:b/>
                <w:spacing w:val="8"/>
                <w:w w:val="110"/>
                <w:sz w:val="10"/>
              </w:rPr>
              <w:t> </w:t>
            </w:r>
            <w:r>
              <w:rPr>
                <w:b/>
                <w:w w:val="110"/>
                <w:sz w:val="10"/>
              </w:rPr>
              <w:t>cifra</w:t>
            </w:r>
            <w:r>
              <w:rPr>
                <w:b/>
                <w:spacing w:val="7"/>
                <w:w w:val="110"/>
                <w:sz w:val="10"/>
              </w:rPr>
              <w:t> </w:t>
            </w:r>
            <w:r>
              <w:rPr>
                <w:b/>
                <w:w w:val="110"/>
                <w:sz w:val="10"/>
              </w:rPr>
              <w:t>de</w:t>
            </w:r>
            <w:r>
              <w:rPr>
                <w:b/>
                <w:spacing w:val="9"/>
                <w:w w:val="110"/>
                <w:sz w:val="10"/>
              </w:rPr>
              <w:t> </w:t>
            </w:r>
            <w:r>
              <w:rPr>
                <w:b/>
                <w:spacing w:val="-2"/>
                <w:w w:val="110"/>
                <w:sz w:val="10"/>
              </w:rPr>
              <w:t>negocios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57"/>
              <w:jc w:val="right"/>
              <w:rPr>
                <w:b/>
                <w:sz w:val="10"/>
              </w:rPr>
            </w:pPr>
            <w:r>
              <w:rPr>
                <w:b/>
                <w:spacing w:val="-2"/>
                <w:w w:val="120"/>
                <w:sz w:val="10"/>
              </w:rPr>
              <w:t>46.517.687,16</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40.764.008,70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Prestaciones</w:t>
            </w:r>
            <w:r>
              <w:rPr>
                <w:rFonts w:ascii="Tahoma"/>
                <w:spacing w:val="1"/>
                <w:w w:val="105"/>
                <w:sz w:val="10"/>
              </w:rPr>
              <w:t> </w:t>
            </w:r>
            <w:r>
              <w:rPr>
                <w:rFonts w:ascii="Tahoma"/>
                <w:w w:val="105"/>
                <w:sz w:val="10"/>
              </w:rPr>
              <w:t>de</w:t>
            </w:r>
            <w:r>
              <w:rPr>
                <w:rFonts w:ascii="Tahoma"/>
                <w:spacing w:val="12"/>
                <w:w w:val="105"/>
                <w:sz w:val="10"/>
              </w:rPr>
              <w:t> </w:t>
            </w:r>
            <w:r>
              <w:rPr>
                <w:rFonts w:ascii="Tahoma"/>
                <w:spacing w:val="-2"/>
                <w:w w:val="105"/>
                <w:sz w:val="10"/>
              </w:rPr>
              <w:t>servicios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13</w:t>
            </w: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2"/>
                <w:w w:val="105"/>
                <w:sz w:val="10"/>
              </w:rPr>
              <w:t>46.521.648,44</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40.769.348,73</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hAnsi="Tahoma"/>
                <w:sz w:val="10"/>
              </w:rPr>
            </w:pPr>
            <w:r>
              <w:rPr>
                <w:rFonts w:ascii="Tahoma" w:hAnsi="Tahoma"/>
                <w:w w:val="105"/>
                <w:sz w:val="10"/>
              </w:rPr>
              <w:t>Devolución</w:t>
            </w:r>
            <w:r>
              <w:rPr>
                <w:rFonts w:ascii="Tahoma" w:hAnsi="Tahoma"/>
                <w:spacing w:val="3"/>
                <w:w w:val="105"/>
                <w:sz w:val="10"/>
              </w:rPr>
              <w:t> </w:t>
            </w:r>
            <w:r>
              <w:rPr>
                <w:rFonts w:ascii="Tahoma" w:hAnsi="Tahoma"/>
                <w:w w:val="105"/>
                <w:sz w:val="10"/>
              </w:rPr>
              <w:t>de</w:t>
            </w:r>
            <w:r>
              <w:rPr>
                <w:rFonts w:ascii="Tahoma" w:hAnsi="Tahoma"/>
                <w:spacing w:val="6"/>
                <w:w w:val="105"/>
                <w:sz w:val="10"/>
              </w:rPr>
              <w:t> </w:t>
            </w:r>
            <w:r>
              <w:rPr>
                <w:rFonts w:ascii="Tahoma" w:hAnsi="Tahoma"/>
                <w:spacing w:val="-2"/>
                <w:w w:val="105"/>
                <w:sz w:val="10"/>
              </w:rPr>
              <w:t>ventas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(3.961,28)</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(5.340,03)</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spacing w:val="-2"/>
                <w:w w:val="110"/>
                <w:sz w:val="10"/>
              </w:rPr>
              <w:t>Aprovisionamientos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16"/>
              <w:jc w:val="right"/>
              <w:rPr>
                <w:b/>
                <w:sz w:val="10"/>
              </w:rPr>
            </w:pPr>
            <w:r>
              <w:rPr>
                <w:b/>
                <w:spacing w:val="-2"/>
                <w:w w:val="120"/>
                <w:sz w:val="10"/>
              </w:rPr>
              <w:t>(7.766.778,20)</w:t>
            </w:r>
          </w:p>
        </w:tc>
        <w:tc>
          <w:tcPr>
            <w:tcW w:w="1027" w:type="dxa"/>
            <w:tcBorders>
              <w:top w:val="nil"/>
              <w:left w:val="single" w:sz="6" w:space="0" w:color="000000"/>
              <w:bottom w:val="nil"/>
              <w:right w:val="single" w:sz="6" w:space="0" w:color="000000"/>
            </w:tcBorders>
          </w:tcPr>
          <w:p>
            <w:pPr>
              <w:pStyle w:val="TableParagraph"/>
              <w:spacing w:before="30"/>
              <w:ind w:right="19"/>
              <w:jc w:val="right"/>
              <w:rPr>
                <w:b/>
                <w:sz w:val="10"/>
              </w:rPr>
            </w:pPr>
            <w:r>
              <w:rPr>
                <w:b/>
                <w:spacing w:val="-2"/>
                <w:w w:val="120"/>
                <w:sz w:val="10"/>
              </w:rPr>
              <w:t>(7.170.421,77)</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hAnsi="Tahoma"/>
                <w:sz w:val="10"/>
              </w:rPr>
            </w:pPr>
            <w:r>
              <w:rPr>
                <w:rFonts w:ascii="Tahoma" w:hAnsi="Tahoma"/>
                <w:w w:val="105"/>
                <w:sz w:val="10"/>
              </w:rPr>
              <w:t>Consumo</w:t>
            </w:r>
            <w:r>
              <w:rPr>
                <w:rFonts w:ascii="Tahoma" w:hAnsi="Tahoma"/>
                <w:spacing w:val="4"/>
                <w:w w:val="105"/>
                <w:sz w:val="10"/>
              </w:rPr>
              <w:t> </w:t>
            </w:r>
            <w:r>
              <w:rPr>
                <w:rFonts w:ascii="Tahoma" w:hAnsi="Tahoma"/>
                <w:w w:val="105"/>
                <w:sz w:val="10"/>
              </w:rPr>
              <w:t>de</w:t>
            </w:r>
            <w:r>
              <w:rPr>
                <w:rFonts w:ascii="Tahoma" w:hAnsi="Tahoma"/>
                <w:spacing w:val="5"/>
                <w:w w:val="105"/>
                <w:sz w:val="10"/>
              </w:rPr>
              <w:t> </w:t>
            </w:r>
            <w:r>
              <w:rPr>
                <w:rFonts w:ascii="Tahoma" w:hAnsi="Tahoma"/>
                <w:spacing w:val="-2"/>
                <w:w w:val="105"/>
                <w:sz w:val="10"/>
              </w:rPr>
              <w:t>mercaderías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4"/>
                <w:w w:val="105"/>
                <w:sz w:val="10"/>
              </w:rPr>
              <w:t>0,00</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4"/>
                <w:w w:val="105"/>
                <w:sz w:val="10"/>
              </w:rPr>
              <w:t>0,00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Consumo</w:t>
            </w:r>
            <w:r>
              <w:rPr>
                <w:rFonts w:ascii="Tahoma"/>
                <w:spacing w:val="-1"/>
                <w:w w:val="105"/>
                <w:sz w:val="10"/>
              </w:rPr>
              <w:t> </w:t>
            </w:r>
            <w:r>
              <w:rPr>
                <w:rFonts w:ascii="Tahoma"/>
                <w:w w:val="105"/>
                <w:sz w:val="10"/>
              </w:rPr>
              <w:t>de</w:t>
            </w:r>
            <w:r>
              <w:rPr>
                <w:rFonts w:ascii="Tahoma"/>
                <w:spacing w:val="1"/>
                <w:w w:val="105"/>
                <w:sz w:val="10"/>
              </w:rPr>
              <w:t> </w:t>
            </w:r>
            <w:r>
              <w:rPr>
                <w:rFonts w:ascii="Tahoma"/>
                <w:w w:val="105"/>
                <w:sz w:val="10"/>
              </w:rPr>
              <w:t>materias</w:t>
            </w:r>
            <w:r>
              <w:rPr>
                <w:rFonts w:ascii="Tahoma"/>
                <w:spacing w:val="-6"/>
                <w:w w:val="105"/>
                <w:sz w:val="10"/>
              </w:rPr>
              <w:t> </w:t>
            </w:r>
            <w:r>
              <w:rPr>
                <w:rFonts w:ascii="Tahoma"/>
                <w:w w:val="105"/>
                <w:sz w:val="10"/>
              </w:rPr>
              <w:t>primas</w:t>
            </w:r>
            <w:r>
              <w:rPr>
                <w:rFonts w:ascii="Tahoma"/>
                <w:spacing w:val="-8"/>
                <w:w w:val="105"/>
                <w:sz w:val="10"/>
              </w:rPr>
              <w:t> </w:t>
            </w:r>
            <w:r>
              <w:rPr>
                <w:rFonts w:ascii="Tahoma"/>
                <w:w w:val="105"/>
                <w:sz w:val="10"/>
              </w:rPr>
              <w:t>y</w:t>
            </w:r>
            <w:r>
              <w:rPr>
                <w:rFonts w:ascii="Tahoma"/>
                <w:spacing w:val="-3"/>
                <w:w w:val="105"/>
                <w:sz w:val="10"/>
              </w:rPr>
              <w:t> </w:t>
            </w:r>
            <w:r>
              <w:rPr>
                <w:rFonts w:ascii="Tahoma"/>
                <w:w w:val="105"/>
                <w:sz w:val="10"/>
              </w:rPr>
              <w:t>otras</w:t>
            </w:r>
            <w:r>
              <w:rPr>
                <w:rFonts w:ascii="Tahoma"/>
                <w:spacing w:val="-6"/>
                <w:w w:val="105"/>
                <w:sz w:val="10"/>
              </w:rPr>
              <w:t> </w:t>
            </w:r>
            <w:r>
              <w:rPr>
                <w:rFonts w:ascii="Tahoma"/>
                <w:w w:val="105"/>
                <w:sz w:val="10"/>
              </w:rPr>
              <w:t>materias</w:t>
            </w:r>
            <w:r>
              <w:rPr>
                <w:rFonts w:ascii="Tahoma"/>
                <w:spacing w:val="-7"/>
                <w:w w:val="105"/>
                <w:sz w:val="10"/>
              </w:rPr>
              <w:t> </w:t>
            </w:r>
            <w:r>
              <w:rPr>
                <w:rFonts w:ascii="Tahoma"/>
                <w:spacing w:val="-2"/>
                <w:w w:val="105"/>
                <w:sz w:val="10"/>
              </w:rPr>
              <w:t>consumibles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13</w:t>
            </w: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(7.738.877,23)</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(7.137.918,86)</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Trabajo</w:t>
            </w:r>
            <w:r>
              <w:rPr>
                <w:rFonts w:ascii="Tahoma"/>
                <w:spacing w:val="-1"/>
                <w:w w:val="105"/>
                <w:sz w:val="10"/>
              </w:rPr>
              <w:t> </w:t>
            </w:r>
            <w:r>
              <w:rPr>
                <w:rFonts w:ascii="Tahoma"/>
                <w:w w:val="105"/>
                <w:sz w:val="10"/>
              </w:rPr>
              <w:t>realizados</w:t>
            </w:r>
            <w:r>
              <w:rPr>
                <w:rFonts w:ascii="Tahoma"/>
                <w:spacing w:val="-8"/>
                <w:w w:val="105"/>
                <w:sz w:val="10"/>
              </w:rPr>
              <w:t> </w:t>
            </w:r>
            <w:r>
              <w:rPr>
                <w:rFonts w:ascii="Tahoma"/>
                <w:w w:val="105"/>
                <w:sz w:val="10"/>
              </w:rPr>
              <w:t>por</w:t>
            </w:r>
            <w:r>
              <w:rPr>
                <w:rFonts w:ascii="Tahoma"/>
                <w:spacing w:val="-6"/>
                <w:w w:val="105"/>
                <w:sz w:val="10"/>
              </w:rPr>
              <w:t> </w:t>
            </w:r>
            <w:r>
              <w:rPr>
                <w:rFonts w:ascii="Tahoma"/>
                <w:w w:val="105"/>
                <w:sz w:val="10"/>
              </w:rPr>
              <w:t>otras</w:t>
            </w:r>
            <w:r>
              <w:rPr>
                <w:rFonts w:ascii="Tahoma"/>
                <w:spacing w:val="-6"/>
                <w:w w:val="105"/>
                <w:sz w:val="10"/>
              </w:rPr>
              <w:t> </w:t>
            </w:r>
            <w:r>
              <w:rPr>
                <w:rFonts w:ascii="Tahoma"/>
                <w:spacing w:val="-2"/>
                <w:w w:val="105"/>
                <w:sz w:val="10"/>
              </w:rPr>
              <w:t>empresas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(27.900,97)</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(32.502,91)</w:t>
            </w:r>
          </w:p>
        </w:tc>
      </w:tr>
      <w:tr>
        <w:trPr>
          <w:trHeight w:val="164" w:hRule="atLeast"/>
        </w:trPr>
        <w:tc>
          <w:tcPr>
            <w:tcW w:w="6001" w:type="dxa"/>
            <w:tcBorders>
              <w:top w:val="nil"/>
              <w:bottom w:val="nil"/>
              <w:right w:val="single" w:sz="6" w:space="0" w:color="000000"/>
            </w:tcBorders>
          </w:tcPr>
          <w:p>
            <w:pPr>
              <w:pStyle w:val="TableParagraph"/>
              <w:spacing w:line="114" w:lineRule="exact" w:before="30"/>
              <w:ind w:left="29"/>
              <w:rPr>
                <w:b/>
                <w:sz w:val="10"/>
              </w:rPr>
            </w:pPr>
            <w:r>
              <w:rPr>
                <w:b/>
                <w:w w:val="110"/>
                <w:sz w:val="10"/>
              </w:rPr>
              <w:t>Otros</w:t>
            </w:r>
            <w:r>
              <w:rPr>
                <w:b/>
                <w:spacing w:val="-3"/>
                <w:w w:val="110"/>
                <w:sz w:val="10"/>
              </w:rPr>
              <w:t> </w:t>
            </w:r>
            <w:r>
              <w:rPr>
                <w:b/>
                <w:w w:val="110"/>
                <w:sz w:val="10"/>
              </w:rPr>
              <w:t>ingresos</w:t>
            </w:r>
            <w:r>
              <w:rPr>
                <w:b/>
                <w:spacing w:val="-4"/>
                <w:w w:val="110"/>
                <w:sz w:val="10"/>
              </w:rPr>
              <w:t> </w:t>
            </w:r>
            <w:r>
              <w:rPr>
                <w:b/>
                <w:w w:val="110"/>
                <w:sz w:val="10"/>
              </w:rPr>
              <w:t>de</w:t>
            </w:r>
            <w:r>
              <w:rPr>
                <w:b/>
                <w:spacing w:val="-3"/>
                <w:w w:val="110"/>
                <w:sz w:val="10"/>
              </w:rPr>
              <w:t> </w:t>
            </w:r>
            <w:r>
              <w:rPr>
                <w:b/>
                <w:spacing w:val="-2"/>
                <w:w w:val="110"/>
                <w:sz w:val="10"/>
              </w:rPr>
              <w:t>explotación</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line="114" w:lineRule="exact" w:before="30"/>
              <w:ind w:right="57"/>
              <w:jc w:val="right"/>
              <w:rPr>
                <w:b/>
                <w:sz w:val="10"/>
              </w:rPr>
            </w:pPr>
            <w:r>
              <w:rPr>
                <w:b/>
                <w:spacing w:val="-2"/>
                <w:w w:val="120"/>
                <w:sz w:val="10"/>
              </w:rPr>
              <w:t>26.096.715,82</w:t>
            </w:r>
          </w:p>
        </w:tc>
        <w:tc>
          <w:tcPr>
            <w:tcW w:w="1027" w:type="dxa"/>
            <w:tcBorders>
              <w:top w:val="nil"/>
              <w:left w:val="single" w:sz="6" w:space="0" w:color="000000"/>
              <w:bottom w:val="nil"/>
              <w:right w:val="single" w:sz="6" w:space="0" w:color="000000"/>
            </w:tcBorders>
          </w:tcPr>
          <w:p>
            <w:pPr>
              <w:pStyle w:val="TableParagraph"/>
              <w:spacing w:line="114" w:lineRule="exact" w:before="30"/>
              <w:ind w:right="59"/>
              <w:jc w:val="right"/>
              <w:rPr>
                <w:b/>
                <w:sz w:val="10"/>
              </w:rPr>
            </w:pPr>
            <w:r>
              <w:rPr>
                <w:b/>
                <w:spacing w:val="-2"/>
                <w:w w:val="120"/>
                <w:sz w:val="10"/>
              </w:rPr>
              <w:t>26.281.706,67</w:t>
            </w:r>
          </w:p>
        </w:tc>
      </w:tr>
      <w:tr>
        <w:trPr>
          <w:trHeight w:val="164" w:hRule="atLeast"/>
        </w:trPr>
        <w:tc>
          <w:tcPr>
            <w:tcW w:w="6001" w:type="dxa"/>
            <w:tcBorders>
              <w:top w:val="nil"/>
              <w:bottom w:val="nil"/>
              <w:right w:val="single" w:sz="6" w:space="0" w:color="000000"/>
            </w:tcBorders>
          </w:tcPr>
          <w:p>
            <w:pPr>
              <w:pStyle w:val="TableParagraph"/>
              <w:spacing w:before="22"/>
              <w:ind w:left="29"/>
              <w:rPr>
                <w:rFonts w:ascii="Tahoma" w:hAnsi="Tahoma"/>
                <w:sz w:val="10"/>
              </w:rPr>
            </w:pPr>
            <w:r>
              <w:rPr>
                <w:rFonts w:ascii="Tahoma" w:hAnsi="Tahoma"/>
                <w:w w:val="105"/>
                <w:sz w:val="10"/>
              </w:rPr>
              <w:t>Ingresos</w:t>
            </w:r>
            <w:r>
              <w:rPr>
                <w:rFonts w:ascii="Tahoma" w:hAnsi="Tahoma"/>
                <w:spacing w:val="-3"/>
                <w:w w:val="105"/>
                <w:sz w:val="10"/>
              </w:rPr>
              <w:t> </w:t>
            </w:r>
            <w:r>
              <w:rPr>
                <w:rFonts w:ascii="Tahoma" w:hAnsi="Tahoma"/>
                <w:w w:val="105"/>
                <w:sz w:val="10"/>
              </w:rPr>
              <w:t>accesorios y</w:t>
            </w:r>
            <w:r>
              <w:rPr>
                <w:rFonts w:ascii="Tahoma" w:hAnsi="Tahoma"/>
                <w:spacing w:val="2"/>
                <w:w w:val="105"/>
                <w:sz w:val="10"/>
              </w:rPr>
              <w:t> </w:t>
            </w:r>
            <w:r>
              <w:rPr>
                <w:rFonts w:ascii="Tahoma" w:hAnsi="Tahoma"/>
                <w:w w:val="105"/>
                <w:sz w:val="10"/>
              </w:rPr>
              <w:t>otros</w:t>
            </w:r>
            <w:r>
              <w:rPr>
                <w:rFonts w:ascii="Tahoma" w:hAnsi="Tahoma"/>
                <w:spacing w:val="-3"/>
                <w:w w:val="105"/>
                <w:sz w:val="10"/>
              </w:rPr>
              <w:t> </w:t>
            </w:r>
            <w:r>
              <w:rPr>
                <w:rFonts w:ascii="Tahoma" w:hAnsi="Tahoma"/>
                <w:w w:val="105"/>
                <w:sz w:val="10"/>
              </w:rPr>
              <w:t>ingresos</w:t>
            </w:r>
            <w:r>
              <w:rPr>
                <w:rFonts w:ascii="Tahoma" w:hAnsi="Tahoma"/>
                <w:spacing w:val="-2"/>
                <w:w w:val="105"/>
                <w:sz w:val="10"/>
              </w:rPr>
              <w:t> </w:t>
            </w:r>
            <w:r>
              <w:rPr>
                <w:rFonts w:ascii="Tahoma" w:hAnsi="Tahoma"/>
                <w:w w:val="105"/>
                <w:sz w:val="10"/>
              </w:rPr>
              <w:t>de</w:t>
            </w:r>
            <w:r>
              <w:rPr>
                <w:rFonts w:ascii="Tahoma" w:hAnsi="Tahoma"/>
                <w:spacing w:val="8"/>
                <w:w w:val="105"/>
                <w:sz w:val="10"/>
              </w:rPr>
              <w:t> </w:t>
            </w:r>
            <w:r>
              <w:rPr>
                <w:rFonts w:ascii="Tahoma" w:hAnsi="Tahoma"/>
                <w:w w:val="105"/>
                <w:sz w:val="10"/>
              </w:rPr>
              <w:t>gestión</w:t>
            </w:r>
            <w:r>
              <w:rPr>
                <w:rFonts w:ascii="Tahoma" w:hAnsi="Tahoma"/>
                <w:spacing w:val="6"/>
                <w:w w:val="105"/>
                <w:sz w:val="10"/>
              </w:rPr>
              <w:t> </w:t>
            </w:r>
            <w:r>
              <w:rPr>
                <w:rFonts w:ascii="Tahoma" w:hAnsi="Tahoma"/>
                <w:spacing w:val="-2"/>
                <w:w w:val="105"/>
                <w:sz w:val="10"/>
              </w:rPr>
              <w:t>corriente</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2"/>
              <w:ind w:right="59"/>
              <w:jc w:val="right"/>
              <w:rPr>
                <w:rFonts w:ascii="Tahoma"/>
                <w:sz w:val="10"/>
              </w:rPr>
            </w:pPr>
            <w:r>
              <w:rPr>
                <w:rFonts w:ascii="Tahoma"/>
                <w:spacing w:val="-2"/>
                <w:w w:val="105"/>
                <w:sz w:val="10"/>
              </w:rPr>
              <w:t>470.980,24</w:t>
            </w:r>
          </w:p>
        </w:tc>
        <w:tc>
          <w:tcPr>
            <w:tcW w:w="1027" w:type="dxa"/>
            <w:tcBorders>
              <w:top w:val="nil"/>
              <w:left w:val="single" w:sz="6" w:space="0" w:color="000000"/>
              <w:bottom w:val="nil"/>
              <w:right w:val="single" w:sz="6" w:space="0" w:color="000000"/>
            </w:tcBorders>
          </w:tcPr>
          <w:p>
            <w:pPr>
              <w:pStyle w:val="TableParagraph"/>
              <w:spacing w:before="22"/>
              <w:ind w:right="61"/>
              <w:jc w:val="right"/>
              <w:rPr>
                <w:rFonts w:ascii="Tahoma"/>
                <w:sz w:val="10"/>
              </w:rPr>
            </w:pPr>
            <w:r>
              <w:rPr>
                <w:rFonts w:ascii="Tahoma"/>
                <w:spacing w:val="-2"/>
                <w:w w:val="105"/>
                <w:sz w:val="10"/>
              </w:rPr>
              <w:t>479.913,46</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hAnsi="Tahoma"/>
                <w:sz w:val="10"/>
              </w:rPr>
            </w:pPr>
            <w:r>
              <w:rPr>
                <w:rFonts w:ascii="Tahoma" w:hAnsi="Tahoma"/>
                <w:w w:val="105"/>
                <w:sz w:val="10"/>
              </w:rPr>
              <w:t>Subvenciones</w:t>
            </w:r>
            <w:r>
              <w:rPr>
                <w:rFonts w:ascii="Tahoma" w:hAnsi="Tahoma"/>
                <w:spacing w:val="-2"/>
                <w:w w:val="105"/>
                <w:sz w:val="10"/>
              </w:rPr>
              <w:t> </w:t>
            </w:r>
            <w:r>
              <w:rPr>
                <w:rFonts w:ascii="Tahoma" w:hAnsi="Tahoma"/>
                <w:w w:val="105"/>
                <w:sz w:val="10"/>
              </w:rPr>
              <w:t>de</w:t>
            </w:r>
            <w:r>
              <w:rPr>
                <w:rFonts w:ascii="Tahoma" w:hAnsi="Tahoma"/>
                <w:spacing w:val="9"/>
                <w:w w:val="105"/>
                <w:sz w:val="10"/>
              </w:rPr>
              <w:t> </w:t>
            </w:r>
            <w:r>
              <w:rPr>
                <w:rFonts w:ascii="Tahoma" w:hAnsi="Tahoma"/>
                <w:w w:val="105"/>
                <w:sz w:val="10"/>
              </w:rPr>
              <w:t>explotación</w:t>
            </w:r>
            <w:r>
              <w:rPr>
                <w:rFonts w:ascii="Tahoma" w:hAnsi="Tahoma"/>
                <w:spacing w:val="6"/>
                <w:w w:val="105"/>
                <w:sz w:val="10"/>
              </w:rPr>
              <w:t> </w:t>
            </w:r>
            <w:r>
              <w:rPr>
                <w:rFonts w:ascii="Tahoma" w:hAnsi="Tahoma"/>
                <w:w w:val="105"/>
                <w:sz w:val="10"/>
              </w:rPr>
              <w:t>incorporadas</w:t>
            </w:r>
            <w:r>
              <w:rPr>
                <w:rFonts w:ascii="Tahoma" w:hAnsi="Tahoma"/>
                <w:spacing w:val="-1"/>
                <w:w w:val="105"/>
                <w:sz w:val="10"/>
              </w:rPr>
              <w:t> </w:t>
            </w:r>
            <w:r>
              <w:rPr>
                <w:rFonts w:ascii="Tahoma" w:hAnsi="Tahoma"/>
                <w:w w:val="105"/>
                <w:sz w:val="10"/>
              </w:rPr>
              <w:t>al</w:t>
            </w:r>
            <w:r>
              <w:rPr>
                <w:rFonts w:ascii="Tahoma" w:hAnsi="Tahoma"/>
                <w:spacing w:val="-7"/>
                <w:w w:val="105"/>
                <w:sz w:val="10"/>
              </w:rPr>
              <w:t> </w:t>
            </w:r>
            <w:r>
              <w:rPr>
                <w:rFonts w:ascii="Tahoma" w:hAnsi="Tahoma"/>
                <w:w w:val="105"/>
                <w:sz w:val="10"/>
              </w:rPr>
              <w:t>resultado</w:t>
            </w:r>
            <w:r>
              <w:rPr>
                <w:rFonts w:ascii="Tahoma" w:hAnsi="Tahoma"/>
                <w:spacing w:val="8"/>
                <w:w w:val="105"/>
                <w:sz w:val="10"/>
              </w:rPr>
              <w:t> </w:t>
            </w:r>
            <w:r>
              <w:rPr>
                <w:rFonts w:ascii="Tahoma" w:hAnsi="Tahoma"/>
                <w:w w:val="105"/>
                <w:sz w:val="10"/>
              </w:rPr>
              <w:t>del</w:t>
            </w:r>
            <w:r>
              <w:rPr>
                <w:rFonts w:ascii="Tahoma" w:hAnsi="Tahoma"/>
                <w:spacing w:val="-2"/>
                <w:w w:val="105"/>
                <w:sz w:val="10"/>
              </w:rPr>
              <w:t> ejercicio</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16</w:t>
            </w: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2"/>
                <w:w w:val="105"/>
                <w:sz w:val="10"/>
              </w:rPr>
              <w:t>25.625.735,58</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25.801.793,21</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sz w:val="10"/>
              </w:rPr>
              <w:t>Gastos</w:t>
            </w:r>
            <w:r>
              <w:rPr>
                <w:b/>
                <w:spacing w:val="18"/>
                <w:sz w:val="10"/>
              </w:rPr>
              <w:t> </w:t>
            </w:r>
            <w:r>
              <w:rPr>
                <w:b/>
                <w:sz w:val="10"/>
              </w:rPr>
              <w:t>de</w:t>
            </w:r>
            <w:r>
              <w:rPr>
                <w:b/>
                <w:spacing w:val="21"/>
                <w:sz w:val="10"/>
              </w:rPr>
              <w:t> </w:t>
            </w:r>
            <w:r>
              <w:rPr>
                <w:b/>
                <w:spacing w:val="-2"/>
                <w:sz w:val="10"/>
              </w:rPr>
              <w:t>personal</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16"/>
              <w:jc w:val="right"/>
              <w:rPr>
                <w:b/>
                <w:sz w:val="10"/>
              </w:rPr>
            </w:pPr>
            <w:r>
              <w:rPr>
                <w:b/>
                <w:spacing w:val="-2"/>
                <w:w w:val="120"/>
                <w:sz w:val="10"/>
              </w:rPr>
              <w:t>(45.657.791,68)</w:t>
            </w:r>
          </w:p>
        </w:tc>
        <w:tc>
          <w:tcPr>
            <w:tcW w:w="1027" w:type="dxa"/>
            <w:tcBorders>
              <w:top w:val="nil"/>
              <w:left w:val="single" w:sz="6" w:space="0" w:color="000000"/>
              <w:bottom w:val="nil"/>
              <w:right w:val="single" w:sz="6" w:space="0" w:color="000000"/>
            </w:tcBorders>
          </w:tcPr>
          <w:p>
            <w:pPr>
              <w:pStyle w:val="TableParagraph"/>
              <w:spacing w:before="30"/>
              <w:ind w:right="19"/>
              <w:jc w:val="right"/>
              <w:rPr>
                <w:b/>
                <w:sz w:val="10"/>
              </w:rPr>
            </w:pPr>
            <w:r>
              <w:rPr>
                <w:b/>
                <w:spacing w:val="-2"/>
                <w:w w:val="120"/>
                <w:sz w:val="10"/>
              </w:rPr>
              <w:t>(40.550.432,20)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Sueldos,</w:t>
            </w:r>
            <w:r>
              <w:rPr>
                <w:rFonts w:ascii="Tahoma"/>
                <w:spacing w:val="-7"/>
                <w:w w:val="105"/>
                <w:sz w:val="10"/>
              </w:rPr>
              <w:t> </w:t>
            </w:r>
            <w:r>
              <w:rPr>
                <w:rFonts w:ascii="Tahoma"/>
                <w:w w:val="105"/>
                <w:sz w:val="10"/>
              </w:rPr>
              <w:t>salarios</w:t>
            </w:r>
            <w:r>
              <w:rPr>
                <w:rFonts w:ascii="Tahoma"/>
                <w:spacing w:val="-8"/>
                <w:w w:val="105"/>
                <w:sz w:val="10"/>
              </w:rPr>
              <w:t> </w:t>
            </w:r>
            <w:r>
              <w:rPr>
                <w:rFonts w:ascii="Tahoma"/>
                <w:w w:val="105"/>
                <w:sz w:val="10"/>
              </w:rPr>
              <w:t>y</w:t>
            </w:r>
            <w:r>
              <w:rPr>
                <w:rFonts w:ascii="Tahoma"/>
                <w:spacing w:val="-9"/>
                <w:w w:val="105"/>
                <w:sz w:val="10"/>
              </w:rPr>
              <w:t> </w:t>
            </w:r>
            <w:r>
              <w:rPr>
                <w:rFonts w:ascii="Tahoma"/>
                <w:spacing w:val="-2"/>
                <w:w w:val="105"/>
                <w:sz w:val="10"/>
              </w:rPr>
              <w:t>asimilados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(32.859.194,14)</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(29.152.043,83)</w:t>
            </w:r>
          </w:p>
        </w:tc>
      </w:tr>
      <w:tr>
        <w:trPr>
          <w:trHeight w:val="160" w:hRule="atLeast"/>
        </w:trPr>
        <w:tc>
          <w:tcPr>
            <w:tcW w:w="6001" w:type="dxa"/>
            <w:tcBorders>
              <w:top w:val="nil"/>
              <w:bottom w:val="nil"/>
              <w:right w:val="single" w:sz="6" w:space="0" w:color="000000"/>
            </w:tcBorders>
          </w:tcPr>
          <w:p>
            <w:pPr>
              <w:pStyle w:val="TableParagraph"/>
              <w:spacing w:line="117" w:lineRule="exact" w:before="24"/>
              <w:ind w:left="29"/>
              <w:rPr>
                <w:rFonts w:ascii="Tahoma"/>
                <w:sz w:val="10"/>
              </w:rPr>
            </w:pPr>
            <w:r>
              <w:rPr>
                <w:rFonts w:ascii="Tahoma"/>
                <w:spacing w:val="-2"/>
                <w:w w:val="105"/>
                <w:sz w:val="10"/>
              </w:rPr>
              <w:t>Cargas</w:t>
            </w:r>
            <w:r>
              <w:rPr>
                <w:rFonts w:ascii="Tahoma"/>
                <w:spacing w:val="-4"/>
                <w:w w:val="105"/>
                <w:sz w:val="10"/>
              </w:rPr>
              <w:t> </w:t>
            </w:r>
            <w:r>
              <w:rPr>
                <w:rFonts w:ascii="Tahoma"/>
                <w:spacing w:val="-2"/>
                <w:w w:val="105"/>
                <w:sz w:val="10"/>
              </w:rPr>
              <w:t>sociales</w:t>
            </w:r>
          </w:p>
        </w:tc>
        <w:tc>
          <w:tcPr>
            <w:tcW w:w="435" w:type="dxa"/>
            <w:tcBorders>
              <w:top w:val="nil"/>
              <w:left w:val="single" w:sz="6" w:space="0" w:color="000000"/>
              <w:bottom w:val="nil"/>
              <w:right w:val="single" w:sz="6" w:space="0" w:color="000000"/>
            </w:tcBorders>
          </w:tcPr>
          <w:p>
            <w:pPr>
              <w:pStyle w:val="TableParagraph"/>
              <w:spacing w:line="117" w:lineRule="exact" w:before="24"/>
              <w:ind w:left="8" w:right="9"/>
              <w:jc w:val="center"/>
              <w:rPr>
                <w:rFonts w:ascii="Tahoma"/>
                <w:sz w:val="10"/>
              </w:rPr>
            </w:pPr>
            <w:r>
              <w:rPr>
                <w:rFonts w:ascii="Tahoma"/>
                <w:spacing w:val="-5"/>
                <w:w w:val="105"/>
                <w:sz w:val="10"/>
              </w:rPr>
              <w:t>13</w:t>
            </w:r>
          </w:p>
        </w:tc>
        <w:tc>
          <w:tcPr>
            <w:tcW w:w="1027" w:type="dxa"/>
            <w:tcBorders>
              <w:top w:val="nil"/>
              <w:left w:val="single" w:sz="6" w:space="0" w:color="000000"/>
              <w:bottom w:val="nil"/>
              <w:right w:val="single" w:sz="6" w:space="0" w:color="000000"/>
            </w:tcBorders>
          </w:tcPr>
          <w:p>
            <w:pPr>
              <w:pStyle w:val="TableParagraph"/>
              <w:spacing w:line="117" w:lineRule="exact" w:before="24"/>
              <w:ind w:right="24"/>
              <w:jc w:val="right"/>
              <w:rPr>
                <w:rFonts w:ascii="Tahoma"/>
                <w:sz w:val="10"/>
              </w:rPr>
            </w:pPr>
            <w:r>
              <w:rPr>
                <w:rFonts w:ascii="Tahoma"/>
                <w:spacing w:val="-2"/>
                <w:w w:val="105"/>
                <w:sz w:val="10"/>
              </w:rPr>
              <w:t>(12.798.597,54)</w:t>
            </w:r>
          </w:p>
        </w:tc>
        <w:tc>
          <w:tcPr>
            <w:tcW w:w="1027" w:type="dxa"/>
            <w:tcBorders>
              <w:top w:val="nil"/>
              <w:left w:val="single" w:sz="6" w:space="0" w:color="000000"/>
              <w:bottom w:val="nil"/>
              <w:right w:val="single" w:sz="6" w:space="0" w:color="000000"/>
            </w:tcBorders>
          </w:tcPr>
          <w:p>
            <w:pPr>
              <w:pStyle w:val="TableParagraph"/>
              <w:spacing w:line="117" w:lineRule="exact" w:before="24"/>
              <w:ind w:right="26"/>
              <w:jc w:val="right"/>
              <w:rPr>
                <w:rFonts w:ascii="Tahoma"/>
                <w:sz w:val="10"/>
              </w:rPr>
            </w:pPr>
            <w:r>
              <w:rPr>
                <w:rFonts w:ascii="Tahoma"/>
                <w:spacing w:val="-2"/>
                <w:w w:val="105"/>
                <w:sz w:val="10"/>
              </w:rPr>
              <w:t>(11.398.388,37)</w:t>
            </w:r>
          </w:p>
        </w:tc>
      </w:tr>
      <w:tr>
        <w:trPr>
          <w:trHeight w:val="170" w:hRule="atLeast"/>
        </w:trPr>
        <w:tc>
          <w:tcPr>
            <w:tcW w:w="6001" w:type="dxa"/>
            <w:tcBorders>
              <w:top w:val="nil"/>
              <w:bottom w:val="nil"/>
              <w:right w:val="single" w:sz="6" w:space="0" w:color="000000"/>
            </w:tcBorders>
          </w:tcPr>
          <w:p>
            <w:pPr>
              <w:pStyle w:val="TableParagraph"/>
              <w:spacing w:before="25"/>
              <w:ind w:left="29"/>
              <w:rPr>
                <w:b/>
                <w:sz w:val="10"/>
              </w:rPr>
            </w:pPr>
            <w:r>
              <w:rPr>
                <w:b/>
                <w:w w:val="110"/>
                <w:sz w:val="10"/>
              </w:rPr>
              <w:t>Otros</w:t>
            </w:r>
            <w:r>
              <w:rPr>
                <w:b/>
                <w:spacing w:val="4"/>
                <w:w w:val="110"/>
                <w:sz w:val="10"/>
              </w:rPr>
              <w:t> </w:t>
            </w:r>
            <w:r>
              <w:rPr>
                <w:b/>
                <w:w w:val="110"/>
                <w:sz w:val="10"/>
              </w:rPr>
              <w:t>gastos</w:t>
            </w:r>
            <w:r>
              <w:rPr>
                <w:b/>
                <w:spacing w:val="2"/>
                <w:w w:val="110"/>
                <w:sz w:val="10"/>
              </w:rPr>
              <w:t> </w:t>
            </w:r>
            <w:r>
              <w:rPr>
                <w:b/>
                <w:w w:val="110"/>
                <w:sz w:val="10"/>
              </w:rPr>
              <w:t>de</w:t>
            </w:r>
            <w:r>
              <w:rPr>
                <w:b/>
                <w:spacing w:val="4"/>
                <w:w w:val="110"/>
                <w:sz w:val="10"/>
              </w:rPr>
              <w:t> </w:t>
            </w:r>
            <w:r>
              <w:rPr>
                <w:b/>
                <w:spacing w:val="-2"/>
                <w:w w:val="110"/>
                <w:sz w:val="10"/>
              </w:rPr>
              <w:t>explotación</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5"/>
              <w:ind w:right="16"/>
              <w:jc w:val="right"/>
              <w:rPr>
                <w:b/>
                <w:sz w:val="10"/>
              </w:rPr>
            </w:pPr>
            <w:r>
              <w:rPr>
                <w:b/>
                <w:spacing w:val="-2"/>
                <w:w w:val="120"/>
                <w:sz w:val="10"/>
              </w:rPr>
              <w:t>(10.221.705,50)</w:t>
            </w:r>
          </w:p>
        </w:tc>
        <w:tc>
          <w:tcPr>
            <w:tcW w:w="1027" w:type="dxa"/>
            <w:tcBorders>
              <w:top w:val="nil"/>
              <w:left w:val="single" w:sz="6" w:space="0" w:color="000000"/>
              <w:bottom w:val="nil"/>
              <w:right w:val="single" w:sz="6" w:space="0" w:color="000000"/>
            </w:tcBorders>
          </w:tcPr>
          <w:p>
            <w:pPr>
              <w:pStyle w:val="TableParagraph"/>
              <w:spacing w:before="35"/>
              <w:ind w:right="18"/>
              <w:jc w:val="right"/>
              <w:rPr>
                <w:b/>
                <w:sz w:val="10"/>
              </w:rPr>
            </w:pPr>
            <w:r>
              <w:rPr>
                <w:b/>
                <w:spacing w:val="-2"/>
                <w:w w:val="120"/>
                <w:sz w:val="10"/>
              </w:rPr>
              <w:t>(11.043.370,16)</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spacing w:val="-2"/>
                <w:w w:val="105"/>
                <w:sz w:val="10"/>
              </w:rPr>
              <w:t>Servicios</w:t>
            </w:r>
            <w:r>
              <w:rPr>
                <w:rFonts w:ascii="Tahoma"/>
                <w:spacing w:val="8"/>
                <w:w w:val="105"/>
                <w:sz w:val="10"/>
              </w:rPr>
              <w:t> </w:t>
            </w:r>
            <w:r>
              <w:rPr>
                <w:rFonts w:ascii="Tahoma"/>
                <w:spacing w:val="-2"/>
                <w:w w:val="105"/>
                <w:sz w:val="10"/>
              </w:rPr>
              <w:t>exteriores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13</w:t>
            </w: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(10.146.732,95)</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(10.817.635,40)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spacing w:val="-2"/>
                <w:w w:val="105"/>
                <w:sz w:val="10"/>
              </w:rPr>
              <w:t>Tributos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(74.972,55)</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(225.734,76)</w:t>
            </w:r>
          </w:p>
        </w:tc>
      </w:tr>
      <w:tr>
        <w:trPr>
          <w:trHeight w:val="164" w:hRule="atLeast"/>
        </w:trPr>
        <w:tc>
          <w:tcPr>
            <w:tcW w:w="6001" w:type="dxa"/>
            <w:tcBorders>
              <w:top w:val="nil"/>
              <w:bottom w:val="nil"/>
              <w:right w:val="single" w:sz="6" w:space="0" w:color="000000"/>
            </w:tcBorders>
          </w:tcPr>
          <w:p>
            <w:pPr>
              <w:pStyle w:val="TableParagraph"/>
              <w:spacing w:line="120" w:lineRule="exact" w:before="24"/>
              <w:ind w:left="29"/>
              <w:rPr>
                <w:rFonts w:ascii="Tahoma" w:hAnsi="Tahoma"/>
                <w:sz w:val="10"/>
              </w:rPr>
            </w:pPr>
            <w:r>
              <w:rPr>
                <w:rFonts w:ascii="Tahoma" w:hAnsi="Tahoma"/>
                <w:w w:val="105"/>
                <w:sz w:val="10"/>
              </w:rPr>
              <w:t>Pérdidas,</w:t>
            </w:r>
            <w:r>
              <w:rPr>
                <w:rFonts w:ascii="Tahoma" w:hAnsi="Tahoma"/>
                <w:spacing w:val="1"/>
                <w:w w:val="105"/>
                <w:sz w:val="10"/>
              </w:rPr>
              <w:t> </w:t>
            </w:r>
            <w:r>
              <w:rPr>
                <w:rFonts w:ascii="Tahoma" w:hAnsi="Tahoma"/>
                <w:w w:val="105"/>
                <w:sz w:val="10"/>
              </w:rPr>
              <w:t>deterioro</w:t>
            </w:r>
            <w:r>
              <w:rPr>
                <w:rFonts w:ascii="Tahoma" w:hAnsi="Tahoma"/>
                <w:spacing w:val="3"/>
                <w:w w:val="105"/>
                <w:sz w:val="10"/>
              </w:rPr>
              <w:t> </w:t>
            </w:r>
            <w:r>
              <w:rPr>
                <w:rFonts w:ascii="Tahoma" w:hAnsi="Tahoma"/>
                <w:w w:val="105"/>
                <w:sz w:val="10"/>
              </w:rPr>
              <w:t>y</w:t>
            </w:r>
            <w:r>
              <w:rPr>
                <w:rFonts w:ascii="Tahoma" w:hAnsi="Tahoma"/>
                <w:spacing w:val="-2"/>
                <w:w w:val="105"/>
                <w:sz w:val="10"/>
              </w:rPr>
              <w:t> </w:t>
            </w:r>
            <w:r>
              <w:rPr>
                <w:rFonts w:ascii="Tahoma" w:hAnsi="Tahoma"/>
                <w:w w:val="105"/>
                <w:sz w:val="10"/>
              </w:rPr>
              <w:t>variación</w:t>
            </w:r>
            <w:r>
              <w:rPr>
                <w:rFonts w:ascii="Tahoma" w:hAnsi="Tahoma"/>
                <w:spacing w:val="1"/>
                <w:w w:val="105"/>
                <w:sz w:val="10"/>
              </w:rPr>
              <w:t> </w:t>
            </w:r>
            <w:r>
              <w:rPr>
                <w:rFonts w:ascii="Tahoma" w:hAnsi="Tahoma"/>
                <w:w w:val="105"/>
                <w:sz w:val="10"/>
              </w:rPr>
              <w:t>de</w:t>
            </w:r>
            <w:r>
              <w:rPr>
                <w:rFonts w:ascii="Tahoma" w:hAnsi="Tahoma"/>
                <w:spacing w:val="3"/>
                <w:w w:val="105"/>
                <w:sz w:val="10"/>
              </w:rPr>
              <w:t> </w:t>
            </w:r>
            <w:r>
              <w:rPr>
                <w:rFonts w:ascii="Tahoma" w:hAnsi="Tahoma"/>
                <w:w w:val="105"/>
                <w:sz w:val="10"/>
              </w:rPr>
              <w:t>provisiones</w:t>
            </w:r>
            <w:r>
              <w:rPr>
                <w:rFonts w:ascii="Tahoma" w:hAnsi="Tahoma"/>
                <w:spacing w:val="-5"/>
                <w:w w:val="105"/>
                <w:sz w:val="10"/>
              </w:rPr>
              <w:t> </w:t>
            </w:r>
            <w:r>
              <w:rPr>
                <w:rFonts w:ascii="Tahoma" w:hAnsi="Tahoma"/>
                <w:w w:val="105"/>
                <w:sz w:val="10"/>
              </w:rPr>
              <w:t>por</w:t>
            </w:r>
            <w:r>
              <w:rPr>
                <w:rFonts w:ascii="Tahoma" w:hAnsi="Tahoma"/>
                <w:spacing w:val="-3"/>
                <w:w w:val="105"/>
                <w:sz w:val="10"/>
              </w:rPr>
              <w:t> </w:t>
            </w:r>
            <w:r>
              <w:rPr>
                <w:rFonts w:ascii="Tahoma" w:hAnsi="Tahoma"/>
                <w:w w:val="105"/>
                <w:sz w:val="10"/>
              </w:rPr>
              <w:t>operaciones</w:t>
            </w:r>
            <w:r>
              <w:rPr>
                <w:rFonts w:ascii="Tahoma" w:hAnsi="Tahoma"/>
                <w:spacing w:val="-4"/>
                <w:w w:val="105"/>
                <w:sz w:val="10"/>
              </w:rPr>
              <w:t> </w:t>
            </w:r>
            <w:r>
              <w:rPr>
                <w:rFonts w:ascii="Tahoma" w:hAnsi="Tahoma"/>
                <w:spacing w:val="-2"/>
                <w:w w:val="105"/>
                <w:sz w:val="10"/>
              </w:rPr>
              <w:t>comerciales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line="120" w:lineRule="exact" w:before="24"/>
              <w:ind w:right="59"/>
              <w:jc w:val="right"/>
              <w:rPr>
                <w:rFonts w:ascii="Tahoma"/>
                <w:sz w:val="10"/>
              </w:rPr>
            </w:pPr>
            <w:r>
              <w:rPr>
                <w:rFonts w:ascii="Tahoma"/>
                <w:spacing w:val="-4"/>
                <w:w w:val="105"/>
                <w:sz w:val="10"/>
              </w:rPr>
              <w:t>0,00</w:t>
            </w:r>
          </w:p>
        </w:tc>
        <w:tc>
          <w:tcPr>
            <w:tcW w:w="1027" w:type="dxa"/>
            <w:tcBorders>
              <w:top w:val="nil"/>
              <w:left w:val="single" w:sz="6" w:space="0" w:color="000000"/>
              <w:bottom w:val="nil"/>
              <w:right w:val="single" w:sz="6" w:space="0" w:color="000000"/>
            </w:tcBorders>
          </w:tcPr>
          <w:p>
            <w:pPr>
              <w:pStyle w:val="TableParagraph"/>
              <w:spacing w:line="120" w:lineRule="exact" w:before="24"/>
              <w:ind w:right="61"/>
              <w:jc w:val="right"/>
              <w:rPr>
                <w:rFonts w:ascii="Tahoma"/>
                <w:sz w:val="10"/>
              </w:rPr>
            </w:pPr>
            <w:r>
              <w:rPr>
                <w:rFonts w:ascii="Tahoma"/>
                <w:spacing w:val="-4"/>
                <w:w w:val="105"/>
                <w:sz w:val="10"/>
              </w:rPr>
              <w:t>0,00</w:t>
            </w:r>
          </w:p>
        </w:tc>
      </w:tr>
      <w:tr>
        <w:trPr>
          <w:trHeight w:val="164" w:hRule="atLeast"/>
        </w:trPr>
        <w:tc>
          <w:tcPr>
            <w:tcW w:w="6001" w:type="dxa"/>
            <w:tcBorders>
              <w:top w:val="nil"/>
              <w:bottom w:val="nil"/>
              <w:right w:val="single" w:sz="6" w:space="0" w:color="000000"/>
            </w:tcBorders>
          </w:tcPr>
          <w:p>
            <w:pPr>
              <w:pStyle w:val="TableParagraph"/>
              <w:spacing w:before="29"/>
              <w:ind w:left="29"/>
              <w:rPr>
                <w:b/>
                <w:sz w:val="10"/>
              </w:rPr>
            </w:pPr>
            <w:r>
              <w:rPr>
                <w:b/>
                <w:w w:val="110"/>
                <w:sz w:val="10"/>
              </w:rPr>
              <w:t>Amortización</w:t>
            </w:r>
            <w:r>
              <w:rPr>
                <w:b/>
                <w:spacing w:val="-2"/>
                <w:w w:val="110"/>
                <w:sz w:val="10"/>
              </w:rPr>
              <w:t> </w:t>
            </w:r>
            <w:r>
              <w:rPr>
                <w:b/>
                <w:w w:val="110"/>
                <w:sz w:val="10"/>
              </w:rPr>
              <w:t>del</w:t>
            </w:r>
            <w:r>
              <w:rPr>
                <w:b/>
                <w:spacing w:val="-6"/>
                <w:w w:val="110"/>
                <w:sz w:val="10"/>
              </w:rPr>
              <w:t> </w:t>
            </w:r>
            <w:r>
              <w:rPr>
                <w:b/>
                <w:spacing w:val="-2"/>
                <w:w w:val="110"/>
                <w:sz w:val="10"/>
              </w:rPr>
              <w:t>inmovilizado</w:t>
            </w:r>
          </w:p>
        </w:tc>
        <w:tc>
          <w:tcPr>
            <w:tcW w:w="435" w:type="dxa"/>
            <w:tcBorders>
              <w:top w:val="nil"/>
              <w:left w:val="single" w:sz="6" w:space="0" w:color="000000"/>
              <w:bottom w:val="nil"/>
              <w:right w:val="single" w:sz="6" w:space="0" w:color="000000"/>
            </w:tcBorders>
          </w:tcPr>
          <w:p>
            <w:pPr>
              <w:pStyle w:val="TableParagraph"/>
              <w:spacing w:before="22"/>
              <w:ind w:left="9" w:right="9"/>
              <w:jc w:val="center"/>
              <w:rPr>
                <w:rFonts w:ascii="Tahoma"/>
                <w:sz w:val="10"/>
              </w:rPr>
            </w:pPr>
            <w:r>
              <w:rPr>
                <w:rFonts w:ascii="Tahoma"/>
                <w:sz w:val="10"/>
              </w:rPr>
              <w:t>5-</w:t>
            </w:r>
            <w:r>
              <w:rPr>
                <w:rFonts w:ascii="Tahoma"/>
                <w:spacing w:val="-10"/>
                <w:sz w:val="10"/>
              </w:rPr>
              <w:t>7</w:t>
            </w:r>
          </w:p>
        </w:tc>
        <w:tc>
          <w:tcPr>
            <w:tcW w:w="1027" w:type="dxa"/>
            <w:tcBorders>
              <w:top w:val="nil"/>
              <w:left w:val="single" w:sz="6" w:space="0" w:color="000000"/>
              <w:bottom w:val="nil"/>
              <w:right w:val="single" w:sz="6" w:space="0" w:color="000000"/>
            </w:tcBorders>
          </w:tcPr>
          <w:p>
            <w:pPr>
              <w:pStyle w:val="TableParagraph"/>
              <w:spacing w:before="29"/>
              <w:ind w:right="16"/>
              <w:jc w:val="right"/>
              <w:rPr>
                <w:b/>
                <w:sz w:val="10"/>
              </w:rPr>
            </w:pPr>
            <w:r>
              <w:rPr>
                <w:b/>
                <w:spacing w:val="-2"/>
                <w:w w:val="120"/>
                <w:sz w:val="10"/>
              </w:rPr>
              <w:t>(6.962.251,77)</w:t>
            </w:r>
          </w:p>
        </w:tc>
        <w:tc>
          <w:tcPr>
            <w:tcW w:w="1027" w:type="dxa"/>
            <w:tcBorders>
              <w:top w:val="nil"/>
              <w:left w:val="single" w:sz="6" w:space="0" w:color="000000"/>
              <w:bottom w:val="nil"/>
              <w:right w:val="single" w:sz="6" w:space="0" w:color="000000"/>
            </w:tcBorders>
          </w:tcPr>
          <w:p>
            <w:pPr>
              <w:pStyle w:val="TableParagraph"/>
              <w:spacing w:before="29"/>
              <w:ind w:right="19"/>
              <w:jc w:val="right"/>
              <w:rPr>
                <w:b/>
                <w:sz w:val="10"/>
              </w:rPr>
            </w:pPr>
            <w:r>
              <w:rPr>
                <w:b/>
                <w:spacing w:val="-2"/>
                <w:w w:val="120"/>
                <w:sz w:val="10"/>
              </w:rPr>
              <w:t>(6.365.356,27)</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Imputaciones</w:t>
            </w:r>
            <w:r>
              <w:rPr>
                <w:b/>
                <w:spacing w:val="-6"/>
                <w:w w:val="110"/>
                <w:sz w:val="10"/>
              </w:rPr>
              <w:t> </w:t>
            </w:r>
            <w:r>
              <w:rPr>
                <w:b/>
                <w:w w:val="110"/>
                <w:sz w:val="10"/>
              </w:rPr>
              <w:t>de</w:t>
            </w:r>
            <w:r>
              <w:rPr>
                <w:b/>
                <w:spacing w:val="-4"/>
                <w:w w:val="110"/>
                <w:sz w:val="10"/>
              </w:rPr>
              <w:t> </w:t>
            </w:r>
            <w:r>
              <w:rPr>
                <w:b/>
                <w:w w:val="110"/>
                <w:sz w:val="10"/>
              </w:rPr>
              <w:t>subvenciones</w:t>
            </w:r>
            <w:r>
              <w:rPr>
                <w:b/>
                <w:spacing w:val="-5"/>
                <w:w w:val="110"/>
                <w:sz w:val="10"/>
              </w:rPr>
              <w:t> </w:t>
            </w:r>
            <w:r>
              <w:rPr>
                <w:b/>
                <w:w w:val="110"/>
                <w:sz w:val="10"/>
              </w:rPr>
              <w:t>de</w:t>
            </w:r>
            <w:r>
              <w:rPr>
                <w:b/>
                <w:spacing w:val="-4"/>
                <w:w w:val="110"/>
                <w:sz w:val="10"/>
              </w:rPr>
              <w:t> </w:t>
            </w:r>
            <w:r>
              <w:rPr>
                <w:b/>
                <w:w w:val="110"/>
                <w:sz w:val="10"/>
              </w:rPr>
              <w:t>inmovilizado</w:t>
            </w:r>
            <w:r>
              <w:rPr>
                <w:b/>
                <w:spacing w:val="-1"/>
                <w:w w:val="110"/>
                <w:sz w:val="10"/>
              </w:rPr>
              <w:t> </w:t>
            </w:r>
            <w:r>
              <w:rPr>
                <w:b/>
                <w:w w:val="110"/>
                <w:sz w:val="10"/>
              </w:rPr>
              <w:t>no</w:t>
            </w:r>
            <w:r>
              <w:rPr>
                <w:b/>
                <w:spacing w:val="2"/>
                <w:w w:val="110"/>
                <w:sz w:val="10"/>
              </w:rPr>
              <w:t> </w:t>
            </w:r>
            <w:r>
              <w:rPr>
                <w:b/>
                <w:w w:val="110"/>
                <w:sz w:val="10"/>
              </w:rPr>
              <w:t>financiero</w:t>
            </w:r>
            <w:r>
              <w:rPr>
                <w:b/>
                <w:spacing w:val="2"/>
                <w:w w:val="110"/>
                <w:sz w:val="10"/>
              </w:rPr>
              <w:t> </w:t>
            </w:r>
            <w:r>
              <w:rPr>
                <w:b/>
                <w:w w:val="110"/>
                <w:sz w:val="10"/>
              </w:rPr>
              <w:t>y</w:t>
            </w:r>
            <w:r>
              <w:rPr>
                <w:b/>
                <w:spacing w:val="-4"/>
                <w:w w:val="110"/>
                <w:sz w:val="10"/>
              </w:rPr>
              <w:t> otras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16</w:t>
            </w:r>
          </w:p>
        </w:tc>
        <w:tc>
          <w:tcPr>
            <w:tcW w:w="1027" w:type="dxa"/>
            <w:tcBorders>
              <w:top w:val="nil"/>
              <w:left w:val="single" w:sz="6" w:space="0" w:color="000000"/>
              <w:bottom w:val="nil"/>
              <w:right w:val="single" w:sz="6" w:space="0" w:color="000000"/>
            </w:tcBorders>
          </w:tcPr>
          <w:p>
            <w:pPr>
              <w:pStyle w:val="TableParagraph"/>
              <w:spacing w:before="30"/>
              <w:ind w:right="56"/>
              <w:jc w:val="right"/>
              <w:rPr>
                <w:b/>
                <w:sz w:val="10"/>
              </w:rPr>
            </w:pPr>
            <w:r>
              <w:rPr>
                <w:b/>
                <w:spacing w:val="-2"/>
                <w:w w:val="120"/>
                <w:sz w:val="10"/>
              </w:rPr>
              <w:t>4.048.349,68</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2.192.691,72</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05"/>
                <w:sz w:val="10"/>
              </w:rPr>
              <w:t>Exceso</w:t>
            </w:r>
            <w:r>
              <w:rPr>
                <w:b/>
                <w:spacing w:val="3"/>
                <w:w w:val="105"/>
                <w:sz w:val="10"/>
              </w:rPr>
              <w:t> </w:t>
            </w:r>
            <w:r>
              <w:rPr>
                <w:b/>
                <w:w w:val="105"/>
                <w:sz w:val="10"/>
              </w:rPr>
              <w:t>de</w:t>
            </w:r>
            <w:r>
              <w:rPr>
                <w:b/>
                <w:spacing w:val="-1"/>
                <w:w w:val="105"/>
                <w:sz w:val="10"/>
              </w:rPr>
              <w:t> </w:t>
            </w:r>
            <w:r>
              <w:rPr>
                <w:b/>
                <w:spacing w:val="-2"/>
                <w:w w:val="105"/>
                <w:sz w:val="10"/>
              </w:rPr>
              <w:t>provisiones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57"/>
              <w:jc w:val="right"/>
              <w:rPr>
                <w:b/>
                <w:sz w:val="10"/>
              </w:rPr>
            </w:pPr>
            <w:r>
              <w:rPr>
                <w:b/>
                <w:spacing w:val="-4"/>
                <w:w w:val="120"/>
                <w:sz w:val="10"/>
              </w:rPr>
              <w:t>0,00</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4"/>
                <w:w w:val="120"/>
                <w:sz w:val="10"/>
              </w:rPr>
              <w:t>0,00</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Deterioro</w:t>
            </w:r>
            <w:r>
              <w:rPr>
                <w:b/>
                <w:spacing w:val="8"/>
                <w:w w:val="110"/>
                <w:sz w:val="10"/>
              </w:rPr>
              <w:t> </w:t>
            </w:r>
            <w:r>
              <w:rPr>
                <w:b/>
                <w:w w:val="110"/>
                <w:sz w:val="10"/>
              </w:rPr>
              <w:t>y</w:t>
            </w:r>
            <w:r>
              <w:rPr>
                <w:b/>
                <w:spacing w:val="3"/>
                <w:w w:val="110"/>
                <w:sz w:val="10"/>
              </w:rPr>
              <w:t> </w:t>
            </w:r>
            <w:r>
              <w:rPr>
                <w:b/>
                <w:w w:val="110"/>
                <w:sz w:val="10"/>
              </w:rPr>
              <w:t>resultado</w:t>
            </w:r>
            <w:r>
              <w:rPr>
                <w:b/>
                <w:spacing w:val="7"/>
                <w:w w:val="110"/>
                <w:sz w:val="10"/>
              </w:rPr>
              <w:t> </w:t>
            </w:r>
            <w:r>
              <w:rPr>
                <w:b/>
                <w:w w:val="110"/>
                <w:sz w:val="10"/>
              </w:rPr>
              <w:t>por</w:t>
            </w:r>
            <w:r>
              <w:rPr>
                <w:b/>
                <w:spacing w:val="2"/>
                <w:w w:val="110"/>
                <w:sz w:val="10"/>
              </w:rPr>
              <w:t> </w:t>
            </w:r>
            <w:r>
              <w:rPr>
                <w:b/>
                <w:w w:val="110"/>
                <w:sz w:val="10"/>
              </w:rPr>
              <w:t>enajenaciones de</w:t>
            </w:r>
            <w:r>
              <w:rPr>
                <w:b/>
                <w:spacing w:val="2"/>
                <w:w w:val="110"/>
                <w:sz w:val="10"/>
              </w:rPr>
              <w:t> </w:t>
            </w:r>
            <w:r>
              <w:rPr>
                <w:b/>
                <w:spacing w:val="-2"/>
                <w:w w:val="110"/>
                <w:sz w:val="10"/>
              </w:rPr>
              <w:t>inmovilizado</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57"/>
              <w:jc w:val="right"/>
              <w:rPr>
                <w:b/>
                <w:sz w:val="10"/>
              </w:rPr>
            </w:pPr>
            <w:r>
              <w:rPr>
                <w:b/>
                <w:spacing w:val="-4"/>
                <w:w w:val="120"/>
                <w:sz w:val="10"/>
              </w:rPr>
              <w:t>0,00</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37.631,94</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Deterioro</w:t>
            </w:r>
            <w:r>
              <w:rPr>
                <w:rFonts w:ascii="Tahoma"/>
                <w:spacing w:val="7"/>
                <w:w w:val="105"/>
                <w:sz w:val="10"/>
              </w:rPr>
              <w:t> </w:t>
            </w:r>
            <w:r>
              <w:rPr>
                <w:rFonts w:ascii="Tahoma"/>
                <w:w w:val="105"/>
                <w:sz w:val="10"/>
              </w:rPr>
              <w:t>y</w:t>
            </w:r>
            <w:r>
              <w:rPr>
                <w:rFonts w:ascii="Tahoma"/>
                <w:spacing w:val="4"/>
                <w:w w:val="105"/>
                <w:sz w:val="10"/>
              </w:rPr>
              <w:t> </w:t>
            </w:r>
            <w:r>
              <w:rPr>
                <w:rFonts w:ascii="Tahoma"/>
                <w:w w:val="105"/>
                <w:sz w:val="10"/>
              </w:rPr>
              <w:t>resultado</w:t>
            </w:r>
            <w:r>
              <w:rPr>
                <w:rFonts w:ascii="Tahoma"/>
                <w:spacing w:val="8"/>
                <w:w w:val="105"/>
                <w:sz w:val="10"/>
              </w:rPr>
              <w:t> </w:t>
            </w:r>
            <w:r>
              <w:rPr>
                <w:rFonts w:ascii="Tahoma"/>
                <w:w w:val="105"/>
                <w:sz w:val="10"/>
              </w:rPr>
              <w:t>por</w:t>
            </w:r>
            <w:r>
              <w:rPr>
                <w:rFonts w:ascii="Tahoma"/>
                <w:spacing w:val="-2"/>
                <w:w w:val="105"/>
                <w:sz w:val="10"/>
              </w:rPr>
              <w:t> </w:t>
            </w:r>
            <w:r>
              <w:rPr>
                <w:rFonts w:ascii="Tahoma"/>
                <w:w w:val="105"/>
                <w:sz w:val="10"/>
              </w:rPr>
              <w:t>enajenaciones</w:t>
            </w:r>
            <w:r>
              <w:rPr>
                <w:rFonts w:ascii="Tahoma"/>
                <w:spacing w:val="-1"/>
                <w:w w:val="105"/>
                <w:sz w:val="10"/>
              </w:rPr>
              <w:t> </w:t>
            </w:r>
            <w:r>
              <w:rPr>
                <w:rFonts w:ascii="Tahoma"/>
                <w:w w:val="105"/>
                <w:sz w:val="10"/>
              </w:rPr>
              <w:t>de</w:t>
            </w:r>
            <w:r>
              <w:rPr>
                <w:rFonts w:ascii="Tahoma"/>
                <w:spacing w:val="9"/>
                <w:w w:val="105"/>
                <w:sz w:val="10"/>
              </w:rPr>
              <w:t> </w:t>
            </w:r>
            <w:r>
              <w:rPr>
                <w:rFonts w:ascii="Tahoma"/>
                <w:spacing w:val="-2"/>
                <w:w w:val="105"/>
                <w:sz w:val="10"/>
              </w:rPr>
              <w:t>inmovilizado</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4"/>
                <w:w w:val="105"/>
                <w:sz w:val="10"/>
              </w:rPr>
              <w:t>0,00</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37.631,94</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Otros</w:t>
            </w:r>
            <w:r>
              <w:rPr>
                <w:b/>
                <w:spacing w:val="2"/>
                <w:w w:val="110"/>
                <w:sz w:val="10"/>
              </w:rPr>
              <w:t> </w:t>
            </w:r>
            <w:r>
              <w:rPr>
                <w:b/>
                <w:spacing w:val="-2"/>
                <w:w w:val="110"/>
                <w:sz w:val="10"/>
              </w:rPr>
              <w:t>resultados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13</w:t>
            </w:r>
          </w:p>
        </w:tc>
        <w:tc>
          <w:tcPr>
            <w:tcW w:w="1027" w:type="dxa"/>
            <w:tcBorders>
              <w:top w:val="nil"/>
              <w:left w:val="single" w:sz="6" w:space="0" w:color="000000"/>
              <w:bottom w:val="nil"/>
              <w:right w:val="single" w:sz="6" w:space="0" w:color="000000"/>
            </w:tcBorders>
          </w:tcPr>
          <w:p>
            <w:pPr>
              <w:pStyle w:val="TableParagraph"/>
              <w:spacing w:before="30"/>
              <w:ind w:right="16"/>
              <w:jc w:val="right"/>
              <w:rPr>
                <w:b/>
                <w:sz w:val="10"/>
              </w:rPr>
            </w:pPr>
            <w:r>
              <w:rPr>
                <w:b/>
                <w:spacing w:val="-2"/>
                <w:w w:val="125"/>
                <w:sz w:val="10"/>
              </w:rPr>
              <w:t>(9.559,27)</w:t>
            </w:r>
          </w:p>
        </w:tc>
        <w:tc>
          <w:tcPr>
            <w:tcW w:w="1027" w:type="dxa"/>
            <w:tcBorders>
              <w:top w:val="nil"/>
              <w:left w:val="single" w:sz="6" w:space="0" w:color="000000"/>
              <w:bottom w:val="nil"/>
              <w:right w:val="single" w:sz="6" w:space="0" w:color="000000"/>
            </w:tcBorders>
          </w:tcPr>
          <w:p>
            <w:pPr>
              <w:pStyle w:val="TableParagraph"/>
              <w:spacing w:before="30"/>
              <w:ind w:right="19"/>
              <w:jc w:val="right"/>
              <w:rPr>
                <w:b/>
                <w:sz w:val="10"/>
              </w:rPr>
            </w:pPr>
            <w:r>
              <w:rPr>
                <w:b/>
                <w:spacing w:val="-2"/>
                <w:w w:val="120"/>
                <w:sz w:val="10"/>
              </w:rPr>
              <w:t>(2.448.859,12)</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sz w:val="10"/>
              </w:rPr>
              <w:t>RESULTADO</w:t>
            </w:r>
            <w:r>
              <w:rPr>
                <w:b/>
                <w:spacing w:val="8"/>
                <w:sz w:val="10"/>
              </w:rPr>
              <w:t> </w:t>
            </w:r>
            <w:r>
              <w:rPr>
                <w:b/>
                <w:sz w:val="10"/>
              </w:rPr>
              <w:t>DE</w:t>
            </w:r>
            <w:r>
              <w:rPr>
                <w:b/>
                <w:spacing w:val="7"/>
                <w:sz w:val="10"/>
              </w:rPr>
              <w:t> </w:t>
            </w:r>
            <w:r>
              <w:rPr>
                <w:b/>
                <w:spacing w:val="-2"/>
                <w:sz w:val="10"/>
              </w:rPr>
              <w:t>EXPLOTACIÓN</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57"/>
              <w:jc w:val="right"/>
              <w:rPr>
                <w:b/>
                <w:sz w:val="10"/>
              </w:rPr>
            </w:pPr>
            <w:r>
              <w:rPr>
                <w:b/>
                <w:spacing w:val="-2"/>
                <w:w w:val="120"/>
                <w:sz w:val="10"/>
              </w:rPr>
              <w:t>6.044.666,24</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1.697.599,51</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Ingresos</w:t>
            </w:r>
            <w:r>
              <w:rPr>
                <w:b/>
                <w:spacing w:val="1"/>
                <w:w w:val="110"/>
                <w:sz w:val="10"/>
              </w:rPr>
              <w:t> </w:t>
            </w:r>
            <w:r>
              <w:rPr>
                <w:b/>
                <w:spacing w:val="-2"/>
                <w:w w:val="110"/>
                <w:sz w:val="10"/>
              </w:rPr>
              <w:t>financieros</w:t>
            </w:r>
          </w:p>
        </w:tc>
        <w:tc>
          <w:tcPr>
            <w:tcW w:w="435" w:type="dxa"/>
            <w:tcBorders>
              <w:top w:val="nil"/>
              <w:left w:val="single" w:sz="6" w:space="0" w:color="000000"/>
              <w:bottom w:val="nil"/>
              <w:right w:val="single" w:sz="6" w:space="0" w:color="000000"/>
            </w:tcBorders>
          </w:tcPr>
          <w:p>
            <w:pPr>
              <w:pStyle w:val="TableParagraph"/>
              <w:spacing w:before="24"/>
              <w:ind w:right="9"/>
              <w:jc w:val="center"/>
              <w:rPr>
                <w:rFonts w:ascii="Tahoma"/>
                <w:sz w:val="10"/>
              </w:rPr>
            </w:pPr>
            <w:r>
              <w:rPr>
                <w:rFonts w:ascii="Tahoma"/>
                <w:spacing w:val="-10"/>
                <w:w w:val="105"/>
                <w:sz w:val="10"/>
              </w:rPr>
              <w:t>9</w:t>
            </w:r>
          </w:p>
        </w:tc>
        <w:tc>
          <w:tcPr>
            <w:tcW w:w="1027" w:type="dxa"/>
            <w:tcBorders>
              <w:top w:val="nil"/>
              <w:left w:val="single" w:sz="6" w:space="0" w:color="000000"/>
              <w:bottom w:val="nil"/>
              <w:right w:val="single" w:sz="6" w:space="0" w:color="000000"/>
            </w:tcBorders>
          </w:tcPr>
          <w:p>
            <w:pPr>
              <w:pStyle w:val="TableParagraph"/>
              <w:spacing w:before="30"/>
              <w:ind w:right="56"/>
              <w:jc w:val="right"/>
              <w:rPr>
                <w:b/>
                <w:sz w:val="10"/>
              </w:rPr>
            </w:pPr>
            <w:r>
              <w:rPr>
                <w:b/>
                <w:spacing w:val="-2"/>
                <w:w w:val="120"/>
                <w:sz w:val="10"/>
              </w:rPr>
              <w:t>1.028.236,91</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881.894,79</w:t>
            </w:r>
          </w:p>
        </w:tc>
      </w:tr>
      <w:tr>
        <w:trPr>
          <w:trHeight w:val="164" w:hRule="atLeast"/>
        </w:trPr>
        <w:tc>
          <w:tcPr>
            <w:tcW w:w="6001" w:type="dxa"/>
            <w:tcBorders>
              <w:top w:val="nil"/>
              <w:bottom w:val="nil"/>
              <w:right w:val="single" w:sz="6" w:space="0" w:color="000000"/>
            </w:tcBorders>
          </w:tcPr>
          <w:p>
            <w:pPr>
              <w:pStyle w:val="TableParagraph"/>
              <w:spacing w:line="120" w:lineRule="exact" w:before="24"/>
              <w:ind w:left="29"/>
              <w:rPr>
                <w:rFonts w:ascii="Tahoma"/>
                <w:sz w:val="10"/>
              </w:rPr>
            </w:pPr>
            <w:r>
              <w:rPr>
                <w:rFonts w:ascii="Tahoma"/>
                <w:w w:val="105"/>
                <w:sz w:val="10"/>
              </w:rPr>
              <w:t>De</w:t>
            </w:r>
            <w:r>
              <w:rPr>
                <w:rFonts w:ascii="Tahoma"/>
                <w:spacing w:val="7"/>
                <w:w w:val="105"/>
                <w:sz w:val="10"/>
              </w:rPr>
              <w:t> </w:t>
            </w:r>
            <w:r>
              <w:rPr>
                <w:rFonts w:ascii="Tahoma"/>
                <w:w w:val="105"/>
                <w:sz w:val="10"/>
              </w:rPr>
              <w:t>participaciones en</w:t>
            </w:r>
            <w:r>
              <w:rPr>
                <w:rFonts w:ascii="Tahoma"/>
                <w:spacing w:val="5"/>
                <w:w w:val="105"/>
                <w:sz w:val="10"/>
              </w:rPr>
              <w:t> </w:t>
            </w:r>
            <w:r>
              <w:rPr>
                <w:rFonts w:ascii="Tahoma"/>
                <w:w w:val="105"/>
                <w:sz w:val="10"/>
              </w:rPr>
              <w:t>instrumentos</w:t>
            </w:r>
            <w:r>
              <w:rPr>
                <w:rFonts w:ascii="Tahoma"/>
                <w:spacing w:val="-1"/>
                <w:w w:val="105"/>
                <w:sz w:val="10"/>
              </w:rPr>
              <w:t> </w:t>
            </w:r>
            <w:r>
              <w:rPr>
                <w:rFonts w:ascii="Tahoma"/>
                <w:w w:val="105"/>
                <w:sz w:val="10"/>
              </w:rPr>
              <w:t>de</w:t>
            </w:r>
            <w:r>
              <w:rPr>
                <w:rFonts w:ascii="Tahoma"/>
                <w:spacing w:val="8"/>
                <w:w w:val="105"/>
                <w:sz w:val="10"/>
              </w:rPr>
              <w:t> </w:t>
            </w:r>
            <w:r>
              <w:rPr>
                <w:rFonts w:ascii="Tahoma"/>
                <w:spacing w:val="-2"/>
                <w:w w:val="105"/>
                <w:sz w:val="10"/>
              </w:rPr>
              <w:t>patrimonio</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line="120" w:lineRule="exact" w:before="24"/>
              <w:ind w:right="59"/>
              <w:jc w:val="right"/>
              <w:rPr>
                <w:rFonts w:ascii="Tahoma"/>
                <w:sz w:val="10"/>
              </w:rPr>
            </w:pPr>
            <w:r>
              <w:rPr>
                <w:rFonts w:ascii="Tahoma"/>
                <w:spacing w:val="-4"/>
                <w:w w:val="105"/>
                <w:sz w:val="10"/>
              </w:rPr>
              <w:t>0,00</w:t>
            </w:r>
          </w:p>
        </w:tc>
        <w:tc>
          <w:tcPr>
            <w:tcW w:w="1027" w:type="dxa"/>
            <w:tcBorders>
              <w:top w:val="nil"/>
              <w:left w:val="single" w:sz="6" w:space="0" w:color="000000"/>
              <w:bottom w:val="nil"/>
              <w:right w:val="single" w:sz="6" w:space="0" w:color="000000"/>
            </w:tcBorders>
          </w:tcPr>
          <w:p>
            <w:pPr>
              <w:pStyle w:val="TableParagraph"/>
              <w:spacing w:line="120" w:lineRule="exact" w:before="24"/>
              <w:ind w:right="61"/>
              <w:jc w:val="right"/>
              <w:rPr>
                <w:rFonts w:ascii="Tahoma"/>
                <w:sz w:val="10"/>
              </w:rPr>
            </w:pPr>
            <w:r>
              <w:rPr>
                <w:rFonts w:ascii="Tahoma"/>
                <w:spacing w:val="-4"/>
                <w:w w:val="105"/>
                <w:sz w:val="10"/>
              </w:rPr>
              <w:t>0,00</w:t>
            </w:r>
          </w:p>
        </w:tc>
      </w:tr>
      <w:tr>
        <w:trPr>
          <w:trHeight w:val="164" w:hRule="atLeast"/>
        </w:trPr>
        <w:tc>
          <w:tcPr>
            <w:tcW w:w="6001" w:type="dxa"/>
            <w:tcBorders>
              <w:top w:val="nil"/>
              <w:bottom w:val="nil"/>
              <w:right w:val="single" w:sz="6" w:space="0" w:color="000000"/>
            </w:tcBorders>
          </w:tcPr>
          <w:p>
            <w:pPr>
              <w:pStyle w:val="TableParagraph"/>
              <w:spacing w:before="22"/>
              <w:ind w:left="29"/>
              <w:rPr>
                <w:rFonts w:ascii="Tahoma"/>
                <w:sz w:val="10"/>
              </w:rPr>
            </w:pPr>
            <w:r>
              <w:rPr>
                <w:rFonts w:ascii="Tahoma"/>
                <w:w w:val="105"/>
                <w:sz w:val="10"/>
              </w:rPr>
              <w:t>En</w:t>
            </w:r>
            <w:r>
              <w:rPr>
                <w:rFonts w:ascii="Tahoma"/>
                <w:spacing w:val="4"/>
                <w:w w:val="105"/>
                <w:sz w:val="10"/>
              </w:rPr>
              <w:t> </w:t>
            </w:r>
            <w:r>
              <w:rPr>
                <w:rFonts w:ascii="Tahoma"/>
                <w:w w:val="105"/>
                <w:sz w:val="10"/>
              </w:rPr>
              <w:t>empresas</w:t>
            </w:r>
            <w:r>
              <w:rPr>
                <w:rFonts w:ascii="Tahoma"/>
                <w:spacing w:val="-1"/>
                <w:w w:val="105"/>
                <w:sz w:val="10"/>
              </w:rPr>
              <w:t> </w:t>
            </w:r>
            <w:r>
              <w:rPr>
                <w:rFonts w:ascii="Tahoma"/>
                <w:w w:val="105"/>
                <w:sz w:val="10"/>
              </w:rPr>
              <w:t>del</w:t>
            </w:r>
            <w:r>
              <w:rPr>
                <w:rFonts w:ascii="Tahoma"/>
                <w:spacing w:val="-3"/>
                <w:w w:val="105"/>
                <w:sz w:val="10"/>
              </w:rPr>
              <w:t> </w:t>
            </w:r>
            <w:r>
              <w:rPr>
                <w:rFonts w:ascii="Tahoma"/>
                <w:w w:val="105"/>
                <w:sz w:val="10"/>
              </w:rPr>
              <w:t>grupo</w:t>
            </w:r>
            <w:r>
              <w:rPr>
                <w:rFonts w:ascii="Tahoma"/>
                <w:spacing w:val="7"/>
                <w:w w:val="105"/>
                <w:sz w:val="10"/>
              </w:rPr>
              <w:t> </w:t>
            </w:r>
            <w:r>
              <w:rPr>
                <w:rFonts w:ascii="Tahoma"/>
                <w:w w:val="105"/>
                <w:sz w:val="10"/>
              </w:rPr>
              <w:t>y</w:t>
            </w:r>
            <w:r>
              <w:rPr>
                <w:rFonts w:ascii="Tahoma"/>
                <w:spacing w:val="1"/>
                <w:w w:val="105"/>
                <w:sz w:val="10"/>
              </w:rPr>
              <w:t> </w:t>
            </w:r>
            <w:r>
              <w:rPr>
                <w:rFonts w:ascii="Tahoma"/>
                <w:spacing w:val="-2"/>
                <w:w w:val="105"/>
                <w:sz w:val="10"/>
              </w:rPr>
              <w:t>asociadas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2"/>
              <w:ind w:right="59"/>
              <w:jc w:val="right"/>
              <w:rPr>
                <w:rFonts w:ascii="Tahoma"/>
                <w:sz w:val="10"/>
              </w:rPr>
            </w:pPr>
            <w:r>
              <w:rPr>
                <w:rFonts w:ascii="Tahoma"/>
                <w:spacing w:val="-2"/>
                <w:w w:val="105"/>
                <w:sz w:val="10"/>
              </w:rPr>
              <w:t>399.960,00</w:t>
            </w:r>
          </w:p>
        </w:tc>
        <w:tc>
          <w:tcPr>
            <w:tcW w:w="1027" w:type="dxa"/>
            <w:tcBorders>
              <w:top w:val="nil"/>
              <w:left w:val="single" w:sz="6" w:space="0" w:color="000000"/>
              <w:bottom w:val="nil"/>
              <w:right w:val="single" w:sz="6" w:space="0" w:color="000000"/>
            </w:tcBorders>
          </w:tcPr>
          <w:p>
            <w:pPr>
              <w:pStyle w:val="TableParagraph"/>
              <w:spacing w:before="22"/>
              <w:ind w:right="61"/>
              <w:jc w:val="right"/>
              <w:rPr>
                <w:rFonts w:ascii="Tahoma"/>
                <w:sz w:val="10"/>
              </w:rPr>
            </w:pPr>
            <w:r>
              <w:rPr>
                <w:rFonts w:ascii="Tahoma"/>
                <w:spacing w:val="-4"/>
                <w:w w:val="105"/>
                <w:sz w:val="10"/>
              </w:rPr>
              <w:t>0,00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De</w:t>
            </w:r>
            <w:r>
              <w:rPr>
                <w:rFonts w:ascii="Tahoma"/>
                <w:spacing w:val="8"/>
                <w:w w:val="105"/>
                <w:sz w:val="10"/>
              </w:rPr>
              <w:t> </w:t>
            </w:r>
            <w:r>
              <w:rPr>
                <w:rFonts w:ascii="Tahoma"/>
                <w:w w:val="105"/>
                <w:sz w:val="10"/>
              </w:rPr>
              <w:t>valores</w:t>
            </w:r>
            <w:r>
              <w:rPr>
                <w:rFonts w:ascii="Tahoma"/>
                <w:spacing w:val="-2"/>
                <w:w w:val="105"/>
                <w:sz w:val="10"/>
              </w:rPr>
              <w:t> </w:t>
            </w:r>
            <w:r>
              <w:rPr>
                <w:rFonts w:ascii="Tahoma"/>
                <w:w w:val="105"/>
                <w:sz w:val="10"/>
              </w:rPr>
              <w:t>negociables</w:t>
            </w:r>
            <w:r>
              <w:rPr>
                <w:rFonts w:ascii="Tahoma"/>
                <w:spacing w:val="-3"/>
                <w:w w:val="105"/>
                <w:sz w:val="10"/>
              </w:rPr>
              <w:t> </w:t>
            </w:r>
            <w:r>
              <w:rPr>
                <w:rFonts w:ascii="Tahoma"/>
                <w:w w:val="105"/>
                <w:sz w:val="10"/>
              </w:rPr>
              <w:t>y</w:t>
            </w:r>
            <w:r>
              <w:rPr>
                <w:rFonts w:ascii="Tahoma"/>
                <w:spacing w:val="5"/>
                <w:w w:val="105"/>
                <w:sz w:val="10"/>
              </w:rPr>
              <w:t> </w:t>
            </w:r>
            <w:r>
              <w:rPr>
                <w:rFonts w:ascii="Tahoma"/>
                <w:w w:val="105"/>
                <w:sz w:val="10"/>
              </w:rPr>
              <w:t>otros</w:t>
            </w:r>
            <w:r>
              <w:rPr>
                <w:rFonts w:ascii="Tahoma"/>
                <w:spacing w:val="1"/>
                <w:w w:val="105"/>
                <w:sz w:val="10"/>
              </w:rPr>
              <w:t> </w:t>
            </w:r>
            <w:r>
              <w:rPr>
                <w:rFonts w:ascii="Tahoma"/>
                <w:w w:val="105"/>
                <w:sz w:val="10"/>
              </w:rPr>
              <w:t>instrumentos</w:t>
            </w:r>
            <w:r>
              <w:rPr>
                <w:rFonts w:ascii="Tahoma"/>
                <w:spacing w:val="1"/>
                <w:w w:val="105"/>
                <w:sz w:val="10"/>
              </w:rPr>
              <w:t> </w:t>
            </w:r>
            <w:r>
              <w:rPr>
                <w:rFonts w:ascii="Tahoma"/>
                <w:spacing w:val="-2"/>
                <w:w w:val="105"/>
                <w:sz w:val="10"/>
              </w:rPr>
              <w:t>financieros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2"/>
                <w:w w:val="105"/>
                <w:sz w:val="10"/>
              </w:rPr>
              <w:t>628.276,91</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881.894,79</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En</w:t>
            </w:r>
            <w:r>
              <w:rPr>
                <w:rFonts w:ascii="Tahoma"/>
                <w:spacing w:val="3"/>
                <w:w w:val="105"/>
                <w:sz w:val="10"/>
              </w:rPr>
              <w:t> </w:t>
            </w:r>
            <w:r>
              <w:rPr>
                <w:rFonts w:ascii="Tahoma"/>
                <w:spacing w:val="-2"/>
                <w:w w:val="105"/>
                <w:sz w:val="10"/>
              </w:rPr>
              <w:t>terceros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2"/>
                <w:w w:val="105"/>
                <w:sz w:val="10"/>
              </w:rPr>
              <w:t>628.276,91</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881.894,79</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05"/>
                <w:sz w:val="10"/>
              </w:rPr>
              <w:t>Gastos</w:t>
            </w:r>
            <w:r>
              <w:rPr>
                <w:b/>
                <w:spacing w:val="-1"/>
                <w:w w:val="110"/>
                <w:sz w:val="10"/>
              </w:rPr>
              <w:t> </w:t>
            </w:r>
            <w:r>
              <w:rPr>
                <w:b/>
                <w:spacing w:val="-2"/>
                <w:w w:val="110"/>
                <w:sz w:val="10"/>
              </w:rPr>
              <w:t>financieros</w:t>
            </w:r>
          </w:p>
        </w:tc>
        <w:tc>
          <w:tcPr>
            <w:tcW w:w="435" w:type="dxa"/>
            <w:tcBorders>
              <w:top w:val="nil"/>
              <w:left w:val="single" w:sz="6" w:space="0" w:color="000000"/>
              <w:bottom w:val="nil"/>
              <w:right w:val="single" w:sz="6" w:space="0" w:color="000000"/>
            </w:tcBorders>
          </w:tcPr>
          <w:p>
            <w:pPr>
              <w:pStyle w:val="TableParagraph"/>
              <w:spacing w:before="24"/>
              <w:ind w:right="9"/>
              <w:jc w:val="center"/>
              <w:rPr>
                <w:rFonts w:ascii="Tahoma"/>
                <w:sz w:val="10"/>
              </w:rPr>
            </w:pPr>
            <w:r>
              <w:rPr>
                <w:rFonts w:ascii="Tahoma"/>
                <w:spacing w:val="-10"/>
                <w:w w:val="105"/>
                <w:sz w:val="10"/>
              </w:rPr>
              <w:t>9</w:t>
            </w:r>
          </w:p>
        </w:tc>
        <w:tc>
          <w:tcPr>
            <w:tcW w:w="1027" w:type="dxa"/>
            <w:tcBorders>
              <w:top w:val="nil"/>
              <w:left w:val="single" w:sz="6" w:space="0" w:color="000000"/>
              <w:bottom w:val="nil"/>
              <w:right w:val="single" w:sz="6" w:space="0" w:color="000000"/>
            </w:tcBorders>
          </w:tcPr>
          <w:p>
            <w:pPr>
              <w:pStyle w:val="TableParagraph"/>
              <w:spacing w:before="30"/>
              <w:ind w:right="16"/>
              <w:jc w:val="right"/>
              <w:rPr>
                <w:b/>
                <w:sz w:val="10"/>
              </w:rPr>
            </w:pPr>
            <w:r>
              <w:rPr>
                <w:b/>
                <w:spacing w:val="-2"/>
                <w:w w:val="120"/>
                <w:sz w:val="10"/>
              </w:rPr>
              <w:t>(2.405.774,99)</w:t>
            </w:r>
          </w:p>
        </w:tc>
        <w:tc>
          <w:tcPr>
            <w:tcW w:w="1027" w:type="dxa"/>
            <w:tcBorders>
              <w:top w:val="nil"/>
              <w:left w:val="single" w:sz="6" w:space="0" w:color="000000"/>
              <w:bottom w:val="nil"/>
              <w:right w:val="single" w:sz="6" w:space="0" w:color="000000"/>
            </w:tcBorders>
          </w:tcPr>
          <w:p>
            <w:pPr>
              <w:pStyle w:val="TableParagraph"/>
              <w:spacing w:before="30"/>
              <w:ind w:right="19"/>
              <w:jc w:val="right"/>
              <w:rPr>
                <w:b/>
                <w:sz w:val="10"/>
              </w:rPr>
            </w:pPr>
            <w:r>
              <w:rPr>
                <w:b/>
                <w:spacing w:val="-2"/>
                <w:w w:val="120"/>
                <w:sz w:val="10"/>
              </w:rPr>
              <w:t>(2.115.786,89)</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sz w:val="10"/>
              </w:rPr>
            </w:pPr>
            <w:r>
              <w:rPr>
                <w:rFonts w:ascii="Tahoma"/>
                <w:w w:val="105"/>
                <w:sz w:val="10"/>
              </w:rPr>
              <w:t>Por</w:t>
            </w:r>
            <w:r>
              <w:rPr>
                <w:rFonts w:ascii="Tahoma"/>
                <w:spacing w:val="3"/>
                <w:w w:val="105"/>
                <w:sz w:val="10"/>
              </w:rPr>
              <w:t> </w:t>
            </w:r>
            <w:r>
              <w:rPr>
                <w:rFonts w:ascii="Tahoma"/>
                <w:w w:val="105"/>
                <w:sz w:val="10"/>
              </w:rPr>
              <w:t>deudas</w:t>
            </w:r>
            <w:r>
              <w:rPr>
                <w:rFonts w:ascii="Tahoma"/>
                <w:spacing w:val="4"/>
                <w:w w:val="105"/>
                <w:sz w:val="10"/>
              </w:rPr>
              <w:t> </w:t>
            </w:r>
            <w:r>
              <w:rPr>
                <w:rFonts w:ascii="Tahoma"/>
                <w:w w:val="105"/>
                <w:sz w:val="10"/>
              </w:rPr>
              <w:t>con</w:t>
            </w:r>
            <w:r>
              <w:rPr>
                <w:rFonts w:ascii="Tahoma"/>
                <w:spacing w:val="10"/>
                <w:w w:val="105"/>
                <w:sz w:val="10"/>
              </w:rPr>
              <w:t> </w:t>
            </w:r>
            <w:r>
              <w:rPr>
                <w:rFonts w:ascii="Tahoma"/>
                <w:spacing w:val="-2"/>
                <w:w w:val="105"/>
                <w:sz w:val="10"/>
              </w:rPr>
              <w:t>terceros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24"/>
              <w:jc w:val="right"/>
              <w:rPr>
                <w:rFonts w:ascii="Tahoma"/>
                <w:sz w:val="10"/>
              </w:rPr>
            </w:pPr>
            <w:r>
              <w:rPr>
                <w:rFonts w:ascii="Tahoma"/>
                <w:spacing w:val="-2"/>
                <w:w w:val="105"/>
                <w:sz w:val="10"/>
              </w:rPr>
              <w:t>(2.405.774,99)</w:t>
            </w:r>
          </w:p>
        </w:tc>
        <w:tc>
          <w:tcPr>
            <w:tcW w:w="1027" w:type="dxa"/>
            <w:tcBorders>
              <w:top w:val="nil"/>
              <w:left w:val="single" w:sz="6" w:space="0" w:color="000000"/>
              <w:bottom w:val="nil"/>
              <w:right w:val="single" w:sz="6" w:space="0" w:color="000000"/>
            </w:tcBorders>
          </w:tcPr>
          <w:p>
            <w:pPr>
              <w:pStyle w:val="TableParagraph"/>
              <w:spacing w:before="24"/>
              <w:ind w:right="26"/>
              <w:jc w:val="right"/>
              <w:rPr>
                <w:rFonts w:ascii="Tahoma"/>
                <w:sz w:val="10"/>
              </w:rPr>
            </w:pPr>
            <w:r>
              <w:rPr>
                <w:rFonts w:ascii="Tahoma"/>
                <w:spacing w:val="-2"/>
                <w:w w:val="105"/>
                <w:sz w:val="10"/>
              </w:rPr>
              <w:t>(2.115.786,89)</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hAnsi="Tahoma"/>
                <w:sz w:val="10"/>
              </w:rPr>
            </w:pPr>
            <w:r>
              <w:rPr>
                <w:rFonts w:ascii="Tahoma" w:hAnsi="Tahoma"/>
                <w:w w:val="105"/>
                <w:sz w:val="10"/>
              </w:rPr>
              <w:t>Por</w:t>
            </w:r>
            <w:r>
              <w:rPr>
                <w:rFonts w:ascii="Tahoma" w:hAnsi="Tahoma"/>
                <w:spacing w:val="-6"/>
                <w:w w:val="105"/>
                <w:sz w:val="10"/>
              </w:rPr>
              <w:t> </w:t>
            </w:r>
            <w:r>
              <w:rPr>
                <w:rFonts w:ascii="Tahoma" w:hAnsi="Tahoma"/>
                <w:w w:val="105"/>
                <w:sz w:val="10"/>
              </w:rPr>
              <w:t>actualización</w:t>
            </w:r>
            <w:r>
              <w:rPr>
                <w:rFonts w:ascii="Tahoma" w:hAnsi="Tahoma"/>
                <w:spacing w:val="-1"/>
                <w:w w:val="105"/>
                <w:sz w:val="10"/>
              </w:rPr>
              <w:t> </w:t>
            </w:r>
            <w:r>
              <w:rPr>
                <w:rFonts w:ascii="Tahoma" w:hAnsi="Tahoma"/>
                <w:w w:val="105"/>
                <w:sz w:val="10"/>
              </w:rPr>
              <w:t>de</w:t>
            </w:r>
            <w:r>
              <w:rPr>
                <w:rFonts w:ascii="Tahoma" w:hAnsi="Tahoma"/>
                <w:spacing w:val="2"/>
                <w:w w:val="105"/>
                <w:sz w:val="10"/>
              </w:rPr>
              <w:t> </w:t>
            </w:r>
            <w:r>
              <w:rPr>
                <w:rFonts w:ascii="Tahoma" w:hAnsi="Tahoma"/>
                <w:spacing w:val="-2"/>
                <w:w w:val="105"/>
                <w:sz w:val="10"/>
              </w:rPr>
              <w:t>provisiones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4"/>
                <w:w w:val="105"/>
                <w:sz w:val="10"/>
              </w:rPr>
              <w:t>0,00</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4"/>
                <w:w w:val="105"/>
                <w:sz w:val="10"/>
              </w:rPr>
              <w:t>0,00</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Otros</w:t>
            </w:r>
            <w:r>
              <w:rPr>
                <w:b/>
                <w:spacing w:val="-1"/>
                <w:w w:val="110"/>
                <w:sz w:val="10"/>
              </w:rPr>
              <w:t> </w:t>
            </w:r>
            <w:r>
              <w:rPr>
                <w:b/>
                <w:w w:val="110"/>
                <w:sz w:val="10"/>
              </w:rPr>
              <w:t>ingresos</w:t>
            </w:r>
            <w:r>
              <w:rPr>
                <w:b/>
                <w:spacing w:val="-2"/>
                <w:w w:val="110"/>
                <w:sz w:val="10"/>
              </w:rPr>
              <w:t> </w:t>
            </w:r>
            <w:r>
              <w:rPr>
                <w:b/>
                <w:w w:val="110"/>
                <w:sz w:val="10"/>
              </w:rPr>
              <w:t>y</w:t>
            </w:r>
            <w:r>
              <w:rPr>
                <w:b/>
                <w:spacing w:val="1"/>
                <w:w w:val="110"/>
                <w:sz w:val="10"/>
              </w:rPr>
              <w:t> </w:t>
            </w:r>
            <w:r>
              <w:rPr>
                <w:b/>
                <w:w w:val="110"/>
                <w:sz w:val="10"/>
              </w:rPr>
              <w:t>gastos</w:t>
            </w:r>
            <w:r>
              <w:rPr>
                <w:b/>
                <w:spacing w:val="-2"/>
                <w:w w:val="110"/>
                <w:sz w:val="10"/>
              </w:rPr>
              <w:t> </w:t>
            </w:r>
            <w:r>
              <w:rPr>
                <w:b/>
                <w:w w:val="110"/>
                <w:sz w:val="10"/>
              </w:rPr>
              <w:t>de</w:t>
            </w:r>
            <w:r>
              <w:rPr>
                <w:b/>
                <w:spacing w:val="-2"/>
                <w:w w:val="110"/>
                <w:sz w:val="10"/>
              </w:rPr>
              <w:t> </w:t>
            </w:r>
            <w:r>
              <w:rPr>
                <w:b/>
                <w:w w:val="110"/>
                <w:sz w:val="10"/>
              </w:rPr>
              <w:t>carácter</w:t>
            </w:r>
            <w:r>
              <w:rPr>
                <w:b/>
                <w:spacing w:val="-2"/>
                <w:w w:val="110"/>
                <w:sz w:val="10"/>
              </w:rPr>
              <w:t> financiero</w:t>
            </w:r>
          </w:p>
        </w:tc>
        <w:tc>
          <w:tcPr>
            <w:tcW w:w="435" w:type="dxa"/>
            <w:tcBorders>
              <w:top w:val="nil"/>
              <w:left w:val="single" w:sz="6" w:space="0" w:color="000000"/>
              <w:bottom w:val="nil"/>
              <w:right w:val="single" w:sz="6" w:space="0" w:color="000000"/>
            </w:tcBorders>
          </w:tcPr>
          <w:p>
            <w:pPr>
              <w:pStyle w:val="TableParagraph"/>
              <w:spacing w:before="24"/>
              <w:ind w:right="9"/>
              <w:jc w:val="center"/>
              <w:rPr>
                <w:rFonts w:ascii="Tahoma"/>
                <w:sz w:val="10"/>
              </w:rPr>
            </w:pPr>
            <w:r>
              <w:rPr>
                <w:rFonts w:ascii="Tahoma"/>
                <w:spacing w:val="-10"/>
                <w:w w:val="105"/>
                <w:sz w:val="10"/>
              </w:rPr>
              <w:t>9</w:t>
            </w:r>
          </w:p>
        </w:tc>
        <w:tc>
          <w:tcPr>
            <w:tcW w:w="1027" w:type="dxa"/>
            <w:tcBorders>
              <w:top w:val="nil"/>
              <w:left w:val="single" w:sz="6" w:space="0" w:color="000000"/>
              <w:bottom w:val="nil"/>
              <w:right w:val="single" w:sz="6" w:space="0" w:color="000000"/>
            </w:tcBorders>
          </w:tcPr>
          <w:p>
            <w:pPr>
              <w:pStyle w:val="TableParagraph"/>
              <w:spacing w:before="30"/>
              <w:ind w:right="56"/>
              <w:jc w:val="right"/>
              <w:rPr>
                <w:b/>
                <w:sz w:val="10"/>
              </w:rPr>
            </w:pPr>
            <w:r>
              <w:rPr>
                <w:b/>
                <w:spacing w:val="-2"/>
                <w:w w:val="120"/>
                <w:sz w:val="10"/>
              </w:rPr>
              <w:t>1.606.855,79</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1.624.044,80</w:t>
            </w:r>
          </w:p>
        </w:tc>
      </w:tr>
      <w:tr>
        <w:trPr>
          <w:trHeight w:val="165" w:hRule="atLeast"/>
        </w:trPr>
        <w:tc>
          <w:tcPr>
            <w:tcW w:w="6001" w:type="dxa"/>
            <w:tcBorders>
              <w:top w:val="nil"/>
              <w:bottom w:val="nil"/>
              <w:right w:val="single" w:sz="6" w:space="0" w:color="000000"/>
            </w:tcBorders>
          </w:tcPr>
          <w:p>
            <w:pPr>
              <w:pStyle w:val="TableParagraph"/>
              <w:spacing w:before="24"/>
              <w:ind w:left="29"/>
              <w:rPr>
                <w:rFonts w:ascii="Tahoma" w:hAnsi="Tahoma"/>
                <w:sz w:val="10"/>
              </w:rPr>
            </w:pPr>
            <w:r>
              <w:rPr>
                <w:rFonts w:ascii="Tahoma" w:hAnsi="Tahoma"/>
                <w:w w:val="105"/>
                <w:sz w:val="10"/>
              </w:rPr>
              <w:t>Incorporación</w:t>
            </w:r>
            <w:r>
              <w:rPr>
                <w:rFonts w:ascii="Tahoma" w:hAnsi="Tahoma"/>
                <w:spacing w:val="2"/>
                <w:w w:val="105"/>
                <w:sz w:val="10"/>
              </w:rPr>
              <w:t> </w:t>
            </w:r>
            <w:r>
              <w:rPr>
                <w:rFonts w:ascii="Tahoma" w:hAnsi="Tahoma"/>
                <w:w w:val="105"/>
                <w:sz w:val="10"/>
              </w:rPr>
              <w:t>al</w:t>
            </w:r>
            <w:r>
              <w:rPr>
                <w:rFonts w:ascii="Tahoma" w:hAnsi="Tahoma"/>
                <w:spacing w:val="-4"/>
                <w:w w:val="105"/>
                <w:sz w:val="10"/>
              </w:rPr>
              <w:t> </w:t>
            </w:r>
            <w:r>
              <w:rPr>
                <w:rFonts w:ascii="Tahoma" w:hAnsi="Tahoma"/>
                <w:w w:val="105"/>
                <w:sz w:val="10"/>
              </w:rPr>
              <w:t>activo</w:t>
            </w:r>
            <w:r>
              <w:rPr>
                <w:rFonts w:ascii="Tahoma" w:hAnsi="Tahoma"/>
                <w:spacing w:val="3"/>
                <w:w w:val="105"/>
                <w:sz w:val="10"/>
              </w:rPr>
              <w:t> </w:t>
            </w:r>
            <w:r>
              <w:rPr>
                <w:rFonts w:ascii="Tahoma" w:hAnsi="Tahoma"/>
                <w:w w:val="105"/>
                <w:sz w:val="10"/>
              </w:rPr>
              <w:t>de</w:t>
            </w:r>
            <w:r>
              <w:rPr>
                <w:rFonts w:ascii="Tahoma" w:hAnsi="Tahoma"/>
                <w:spacing w:val="6"/>
                <w:w w:val="105"/>
                <w:sz w:val="10"/>
              </w:rPr>
              <w:t> </w:t>
            </w:r>
            <w:r>
              <w:rPr>
                <w:rFonts w:ascii="Tahoma" w:hAnsi="Tahoma"/>
                <w:w w:val="105"/>
                <w:sz w:val="10"/>
              </w:rPr>
              <w:t>gastos</w:t>
            </w:r>
            <w:r>
              <w:rPr>
                <w:rFonts w:ascii="Tahoma" w:hAnsi="Tahoma"/>
                <w:spacing w:val="-5"/>
                <w:w w:val="105"/>
                <w:sz w:val="10"/>
              </w:rPr>
              <w:t> </w:t>
            </w:r>
            <w:r>
              <w:rPr>
                <w:rFonts w:ascii="Tahoma" w:hAnsi="Tahoma"/>
                <w:spacing w:val="-2"/>
                <w:w w:val="105"/>
                <w:sz w:val="10"/>
              </w:rPr>
              <w:t>financieros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4"/>
              <w:ind w:right="59"/>
              <w:jc w:val="right"/>
              <w:rPr>
                <w:rFonts w:ascii="Tahoma"/>
                <w:sz w:val="10"/>
              </w:rPr>
            </w:pPr>
            <w:r>
              <w:rPr>
                <w:rFonts w:ascii="Tahoma"/>
                <w:spacing w:val="-2"/>
                <w:w w:val="105"/>
                <w:sz w:val="10"/>
              </w:rPr>
              <w:t>1.606.855,79</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2"/>
                <w:w w:val="105"/>
                <w:sz w:val="10"/>
              </w:rPr>
              <w:t>1.624.044,80</w:t>
            </w:r>
          </w:p>
        </w:tc>
      </w:tr>
      <w:tr>
        <w:trPr>
          <w:trHeight w:val="164" w:hRule="atLeast"/>
        </w:trPr>
        <w:tc>
          <w:tcPr>
            <w:tcW w:w="6001" w:type="dxa"/>
            <w:tcBorders>
              <w:top w:val="nil"/>
              <w:bottom w:val="nil"/>
              <w:right w:val="single" w:sz="6" w:space="0" w:color="000000"/>
            </w:tcBorders>
          </w:tcPr>
          <w:p>
            <w:pPr>
              <w:pStyle w:val="TableParagraph"/>
              <w:spacing w:line="114" w:lineRule="exact" w:before="30"/>
              <w:ind w:left="29"/>
              <w:rPr>
                <w:b/>
                <w:sz w:val="10"/>
              </w:rPr>
            </w:pPr>
            <w:r>
              <w:rPr>
                <w:b/>
                <w:sz w:val="10"/>
              </w:rPr>
              <w:t>RESULTADO</w:t>
            </w:r>
            <w:r>
              <w:rPr>
                <w:b/>
                <w:spacing w:val="6"/>
                <w:w w:val="110"/>
                <w:sz w:val="10"/>
              </w:rPr>
              <w:t> </w:t>
            </w:r>
            <w:r>
              <w:rPr>
                <w:b/>
                <w:spacing w:val="-2"/>
                <w:w w:val="110"/>
                <w:sz w:val="10"/>
              </w:rPr>
              <w:t>FINANCIERO</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line="114" w:lineRule="exact" w:before="30"/>
              <w:ind w:right="57"/>
              <w:jc w:val="right"/>
              <w:rPr>
                <w:b/>
                <w:sz w:val="10"/>
              </w:rPr>
            </w:pPr>
            <w:r>
              <w:rPr>
                <w:b/>
                <w:spacing w:val="-2"/>
                <w:w w:val="120"/>
                <w:sz w:val="10"/>
              </w:rPr>
              <w:t>229.317,71</w:t>
            </w:r>
          </w:p>
        </w:tc>
        <w:tc>
          <w:tcPr>
            <w:tcW w:w="1027" w:type="dxa"/>
            <w:tcBorders>
              <w:top w:val="nil"/>
              <w:left w:val="single" w:sz="6" w:space="0" w:color="000000"/>
              <w:bottom w:val="nil"/>
              <w:right w:val="single" w:sz="6" w:space="0" w:color="000000"/>
            </w:tcBorders>
          </w:tcPr>
          <w:p>
            <w:pPr>
              <w:pStyle w:val="TableParagraph"/>
              <w:spacing w:line="114" w:lineRule="exact" w:before="30"/>
              <w:ind w:right="59"/>
              <w:jc w:val="right"/>
              <w:rPr>
                <w:b/>
                <w:sz w:val="10"/>
              </w:rPr>
            </w:pPr>
            <w:r>
              <w:rPr>
                <w:b/>
                <w:spacing w:val="-2"/>
                <w:w w:val="120"/>
                <w:sz w:val="10"/>
              </w:rPr>
              <w:t>390.152,70</w:t>
            </w:r>
          </w:p>
        </w:tc>
      </w:tr>
      <w:tr>
        <w:trPr>
          <w:trHeight w:val="164" w:hRule="atLeast"/>
        </w:trPr>
        <w:tc>
          <w:tcPr>
            <w:tcW w:w="6001" w:type="dxa"/>
            <w:tcBorders>
              <w:top w:val="nil"/>
              <w:bottom w:val="nil"/>
              <w:right w:val="single" w:sz="6" w:space="0" w:color="000000"/>
            </w:tcBorders>
          </w:tcPr>
          <w:p>
            <w:pPr>
              <w:pStyle w:val="TableParagraph"/>
              <w:spacing w:before="29"/>
              <w:ind w:left="29"/>
              <w:rPr>
                <w:b/>
                <w:sz w:val="10"/>
              </w:rPr>
            </w:pPr>
            <w:r>
              <w:rPr>
                <w:b/>
                <w:sz w:val="10"/>
              </w:rPr>
              <w:t>RESULTADO</w:t>
            </w:r>
            <w:r>
              <w:rPr>
                <w:b/>
                <w:spacing w:val="2"/>
                <w:sz w:val="10"/>
              </w:rPr>
              <w:t> </w:t>
            </w:r>
            <w:r>
              <w:rPr>
                <w:b/>
                <w:sz w:val="10"/>
              </w:rPr>
              <w:t>ANTES</w:t>
            </w:r>
            <w:r>
              <w:rPr>
                <w:b/>
                <w:spacing w:val="11"/>
                <w:sz w:val="10"/>
              </w:rPr>
              <w:t> </w:t>
            </w:r>
            <w:r>
              <w:rPr>
                <w:b/>
                <w:sz w:val="10"/>
              </w:rPr>
              <w:t>DE </w:t>
            </w:r>
            <w:r>
              <w:rPr>
                <w:b/>
                <w:spacing w:val="-2"/>
                <w:sz w:val="10"/>
              </w:rPr>
              <w:t>IMPUESTOS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29"/>
              <w:ind w:right="57"/>
              <w:jc w:val="right"/>
              <w:rPr>
                <w:b/>
                <w:sz w:val="10"/>
              </w:rPr>
            </w:pPr>
            <w:r>
              <w:rPr>
                <w:b/>
                <w:spacing w:val="-2"/>
                <w:w w:val="120"/>
                <w:sz w:val="10"/>
              </w:rPr>
              <w:t>6.273.983,95</w:t>
            </w:r>
          </w:p>
        </w:tc>
        <w:tc>
          <w:tcPr>
            <w:tcW w:w="1027" w:type="dxa"/>
            <w:tcBorders>
              <w:top w:val="nil"/>
              <w:left w:val="single" w:sz="6" w:space="0" w:color="000000"/>
              <w:bottom w:val="nil"/>
              <w:right w:val="single" w:sz="6" w:space="0" w:color="000000"/>
            </w:tcBorders>
          </w:tcPr>
          <w:p>
            <w:pPr>
              <w:pStyle w:val="TableParagraph"/>
              <w:spacing w:before="29"/>
              <w:ind w:right="59"/>
              <w:jc w:val="right"/>
              <w:rPr>
                <w:b/>
                <w:sz w:val="10"/>
              </w:rPr>
            </w:pPr>
            <w:r>
              <w:rPr>
                <w:b/>
                <w:spacing w:val="-2"/>
                <w:w w:val="120"/>
                <w:sz w:val="10"/>
              </w:rPr>
              <w:t>2.087.752,21</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w w:val="110"/>
                <w:sz w:val="10"/>
              </w:rPr>
              <w:t>Impuesto</w:t>
            </w:r>
            <w:r>
              <w:rPr>
                <w:b/>
                <w:spacing w:val="11"/>
                <w:w w:val="110"/>
                <w:sz w:val="10"/>
              </w:rPr>
              <w:t> </w:t>
            </w:r>
            <w:r>
              <w:rPr>
                <w:b/>
                <w:w w:val="110"/>
                <w:sz w:val="10"/>
              </w:rPr>
              <w:t>sobre</w:t>
            </w:r>
            <w:r>
              <w:rPr>
                <w:b/>
                <w:spacing w:val="6"/>
                <w:w w:val="110"/>
                <w:sz w:val="10"/>
              </w:rPr>
              <w:t> </w:t>
            </w:r>
            <w:r>
              <w:rPr>
                <w:b/>
                <w:spacing w:val="-2"/>
                <w:w w:val="110"/>
                <w:sz w:val="10"/>
              </w:rPr>
              <w:t>beneficios</w:t>
            </w:r>
          </w:p>
        </w:tc>
        <w:tc>
          <w:tcPr>
            <w:tcW w:w="435" w:type="dxa"/>
            <w:tcBorders>
              <w:top w:val="nil"/>
              <w:left w:val="single" w:sz="6" w:space="0" w:color="000000"/>
              <w:bottom w:val="nil"/>
              <w:right w:val="single" w:sz="6" w:space="0" w:color="000000"/>
            </w:tcBorders>
          </w:tcPr>
          <w:p>
            <w:pPr>
              <w:pStyle w:val="TableParagraph"/>
              <w:spacing w:before="24"/>
              <w:ind w:left="8" w:right="9"/>
              <w:jc w:val="center"/>
              <w:rPr>
                <w:rFonts w:ascii="Tahoma"/>
                <w:sz w:val="10"/>
              </w:rPr>
            </w:pPr>
            <w:r>
              <w:rPr>
                <w:rFonts w:ascii="Tahoma"/>
                <w:spacing w:val="-5"/>
                <w:w w:val="105"/>
                <w:sz w:val="10"/>
              </w:rPr>
              <w:t>12</w:t>
            </w:r>
          </w:p>
        </w:tc>
        <w:tc>
          <w:tcPr>
            <w:tcW w:w="1027" w:type="dxa"/>
            <w:tcBorders>
              <w:top w:val="nil"/>
              <w:left w:val="single" w:sz="6" w:space="0" w:color="000000"/>
              <w:bottom w:val="nil"/>
              <w:right w:val="single" w:sz="6" w:space="0" w:color="000000"/>
            </w:tcBorders>
          </w:tcPr>
          <w:p>
            <w:pPr>
              <w:pStyle w:val="TableParagraph"/>
              <w:spacing w:before="24"/>
              <w:ind w:right="23"/>
              <w:jc w:val="right"/>
              <w:rPr>
                <w:rFonts w:ascii="Tahoma"/>
                <w:sz w:val="10"/>
              </w:rPr>
            </w:pPr>
            <w:r>
              <w:rPr>
                <w:rFonts w:ascii="Tahoma"/>
                <w:spacing w:val="-2"/>
                <w:w w:val="105"/>
                <w:sz w:val="10"/>
              </w:rPr>
              <w:t>(4.175,68)</w:t>
            </w:r>
          </w:p>
        </w:tc>
        <w:tc>
          <w:tcPr>
            <w:tcW w:w="1027" w:type="dxa"/>
            <w:tcBorders>
              <w:top w:val="nil"/>
              <w:left w:val="single" w:sz="6" w:space="0" w:color="000000"/>
              <w:bottom w:val="nil"/>
              <w:right w:val="single" w:sz="6" w:space="0" w:color="000000"/>
            </w:tcBorders>
          </w:tcPr>
          <w:p>
            <w:pPr>
              <w:pStyle w:val="TableParagraph"/>
              <w:spacing w:before="24"/>
              <w:ind w:right="61"/>
              <w:jc w:val="right"/>
              <w:rPr>
                <w:rFonts w:ascii="Tahoma"/>
                <w:sz w:val="10"/>
              </w:rPr>
            </w:pPr>
            <w:r>
              <w:rPr>
                <w:rFonts w:ascii="Tahoma"/>
                <w:spacing w:val="-4"/>
                <w:w w:val="105"/>
                <w:sz w:val="10"/>
              </w:rPr>
              <w:t>0,00</w:t>
            </w:r>
          </w:p>
        </w:tc>
      </w:tr>
      <w:tr>
        <w:trPr>
          <w:trHeight w:val="165" w:hRule="atLeast"/>
        </w:trPr>
        <w:tc>
          <w:tcPr>
            <w:tcW w:w="6001" w:type="dxa"/>
            <w:tcBorders>
              <w:top w:val="nil"/>
              <w:bottom w:val="nil"/>
              <w:right w:val="single" w:sz="6" w:space="0" w:color="000000"/>
            </w:tcBorders>
          </w:tcPr>
          <w:p>
            <w:pPr>
              <w:pStyle w:val="TableParagraph"/>
              <w:spacing w:before="30"/>
              <w:ind w:left="29"/>
              <w:rPr>
                <w:b/>
                <w:sz w:val="10"/>
              </w:rPr>
            </w:pPr>
            <w:r>
              <w:rPr>
                <w:b/>
                <w:spacing w:val="-2"/>
                <w:w w:val="105"/>
                <w:sz w:val="10"/>
              </w:rPr>
              <w:t>RESULTADO</w:t>
            </w:r>
            <w:r>
              <w:rPr>
                <w:b/>
                <w:spacing w:val="-5"/>
                <w:w w:val="105"/>
                <w:sz w:val="10"/>
              </w:rPr>
              <w:t> </w:t>
            </w:r>
            <w:r>
              <w:rPr>
                <w:b/>
                <w:spacing w:val="-2"/>
                <w:w w:val="105"/>
                <w:sz w:val="10"/>
              </w:rPr>
              <w:t>DEL</w:t>
            </w:r>
            <w:r>
              <w:rPr>
                <w:b/>
                <w:spacing w:val="-1"/>
                <w:w w:val="105"/>
                <w:sz w:val="10"/>
              </w:rPr>
              <w:t> </w:t>
            </w:r>
            <w:r>
              <w:rPr>
                <w:b/>
                <w:spacing w:val="-2"/>
                <w:w w:val="105"/>
                <w:sz w:val="10"/>
              </w:rPr>
              <w:t>EJERCICIO</w:t>
            </w:r>
            <w:r>
              <w:rPr>
                <w:b/>
                <w:spacing w:val="-4"/>
                <w:w w:val="105"/>
                <w:sz w:val="10"/>
              </w:rPr>
              <w:t> </w:t>
            </w:r>
            <w:r>
              <w:rPr>
                <w:b/>
                <w:spacing w:val="-2"/>
                <w:w w:val="105"/>
                <w:sz w:val="10"/>
              </w:rPr>
              <w:t>PROCEDENTE</w:t>
            </w:r>
            <w:r>
              <w:rPr>
                <w:b/>
                <w:spacing w:val="-5"/>
                <w:w w:val="105"/>
                <w:sz w:val="10"/>
              </w:rPr>
              <w:t> </w:t>
            </w:r>
            <w:r>
              <w:rPr>
                <w:b/>
                <w:spacing w:val="-2"/>
                <w:w w:val="105"/>
                <w:sz w:val="10"/>
              </w:rPr>
              <w:t>DE</w:t>
            </w:r>
            <w:r>
              <w:rPr>
                <w:b/>
                <w:spacing w:val="-5"/>
                <w:w w:val="105"/>
                <w:sz w:val="10"/>
              </w:rPr>
              <w:t> </w:t>
            </w:r>
            <w:r>
              <w:rPr>
                <w:b/>
                <w:spacing w:val="-2"/>
                <w:w w:val="105"/>
                <w:sz w:val="10"/>
              </w:rPr>
              <w:t>OPERACIONES</w:t>
            </w:r>
            <w:r>
              <w:rPr>
                <w:b/>
                <w:spacing w:val="28"/>
                <w:w w:val="105"/>
                <w:sz w:val="10"/>
              </w:rPr>
              <w:t> </w:t>
            </w:r>
            <w:r>
              <w:rPr>
                <w:b/>
                <w:spacing w:val="-2"/>
                <w:w w:val="105"/>
                <w:sz w:val="10"/>
              </w:rPr>
              <w:t>CONTINUADAS</w:t>
            </w:r>
          </w:p>
        </w:tc>
        <w:tc>
          <w:tcPr>
            <w:tcW w:w="435" w:type="dxa"/>
            <w:tcBorders>
              <w:top w:val="nil"/>
              <w:left w:val="single" w:sz="6" w:space="0" w:color="000000"/>
              <w:bottom w:val="nil"/>
              <w:right w:val="single" w:sz="6" w:space="0" w:color="000000"/>
            </w:tcBorders>
          </w:tcPr>
          <w:p>
            <w:pPr>
              <w:pStyle w:val="TableParagraph"/>
              <w:rPr>
                <w:rFonts w:ascii="Times New Roman"/>
                <w:sz w:val="10"/>
              </w:rPr>
            </w:pPr>
          </w:p>
        </w:tc>
        <w:tc>
          <w:tcPr>
            <w:tcW w:w="1027" w:type="dxa"/>
            <w:tcBorders>
              <w:top w:val="nil"/>
              <w:left w:val="single" w:sz="6" w:space="0" w:color="000000"/>
              <w:bottom w:val="nil"/>
              <w:right w:val="single" w:sz="6" w:space="0" w:color="000000"/>
            </w:tcBorders>
          </w:tcPr>
          <w:p>
            <w:pPr>
              <w:pStyle w:val="TableParagraph"/>
              <w:spacing w:before="30"/>
              <w:ind w:right="57"/>
              <w:jc w:val="right"/>
              <w:rPr>
                <w:b/>
                <w:sz w:val="10"/>
              </w:rPr>
            </w:pPr>
            <w:r>
              <w:rPr>
                <w:b/>
                <w:spacing w:val="-2"/>
                <w:w w:val="120"/>
                <w:sz w:val="10"/>
              </w:rPr>
              <w:t>6.269.808,27</w:t>
            </w:r>
          </w:p>
        </w:tc>
        <w:tc>
          <w:tcPr>
            <w:tcW w:w="1027" w:type="dxa"/>
            <w:tcBorders>
              <w:top w:val="nil"/>
              <w:left w:val="single" w:sz="6" w:space="0" w:color="000000"/>
              <w:bottom w:val="nil"/>
              <w:right w:val="single" w:sz="6" w:space="0" w:color="000000"/>
            </w:tcBorders>
          </w:tcPr>
          <w:p>
            <w:pPr>
              <w:pStyle w:val="TableParagraph"/>
              <w:spacing w:before="30"/>
              <w:ind w:right="59"/>
              <w:jc w:val="right"/>
              <w:rPr>
                <w:b/>
                <w:sz w:val="10"/>
              </w:rPr>
            </w:pPr>
            <w:r>
              <w:rPr>
                <w:b/>
                <w:spacing w:val="-2"/>
                <w:w w:val="120"/>
                <w:sz w:val="10"/>
              </w:rPr>
              <w:t>2.087.752,21</w:t>
            </w:r>
          </w:p>
        </w:tc>
      </w:tr>
      <w:tr>
        <w:trPr>
          <w:trHeight w:val="161" w:hRule="atLeast"/>
        </w:trPr>
        <w:tc>
          <w:tcPr>
            <w:tcW w:w="6001" w:type="dxa"/>
            <w:tcBorders>
              <w:top w:val="nil"/>
              <w:right w:val="single" w:sz="6" w:space="0" w:color="000000"/>
            </w:tcBorders>
          </w:tcPr>
          <w:p>
            <w:pPr>
              <w:pStyle w:val="TableParagraph"/>
              <w:spacing w:line="112" w:lineRule="exact" w:before="30"/>
              <w:ind w:left="29"/>
              <w:rPr>
                <w:b/>
                <w:sz w:val="10"/>
              </w:rPr>
            </w:pPr>
            <w:r>
              <w:rPr>
                <w:b/>
                <w:sz w:val="10"/>
              </w:rPr>
              <w:t>RESULTADO</w:t>
            </w:r>
            <w:r>
              <w:rPr>
                <w:b/>
                <w:spacing w:val="5"/>
                <w:sz w:val="10"/>
              </w:rPr>
              <w:t> </w:t>
            </w:r>
            <w:r>
              <w:rPr>
                <w:b/>
                <w:sz w:val="10"/>
              </w:rPr>
              <w:t>DEL</w:t>
            </w:r>
            <w:r>
              <w:rPr>
                <w:b/>
                <w:spacing w:val="9"/>
                <w:sz w:val="10"/>
              </w:rPr>
              <w:t> </w:t>
            </w:r>
            <w:r>
              <w:rPr>
                <w:b/>
                <w:spacing w:val="-2"/>
                <w:sz w:val="10"/>
              </w:rPr>
              <w:t>EJERCICIO</w:t>
            </w:r>
          </w:p>
        </w:tc>
        <w:tc>
          <w:tcPr>
            <w:tcW w:w="435" w:type="dxa"/>
            <w:tcBorders>
              <w:top w:val="nil"/>
              <w:left w:val="single" w:sz="6" w:space="0" w:color="000000"/>
              <w:right w:val="single" w:sz="6" w:space="0" w:color="000000"/>
            </w:tcBorders>
          </w:tcPr>
          <w:p>
            <w:pPr>
              <w:pStyle w:val="TableParagraph"/>
              <w:rPr>
                <w:rFonts w:ascii="Times New Roman"/>
                <w:sz w:val="10"/>
              </w:rPr>
            </w:pPr>
          </w:p>
        </w:tc>
        <w:tc>
          <w:tcPr>
            <w:tcW w:w="1027" w:type="dxa"/>
            <w:tcBorders>
              <w:top w:val="nil"/>
              <w:left w:val="single" w:sz="6" w:space="0" w:color="000000"/>
              <w:right w:val="single" w:sz="6" w:space="0" w:color="000000"/>
            </w:tcBorders>
          </w:tcPr>
          <w:p>
            <w:pPr>
              <w:pStyle w:val="TableParagraph"/>
              <w:spacing w:line="112" w:lineRule="exact" w:before="30"/>
              <w:ind w:right="57"/>
              <w:jc w:val="right"/>
              <w:rPr>
                <w:b/>
                <w:sz w:val="10"/>
              </w:rPr>
            </w:pPr>
            <w:r>
              <w:rPr>
                <w:b/>
                <w:spacing w:val="-2"/>
                <w:w w:val="120"/>
                <w:sz w:val="10"/>
              </w:rPr>
              <w:t>6.269.808,27</w:t>
            </w:r>
          </w:p>
        </w:tc>
        <w:tc>
          <w:tcPr>
            <w:tcW w:w="1027" w:type="dxa"/>
            <w:tcBorders>
              <w:top w:val="nil"/>
              <w:left w:val="single" w:sz="6" w:space="0" w:color="000000"/>
              <w:right w:val="single" w:sz="6" w:space="0" w:color="000000"/>
            </w:tcBorders>
          </w:tcPr>
          <w:p>
            <w:pPr>
              <w:pStyle w:val="TableParagraph"/>
              <w:spacing w:line="112" w:lineRule="exact" w:before="30"/>
              <w:ind w:right="59"/>
              <w:jc w:val="right"/>
              <w:rPr>
                <w:b/>
                <w:sz w:val="10"/>
              </w:rPr>
            </w:pPr>
            <w:r>
              <w:rPr>
                <w:b/>
                <w:spacing w:val="-2"/>
                <w:w w:val="120"/>
                <w:sz w:val="10"/>
              </w:rPr>
              <w:t>2.087.752,21</w:t>
            </w:r>
          </w:p>
        </w:tc>
      </w:tr>
    </w:tbl>
    <w:p>
      <w:pPr>
        <w:pStyle w:val="TableParagraph"/>
        <w:spacing w:after="0" w:line="112" w:lineRule="exact"/>
        <w:jc w:val="right"/>
        <w:rPr>
          <w:b/>
          <w:sz w:val="10"/>
        </w:rPr>
        <w:sectPr>
          <w:pgSz w:w="11910" w:h="16840"/>
          <w:pgMar w:header="286" w:footer="570" w:top="1920" w:bottom="1260" w:left="360" w:right="36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2"/>
        <w:rPr>
          <w:sz w:val="32"/>
        </w:rPr>
      </w:pPr>
    </w:p>
    <w:p>
      <w:pPr>
        <w:spacing w:before="0"/>
        <w:ind w:left="0" w:right="0" w:firstLine="0"/>
        <w:jc w:val="center"/>
        <w:rPr>
          <w:sz w:val="32"/>
        </w:rPr>
      </w:pPr>
      <w:r>
        <w:rPr>
          <w:spacing w:val="-12"/>
          <w:sz w:val="32"/>
          <w:u w:val="single"/>
        </w:rPr>
        <w:t>ESTADO</w:t>
      </w:r>
      <w:r>
        <w:rPr>
          <w:spacing w:val="-7"/>
          <w:sz w:val="32"/>
          <w:u w:val="single"/>
        </w:rPr>
        <w:t> </w:t>
      </w:r>
      <w:r>
        <w:rPr>
          <w:spacing w:val="-12"/>
          <w:sz w:val="32"/>
          <w:u w:val="single"/>
        </w:rPr>
        <w:t>DE</w:t>
      </w:r>
      <w:r>
        <w:rPr>
          <w:spacing w:val="-8"/>
          <w:sz w:val="32"/>
          <w:u w:val="single"/>
        </w:rPr>
        <w:t> </w:t>
      </w:r>
      <w:r>
        <w:rPr>
          <w:spacing w:val="-12"/>
          <w:sz w:val="32"/>
          <w:u w:val="single"/>
        </w:rPr>
        <w:t>CAMBIOS</w:t>
      </w:r>
      <w:r>
        <w:rPr>
          <w:spacing w:val="-7"/>
          <w:sz w:val="32"/>
          <w:u w:val="single"/>
        </w:rPr>
        <w:t> </w:t>
      </w:r>
      <w:r>
        <w:rPr>
          <w:spacing w:val="-12"/>
          <w:sz w:val="32"/>
          <w:u w:val="single"/>
        </w:rPr>
        <w:t>EN</w:t>
      </w:r>
      <w:r>
        <w:rPr>
          <w:spacing w:val="-6"/>
          <w:sz w:val="32"/>
          <w:u w:val="single"/>
        </w:rPr>
        <w:t> </w:t>
      </w:r>
      <w:r>
        <w:rPr>
          <w:spacing w:val="-12"/>
          <w:sz w:val="32"/>
          <w:u w:val="single"/>
        </w:rPr>
        <w:t>EL</w:t>
      </w:r>
      <w:r>
        <w:rPr>
          <w:spacing w:val="-4"/>
          <w:sz w:val="32"/>
          <w:u w:val="single"/>
        </w:rPr>
        <w:t> </w:t>
      </w:r>
      <w:r>
        <w:rPr>
          <w:spacing w:val="-12"/>
          <w:sz w:val="32"/>
          <w:u w:val="single"/>
        </w:rPr>
        <w:t>PATRIMONIO</w:t>
      </w:r>
    </w:p>
    <w:p>
      <w:pPr>
        <w:pStyle w:val="BodyText"/>
        <w:spacing w:before="49"/>
        <w:rPr>
          <w:sz w:val="32"/>
        </w:rPr>
      </w:pPr>
    </w:p>
    <w:p>
      <w:pPr>
        <w:spacing w:before="0"/>
        <w:ind w:left="2" w:right="0" w:firstLine="0"/>
        <w:jc w:val="center"/>
        <w:rPr>
          <w:sz w:val="32"/>
        </w:rPr>
      </w:pPr>
      <w:r>
        <w:rPr>
          <w:spacing w:val="-6"/>
          <w:sz w:val="32"/>
          <w:u w:val="single"/>
        </w:rPr>
        <w:t>CORRESPONDIENTE</w:t>
      </w:r>
    </w:p>
    <w:p>
      <w:pPr>
        <w:pStyle w:val="BodyText"/>
        <w:spacing w:before="49"/>
        <w:rPr>
          <w:sz w:val="32"/>
        </w:rPr>
      </w:pPr>
    </w:p>
    <w:p>
      <w:pPr>
        <w:spacing w:before="0"/>
        <w:ind w:left="0" w:right="0" w:firstLine="0"/>
        <w:jc w:val="center"/>
        <w:rPr>
          <w:sz w:val="32"/>
        </w:rPr>
      </w:pPr>
      <w:r>
        <w:rPr>
          <w:spacing w:val="-4"/>
          <w:sz w:val="32"/>
          <w:u w:val="single"/>
        </w:rPr>
        <w:t>AL</w:t>
      </w:r>
      <w:r>
        <w:rPr>
          <w:spacing w:val="-12"/>
          <w:sz w:val="32"/>
          <w:u w:val="single"/>
        </w:rPr>
        <w:t> </w:t>
      </w:r>
      <w:r>
        <w:rPr>
          <w:spacing w:val="-4"/>
          <w:sz w:val="32"/>
          <w:u w:val="single"/>
        </w:rPr>
        <w:t>EJERCICIO</w:t>
      </w:r>
      <w:r>
        <w:rPr>
          <w:spacing w:val="-12"/>
          <w:sz w:val="32"/>
          <w:u w:val="single"/>
        </w:rPr>
        <w:t> </w:t>
      </w:r>
      <w:r>
        <w:rPr>
          <w:spacing w:val="-4"/>
          <w:sz w:val="32"/>
          <w:u w:val="single"/>
        </w:rPr>
        <w:t>ANUAL</w:t>
      </w:r>
      <w:r>
        <w:rPr>
          <w:spacing w:val="-8"/>
          <w:sz w:val="32"/>
          <w:u w:val="single"/>
        </w:rPr>
        <w:t> </w:t>
      </w:r>
      <w:r>
        <w:rPr>
          <w:spacing w:val="-4"/>
          <w:sz w:val="32"/>
          <w:u w:val="single"/>
        </w:rPr>
        <w:t>TERMINADO</w:t>
      </w:r>
    </w:p>
    <w:p>
      <w:pPr>
        <w:pStyle w:val="BodyText"/>
        <w:spacing w:before="49"/>
        <w:rPr>
          <w:sz w:val="32"/>
        </w:rPr>
      </w:pPr>
    </w:p>
    <w:p>
      <w:pPr>
        <w:spacing w:before="0"/>
        <w:ind w:left="0" w:right="0" w:firstLine="0"/>
        <w:jc w:val="center"/>
        <w:rPr>
          <w:sz w:val="32"/>
        </w:rPr>
      </w:pPr>
      <w:r>
        <w:rPr>
          <w:sz w:val="32"/>
        </w:rPr>
        <mc:AlternateContent>
          <mc:Choice Requires="wps">
            <w:drawing>
              <wp:anchor distT="0" distB="0" distL="0" distR="0" allowOverlap="1" layoutInCell="1" locked="0" behindDoc="0" simplePos="0" relativeHeight="15739904">
                <wp:simplePos x="0" y="0"/>
                <wp:positionH relativeFrom="page">
                  <wp:posOffset>6966436</wp:posOffset>
                </wp:positionH>
                <wp:positionV relativeFrom="paragraph">
                  <wp:posOffset>949540</wp:posOffset>
                </wp:positionV>
                <wp:extent cx="263525" cy="32334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4.766983pt;width:20.75pt;height:254.6pt;mso-position-horizontal-relative:page;mso-position-vertical-relative:paragraph;z-index:15739904" type="#_x0000_t202" id="docshape2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6</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2"/>
          <w:sz w:val="32"/>
          <w:u w:val="single"/>
        </w:rPr>
        <w:t> </w:t>
      </w:r>
      <w:r>
        <w:rPr>
          <w:w w:val="90"/>
          <w:sz w:val="32"/>
          <w:u w:val="single"/>
        </w:rPr>
        <w:t>EL</w:t>
      </w:r>
      <w:r>
        <w:rPr>
          <w:spacing w:val="6"/>
          <w:sz w:val="32"/>
          <w:u w:val="single"/>
        </w:rPr>
        <w:t> </w:t>
      </w:r>
      <w:r>
        <w:rPr>
          <w:w w:val="90"/>
          <w:sz w:val="32"/>
          <w:u w:val="single"/>
        </w:rPr>
        <w:t>31</w:t>
      </w:r>
      <w:r>
        <w:rPr>
          <w:spacing w:val="9"/>
          <w:sz w:val="32"/>
          <w:u w:val="single"/>
        </w:rPr>
        <w:t> </w:t>
      </w:r>
      <w:r>
        <w:rPr>
          <w:w w:val="90"/>
          <w:sz w:val="32"/>
          <w:u w:val="single"/>
        </w:rPr>
        <w:t>DE</w:t>
      </w:r>
      <w:r>
        <w:rPr>
          <w:spacing w:val="6"/>
          <w:sz w:val="32"/>
          <w:u w:val="single"/>
        </w:rPr>
        <w:t> </w:t>
      </w:r>
      <w:r>
        <w:rPr>
          <w:w w:val="90"/>
          <w:sz w:val="32"/>
          <w:u w:val="single"/>
        </w:rPr>
        <w:t>DICIEMBRE</w:t>
      </w:r>
      <w:r>
        <w:rPr>
          <w:spacing w:val="8"/>
          <w:sz w:val="32"/>
          <w:u w:val="single"/>
        </w:rPr>
        <w:t> </w:t>
      </w:r>
      <w:r>
        <w:rPr>
          <w:spacing w:val="-4"/>
          <w:w w:val="90"/>
          <w:sz w:val="32"/>
          <w:u w:val="single"/>
        </w:rPr>
        <w:t>2025</w:t>
      </w:r>
    </w:p>
    <w:p>
      <w:pPr>
        <w:spacing w:after="0"/>
        <w:jc w:val="center"/>
        <w:rPr>
          <w:sz w:val="32"/>
        </w:rPr>
        <w:sectPr>
          <w:pgSz w:w="11910" w:h="16840"/>
          <w:pgMar w:header="286" w:footer="570" w:top="1920" w:bottom="1260" w:left="360" w:right="360"/>
        </w:sectPr>
      </w:pPr>
    </w:p>
    <w:p>
      <w:pPr>
        <w:pStyle w:val="BodyText"/>
      </w:pPr>
      <w:r>
        <w:rPr/>
        <mc:AlternateContent>
          <mc:Choice Requires="wps">
            <w:drawing>
              <wp:anchor distT="0" distB="0" distL="0" distR="0" allowOverlap="1" layoutInCell="1" locked="0" behindDoc="0" simplePos="0" relativeHeight="15740416">
                <wp:simplePos x="0" y="0"/>
                <wp:positionH relativeFrom="page">
                  <wp:posOffset>6966436</wp:posOffset>
                </wp:positionH>
                <wp:positionV relativeFrom="page">
                  <wp:posOffset>6595730</wp:posOffset>
                </wp:positionV>
                <wp:extent cx="263525" cy="323342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40416" type="#_x0000_t202" id="docshape2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7</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BodyText"/>
      </w:pPr>
    </w:p>
    <w:p>
      <w:pPr>
        <w:pStyle w:val="BodyText"/>
        <w:spacing w:before="19"/>
      </w:pPr>
    </w:p>
    <w:tbl>
      <w:tblPr>
        <w:tblW w:w="0" w:type="auto"/>
        <w:jc w:val="left"/>
        <w:tblInd w:w="1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38"/>
        <w:gridCol w:w="478"/>
        <w:gridCol w:w="66"/>
        <w:gridCol w:w="1174"/>
        <w:gridCol w:w="1238"/>
      </w:tblGrid>
      <w:tr>
        <w:trPr>
          <w:trHeight w:val="215" w:hRule="exact"/>
        </w:trPr>
        <w:tc>
          <w:tcPr>
            <w:tcW w:w="5538" w:type="dxa"/>
            <w:tcBorders>
              <w:top w:val="nil"/>
              <w:left w:val="nil"/>
              <w:right w:val="single" w:sz="6" w:space="0" w:color="000000"/>
            </w:tcBorders>
          </w:tcPr>
          <w:p>
            <w:pPr>
              <w:pStyle w:val="TableParagraph"/>
              <w:rPr>
                <w:rFonts w:ascii="Times New Roman"/>
                <w:sz w:val="10"/>
              </w:rPr>
            </w:pPr>
          </w:p>
        </w:tc>
        <w:tc>
          <w:tcPr>
            <w:tcW w:w="478" w:type="dxa"/>
            <w:tcBorders>
              <w:left w:val="single" w:sz="6" w:space="0" w:color="000000"/>
              <w:right w:val="single" w:sz="6" w:space="0" w:color="000000"/>
            </w:tcBorders>
            <w:shd w:val="clear" w:color="auto" w:fill="FFC000"/>
          </w:tcPr>
          <w:p>
            <w:pPr>
              <w:pStyle w:val="TableParagraph"/>
              <w:spacing w:line="141" w:lineRule="exact" w:before="34"/>
              <w:ind w:left="35"/>
              <w:rPr>
                <w:b/>
                <w:sz w:val="13"/>
              </w:rPr>
            </w:pPr>
            <w:r>
              <w:rPr>
                <w:b/>
                <w:spacing w:val="-2"/>
                <w:w w:val="110"/>
                <w:sz w:val="13"/>
              </w:rPr>
              <w:t>Notas</w:t>
            </w:r>
          </w:p>
        </w:tc>
        <w:tc>
          <w:tcPr>
            <w:tcW w:w="1240" w:type="dxa"/>
            <w:gridSpan w:val="2"/>
            <w:tcBorders>
              <w:left w:val="single" w:sz="6" w:space="0" w:color="000000"/>
            </w:tcBorders>
            <w:shd w:val="clear" w:color="auto" w:fill="FFC000"/>
          </w:tcPr>
          <w:p>
            <w:pPr>
              <w:pStyle w:val="TableParagraph"/>
              <w:spacing w:line="141" w:lineRule="exact" w:before="34"/>
              <w:ind w:left="2"/>
              <w:jc w:val="center"/>
              <w:rPr>
                <w:b/>
                <w:sz w:val="13"/>
              </w:rPr>
            </w:pPr>
            <w:r>
              <w:rPr>
                <w:b/>
                <w:spacing w:val="-4"/>
                <w:w w:val="120"/>
                <w:sz w:val="13"/>
              </w:rPr>
              <w:t>2025</w:t>
            </w:r>
          </w:p>
        </w:tc>
        <w:tc>
          <w:tcPr>
            <w:tcW w:w="1238" w:type="dxa"/>
            <w:shd w:val="clear" w:color="auto" w:fill="FFC000"/>
          </w:tcPr>
          <w:p>
            <w:pPr>
              <w:pStyle w:val="TableParagraph"/>
              <w:spacing w:line="141" w:lineRule="exact" w:before="34"/>
              <w:ind w:right="1"/>
              <w:jc w:val="center"/>
              <w:rPr>
                <w:b/>
                <w:sz w:val="13"/>
              </w:rPr>
            </w:pPr>
            <w:r>
              <w:rPr>
                <w:b/>
                <w:spacing w:val="-4"/>
                <w:w w:val="120"/>
                <w:sz w:val="13"/>
              </w:rPr>
              <w:t>2024</w:t>
            </w:r>
          </w:p>
        </w:tc>
      </w:tr>
      <w:tr>
        <w:trPr>
          <w:trHeight w:val="277" w:hRule="exact"/>
        </w:trPr>
        <w:tc>
          <w:tcPr>
            <w:tcW w:w="5538" w:type="dxa"/>
            <w:tcBorders>
              <w:bottom w:val="nil"/>
              <w:right w:val="single" w:sz="6" w:space="0" w:color="000000"/>
            </w:tcBorders>
          </w:tcPr>
          <w:p>
            <w:pPr>
              <w:pStyle w:val="TableParagraph"/>
              <w:spacing w:before="47"/>
              <w:ind w:left="20"/>
              <w:rPr>
                <w:b/>
                <w:sz w:val="13"/>
              </w:rPr>
            </w:pPr>
            <w:r>
              <w:rPr>
                <w:b/>
                <w:sz w:val="13"/>
              </w:rPr>
              <w:t>ESTADO</w:t>
            </w:r>
            <w:r>
              <w:rPr>
                <w:b/>
                <w:spacing w:val="11"/>
                <w:sz w:val="13"/>
              </w:rPr>
              <w:t> </w:t>
            </w:r>
            <w:r>
              <w:rPr>
                <w:b/>
                <w:sz w:val="13"/>
              </w:rPr>
              <w:t>DE</w:t>
            </w:r>
            <w:r>
              <w:rPr>
                <w:b/>
                <w:spacing w:val="8"/>
                <w:sz w:val="13"/>
              </w:rPr>
              <w:t> </w:t>
            </w:r>
            <w:r>
              <w:rPr>
                <w:b/>
                <w:sz w:val="13"/>
              </w:rPr>
              <w:t>INGRESOS</w:t>
            </w:r>
            <w:r>
              <w:rPr>
                <w:b/>
                <w:spacing w:val="18"/>
                <w:sz w:val="13"/>
              </w:rPr>
              <w:t> </w:t>
            </w:r>
            <w:r>
              <w:rPr>
                <w:b/>
                <w:sz w:val="13"/>
              </w:rPr>
              <w:t>Y GASTOS</w:t>
            </w:r>
            <w:r>
              <w:rPr>
                <w:b/>
                <w:spacing w:val="18"/>
                <w:sz w:val="13"/>
              </w:rPr>
              <w:t> </w:t>
            </w:r>
            <w:r>
              <w:rPr>
                <w:b/>
                <w:spacing w:val="-2"/>
                <w:sz w:val="13"/>
              </w:rPr>
              <w:t>RECONOCIDOS.</w:t>
            </w:r>
          </w:p>
        </w:tc>
        <w:tc>
          <w:tcPr>
            <w:tcW w:w="478" w:type="dxa"/>
            <w:tcBorders>
              <w:left w:val="single" w:sz="6" w:space="0" w:color="000000"/>
              <w:bottom w:val="nil"/>
              <w:right w:val="single" w:sz="6" w:space="0" w:color="000000"/>
            </w:tcBorders>
          </w:tcPr>
          <w:p>
            <w:pPr>
              <w:pStyle w:val="TableParagraph"/>
              <w:rPr>
                <w:rFonts w:ascii="Times New Roman"/>
                <w:sz w:val="10"/>
              </w:rPr>
            </w:pPr>
          </w:p>
        </w:tc>
        <w:tc>
          <w:tcPr>
            <w:tcW w:w="66" w:type="dxa"/>
            <w:vMerge w:val="restart"/>
            <w:tcBorders>
              <w:left w:val="single" w:sz="6" w:space="0" w:color="000000"/>
              <w:bottom w:val="single" w:sz="24" w:space="0" w:color="008000"/>
              <w:right w:val="nil"/>
            </w:tcBorders>
          </w:tcPr>
          <w:p>
            <w:pPr>
              <w:pStyle w:val="TableParagraph"/>
              <w:rPr>
                <w:rFonts w:ascii="Times New Roman"/>
                <w:sz w:val="10"/>
              </w:rPr>
            </w:pPr>
          </w:p>
        </w:tc>
        <w:tc>
          <w:tcPr>
            <w:tcW w:w="1174" w:type="dxa"/>
            <w:vMerge w:val="restart"/>
            <w:tcBorders>
              <w:left w:val="nil"/>
              <w:bottom w:val="single" w:sz="6" w:space="0" w:color="000000"/>
            </w:tcBorders>
          </w:tcPr>
          <w:p>
            <w:pPr>
              <w:pStyle w:val="TableParagraph"/>
              <w:rPr>
                <w:sz w:val="13"/>
              </w:rPr>
            </w:pPr>
          </w:p>
          <w:p>
            <w:pPr>
              <w:pStyle w:val="TableParagraph"/>
              <w:spacing w:before="53"/>
              <w:rPr>
                <w:sz w:val="13"/>
              </w:rPr>
            </w:pPr>
          </w:p>
          <w:p>
            <w:pPr>
              <w:pStyle w:val="TableParagraph"/>
              <w:ind w:left="146"/>
              <w:rPr>
                <w:b/>
                <w:sz w:val="13"/>
              </w:rPr>
            </w:pPr>
            <w:r>
              <w:rPr>
                <w:b/>
                <w:spacing w:val="-2"/>
                <w:w w:val="120"/>
                <w:sz w:val="13"/>
              </w:rPr>
              <w:t>6.269.808,27</w:t>
            </w:r>
          </w:p>
          <w:p>
            <w:pPr>
              <w:pStyle w:val="TableParagraph"/>
              <w:spacing w:before="67"/>
              <w:ind w:left="146"/>
              <w:rPr>
                <w:b/>
                <w:sz w:val="13"/>
              </w:rPr>
            </w:pPr>
            <w:r>
              <w:rPr>
                <w:b/>
                <w:spacing w:val="-2"/>
                <w:w w:val="120"/>
                <w:sz w:val="13"/>
              </w:rPr>
              <w:t>6.816.131,33</w:t>
            </w:r>
          </w:p>
          <w:p>
            <w:pPr>
              <w:pStyle w:val="TableParagraph"/>
              <w:spacing w:before="58"/>
              <w:ind w:left="249"/>
              <w:rPr>
                <w:rFonts w:ascii="Tahoma"/>
                <w:sz w:val="13"/>
              </w:rPr>
            </w:pPr>
            <w:r>
              <w:rPr>
                <w:rFonts w:ascii="Tahoma"/>
                <w:spacing w:val="-2"/>
                <w:w w:val="105"/>
                <w:sz w:val="13"/>
              </w:rPr>
              <w:t>6.816.131,33</w:t>
            </w:r>
          </w:p>
          <w:p>
            <w:pPr>
              <w:pStyle w:val="TableParagraph"/>
              <w:spacing w:before="56"/>
              <w:ind w:left="79"/>
              <w:rPr>
                <w:b/>
                <w:sz w:val="13"/>
              </w:rPr>
            </w:pPr>
            <w:r>
              <w:rPr>
                <w:b/>
                <w:spacing w:val="-2"/>
                <w:w w:val="120"/>
                <w:sz w:val="13"/>
              </w:rPr>
              <w:t>(4.048.349,68)</w:t>
            </w:r>
          </w:p>
          <w:p>
            <w:pPr>
              <w:pStyle w:val="TableParagraph"/>
              <w:spacing w:before="58"/>
              <w:ind w:left="179"/>
              <w:rPr>
                <w:rFonts w:ascii="Tahoma"/>
                <w:sz w:val="13"/>
              </w:rPr>
            </w:pPr>
            <w:r>
              <w:rPr>
                <w:rFonts w:ascii="Tahoma"/>
                <w:spacing w:val="-2"/>
                <w:w w:val="105"/>
                <w:sz w:val="13"/>
              </w:rPr>
              <w:t>(4.048.349,68)</w:t>
            </w:r>
          </w:p>
          <w:p>
            <w:pPr>
              <w:pStyle w:val="TableParagraph"/>
              <w:spacing w:line="140" w:lineRule="exact" w:before="68"/>
              <w:ind w:left="145"/>
              <w:rPr>
                <w:b/>
                <w:sz w:val="13"/>
              </w:rPr>
            </w:pPr>
            <w:r>
              <w:rPr>
                <w:b/>
                <w:spacing w:val="-2"/>
                <w:w w:val="120"/>
                <w:sz w:val="13"/>
              </w:rPr>
              <w:t>9.037.589,92</w:t>
            </w:r>
          </w:p>
        </w:tc>
        <w:tc>
          <w:tcPr>
            <w:tcW w:w="1238" w:type="dxa"/>
            <w:vMerge w:val="restart"/>
            <w:tcBorders>
              <w:bottom w:val="single" w:sz="6" w:space="0" w:color="000000"/>
            </w:tcBorders>
          </w:tcPr>
          <w:p>
            <w:pPr>
              <w:pStyle w:val="TableParagraph"/>
              <w:rPr>
                <w:sz w:val="13"/>
              </w:rPr>
            </w:pPr>
          </w:p>
          <w:p>
            <w:pPr>
              <w:pStyle w:val="TableParagraph"/>
              <w:spacing w:before="53"/>
              <w:rPr>
                <w:sz w:val="13"/>
              </w:rPr>
            </w:pPr>
          </w:p>
          <w:p>
            <w:pPr>
              <w:pStyle w:val="TableParagraph"/>
              <w:ind w:left="201"/>
              <w:rPr>
                <w:b/>
                <w:sz w:val="13"/>
              </w:rPr>
            </w:pPr>
            <w:r>
              <w:rPr>
                <w:b/>
                <w:spacing w:val="-2"/>
                <w:w w:val="120"/>
                <w:sz w:val="13"/>
              </w:rPr>
              <w:t>2.087.752,21</w:t>
            </w:r>
          </w:p>
          <w:p>
            <w:pPr>
              <w:pStyle w:val="TableParagraph"/>
              <w:spacing w:before="67"/>
              <w:ind w:left="201"/>
              <w:rPr>
                <w:b/>
                <w:sz w:val="13"/>
              </w:rPr>
            </w:pPr>
            <w:r>
              <w:rPr>
                <w:b/>
                <w:spacing w:val="-2"/>
                <w:w w:val="120"/>
                <w:sz w:val="13"/>
              </w:rPr>
              <w:t>4.000.000,00</w:t>
            </w:r>
          </w:p>
          <w:p>
            <w:pPr>
              <w:pStyle w:val="TableParagraph"/>
              <w:spacing w:before="58"/>
              <w:ind w:left="302"/>
              <w:rPr>
                <w:rFonts w:ascii="Tahoma"/>
                <w:sz w:val="13"/>
              </w:rPr>
            </w:pPr>
            <w:r>
              <w:rPr>
                <w:rFonts w:ascii="Tahoma"/>
                <w:spacing w:val="-2"/>
                <w:w w:val="105"/>
                <w:sz w:val="13"/>
              </w:rPr>
              <w:t>4.000.000,00</w:t>
            </w:r>
          </w:p>
          <w:p>
            <w:pPr>
              <w:pStyle w:val="TableParagraph"/>
              <w:spacing w:before="56"/>
              <w:ind w:left="132"/>
              <w:rPr>
                <w:b/>
                <w:sz w:val="13"/>
              </w:rPr>
            </w:pPr>
            <w:r>
              <w:rPr>
                <w:b/>
                <w:spacing w:val="-2"/>
                <w:w w:val="120"/>
                <w:sz w:val="13"/>
              </w:rPr>
              <w:t>(2.192.691,72)</w:t>
            </w:r>
          </w:p>
          <w:p>
            <w:pPr>
              <w:pStyle w:val="TableParagraph"/>
              <w:spacing w:before="58"/>
              <w:ind w:left="235"/>
              <w:rPr>
                <w:rFonts w:ascii="Tahoma"/>
                <w:sz w:val="13"/>
              </w:rPr>
            </w:pPr>
            <w:r>
              <w:rPr>
                <w:rFonts w:ascii="Tahoma"/>
                <w:spacing w:val="-2"/>
                <w:w w:val="105"/>
                <w:sz w:val="13"/>
              </w:rPr>
              <w:t>(2.192.691,72)</w:t>
            </w:r>
          </w:p>
          <w:p>
            <w:pPr>
              <w:pStyle w:val="TableParagraph"/>
              <w:spacing w:line="140" w:lineRule="exact" w:before="68"/>
              <w:ind w:left="202"/>
              <w:rPr>
                <w:b/>
                <w:sz w:val="13"/>
              </w:rPr>
            </w:pPr>
            <w:r>
              <w:rPr>
                <w:b/>
                <w:spacing w:val="-2"/>
                <w:w w:val="120"/>
                <w:sz w:val="13"/>
              </w:rPr>
              <w:t>3.895.060,49</w:t>
            </w:r>
          </w:p>
        </w:tc>
      </w:tr>
      <w:tr>
        <w:trPr>
          <w:trHeight w:val="478" w:hRule="exact"/>
        </w:trPr>
        <w:tc>
          <w:tcPr>
            <w:tcW w:w="5538" w:type="dxa"/>
            <w:vMerge w:val="restart"/>
            <w:tcBorders>
              <w:top w:val="nil"/>
              <w:bottom w:val="single" w:sz="6" w:space="0" w:color="000000"/>
              <w:right w:val="single" w:sz="6" w:space="0" w:color="000000"/>
            </w:tcBorders>
          </w:tcPr>
          <w:p>
            <w:pPr>
              <w:pStyle w:val="TableParagraph"/>
              <w:spacing w:before="84"/>
              <w:ind w:left="327"/>
              <w:rPr>
                <w:b/>
                <w:sz w:val="13"/>
              </w:rPr>
            </w:pPr>
            <w:r>
              <w:rPr>
                <w:b/>
                <w:w w:val="105"/>
                <w:sz w:val="13"/>
              </w:rPr>
              <w:t>RESULTADO</w:t>
            </w:r>
            <w:r>
              <w:rPr>
                <w:b/>
                <w:spacing w:val="-10"/>
                <w:w w:val="105"/>
                <w:sz w:val="13"/>
              </w:rPr>
              <w:t> </w:t>
            </w:r>
            <w:r>
              <w:rPr>
                <w:b/>
                <w:w w:val="105"/>
                <w:sz w:val="13"/>
              </w:rPr>
              <w:t>DE</w:t>
            </w:r>
            <w:r>
              <w:rPr>
                <w:b/>
                <w:spacing w:val="-9"/>
                <w:w w:val="105"/>
                <w:sz w:val="13"/>
              </w:rPr>
              <w:t> </w:t>
            </w:r>
            <w:r>
              <w:rPr>
                <w:b/>
                <w:w w:val="105"/>
                <w:sz w:val="13"/>
              </w:rPr>
              <w:t>LA CUENTA DE</w:t>
            </w:r>
            <w:r>
              <w:rPr>
                <w:b/>
                <w:spacing w:val="-8"/>
                <w:w w:val="105"/>
                <w:sz w:val="13"/>
              </w:rPr>
              <w:t> </w:t>
            </w:r>
            <w:r>
              <w:rPr>
                <w:b/>
                <w:w w:val="105"/>
                <w:sz w:val="13"/>
              </w:rPr>
              <w:t>PERDIDAS</w:t>
            </w:r>
            <w:r>
              <w:rPr>
                <w:b/>
                <w:spacing w:val="-3"/>
                <w:w w:val="105"/>
                <w:sz w:val="13"/>
              </w:rPr>
              <w:t> </w:t>
            </w:r>
            <w:r>
              <w:rPr>
                <w:b/>
                <w:w w:val="105"/>
                <w:sz w:val="13"/>
              </w:rPr>
              <w:t>Y</w:t>
            </w:r>
            <w:r>
              <w:rPr>
                <w:b/>
                <w:spacing w:val="-9"/>
                <w:w w:val="105"/>
                <w:sz w:val="13"/>
              </w:rPr>
              <w:t> </w:t>
            </w:r>
            <w:r>
              <w:rPr>
                <w:b/>
                <w:spacing w:val="-2"/>
                <w:w w:val="105"/>
                <w:sz w:val="13"/>
              </w:rPr>
              <w:t>GANANCIAS</w:t>
            </w:r>
          </w:p>
          <w:p>
            <w:pPr>
              <w:pStyle w:val="TableParagraph"/>
              <w:spacing w:before="67"/>
              <w:ind w:left="327"/>
              <w:rPr>
                <w:b/>
                <w:sz w:val="13"/>
              </w:rPr>
            </w:pPr>
            <w:r>
              <w:rPr>
                <w:b/>
                <w:sz w:val="13"/>
              </w:rPr>
              <w:t>INGRESOS</w:t>
            </w:r>
            <w:r>
              <w:rPr>
                <w:b/>
                <w:spacing w:val="36"/>
                <w:sz w:val="13"/>
              </w:rPr>
              <w:t> </w:t>
            </w:r>
            <w:r>
              <w:rPr>
                <w:b/>
                <w:sz w:val="13"/>
              </w:rPr>
              <w:t>Y</w:t>
            </w:r>
            <w:r>
              <w:rPr>
                <w:b/>
                <w:spacing w:val="13"/>
                <w:sz w:val="13"/>
              </w:rPr>
              <w:t> </w:t>
            </w:r>
            <w:r>
              <w:rPr>
                <w:b/>
                <w:sz w:val="13"/>
              </w:rPr>
              <w:t>GASTOS</w:t>
            </w:r>
            <w:r>
              <w:rPr>
                <w:b/>
                <w:spacing w:val="39"/>
                <w:sz w:val="13"/>
              </w:rPr>
              <w:t> </w:t>
            </w:r>
            <w:r>
              <w:rPr>
                <w:b/>
                <w:sz w:val="13"/>
              </w:rPr>
              <w:t>IMPUTADOS</w:t>
            </w:r>
            <w:r>
              <w:rPr>
                <w:b/>
                <w:spacing w:val="37"/>
                <w:sz w:val="13"/>
              </w:rPr>
              <w:t> </w:t>
            </w:r>
            <w:r>
              <w:rPr>
                <w:b/>
                <w:sz w:val="13"/>
              </w:rPr>
              <w:t>DIRECTAMENTE</w:t>
            </w:r>
            <w:r>
              <w:rPr>
                <w:b/>
                <w:spacing w:val="23"/>
                <w:sz w:val="13"/>
              </w:rPr>
              <w:t> </w:t>
            </w:r>
            <w:r>
              <w:rPr>
                <w:b/>
                <w:sz w:val="13"/>
              </w:rPr>
              <w:t>AL</w:t>
            </w:r>
            <w:r>
              <w:rPr>
                <w:b/>
                <w:spacing w:val="38"/>
                <w:sz w:val="13"/>
              </w:rPr>
              <w:t> </w:t>
            </w:r>
            <w:r>
              <w:rPr>
                <w:b/>
                <w:sz w:val="13"/>
              </w:rPr>
              <w:t>PATRIMONIO</w:t>
            </w:r>
            <w:r>
              <w:rPr>
                <w:b/>
                <w:spacing w:val="27"/>
                <w:sz w:val="13"/>
              </w:rPr>
              <w:t> </w:t>
            </w:r>
            <w:r>
              <w:rPr>
                <w:b/>
                <w:spacing w:val="-4"/>
                <w:sz w:val="13"/>
              </w:rPr>
              <w:t>NETO</w:t>
            </w:r>
          </w:p>
          <w:p>
            <w:pPr>
              <w:pStyle w:val="TableParagraph"/>
              <w:spacing w:before="59"/>
              <w:ind w:left="327"/>
              <w:rPr>
                <w:rFonts w:ascii="Tahoma"/>
                <w:sz w:val="13"/>
              </w:rPr>
            </w:pPr>
            <w:r>
              <w:rPr>
                <w:rFonts w:ascii="Tahoma"/>
                <w:w w:val="105"/>
                <w:sz w:val="13"/>
              </w:rPr>
              <w:t>Subvenciones,</w:t>
            </w:r>
            <w:r>
              <w:rPr>
                <w:rFonts w:ascii="Tahoma"/>
                <w:spacing w:val="13"/>
                <w:w w:val="105"/>
                <w:sz w:val="13"/>
              </w:rPr>
              <w:t> </w:t>
            </w:r>
            <w:r>
              <w:rPr>
                <w:rFonts w:ascii="Tahoma"/>
                <w:w w:val="105"/>
                <w:sz w:val="13"/>
              </w:rPr>
              <w:t>donaciones</w:t>
            </w:r>
            <w:r>
              <w:rPr>
                <w:rFonts w:ascii="Tahoma"/>
                <w:spacing w:val="7"/>
                <w:w w:val="105"/>
                <w:sz w:val="13"/>
              </w:rPr>
              <w:t> </w:t>
            </w:r>
            <w:r>
              <w:rPr>
                <w:rFonts w:ascii="Tahoma"/>
                <w:w w:val="105"/>
                <w:sz w:val="13"/>
              </w:rPr>
              <w:t>y</w:t>
            </w:r>
            <w:r>
              <w:rPr>
                <w:rFonts w:ascii="Tahoma"/>
                <w:spacing w:val="11"/>
                <w:w w:val="105"/>
                <w:sz w:val="13"/>
              </w:rPr>
              <w:t> </w:t>
            </w:r>
            <w:r>
              <w:rPr>
                <w:rFonts w:ascii="Tahoma"/>
                <w:w w:val="105"/>
                <w:sz w:val="13"/>
              </w:rPr>
              <w:t>legados</w:t>
            </w:r>
            <w:r>
              <w:rPr>
                <w:rFonts w:ascii="Tahoma"/>
                <w:spacing w:val="9"/>
                <w:w w:val="105"/>
                <w:sz w:val="13"/>
              </w:rPr>
              <w:t> </w:t>
            </w:r>
            <w:r>
              <w:rPr>
                <w:rFonts w:ascii="Tahoma"/>
                <w:spacing w:val="-2"/>
                <w:w w:val="105"/>
                <w:sz w:val="13"/>
              </w:rPr>
              <w:t>recibidos</w:t>
            </w:r>
          </w:p>
          <w:p>
            <w:pPr>
              <w:pStyle w:val="TableParagraph"/>
              <w:spacing w:before="67"/>
              <w:ind w:left="327"/>
              <w:rPr>
                <w:b/>
                <w:sz w:val="13"/>
              </w:rPr>
            </w:pPr>
            <w:r>
              <w:rPr>
                <w:b/>
                <w:spacing w:val="-2"/>
                <w:w w:val="105"/>
                <w:sz w:val="13"/>
              </w:rPr>
              <w:t>TRANSFERENCIAS</w:t>
            </w:r>
            <w:r>
              <w:rPr>
                <w:b/>
                <w:spacing w:val="-4"/>
                <w:w w:val="105"/>
                <w:sz w:val="13"/>
              </w:rPr>
              <w:t> </w:t>
            </w:r>
            <w:r>
              <w:rPr>
                <w:b/>
                <w:spacing w:val="-2"/>
                <w:w w:val="105"/>
                <w:sz w:val="13"/>
              </w:rPr>
              <w:t>A</w:t>
            </w:r>
            <w:r>
              <w:rPr>
                <w:b/>
                <w:spacing w:val="4"/>
                <w:w w:val="105"/>
                <w:sz w:val="13"/>
              </w:rPr>
              <w:t> </w:t>
            </w:r>
            <w:r>
              <w:rPr>
                <w:b/>
                <w:spacing w:val="-2"/>
                <w:w w:val="105"/>
                <w:sz w:val="13"/>
              </w:rPr>
              <w:t>LA</w:t>
            </w:r>
            <w:r>
              <w:rPr>
                <w:b/>
                <w:spacing w:val="7"/>
                <w:w w:val="105"/>
                <w:sz w:val="13"/>
              </w:rPr>
              <w:t> </w:t>
            </w:r>
            <w:r>
              <w:rPr>
                <w:b/>
                <w:spacing w:val="-2"/>
                <w:w w:val="105"/>
                <w:sz w:val="13"/>
              </w:rPr>
              <w:t>CUENTA</w:t>
            </w:r>
            <w:r>
              <w:rPr>
                <w:b/>
                <w:spacing w:val="6"/>
                <w:w w:val="105"/>
                <w:sz w:val="13"/>
              </w:rPr>
              <w:t> </w:t>
            </w:r>
            <w:r>
              <w:rPr>
                <w:b/>
                <w:spacing w:val="-2"/>
                <w:w w:val="105"/>
                <w:sz w:val="13"/>
              </w:rPr>
              <w:t>DE</w:t>
            </w:r>
            <w:r>
              <w:rPr>
                <w:b/>
                <w:spacing w:val="-5"/>
                <w:w w:val="105"/>
                <w:sz w:val="13"/>
              </w:rPr>
              <w:t> </w:t>
            </w:r>
            <w:r>
              <w:rPr>
                <w:b/>
                <w:spacing w:val="-2"/>
                <w:w w:val="105"/>
                <w:sz w:val="13"/>
              </w:rPr>
              <w:t>PERD.</w:t>
            </w:r>
            <w:r>
              <w:rPr>
                <w:b/>
                <w:w w:val="105"/>
                <w:sz w:val="13"/>
              </w:rPr>
              <w:t> </w:t>
            </w:r>
            <w:r>
              <w:rPr>
                <w:b/>
                <w:spacing w:val="-2"/>
                <w:w w:val="105"/>
                <w:sz w:val="13"/>
              </w:rPr>
              <w:t>Y</w:t>
            </w:r>
            <w:r>
              <w:rPr>
                <w:b/>
                <w:spacing w:val="-7"/>
                <w:w w:val="105"/>
                <w:sz w:val="13"/>
              </w:rPr>
              <w:t> </w:t>
            </w:r>
            <w:r>
              <w:rPr>
                <w:b/>
                <w:spacing w:val="-2"/>
                <w:w w:val="105"/>
                <w:sz w:val="13"/>
              </w:rPr>
              <w:t>GANANCIAS</w:t>
            </w:r>
          </w:p>
          <w:p>
            <w:pPr>
              <w:pStyle w:val="TableParagraph"/>
              <w:spacing w:before="59"/>
              <w:ind w:left="327"/>
              <w:rPr>
                <w:rFonts w:ascii="Tahoma"/>
                <w:sz w:val="13"/>
              </w:rPr>
            </w:pPr>
            <w:r>
              <w:rPr>
                <w:rFonts w:ascii="Tahoma"/>
                <w:w w:val="105"/>
                <w:sz w:val="13"/>
              </w:rPr>
              <w:t>Subvenciones,</w:t>
            </w:r>
            <w:r>
              <w:rPr>
                <w:rFonts w:ascii="Tahoma"/>
                <w:spacing w:val="13"/>
                <w:w w:val="105"/>
                <w:sz w:val="13"/>
              </w:rPr>
              <w:t> </w:t>
            </w:r>
            <w:r>
              <w:rPr>
                <w:rFonts w:ascii="Tahoma"/>
                <w:w w:val="105"/>
                <w:sz w:val="13"/>
              </w:rPr>
              <w:t>donaciones</w:t>
            </w:r>
            <w:r>
              <w:rPr>
                <w:rFonts w:ascii="Tahoma"/>
                <w:spacing w:val="7"/>
                <w:w w:val="105"/>
                <w:sz w:val="13"/>
              </w:rPr>
              <w:t> </w:t>
            </w:r>
            <w:r>
              <w:rPr>
                <w:rFonts w:ascii="Tahoma"/>
                <w:w w:val="105"/>
                <w:sz w:val="13"/>
              </w:rPr>
              <w:t>y</w:t>
            </w:r>
            <w:r>
              <w:rPr>
                <w:rFonts w:ascii="Tahoma"/>
                <w:spacing w:val="11"/>
                <w:w w:val="105"/>
                <w:sz w:val="13"/>
              </w:rPr>
              <w:t> </w:t>
            </w:r>
            <w:r>
              <w:rPr>
                <w:rFonts w:ascii="Tahoma"/>
                <w:w w:val="105"/>
                <w:sz w:val="13"/>
              </w:rPr>
              <w:t>legados</w:t>
            </w:r>
            <w:r>
              <w:rPr>
                <w:rFonts w:ascii="Tahoma"/>
                <w:spacing w:val="9"/>
                <w:w w:val="105"/>
                <w:sz w:val="13"/>
              </w:rPr>
              <w:t> </w:t>
            </w:r>
            <w:r>
              <w:rPr>
                <w:rFonts w:ascii="Tahoma"/>
                <w:spacing w:val="-2"/>
                <w:w w:val="105"/>
                <w:sz w:val="13"/>
              </w:rPr>
              <w:t>recibidos</w:t>
            </w:r>
          </w:p>
          <w:p>
            <w:pPr>
              <w:pStyle w:val="TableParagraph"/>
              <w:spacing w:line="140" w:lineRule="exact" w:before="56"/>
              <w:ind w:left="20"/>
              <w:rPr>
                <w:b/>
                <w:sz w:val="13"/>
              </w:rPr>
            </w:pPr>
            <w:r>
              <w:rPr>
                <w:b/>
                <w:spacing w:val="-2"/>
                <w:w w:val="105"/>
                <w:sz w:val="13"/>
              </w:rPr>
              <w:t>TOTAL</w:t>
            </w:r>
            <w:r>
              <w:rPr>
                <w:b/>
                <w:spacing w:val="-5"/>
                <w:w w:val="105"/>
                <w:sz w:val="13"/>
              </w:rPr>
              <w:t> </w:t>
            </w:r>
            <w:r>
              <w:rPr>
                <w:b/>
                <w:spacing w:val="-2"/>
                <w:w w:val="105"/>
                <w:sz w:val="13"/>
              </w:rPr>
              <w:t>DE</w:t>
            </w:r>
            <w:r>
              <w:rPr>
                <w:b/>
                <w:spacing w:val="-4"/>
                <w:w w:val="105"/>
                <w:sz w:val="13"/>
              </w:rPr>
              <w:t> </w:t>
            </w:r>
            <w:r>
              <w:rPr>
                <w:b/>
                <w:spacing w:val="-2"/>
                <w:w w:val="105"/>
                <w:sz w:val="13"/>
              </w:rPr>
              <w:t>INGRESOS</w:t>
            </w:r>
            <w:r>
              <w:rPr>
                <w:b/>
                <w:spacing w:val="5"/>
                <w:w w:val="105"/>
                <w:sz w:val="13"/>
              </w:rPr>
              <w:t> </w:t>
            </w:r>
            <w:r>
              <w:rPr>
                <w:b/>
                <w:spacing w:val="-2"/>
                <w:w w:val="105"/>
                <w:sz w:val="13"/>
              </w:rPr>
              <w:t>Y</w:t>
            </w:r>
            <w:r>
              <w:rPr>
                <w:b/>
                <w:spacing w:val="-8"/>
                <w:w w:val="105"/>
                <w:sz w:val="13"/>
              </w:rPr>
              <w:t> </w:t>
            </w:r>
            <w:r>
              <w:rPr>
                <w:b/>
                <w:spacing w:val="-2"/>
                <w:w w:val="105"/>
                <w:sz w:val="13"/>
              </w:rPr>
              <w:t>GASTOS</w:t>
            </w:r>
            <w:r>
              <w:rPr>
                <w:b/>
                <w:spacing w:val="3"/>
                <w:w w:val="105"/>
                <w:sz w:val="13"/>
              </w:rPr>
              <w:t> </w:t>
            </w:r>
            <w:r>
              <w:rPr>
                <w:b/>
                <w:spacing w:val="-2"/>
                <w:w w:val="105"/>
                <w:sz w:val="13"/>
              </w:rPr>
              <w:t>RECONOCIDOS</w:t>
            </w:r>
          </w:p>
        </w:tc>
        <w:tc>
          <w:tcPr>
            <w:tcW w:w="478" w:type="dxa"/>
            <w:vMerge w:val="restart"/>
            <w:tcBorders>
              <w:top w:val="nil"/>
              <w:left w:val="single" w:sz="6" w:space="0" w:color="000000"/>
              <w:bottom w:val="single" w:sz="6" w:space="0" w:color="000000"/>
              <w:right w:val="single" w:sz="12" w:space="0" w:color="000000"/>
            </w:tcBorders>
          </w:tcPr>
          <w:p>
            <w:pPr>
              <w:pStyle w:val="TableParagraph"/>
              <w:spacing w:before="76"/>
              <w:ind w:left="19" w:right="12"/>
              <w:jc w:val="center"/>
              <w:rPr>
                <w:rFonts w:ascii="Tahoma"/>
                <w:sz w:val="13"/>
              </w:rPr>
            </w:pPr>
            <w:r>
              <w:rPr>
                <w:rFonts w:ascii="Tahoma"/>
                <w:spacing w:val="-10"/>
                <w:w w:val="105"/>
                <w:sz w:val="13"/>
              </w:rPr>
              <w:t>3</w:t>
            </w:r>
          </w:p>
          <w:p>
            <w:pPr>
              <w:pStyle w:val="TableParagraph"/>
              <w:spacing w:before="126"/>
              <w:rPr>
                <w:sz w:val="13"/>
              </w:rPr>
            </w:pPr>
          </w:p>
          <w:p>
            <w:pPr>
              <w:pStyle w:val="TableParagraph"/>
              <w:spacing w:before="1"/>
              <w:ind w:left="19"/>
              <w:jc w:val="center"/>
              <w:rPr>
                <w:rFonts w:ascii="Tahoma"/>
                <w:sz w:val="13"/>
              </w:rPr>
            </w:pPr>
            <w:r>
              <w:rPr>
                <w:rFonts w:ascii="Tahoma"/>
                <w:spacing w:val="-5"/>
                <w:w w:val="105"/>
                <w:sz w:val="13"/>
              </w:rPr>
              <w:t>16</w:t>
            </w:r>
          </w:p>
          <w:p>
            <w:pPr>
              <w:pStyle w:val="TableParagraph"/>
              <w:spacing w:before="125"/>
              <w:rPr>
                <w:sz w:val="13"/>
              </w:rPr>
            </w:pPr>
          </w:p>
          <w:p>
            <w:pPr>
              <w:pStyle w:val="TableParagraph"/>
              <w:spacing w:before="1"/>
              <w:ind w:left="19"/>
              <w:jc w:val="center"/>
              <w:rPr>
                <w:rFonts w:ascii="Tahoma"/>
                <w:sz w:val="13"/>
              </w:rPr>
            </w:pPr>
            <w:r>
              <w:rPr>
                <w:rFonts w:ascii="Tahoma"/>
                <w:spacing w:val="-5"/>
                <w:w w:val="105"/>
                <w:sz w:val="13"/>
              </w:rPr>
              <w:t>16</w:t>
            </w:r>
          </w:p>
        </w:tc>
        <w:tc>
          <w:tcPr>
            <w:tcW w:w="66" w:type="dxa"/>
            <w:vMerge/>
            <w:tcBorders>
              <w:top w:val="nil"/>
              <w:left w:val="single" w:sz="6" w:space="0" w:color="000000"/>
              <w:bottom w:val="single" w:sz="24" w:space="0" w:color="008000"/>
              <w:right w:val="nil"/>
            </w:tcBorders>
          </w:tcPr>
          <w:p>
            <w:pPr>
              <w:rPr>
                <w:sz w:val="2"/>
                <w:szCs w:val="2"/>
              </w:rPr>
            </w:pPr>
          </w:p>
        </w:tc>
        <w:tc>
          <w:tcPr>
            <w:tcW w:w="1174" w:type="dxa"/>
            <w:vMerge/>
            <w:tcBorders>
              <w:top w:val="nil"/>
              <w:left w:val="nil"/>
              <w:bottom w:val="single" w:sz="6" w:space="0" w:color="000000"/>
            </w:tcBorders>
          </w:tcPr>
          <w:p>
            <w:pPr>
              <w:rPr>
                <w:sz w:val="2"/>
                <w:szCs w:val="2"/>
              </w:rPr>
            </w:pPr>
          </w:p>
        </w:tc>
        <w:tc>
          <w:tcPr>
            <w:tcW w:w="1238" w:type="dxa"/>
            <w:vMerge/>
            <w:tcBorders>
              <w:top w:val="nil"/>
              <w:bottom w:val="single" w:sz="6" w:space="0" w:color="000000"/>
            </w:tcBorders>
          </w:tcPr>
          <w:p>
            <w:pPr>
              <w:rPr>
                <w:sz w:val="2"/>
                <w:szCs w:val="2"/>
              </w:rPr>
            </w:pPr>
          </w:p>
        </w:tc>
      </w:tr>
      <w:tr>
        <w:trPr>
          <w:trHeight w:val="843" w:hRule="exact"/>
        </w:trPr>
        <w:tc>
          <w:tcPr>
            <w:tcW w:w="5538" w:type="dxa"/>
            <w:vMerge/>
            <w:tcBorders>
              <w:top w:val="nil"/>
              <w:bottom w:val="single" w:sz="6" w:space="0" w:color="000000"/>
              <w:right w:val="single" w:sz="6" w:space="0" w:color="000000"/>
            </w:tcBorders>
          </w:tcPr>
          <w:p>
            <w:pPr>
              <w:rPr>
                <w:sz w:val="2"/>
                <w:szCs w:val="2"/>
              </w:rPr>
            </w:pPr>
          </w:p>
        </w:tc>
        <w:tc>
          <w:tcPr>
            <w:tcW w:w="478" w:type="dxa"/>
            <w:vMerge/>
            <w:tcBorders>
              <w:top w:val="nil"/>
              <w:left w:val="single" w:sz="6" w:space="0" w:color="000000"/>
              <w:bottom w:val="single" w:sz="6" w:space="0" w:color="000000"/>
              <w:right w:val="single" w:sz="12" w:space="0" w:color="000000"/>
            </w:tcBorders>
          </w:tcPr>
          <w:p>
            <w:pPr>
              <w:rPr>
                <w:sz w:val="2"/>
                <w:szCs w:val="2"/>
              </w:rPr>
            </w:pPr>
          </w:p>
        </w:tc>
        <w:tc>
          <w:tcPr>
            <w:tcW w:w="66" w:type="dxa"/>
            <w:tcBorders>
              <w:top w:val="single" w:sz="24" w:space="0" w:color="008000"/>
              <w:left w:val="single" w:sz="12" w:space="0" w:color="000000"/>
              <w:bottom w:val="single" w:sz="6" w:space="0" w:color="000000"/>
              <w:right w:val="nil"/>
            </w:tcBorders>
          </w:tcPr>
          <w:p>
            <w:pPr>
              <w:pStyle w:val="TableParagraph"/>
              <w:rPr>
                <w:rFonts w:ascii="Times New Roman"/>
                <w:sz w:val="10"/>
              </w:rPr>
            </w:pPr>
          </w:p>
        </w:tc>
        <w:tc>
          <w:tcPr>
            <w:tcW w:w="1174" w:type="dxa"/>
            <w:vMerge/>
            <w:tcBorders>
              <w:top w:val="nil"/>
              <w:left w:val="nil"/>
              <w:bottom w:val="single" w:sz="6" w:space="0" w:color="000000"/>
            </w:tcBorders>
          </w:tcPr>
          <w:p>
            <w:pPr>
              <w:rPr>
                <w:sz w:val="2"/>
                <w:szCs w:val="2"/>
              </w:rPr>
            </w:pPr>
          </w:p>
        </w:tc>
        <w:tc>
          <w:tcPr>
            <w:tcW w:w="1238" w:type="dxa"/>
            <w:vMerge/>
            <w:tcBorders>
              <w:top w:val="nil"/>
              <w:bottom w:val="single" w:sz="6" w:space="0" w:color="000000"/>
            </w:tcBorders>
          </w:tcPr>
          <w:p>
            <w:pPr>
              <w:rPr>
                <w:sz w:val="2"/>
                <w:szCs w:val="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0"/>
      </w:pPr>
    </w:p>
    <w:tbl>
      <w:tblPr>
        <w:tblW w:w="0" w:type="auto"/>
        <w:jc w:val="left"/>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1"/>
        <w:gridCol w:w="861"/>
        <w:gridCol w:w="860"/>
        <w:gridCol w:w="861"/>
        <w:gridCol w:w="860"/>
        <w:gridCol w:w="860"/>
        <w:gridCol w:w="861"/>
        <w:gridCol w:w="858"/>
      </w:tblGrid>
      <w:tr>
        <w:trPr>
          <w:trHeight w:val="343" w:hRule="atLeast"/>
        </w:trPr>
        <w:tc>
          <w:tcPr>
            <w:tcW w:w="2471" w:type="dxa"/>
            <w:tcBorders>
              <w:bottom w:val="single" w:sz="6" w:space="0" w:color="000000"/>
              <w:right w:val="nil"/>
            </w:tcBorders>
            <w:shd w:val="clear" w:color="auto" w:fill="FFC000"/>
          </w:tcPr>
          <w:p>
            <w:pPr>
              <w:pStyle w:val="TableParagraph"/>
              <w:spacing w:before="40"/>
              <w:rPr>
                <w:sz w:val="8"/>
              </w:rPr>
            </w:pPr>
          </w:p>
          <w:p>
            <w:pPr>
              <w:pStyle w:val="TableParagraph"/>
              <w:ind w:left="20"/>
              <w:jc w:val="center"/>
              <w:rPr>
                <w:b/>
                <w:sz w:val="8"/>
              </w:rPr>
            </w:pPr>
            <w:r>
              <w:rPr>
                <w:b/>
                <w:spacing w:val="-2"/>
                <w:w w:val="105"/>
                <w:sz w:val="8"/>
              </w:rPr>
              <w:t>CONCEPTO</w:t>
            </w:r>
          </w:p>
        </w:tc>
        <w:tc>
          <w:tcPr>
            <w:tcW w:w="861" w:type="dxa"/>
            <w:tcBorders>
              <w:left w:val="nil"/>
              <w:bottom w:val="single" w:sz="6" w:space="0" w:color="000000"/>
              <w:right w:val="nil"/>
            </w:tcBorders>
            <w:shd w:val="clear" w:color="auto" w:fill="FFC000"/>
          </w:tcPr>
          <w:p>
            <w:pPr>
              <w:pStyle w:val="TableParagraph"/>
              <w:spacing w:before="24"/>
              <w:ind w:left="285"/>
              <w:rPr>
                <w:b/>
                <w:sz w:val="8"/>
              </w:rPr>
            </w:pPr>
            <w:r>
              <w:rPr>
                <w:b/>
                <w:spacing w:val="-2"/>
                <w:w w:val="115"/>
                <w:sz w:val="8"/>
              </w:rPr>
              <w:t>Capital</w:t>
            </w:r>
          </w:p>
          <w:p>
            <w:pPr>
              <w:pStyle w:val="TableParagraph"/>
              <w:spacing w:before="88"/>
              <w:ind w:left="192"/>
              <w:rPr>
                <w:b/>
                <w:sz w:val="8"/>
              </w:rPr>
            </w:pPr>
            <w:r>
              <w:rPr>
                <w:b/>
                <w:spacing w:val="-2"/>
                <w:w w:val="110"/>
                <w:sz w:val="8"/>
              </w:rPr>
              <w:t>Escriturado</w:t>
            </w:r>
          </w:p>
        </w:tc>
        <w:tc>
          <w:tcPr>
            <w:tcW w:w="860" w:type="dxa"/>
            <w:tcBorders>
              <w:left w:val="nil"/>
              <w:bottom w:val="single" w:sz="6" w:space="0" w:color="000000"/>
              <w:right w:val="nil"/>
            </w:tcBorders>
            <w:shd w:val="clear" w:color="auto" w:fill="FFC000"/>
          </w:tcPr>
          <w:p>
            <w:pPr>
              <w:pStyle w:val="TableParagraph"/>
              <w:spacing w:before="40"/>
              <w:rPr>
                <w:sz w:val="8"/>
              </w:rPr>
            </w:pPr>
          </w:p>
          <w:p>
            <w:pPr>
              <w:pStyle w:val="TableParagraph"/>
              <w:ind w:left="237"/>
              <w:rPr>
                <w:b/>
                <w:sz w:val="8"/>
              </w:rPr>
            </w:pPr>
            <w:r>
              <w:rPr>
                <w:b/>
                <w:spacing w:val="-2"/>
                <w:w w:val="110"/>
                <w:sz w:val="8"/>
              </w:rPr>
              <w:t>Reservas</w:t>
            </w:r>
          </w:p>
        </w:tc>
        <w:tc>
          <w:tcPr>
            <w:tcW w:w="861" w:type="dxa"/>
            <w:tcBorders>
              <w:left w:val="nil"/>
              <w:bottom w:val="single" w:sz="6" w:space="0" w:color="000000"/>
              <w:right w:val="nil"/>
            </w:tcBorders>
            <w:shd w:val="clear" w:color="auto" w:fill="FFC000"/>
          </w:tcPr>
          <w:p>
            <w:pPr>
              <w:pStyle w:val="TableParagraph"/>
              <w:spacing w:before="24"/>
              <w:ind w:left="237" w:hanging="115"/>
              <w:rPr>
                <w:b/>
                <w:sz w:val="8"/>
              </w:rPr>
            </w:pPr>
            <w:r>
              <w:rPr>
                <w:b/>
                <w:w w:val="110"/>
                <w:sz w:val="8"/>
              </w:rPr>
              <w:t>Resultados</w:t>
            </w:r>
            <w:r>
              <w:rPr>
                <w:b/>
                <w:spacing w:val="7"/>
                <w:w w:val="110"/>
                <w:sz w:val="8"/>
              </w:rPr>
              <w:t> </w:t>
            </w:r>
            <w:r>
              <w:rPr>
                <w:b/>
                <w:spacing w:val="-5"/>
                <w:w w:val="110"/>
                <w:sz w:val="8"/>
              </w:rPr>
              <w:t>de</w:t>
            </w:r>
          </w:p>
          <w:p>
            <w:pPr>
              <w:pStyle w:val="TableParagraph"/>
              <w:spacing w:line="100" w:lineRule="atLeast" w:before="7"/>
              <w:ind w:left="215" w:firstLine="21"/>
              <w:rPr>
                <w:b/>
                <w:sz w:val="8"/>
              </w:rPr>
            </w:pPr>
            <w:r>
              <w:rPr>
                <w:b/>
                <w:spacing w:val="-2"/>
                <w:w w:val="115"/>
                <w:sz w:val="8"/>
              </w:rPr>
              <w:t>ejercicios</w:t>
            </w:r>
            <w:r>
              <w:rPr>
                <w:b/>
                <w:spacing w:val="40"/>
                <w:w w:val="115"/>
                <w:sz w:val="8"/>
              </w:rPr>
              <w:t> </w:t>
            </w:r>
            <w:r>
              <w:rPr>
                <w:b/>
                <w:spacing w:val="-2"/>
                <w:w w:val="115"/>
                <w:sz w:val="8"/>
              </w:rPr>
              <w:t>anteriores</w:t>
            </w:r>
          </w:p>
        </w:tc>
        <w:tc>
          <w:tcPr>
            <w:tcW w:w="860" w:type="dxa"/>
            <w:tcBorders>
              <w:left w:val="nil"/>
              <w:bottom w:val="single" w:sz="6" w:space="0" w:color="000000"/>
              <w:right w:val="nil"/>
            </w:tcBorders>
            <w:shd w:val="clear" w:color="auto" w:fill="FFC000"/>
          </w:tcPr>
          <w:p>
            <w:pPr>
              <w:pStyle w:val="TableParagraph"/>
              <w:spacing w:before="24"/>
              <w:ind w:left="8" w:right="6"/>
              <w:jc w:val="center"/>
              <w:rPr>
                <w:b/>
                <w:sz w:val="8"/>
              </w:rPr>
            </w:pPr>
            <w:r>
              <w:rPr>
                <w:b/>
                <w:spacing w:val="-2"/>
                <w:w w:val="115"/>
                <w:sz w:val="8"/>
              </w:rPr>
              <w:t>Otras</w:t>
            </w:r>
          </w:p>
          <w:p>
            <w:pPr>
              <w:pStyle w:val="TableParagraph"/>
              <w:spacing w:line="100" w:lineRule="atLeast" w:before="7"/>
              <w:ind w:left="2" w:right="8"/>
              <w:jc w:val="center"/>
              <w:rPr>
                <w:b/>
                <w:sz w:val="8"/>
              </w:rPr>
            </w:pPr>
            <w:r>
              <w:rPr>
                <w:b/>
                <w:w w:val="110"/>
                <w:sz w:val="8"/>
              </w:rPr>
              <w:t>aportaciones</w:t>
            </w:r>
            <w:r>
              <w:rPr>
                <w:b/>
                <w:spacing w:val="-7"/>
                <w:w w:val="110"/>
                <w:sz w:val="8"/>
              </w:rPr>
              <w:t> </w:t>
            </w:r>
            <w:r>
              <w:rPr>
                <w:b/>
                <w:w w:val="110"/>
                <w:sz w:val="8"/>
              </w:rPr>
              <w:t>de</w:t>
            </w:r>
            <w:r>
              <w:rPr>
                <w:b/>
                <w:spacing w:val="40"/>
                <w:w w:val="110"/>
                <w:sz w:val="8"/>
              </w:rPr>
              <w:t> </w:t>
            </w:r>
            <w:r>
              <w:rPr>
                <w:b/>
                <w:spacing w:val="-2"/>
                <w:w w:val="110"/>
                <w:sz w:val="8"/>
              </w:rPr>
              <w:t>socios</w:t>
            </w:r>
          </w:p>
        </w:tc>
        <w:tc>
          <w:tcPr>
            <w:tcW w:w="860" w:type="dxa"/>
            <w:tcBorders>
              <w:left w:val="nil"/>
              <w:bottom w:val="single" w:sz="6" w:space="0" w:color="000000"/>
              <w:right w:val="nil"/>
            </w:tcBorders>
            <w:shd w:val="clear" w:color="auto" w:fill="FFC000"/>
          </w:tcPr>
          <w:p>
            <w:pPr>
              <w:pStyle w:val="TableParagraph"/>
              <w:spacing w:line="280" w:lineRule="auto" w:before="74"/>
              <w:ind w:left="251" w:hanging="127"/>
              <w:rPr>
                <w:b/>
                <w:sz w:val="8"/>
              </w:rPr>
            </w:pPr>
            <w:r>
              <w:rPr>
                <w:b/>
                <w:spacing w:val="-2"/>
                <w:w w:val="115"/>
                <w:sz w:val="8"/>
              </w:rPr>
              <w:t>Resultado</w:t>
            </w:r>
            <w:r>
              <w:rPr>
                <w:b/>
                <w:spacing w:val="-5"/>
                <w:w w:val="115"/>
                <w:sz w:val="8"/>
              </w:rPr>
              <w:t> </w:t>
            </w:r>
            <w:r>
              <w:rPr>
                <w:b/>
                <w:spacing w:val="-2"/>
                <w:w w:val="115"/>
                <w:sz w:val="8"/>
              </w:rPr>
              <w:t>del</w:t>
            </w:r>
            <w:r>
              <w:rPr>
                <w:b/>
                <w:spacing w:val="40"/>
                <w:w w:val="115"/>
                <w:sz w:val="8"/>
              </w:rPr>
              <w:t> </w:t>
            </w:r>
            <w:r>
              <w:rPr>
                <w:b/>
                <w:spacing w:val="-2"/>
                <w:w w:val="115"/>
                <w:sz w:val="8"/>
              </w:rPr>
              <w:t>ejercicio</w:t>
            </w:r>
          </w:p>
        </w:tc>
        <w:tc>
          <w:tcPr>
            <w:tcW w:w="861" w:type="dxa"/>
            <w:tcBorders>
              <w:left w:val="nil"/>
              <w:bottom w:val="single" w:sz="6" w:space="0" w:color="000000"/>
              <w:right w:val="nil"/>
            </w:tcBorders>
            <w:shd w:val="clear" w:color="auto" w:fill="FFC000"/>
          </w:tcPr>
          <w:p>
            <w:pPr>
              <w:pStyle w:val="TableParagraph"/>
              <w:spacing w:before="24"/>
              <w:ind w:left="135" w:hanging="15"/>
              <w:rPr>
                <w:b/>
                <w:sz w:val="8"/>
              </w:rPr>
            </w:pPr>
            <w:r>
              <w:rPr>
                <w:b/>
                <w:spacing w:val="-2"/>
                <w:w w:val="110"/>
                <w:sz w:val="8"/>
              </w:rPr>
              <w:t>Subvenciones</w:t>
            </w:r>
          </w:p>
          <w:p>
            <w:pPr>
              <w:pStyle w:val="TableParagraph"/>
              <w:spacing w:line="100" w:lineRule="atLeast" w:before="7"/>
              <w:ind w:left="257" w:right="151" w:hanging="123"/>
              <w:rPr>
                <w:b/>
                <w:sz w:val="8"/>
              </w:rPr>
            </w:pPr>
            <w:r>
              <w:rPr>
                <w:b/>
                <w:w w:val="110"/>
                <w:sz w:val="8"/>
              </w:rPr>
              <w:t>donaciones</w:t>
            </w:r>
            <w:r>
              <w:rPr>
                <w:b/>
                <w:spacing w:val="-7"/>
                <w:w w:val="110"/>
                <w:sz w:val="8"/>
              </w:rPr>
              <w:t> </w:t>
            </w:r>
            <w:r>
              <w:rPr>
                <w:b/>
                <w:w w:val="110"/>
                <w:sz w:val="8"/>
              </w:rPr>
              <w:t>y</w:t>
            </w:r>
            <w:r>
              <w:rPr>
                <w:b/>
                <w:spacing w:val="40"/>
                <w:w w:val="110"/>
                <w:sz w:val="8"/>
              </w:rPr>
              <w:t> </w:t>
            </w:r>
            <w:r>
              <w:rPr>
                <w:b/>
                <w:spacing w:val="-2"/>
                <w:w w:val="110"/>
                <w:sz w:val="8"/>
              </w:rPr>
              <w:t>legados</w:t>
            </w:r>
          </w:p>
        </w:tc>
        <w:tc>
          <w:tcPr>
            <w:tcW w:w="858" w:type="dxa"/>
            <w:tcBorders>
              <w:left w:val="nil"/>
              <w:bottom w:val="single" w:sz="6" w:space="0" w:color="000000"/>
              <w:right w:val="single" w:sz="6" w:space="0" w:color="000000"/>
            </w:tcBorders>
            <w:shd w:val="clear" w:color="auto" w:fill="FFC000"/>
          </w:tcPr>
          <w:p>
            <w:pPr>
              <w:pStyle w:val="TableParagraph"/>
              <w:spacing w:before="40"/>
              <w:rPr>
                <w:sz w:val="8"/>
              </w:rPr>
            </w:pPr>
          </w:p>
          <w:p>
            <w:pPr>
              <w:pStyle w:val="TableParagraph"/>
              <w:ind w:left="281"/>
              <w:rPr>
                <w:b/>
                <w:sz w:val="8"/>
              </w:rPr>
            </w:pPr>
            <w:r>
              <w:rPr>
                <w:b/>
                <w:spacing w:val="-2"/>
                <w:w w:val="105"/>
                <w:sz w:val="8"/>
              </w:rPr>
              <w:t>TOTAL</w:t>
            </w:r>
          </w:p>
        </w:tc>
      </w:tr>
      <w:tr>
        <w:trPr>
          <w:trHeight w:val="186" w:hRule="atLeast"/>
        </w:trPr>
        <w:tc>
          <w:tcPr>
            <w:tcW w:w="8492" w:type="dxa"/>
            <w:gridSpan w:val="8"/>
            <w:tcBorders>
              <w:top w:val="single" w:sz="6" w:space="0" w:color="000000"/>
              <w:bottom w:val="single" w:sz="6" w:space="0" w:color="000000"/>
              <w:right w:val="single" w:sz="6" w:space="0" w:color="000000"/>
            </w:tcBorders>
          </w:tcPr>
          <w:p>
            <w:pPr>
              <w:pStyle w:val="TableParagraph"/>
              <w:spacing w:line="76" w:lineRule="exact" w:before="90"/>
              <w:ind w:left="28"/>
              <w:rPr>
                <w:rFonts w:ascii="Tahoma"/>
                <w:sz w:val="8"/>
              </w:rPr>
            </w:pPr>
            <w:r>
              <w:rPr>
                <w:rFonts w:ascii="Tahoma"/>
                <w:w w:val="105"/>
                <w:sz w:val="8"/>
              </w:rPr>
              <w:t>ESTADO</w:t>
            </w:r>
            <w:r>
              <w:rPr>
                <w:rFonts w:ascii="Tahoma"/>
                <w:spacing w:val="17"/>
                <w:w w:val="105"/>
                <w:sz w:val="8"/>
              </w:rPr>
              <w:t> </w:t>
            </w:r>
            <w:r>
              <w:rPr>
                <w:rFonts w:ascii="Tahoma"/>
                <w:w w:val="105"/>
                <w:sz w:val="8"/>
              </w:rPr>
              <w:t>TOTAL</w:t>
            </w:r>
            <w:r>
              <w:rPr>
                <w:rFonts w:ascii="Tahoma"/>
                <w:spacing w:val="12"/>
                <w:w w:val="105"/>
                <w:sz w:val="8"/>
              </w:rPr>
              <w:t> </w:t>
            </w:r>
            <w:r>
              <w:rPr>
                <w:rFonts w:ascii="Tahoma"/>
                <w:w w:val="105"/>
                <w:sz w:val="8"/>
              </w:rPr>
              <w:t>DE</w:t>
            </w:r>
            <w:r>
              <w:rPr>
                <w:rFonts w:ascii="Tahoma"/>
                <w:spacing w:val="12"/>
                <w:w w:val="105"/>
                <w:sz w:val="8"/>
              </w:rPr>
              <w:t> </w:t>
            </w:r>
            <w:r>
              <w:rPr>
                <w:rFonts w:ascii="Tahoma"/>
                <w:w w:val="105"/>
                <w:sz w:val="8"/>
              </w:rPr>
              <w:t>CAMBIOS</w:t>
            </w:r>
            <w:r>
              <w:rPr>
                <w:rFonts w:ascii="Tahoma"/>
                <w:spacing w:val="16"/>
                <w:w w:val="105"/>
                <w:sz w:val="8"/>
              </w:rPr>
              <w:t> </w:t>
            </w:r>
            <w:r>
              <w:rPr>
                <w:rFonts w:ascii="Tahoma"/>
                <w:w w:val="105"/>
                <w:sz w:val="8"/>
              </w:rPr>
              <w:t>EN</w:t>
            </w:r>
            <w:r>
              <w:rPr>
                <w:rFonts w:ascii="Tahoma"/>
                <w:spacing w:val="8"/>
                <w:w w:val="105"/>
                <w:sz w:val="8"/>
              </w:rPr>
              <w:t> </w:t>
            </w:r>
            <w:r>
              <w:rPr>
                <w:rFonts w:ascii="Tahoma"/>
                <w:w w:val="105"/>
                <w:sz w:val="8"/>
              </w:rPr>
              <w:t>EL</w:t>
            </w:r>
            <w:r>
              <w:rPr>
                <w:rFonts w:ascii="Tahoma"/>
                <w:spacing w:val="14"/>
                <w:w w:val="105"/>
                <w:sz w:val="8"/>
              </w:rPr>
              <w:t> </w:t>
            </w:r>
            <w:r>
              <w:rPr>
                <w:rFonts w:ascii="Tahoma"/>
                <w:w w:val="105"/>
                <w:sz w:val="8"/>
              </w:rPr>
              <w:t>PATRIMONIO</w:t>
            </w:r>
            <w:r>
              <w:rPr>
                <w:rFonts w:ascii="Tahoma"/>
                <w:spacing w:val="17"/>
                <w:w w:val="105"/>
                <w:sz w:val="8"/>
              </w:rPr>
              <w:t> </w:t>
            </w:r>
            <w:r>
              <w:rPr>
                <w:rFonts w:ascii="Tahoma"/>
                <w:spacing w:val="-4"/>
                <w:w w:val="105"/>
                <w:sz w:val="8"/>
              </w:rPr>
              <w:t>NETO.</w:t>
            </w:r>
          </w:p>
        </w:tc>
      </w:tr>
      <w:tr>
        <w:trPr>
          <w:trHeight w:val="122" w:hRule="atLeast"/>
        </w:trPr>
        <w:tc>
          <w:tcPr>
            <w:tcW w:w="2471" w:type="dxa"/>
            <w:tcBorders>
              <w:top w:val="single" w:sz="6" w:space="0" w:color="000000"/>
            </w:tcBorders>
          </w:tcPr>
          <w:p>
            <w:pPr>
              <w:pStyle w:val="TableParagraph"/>
              <w:spacing w:line="77" w:lineRule="exact" w:before="25"/>
              <w:ind w:left="28"/>
              <w:rPr>
                <w:rFonts w:ascii="Tahoma" w:hAnsi="Tahoma"/>
                <w:sz w:val="8"/>
              </w:rPr>
            </w:pPr>
            <w:r>
              <w:rPr>
                <w:rFonts w:ascii="Tahoma" w:hAnsi="Tahoma"/>
                <w:w w:val="105"/>
                <w:sz w:val="8"/>
              </w:rPr>
              <w:t>SALDO</w:t>
            </w:r>
            <w:r>
              <w:rPr>
                <w:rFonts w:ascii="Tahoma" w:hAnsi="Tahoma"/>
                <w:spacing w:val="10"/>
                <w:w w:val="105"/>
                <w:sz w:val="8"/>
              </w:rPr>
              <w:t> </w:t>
            </w:r>
            <w:r>
              <w:rPr>
                <w:rFonts w:ascii="Tahoma" w:hAnsi="Tahoma"/>
                <w:w w:val="105"/>
                <w:sz w:val="8"/>
              </w:rPr>
              <w:t>FINAL</w:t>
            </w:r>
            <w:r>
              <w:rPr>
                <w:rFonts w:ascii="Tahoma" w:hAnsi="Tahoma"/>
                <w:spacing w:val="8"/>
                <w:w w:val="105"/>
                <w:sz w:val="8"/>
              </w:rPr>
              <w:t> </w:t>
            </w:r>
            <w:r>
              <w:rPr>
                <w:rFonts w:ascii="Tahoma" w:hAnsi="Tahoma"/>
                <w:w w:val="105"/>
                <w:sz w:val="8"/>
              </w:rPr>
              <w:t>DEL</w:t>
            </w:r>
            <w:r>
              <w:rPr>
                <w:rFonts w:ascii="Tahoma" w:hAnsi="Tahoma"/>
                <w:spacing w:val="9"/>
                <w:w w:val="105"/>
                <w:sz w:val="8"/>
              </w:rPr>
              <w:t> </w:t>
            </w:r>
            <w:r>
              <w:rPr>
                <w:rFonts w:ascii="Tahoma" w:hAnsi="Tahoma"/>
                <w:w w:val="105"/>
                <w:sz w:val="8"/>
              </w:rPr>
              <w:t>AÑO</w:t>
            </w:r>
            <w:r>
              <w:rPr>
                <w:rFonts w:ascii="Tahoma" w:hAnsi="Tahoma"/>
                <w:spacing w:val="12"/>
                <w:w w:val="105"/>
                <w:sz w:val="8"/>
              </w:rPr>
              <w:t> </w:t>
            </w:r>
            <w:r>
              <w:rPr>
                <w:rFonts w:ascii="Tahoma" w:hAnsi="Tahoma"/>
                <w:spacing w:val="-4"/>
                <w:w w:val="105"/>
                <w:sz w:val="8"/>
              </w:rPr>
              <w:t>2023</w:t>
            </w:r>
          </w:p>
        </w:tc>
        <w:tc>
          <w:tcPr>
            <w:tcW w:w="861" w:type="dxa"/>
            <w:tcBorders>
              <w:top w:val="single" w:sz="6" w:space="0" w:color="000000"/>
              <w:right w:val="single" w:sz="6" w:space="0" w:color="000000"/>
            </w:tcBorders>
          </w:tcPr>
          <w:p>
            <w:pPr>
              <w:pStyle w:val="TableParagraph"/>
              <w:spacing w:line="77" w:lineRule="exact" w:before="25"/>
              <w:ind w:right="33"/>
              <w:jc w:val="right"/>
              <w:rPr>
                <w:rFonts w:ascii="Tahoma"/>
                <w:sz w:val="8"/>
              </w:rPr>
            </w:pPr>
            <w:r>
              <w:rPr>
                <w:rFonts w:ascii="Tahoma"/>
                <w:spacing w:val="-2"/>
                <w:w w:val="105"/>
                <w:sz w:val="8"/>
              </w:rPr>
              <w:t>15.608.538,40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36"/>
              <w:jc w:val="right"/>
              <w:rPr>
                <w:rFonts w:ascii="Tahoma"/>
                <w:sz w:val="8"/>
              </w:rPr>
            </w:pPr>
            <w:r>
              <w:rPr>
                <w:rFonts w:ascii="Tahoma"/>
                <w:spacing w:val="-2"/>
                <w:w w:val="105"/>
                <w:sz w:val="8"/>
              </w:rPr>
              <w:t>9.907.569,98</w:t>
            </w:r>
          </w:p>
        </w:tc>
        <w:tc>
          <w:tcPr>
            <w:tcW w:w="861" w:type="dxa"/>
            <w:tcBorders>
              <w:top w:val="single" w:sz="6" w:space="0" w:color="000000"/>
              <w:left w:val="single" w:sz="6" w:space="0" w:color="000000"/>
              <w:right w:val="single" w:sz="6" w:space="0" w:color="000000"/>
            </w:tcBorders>
          </w:tcPr>
          <w:p>
            <w:pPr>
              <w:pStyle w:val="TableParagraph"/>
              <w:spacing w:line="77" w:lineRule="exact" w:before="25"/>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45"/>
              <w:jc w:val="right"/>
              <w:rPr>
                <w:rFonts w:ascii="Tahoma"/>
                <w:sz w:val="8"/>
              </w:rPr>
            </w:pPr>
            <w:r>
              <w:rPr>
                <w:rFonts w:ascii="Tahoma"/>
                <w:spacing w:val="-2"/>
                <w:w w:val="105"/>
                <w:sz w:val="8"/>
              </w:rPr>
              <w:t>2.254.785,24</w:t>
            </w:r>
          </w:p>
        </w:tc>
        <w:tc>
          <w:tcPr>
            <w:tcW w:w="861" w:type="dxa"/>
            <w:tcBorders>
              <w:top w:val="single" w:sz="6" w:space="0" w:color="000000"/>
              <w:left w:val="single" w:sz="6" w:space="0" w:color="000000"/>
              <w:right w:val="single" w:sz="6" w:space="0" w:color="000000"/>
            </w:tcBorders>
          </w:tcPr>
          <w:p>
            <w:pPr>
              <w:pStyle w:val="TableParagraph"/>
              <w:spacing w:line="77" w:lineRule="exact" w:before="25"/>
              <w:ind w:right="46"/>
              <w:jc w:val="right"/>
              <w:rPr>
                <w:rFonts w:ascii="Tahoma"/>
                <w:sz w:val="8"/>
              </w:rPr>
            </w:pPr>
            <w:r>
              <w:rPr>
                <w:rFonts w:ascii="Tahoma"/>
                <w:spacing w:val="-2"/>
                <w:w w:val="105"/>
                <w:sz w:val="8"/>
              </w:rPr>
              <w:t>18.041.887,69</w:t>
            </w:r>
          </w:p>
        </w:tc>
        <w:tc>
          <w:tcPr>
            <w:tcW w:w="858" w:type="dxa"/>
            <w:tcBorders>
              <w:top w:val="single" w:sz="6" w:space="0" w:color="000000"/>
              <w:left w:val="single" w:sz="6" w:space="0" w:color="000000"/>
              <w:right w:val="single" w:sz="6" w:space="0" w:color="000000"/>
            </w:tcBorders>
          </w:tcPr>
          <w:p>
            <w:pPr>
              <w:pStyle w:val="TableParagraph"/>
              <w:spacing w:line="77" w:lineRule="exact" w:before="25"/>
              <w:ind w:right="48"/>
              <w:jc w:val="right"/>
              <w:rPr>
                <w:rFonts w:ascii="Tahoma"/>
                <w:sz w:val="8"/>
              </w:rPr>
            </w:pPr>
            <w:r>
              <w:rPr>
                <w:rFonts w:ascii="Tahoma"/>
                <w:spacing w:val="-2"/>
                <w:w w:val="105"/>
                <w:sz w:val="8"/>
              </w:rPr>
              <w:t>45.812.781,31</w:t>
            </w:r>
          </w:p>
        </w:tc>
      </w:tr>
      <w:tr>
        <w:trPr>
          <w:trHeight w:val="123" w:hRule="atLeast"/>
        </w:trPr>
        <w:tc>
          <w:tcPr>
            <w:tcW w:w="2471" w:type="dxa"/>
            <w:tcBorders>
              <w:bottom w:val="single" w:sz="6" w:space="0" w:color="000000"/>
            </w:tcBorders>
          </w:tcPr>
          <w:p>
            <w:pPr>
              <w:pStyle w:val="TableParagraph"/>
              <w:spacing w:line="77" w:lineRule="exact" w:before="27"/>
              <w:ind w:left="28"/>
              <w:rPr>
                <w:rFonts w:ascii="Tahoma"/>
                <w:sz w:val="8"/>
              </w:rPr>
            </w:pPr>
            <w:r>
              <w:rPr>
                <w:rFonts w:ascii="Tahoma"/>
                <w:w w:val="105"/>
                <w:sz w:val="8"/>
              </w:rPr>
              <w:t>Ajuste</w:t>
            </w:r>
            <w:r>
              <w:rPr>
                <w:rFonts w:ascii="Tahoma"/>
                <w:spacing w:val="14"/>
                <w:w w:val="105"/>
                <w:sz w:val="8"/>
              </w:rPr>
              <w:t> </w:t>
            </w:r>
            <w:r>
              <w:rPr>
                <w:rFonts w:ascii="Tahoma"/>
                <w:w w:val="105"/>
                <w:sz w:val="8"/>
              </w:rPr>
              <w:t>por</w:t>
            </w:r>
            <w:r>
              <w:rPr>
                <w:rFonts w:ascii="Tahoma"/>
                <w:spacing w:val="8"/>
                <w:w w:val="105"/>
                <w:sz w:val="8"/>
              </w:rPr>
              <w:t> </w:t>
            </w:r>
            <w:r>
              <w:rPr>
                <w:rFonts w:ascii="Tahoma"/>
                <w:w w:val="105"/>
                <w:sz w:val="8"/>
              </w:rPr>
              <w:t>errores</w:t>
            </w:r>
            <w:r>
              <w:rPr>
                <w:rFonts w:ascii="Tahoma"/>
                <w:spacing w:val="7"/>
                <w:w w:val="105"/>
                <w:sz w:val="8"/>
              </w:rPr>
              <w:t> </w:t>
            </w:r>
            <w:r>
              <w:rPr>
                <w:rFonts w:ascii="Tahoma"/>
                <w:w w:val="105"/>
                <w:sz w:val="8"/>
              </w:rPr>
              <w:t>del</w:t>
            </w:r>
            <w:r>
              <w:rPr>
                <w:rFonts w:ascii="Tahoma"/>
                <w:spacing w:val="4"/>
                <w:w w:val="105"/>
                <w:sz w:val="8"/>
              </w:rPr>
              <w:t> </w:t>
            </w:r>
            <w:r>
              <w:rPr>
                <w:rFonts w:ascii="Tahoma"/>
                <w:w w:val="105"/>
                <w:sz w:val="8"/>
              </w:rPr>
              <w:t>ejercicio</w:t>
            </w:r>
            <w:r>
              <w:rPr>
                <w:rFonts w:ascii="Tahoma"/>
                <w:spacing w:val="16"/>
                <w:w w:val="105"/>
                <w:sz w:val="8"/>
              </w:rPr>
              <w:t> </w:t>
            </w:r>
            <w:r>
              <w:rPr>
                <w:rFonts w:ascii="Tahoma"/>
                <w:spacing w:val="-4"/>
                <w:w w:val="105"/>
                <w:sz w:val="8"/>
              </w:rPr>
              <w:t>2023</w:t>
            </w:r>
          </w:p>
        </w:tc>
        <w:tc>
          <w:tcPr>
            <w:tcW w:w="861" w:type="dxa"/>
            <w:tcBorders>
              <w:bottom w:val="single" w:sz="6" w:space="0" w:color="000000"/>
              <w:right w:val="single" w:sz="6" w:space="0" w:color="000000"/>
            </w:tcBorders>
          </w:tcPr>
          <w:p>
            <w:pPr>
              <w:pStyle w:val="TableParagraph"/>
              <w:spacing w:line="77" w:lineRule="exact" w:before="27"/>
              <w:ind w:right="33"/>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36"/>
              <w:jc w:val="right"/>
              <w:rPr>
                <w:rFonts w:ascii="Tahoma"/>
                <w:sz w:val="8"/>
              </w:rPr>
            </w:pPr>
            <w:r>
              <w:rPr>
                <w:rFonts w:ascii="Tahoma"/>
                <w:spacing w:val="-4"/>
                <w:w w:val="105"/>
                <w:sz w:val="8"/>
              </w:rPr>
              <w:t>0,00</w:t>
            </w:r>
          </w:p>
        </w:tc>
        <w:tc>
          <w:tcPr>
            <w:tcW w:w="861" w:type="dxa"/>
            <w:tcBorders>
              <w:left w:val="single" w:sz="6" w:space="0" w:color="000000"/>
              <w:bottom w:val="single" w:sz="6" w:space="0" w:color="000000"/>
              <w:right w:val="single" w:sz="6" w:space="0" w:color="000000"/>
            </w:tcBorders>
          </w:tcPr>
          <w:p>
            <w:pPr>
              <w:pStyle w:val="TableParagraph"/>
              <w:spacing w:line="77" w:lineRule="exact" w:before="27"/>
              <w:ind w:right="38"/>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42"/>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45"/>
              <w:jc w:val="right"/>
              <w:rPr>
                <w:rFonts w:ascii="Tahoma"/>
                <w:sz w:val="8"/>
              </w:rPr>
            </w:pPr>
            <w:r>
              <w:rPr>
                <w:rFonts w:ascii="Tahoma"/>
                <w:spacing w:val="-4"/>
                <w:w w:val="105"/>
                <w:sz w:val="8"/>
              </w:rPr>
              <w:t>0,00</w:t>
            </w:r>
          </w:p>
        </w:tc>
        <w:tc>
          <w:tcPr>
            <w:tcW w:w="861" w:type="dxa"/>
            <w:tcBorders>
              <w:left w:val="single" w:sz="6" w:space="0" w:color="000000"/>
              <w:bottom w:val="single" w:sz="6" w:space="0" w:color="000000"/>
              <w:right w:val="single" w:sz="6" w:space="0" w:color="000000"/>
            </w:tcBorders>
          </w:tcPr>
          <w:p>
            <w:pPr>
              <w:pStyle w:val="TableParagraph"/>
              <w:spacing w:line="77" w:lineRule="exact" w:before="27"/>
              <w:ind w:right="46"/>
              <w:jc w:val="right"/>
              <w:rPr>
                <w:rFonts w:ascii="Tahoma"/>
                <w:sz w:val="8"/>
              </w:rPr>
            </w:pPr>
            <w:r>
              <w:rPr>
                <w:rFonts w:ascii="Tahoma"/>
                <w:spacing w:val="-4"/>
                <w:w w:val="105"/>
                <w:sz w:val="8"/>
              </w:rPr>
              <w:t>0,00</w:t>
            </w:r>
          </w:p>
        </w:tc>
        <w:tc>
          <w:tcPr>
            <w:tcW w:w="858" w:type="dxa"/>
            <w:tcBorders>
              <w:left w:val="single" w:sz="6" w:space="0" w:color="000000"/>
              <w:bottom w:val="single" w:sz="6" w:space="0" w:color="000000"/>
              <w:right w:val="single" w:sz="6" w:space="0" w:color="000000"/>
            </w:tcBorders>
          </w:tcPr>
          <w:p>
            <w:pPr>
              <w:pStyle w:val="TableParagraph"/>
              <w:spacing w:line="77" w:lineRule="exact" w:before="27"/>
              <w:ind w:right="48"/>
              <w:jc w:val="right"/>
              <w:rPr>
                <w:rFonts w:ascii="Tahoma"/>
                <w:sz w:val="8"/>
              </w:rPr>
            </w:pPr>
            <w:r>
              <w:rPr>
                <w:rFonts w:ascii="Tahoma"/>
                <w:spacing w:val="-4"/>
                <w:w w:val="105"/>
                <w:sz w:val="8"/>
              </w:rPr>
              <w:t>0,00</w:t>
            </w:r>
          </w:p>
        </w:tc>
      </w:tr>
      <w:tr>
        <w:trPr>
          <w:trHeight w:val="121" w:hRule="atLeast"/>
        </w:trPr>
        <w:tc>
          <w:tcPr>
            <w:tcW w:w="2471" w:type="dxa"/>
            <w:tcBorders>
              <w:top w:val="single" w:sz="6" w:space="0" w:color="000000"/>
              <w:bottom w:val="single" w:sz="6" w:space="0" w:color="000000"/>
            </w:tcBorders>
          </w:tcPr>
          <w:p>
            <w:pPr>
              <w:pStyle w:val="TableParagraph"/>
              <w:spacing w:line="76" w:lineRule="exact" w:before="25"/>
              <w:ind w:left="28"/>
              <w:rPr>
                <w:rFonts w:ascii="Tahoma" w:hAnsi="Tahoma"/>
                <w:sz w:val="8"/>
              </w:rPr>
            </w:pPr>
            <w:r>
              <w:rPr>
                <w:rFonts w:ascii="Tahoma" w:hAnsi="Tahoma"/>
                <w:w w:val="105"/>
                <w:sz w:val="8"/>
              </w:rPr>
              <w:t>SALDO</w:t>
            </w:r>
            <w:r>
              <w:rPr>
                <w:rFonts w:ascii="Tahoma" w:hAnsi="Tahoma"/>
                <w:spacing w:val="12"/>
                <w:w w:val="105"/>
                <w:sz w:val="8"/>
              </w:rPr>
              <w:t> </w:t>
            </w:r>
            <w:r>
              <w:rPr>
                <w:rFonts w:ascii="Tahoma" w:hAnsi="Tahoma"/>
                <w:w w:val="105"/>
                <w:sz w:val="8"/>
              </w:rPr>
              <w:t>AJUSTADO,</w:t>
            </w:r>
            <w:r>
              <w:rPr>
                <w:rFonts w:ascii="Tahoma" w:hAnsi="Tahoma"/>
                <w:spacing w:val="11"/>
                <w:w w:val="105"/>
                <w:sz w:val="8"/>
              </w:rPr>
              <w:t> </w:t>
            </w:r>
            <w:r>
              <w:rPr>
                <w:rFonts w:ascii="Tahoma" w:hAnsi="Tahoma"/>
                <w:w w:val="105"/>
                <w:sz w:val="8"/>
              </w:rPr>
              <w:t>INICIO</w:t>
            </w:r>
            <w:r>
              <w:rPr>
                <w:rFonts w:ascii="Tahoma" w:hAnsi="Tahoma"/>
                <w:spacing w:val="15"/>
                <w:w w:val="105"/>
                <w:sz w:val="8"/>
              </w:rPr>
              <w:t> </w:t>
            </w:r>
            <w:r>
              <w:rPr>
                <w:rFonts w:ascii="Tahoma" w:hAnsi="Tahoma"/>
                <w:w w:val="105"/>
                <w:sz w:val="8"/>
              </w:rPr>
              <w:t>DEL</w:t>
            </w:r>
            <w:r>
              <w:rPr>
                <w:rFonts w:ascii="Tahoma" w:hAnsi="Tahoma"/>
                <w:spacing w:val="10"/>
                <w:w w:val="105"/>
                <w:sz w:val="8"/>
              </w:rPr>
              <w:t> </w:t>
            </w:r>
            <w:r>
              <w:rPr>
                <w:rFonts w:ascii="Tahoma" w:hAnsi="Tahoma"/>
                <w:w w:val="105"/>
                <w:sz w:val="8"/>
              </w:rPr>
              <w:t>AÑO</w:t>
            </w:r>
            <w:r>
              <w:rPr>
                <w:rFonts w:ascii="Tahoma" w:hAnsi="Tahoma"/>
                <w:spacing w:val="15"/>
                <w:w w:val="105"/>
                <w:sz w:val="8"/>
              </w:rPr>
              <w:t> </w:t>
            </w:r>
            <w:r>
              <w:rPr>
                <w:rFonts w:ascii="Tahoma" w:hAnsi="Tahoma"/>
                <w:spacing w:val="-4"/>
                <w:w w:val="105"/>
                <w:sz w:val="8"/>
              </w:rPr>
              <w:t>2024</w:t>
            </w:r>
          </w:p>
        </w:tc>
        <w:tc>
          <w:tcPr>
            <w:tcW w:w="861" w:type="dxa"/>
            <w:tcBorders>
              <w:top w:val="single" w:sz="6" w:space="0" w:color="000000"/>
              <w:bottom w:val="single" w:sz="6" w:space="0" w:color="000000"/>
              <w:right w:val="single" w:sz="6" w:space="0" w:color="000000"/>
            </w:tcBorders>
          </w:tcPr>
          <w:p>
            <w:pPr>
              <w:pStyle w:val="TableParagraph"/>
              <w:spacing w:line="76" w:lineRule="exact" w:before="25"/>
              <w:ind w:right="33"/>
              <w:jc w:val="right"/>
              <w:rPr>
                <w:rFonts w:ascii="Tahoma"/>
                <w:sz w:val="8"/>
              </w:rPr>
            </w:pPr>
            <w:r>
              <w:rPr>
                <w:rFonts w:ascii="Tahoma"/>
                <w:spacing w:val="-2"/>
                <w:w w:val="105"/>
                <w:sz w:val="8"/>
              </w:rPr>
              <w:t>15.608.538,40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36"/>
              <w:jc w:val="right"/>
              <w:rPr>
                <w:rFonts w:ascii="Tahoma"/>
                <w:sz w:val="8"/>
              </w:rPr>
            </w:pPr>
            <w:r>
              <w:rPr>
                <w:rFonts w:ascii="Tahoma"/>
                <w:spacing w:val="-2"/>
                <w:w w:val="105"/>
                <w:sz w:val="8"/>
              </w:rPr>
              <w:t>9.907.569,98</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45"/>
              <w:jc w:val="right"/>
              <w:rPr>
                <w:rFonts w:ascii="Tahoma"/>
                <w:sz w:val="8"/>
              </w:rPr>
            </w:pPr>
            <w:r>
              <w:rPr>
                <w:rFonts w:ascii="Tahoma"/>
                <w:spacing w:val="-2"/>
                <w:w w:val="105"/>
                <w:sz w:val="8"/>
              </w:rPr>
              <w:t>2.254.785,24</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46"/>
              <w:jc w:val="right"/>
              <w:rPr>
                <w:rFonts w:ascii="Tahoma"/>
                <w:sz w:val="8"/>
              </w:rPr>
            </w:pPr>
            <w:r>
              <w:rPr>
                <w:rFonts w:ascii="Tahoma"/>
                <w:spacing w:val="-2"/>
                <w:w w:val="105"/>
                <w:sz w:val="8"/>
              </w:rPr>
              <w:t>18.041.887,69</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5"/>
              <w:ind w:right="48"/>
              <w:jc w:val="right"/>
              <w:rPr>
                <w:rFonts w:ascii="Tahoma"/>
                <w:sz w:val="8"/>
              </w:rPr>
            </w:pPr>
            <w:r>
              <w:rPr>
                <w:rFonts w:ascii="Tahoma"/>
                <w:spacing w:val="-2"/>
                <w:w w:val="105"/>
                <w:sz w:val="8"/>
              </w:rPr>
              <w:t>45.812.781,31</w:t>
            </w:r>
          </w:p>
        </w:tc>
      </w:tr>
      <w:tr>
        <w:trPr>
          <w:trHeight w:val="122" w:hRule="atLeast"/>
        </w:trPr>
        <w:tc>
          <w:tcPr>
            <w:tcW w:w="2471" w:type="dxa"/>
            <w:tcBorders>
              <w:top w:val="single" w:sz="6" w:space="0" w:color="000000"/>
            </w:tcBorders>
          </w:tcPr>
          <w:p>
            <w:pPr>
              <w:pStyle w:val="TableParagraph"/>
              <w:spacing w:line="77" w:lineRule="exact" w:before="25"/>
              <w:ind w:left="28"/>
              <w:rPr>
                <w:rFonts w:ascii="Tahoma"/>
                <w:sz w:val="8"/>
              </w:rPr>
            </w:pPr>
            <w:r>
              <w:rPr>
                <w:rFonts w:ascii="Tahoma"/>
                <w:w w:val="105"/>
                <w:sz w:val="8"/>
              </w:rPr>
              <w:t>Total</w:t>
            </w:r>
            <w:r>
              <w:rPr>
                <w:rFonts w:ascii="Tahoma"/>
                <w:spacing w:val="5"/>
                <w:w w:val="105"/>
                <w:sz w:val="8"/>
              </w:rPr>
              <w:t> </w:t>
            </w:r>
            <w:r>
              <w:rPr>
                <w:rFonts w:ascii="Tahoma"/>
                <w:w w:val="105"/>
                <w:sz w:val="8"/>
              </w:rPr>
              <w:t>ingresos</w:t>
            </w:r>
            <w:r>
              <w:rPr>
                <w:rFonts w:ascii="Tahoma"/>
                <w:spacing w:val="7"/>
                <w:w w:val="105"/>
                <w:sz w:val="8"/>
              </w:rPr>
              <w:t> </w:t>
            </w:r>
            <w:r>
              <w:rPr>
                <w:rFonts w:ascii="Tahoma"/>
                <w:w w:val="105"/>
                <w:sz w:val="8"/>
              </w:rPr>
              <w:t>y</w:t>
            </w:r>
            <w:r>
              <w:rPr>
                <w:rFonts w:ascii="Tahoma"/>
                <w:spacing w:val="12"/>
                <w:w w:val="105"/>
                <w:sz w:val="8"/>
              </w:rPr>
              <w:t> </w:t>
            </w:r>
            <w:r>
              <w:rPr>
                <w:rFonts w:ascii="Tahoma"/>
                <w:w w:val="105"/>
                <w:sz w:val="8"/>
              </w:rPr>
              <w:t>gastos</w:t>
            </w:r>
            <w:r>
              <w:rPr>
                <w:rFonts w:ascii="Tahoma"/>
                <w:spacing w:val="7"/>
                <w:w w:val="105"/>
                <w:sz w:val="8"/>
              </w:rPr>
              <w:t> </w:t>
            </w:r>
            <w:r>
              <w:rPr>
                <w:rFonts w:ascii="Tahoma"/>
                <w:spacing w:val="-2"/>
                <w:w w:val="105"/>
                <w:sz w:val="8"/>
              </w:rPr>
              <w:t>reconocidos</w:t>
            </w:r>
          </w:p>
        </w:tc>
        <w:tc>
          <w:tcPr>
            <w:tcW w:w="861" w:type="dxa"/>
            <w:tcBorders>
              <w:top w:val="single" w:sz="6" w:space="0" w:color="000000"/>
              <w:right w:val="single" w:sz="6" w:space="0" w:color="000000"/>
            </w:tcBorders>
          </w:tcPr>
          <w:p>
            <w:pPr>
              <w:pStyle w:val="TableParagraph"/>
              <w:spacing w:line="77" w:lineRule="exact" w:before="25"/>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right w:val="single" w:sz="6" w:space="0" w:color="000000"/>
            </w:tcBorders>
          </w:tcPr>
          <w:p>
            <w:pPr>
              <w:pStyle w:val="TableParagraph"/>
              <w:spacing w:line="77" w:lineRule="exact" w:before="25"/>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7" w:lineRule="exact" w:before="25"/>
              <w:ind w:right="45"/>
              <w:jc w:val="right"/>
              <w:rPr>
                <w:rFonts w:ascii="Tahoma"/>
                <w:sz w:val="8"/>
              </w:rPr>
            </w:pPr>
            <w:r>
              <w:rPr>
                <w:rFonts w:ascii="Tahoma"/>
                <w:spacing w:val="-2"/>
                <w:w w:val="105"/>
                <w:sz w:val="8"/>
              </w:rPr>
              <w:t>2.087.752,21</w:t>
            </w:r>
          </w:p>
        </w:tc>
        <w:tc>
          <w:tcPr>
            <w:tcW w:w="861" w:type="dxa"/>
            <w:tcBorders>
              <w:top w:val="single" w:sz="6" w:space="0" w:color="000000"/>
              <w:left w:val="single" w:sz="6" w:space="0" w:color="000000"/>
              <w:right w:val="single" w:sz="6" w:space="0" w:color="000000"/>
            </w:tcBorders>
          </w:tcPr>
          <w:p>
            <w:pPr>
              <w:pStyle w:val="TableParagraph"/>
              <w:spacing w:line="77" w:lineRule="exact" w:before="25"/>
              <w:ind w:right="46"/>
              <w:jc w:val="right"/>
              <w:rPr>
                <w:rFonts w:ascii="Tahoma"/>
                <w:sz w:val="8"/>
              </w:rPr>
            </w:pPr>
            <w:r>
              <w:rPr>
                <w:rFonts w:ascii="Tahoma"/>
                <w:spacing w:val="-2"/>
                <w:w w:val="105"/>
                <w:sz w:val="8"/>
              </w:rPr>
              <w:t>1.807.308,28</w:t>
            </w:r>
          </w:p>
        </w:tc>
        <w:tc>
          <w:tcPr>
            <w:tcW w:w="858" w:type="dxa"/>
            <w:tcBorders>
              <w:top w:val="single" w:sz="6" w:space="0" w:color="000000"/>
              <w:left w:val="single" w:sz="6" w:space="0" w:color="000000"/>
              <w:right w:val="single" w:sz="6" w:space="0" w:color="000000"/>
            </w:tcBorders>
          </w:tcPr>
          <w:p>
            <w:pPr>
              <w:pStyle w:val="TableParagraph"/>
              <w:spacing w:line="77" w:lineRule="exact" w:before="25"/>
              <w:ind w:right="48"/>
              <w:jc w:val="right"/>
              <w:rPr>
                <w:rFonts w:ascii="Tahoma"/>
                <w:sz w:val="8"/>
              </w:rPr>
            </w:pPr>
            <w:r>
              <w:rPr>
                <w:rFonts w:ascii="Tahoma"/>
                <w:spacing w:val="-2"/>
                <w:w w:val="105"/>
                <w:sz w:val="8"/>
              </w:rPr>
              <w:t>3.895.060,49</w:t>
            </w:r>
          </w:p>
        </w:tc>
      </w:tr>
      <w:tr>
        <w:trPr>
          <w:trHeight w:val="123" w:hRule="atLeast"/>
        </w:trPr>
        <w:tc>
          <w:tcPr>
            <w:tcW w:w="2471" w:type="dxa"/>
            <w:tcBorders>
              <w:bottom w:val="single" w:sz="6" w:space="0" w:color="000000"/>
            </w:tcBorders>
          </w:tcPr>
          <w:p>
            <w:pPr>
              <w:pStyle w:val="TableParagraph"/>
              <w:spacing w:line="77" w:lineRule="exact" w:before="27"/>
              <w:ind w:left="28"/>
              <w:rPr>
                <w:rFonts w:ascii="Tahoma"/>
                <w:sz w:val="8"/>
              </w:rPr>
            </w:pPr>
            <w:r>
              <w:rPr>
                <w:rFonts w:ascii="Tahoma"/>
                <w:w w:val="105"/>
                <w:sz w:val="8"/>
              </w:rPr>
              <w:t>Operaciones</w:t>
            </w:r>
            <w:r>
              <w:rPr>
                <w:rFonts w:ascii="Tahoma"/>
                <w:spacing w:val="6"/>
                <w:w w:val="105"/>
                <w:sz w:val="8"/>
              </w:rPr>
              <w:t> </w:t>
            </w:r>
            <w:r>
              <w:rPr>
                <w:rFonts w:ascii="Tahoma"/>
                <w:w w:val="105"/>
                <w:sz w:val="8"/>
              </w:rPr>
              <w:t>con</w:t>
            </w:r>
            <w:r>
              <w:rPr>
                <w:rFonts w:ascii="Tahoma"/>
                <w:spacing w:val="13"/>
                <w:w w:val="105"/>
                <w:sz w:val="8"/>
              </w:rPr>
              <w:t> </w:t>
            </w:r>
            <w:r>
              <w:rPr>
                <w:rFonts w:ascii="Tahoma"/>
                <w:w w:val="105"/>
                <w:sz w:val="8"/>
              </w:rPr>
              <w:t>socios</w:t>
            </w:r>
            <w:r>
              <w:rPr>
                <w:rFonts w:ascii="Tahoma"/>
                <w:spacing w:val="7"/>
                <w:w w:val="105"/>
                <w:sz w:val="8"/>
              </w:rPr>
              <w:t> </w:t>
            </w:r>
            <w:r>
              <w:rPr>
                <w:rFonts w:ascii="Tahoma"/>
                <w:w w:val="105"/>
                <w:sz w:val="8"/>
              </w:rPr>
              <w:t>o</w:t>
            </w:r>
            <w:r>
              <w:rPr>
                <w:rFonts w:ascii="Tahoma"/>
                <w:spacing w:val="14"/>
                <w:w w:val="105"/>
                <w:sz w:val="8"/>
              </w:rPr>
              <w:t> </w:t>
            </w:r>
            <w:r>
              <w:rPr>
                <w:rFonts w:ascii="Tahoma"/>
                <w:spacing w:val="-2"/>
                <w:w w:val="105"/>
                <w:sz w:val="8"/>
              </w:rPr>
              <w:t>propietarios</w:t>
            </w:r>
          </w:p>
        </w:tc>
        <w:tc>
          <w:tcPr>
            <w:tcW w:w="861" w:type="dxa"/>
            <w:tcBorders>
              <w:bottom w:val="single" w:sz="6" w:space="0" w:color="000000"/>
              <w:right w:val="single" w:sz="6" w:space="0" w:color="000000"/>
            </w:tcBorders>
          </w:tcPr>
          <w:p>
            <w:pPr>
              <w:pStyle w:val="TableParagraph"/>
              <w:spacing w:line="77" w:lineRule="exact" w:before="27"/>
              <w:ind w:right="33"/>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36"/>
              <w:jc w:val="right"/>
              <w:rPr>
                <w:rFonts w:ascii="Tahoma"/>
                <w:sz w:val="8"/>
              </w:rPr>
            </w:pPr>
            <w:r>
              <w:rPr>
                <w:rFonts w:ascii="Tahoma"/>
                <w:spacing w:val="-4"/>
                <w:w w:val="105"/>
                <w:sz w:val="8"/>
              </w:rPr>
              <w:t>0,00</w:t>
            </w:r>
          </w:p>
        </w:tc>
        <w:tc>
          <w:tcPr>
            <w:tcW w:w="861" w:type="dxa"/>
            <w:tcBorders>
              <w:left w:val="single" w:sz="6" w:space="0" w:color="000000"/>
              <w:bottom w:val="single" w:sz="6" w:space="0" w:color="000000"/>
              <w:right w:val="single" w:sz="6" w:space="0" w:color="000000"/>
            </w:tcBorders>
          </w:tcPr>
          <w:p>
            <w:pPr>
              <w:pStyle w:val="TableParagraph"/>
              <w:spacing w:line="77" w:lineRule="exact" w:before="27"/>
              <w:ind w:right="38"/>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42"/>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77" w:lineRule="exact" w:before="27"/>
              <w:ind w:right="45"/>
              <w:jc w:val="right"/>
              <w:rPr>
                <w:rFonts w:ascii="Tahoma"/>
                <w:sz w:val="8"/>
              </w:rPr>
            </w:pPr>
            <w:r>
              <w:rPr>
                <w:rFonts w:ascii="Tahoma"/>
                <w:spacing w:val="-4"/>
                <w:w w:val="105"/>
                <w:sz w:val="8"/>
              </w:rPr>
              <w:t>0,00</w:t>
            </w:r>
          </w:p>
        </w:tc>
        <w:tc>
          <w:tcPr>
            <w:tcW w:w="861" w:type="dxa"/>
            <w:tcBorders>
              <w:left w:val="single" w:sz="6" w:space="0" w:color="000000"/>
              <w:bottom w:val="single" w:sz="6" w:space="0" w:color="000000"/>
              <w:right w:val="single" w:sz="6" w:space="0" w:color="000000"/>
            </w:tcBorders>
          </w:tcPr>
          <w:p>
            <w:pPr>
              <w:pStyle w:val="TableParagraph"/>
              <w:spacing w:line="77" w:lineRule="exact" w:before="27"/>
              <w:ind w:right="46"/>
              <w:jc w:val="right"/>
              <w:rPr>
                <w:rFonts w:ascii="Tahoma"/>
                <w:sz w:val="8"/>
              </w:rPr>
            </w:pPr>
            <w:r>
              <w:rPr>
                <w:rFonts w:ascii="Tahoma"/>
                <w:spacing w:val="-4"/>
                <w:w w:val="105"/>
                <w:sz w:val="8"/>
              </w:rPr>
              <w:t>0,00</w:t>
            </w:r>
          </w:p>
        </w:tc>
        <w:tc>
          <w:tcPr>
            <w:tcW w:w="858" w:type="dxa"/>
            <w:tcBorders>
              <w:left w:val="single" w:sz="6" w:space="0" w:color="000000"/>
              <w:bottom w:val="single" w:sz="6" w:space="0" w:color="000000"/>
              <w:right w:val="single" w:sz="6" w:space="0" w:color="000000"/>
            </w:tcBorders>
          </w:tcPr>
          <w:p>
            <w:pPr>
              <w:pStyle w:val="TableParagraph"/>
              <w:spacing w:line="77" w:lineRule="exact" w:before="27"/>
              <w:ind w:right="48"/>
              <w:jc w:val="right"/>
              <w:rPr>
                <w:rFonts w:ascii="Tahoma"/>
                <w:sz w:val="8"/>
              </w:rPr>
            </w:pPr>
            <w:r>
              <w:rPr>
                <w:rFonts w:ascii="Tahoma"/>
                <w:spacing w:val="-4"/>
                <w:w w:val="105"/>
                <w:sz w:val="8"/>
              </w:rPr>
              <w:t>0,00</w:t>
            </w:r>
          </w:p>
        </w:tc>
      </w:tr>
      <w:tr>
        <w:trPr>
          <w:trHeight w:val="121" w:hRule="atLeast"/>
        </w:trPr>
        <w:tc>
          <w:tcPr>
            <w:tcW w:w="2471" w:type="dxa"/>
            <w:tcBorders>
              <w:top w:val="single" w:sz="6" w:space="0" w:color="000000"/>
              <w:bottom w:val="single" w:sz="6" w:space="0" w:color="000000"/>
            </w:tcBorders>
          </w:tcPr>
          <w:p>
            <w:pPr>
              <w:pStyle w:val="TableParagraph"/>
              <w:spacing w:line="77" w:lineRule="exact" w:before="24"/>
              <w:ind w:left="28"/>
              <w:rPr>
                <w:rFonts w:ascii="Tahoma"/>
                <w:sz w:val="8"/>
              </w:rPr>
            </w:pPr>
            <w:r>
              <w:rPr>
                <w:rFonts w:ascii="Tahoma"/>
                <w:w w:val="105"/>
                <w:sz w:val="8"/>
              </w:rPr>
              <w:t>Otras</w:t>
            </w:r>
            <w:r>
              <w:rPr>
                <w:rFonts w:ascii="Tahoma"/>
                <w:spacing w:val="7"/>
                <w:w w:val="105"/>
                <w:sz w:val="8"/>
              </w:rPr>
              <w:t> </w:t>
            </w:r>
            <w:r>
              <w:rPr>
                <w:rFonts w:ascii="Tahoma"/>
                <w:w w:val="105"/>
                <w:sz w:val="8"/>
              </w:rPr>
              <w:t>operaciones</w:t>
            </w:r>
            <w:r>
              <w:rPr>
                <w:rFonts w:ascii="Tahoma"/>
                <w:spacing w:val="7"/>
                <w:w w:val="105"/>
                <w:sz w:val="8"/>
              </w:rPr>
              <w:t> </w:t>
            </w:r>
            <w:r>
              <w:rPr>
                <w:rFonts w:ascii="Tahoma"/>
                <w:w w:val="105"/>
                <w:sz w:val="8"/>
              </w:rPr>
              <w:t>con</w:t>
            </w:r>
            <w:r>
              <w:rPr>
                <w:rFonts w:ascii="Tahoma"/>
                <w:spacing w:val="14"/>
                <w:w w:val="105"/>
                <w:sz w:val="8"/>
              </w:rPr>
              <w:t> </w:t>
            </w:r>
            <w:r>
              <w:rPr>
                <w:rFonts w:ascii="Tahoma"/>
                <w:w w:val="105"/>
                <w:sz w:val="8"/>
              </w:rPr>
              <w:t>socios</w:t>
            </w:r>
            <w:r>
              <w:rPr>
                <w:rFonts w:ascii="Tahoma"/>
                <w:spacing w:val="7"/>
                <w:w w:val="105"/>
                <w:sz w:val="8"/>
              </w:rPr>
              <w:t> </w:t>
            </w:r>
            <w:r>
              <w:rPr>
                <w:rFonts w:ascii="Tahoma"/>
                <w:w w:val="105"/>
                <w:sz w:val="8"/>
              </w:rPr>
              <w:t>o</w:t>
            </w:r>
            <w:r>
              <w:rPr>
                <w:rFonts w:ascii="Tahoma"/>
                <w:spacing w:val="15"/>
                <w:w w:val="105"/>
                <w:sz w:val="8"/>
              </w:rPr>
              <w:t> </w:t>
            </w:r>
            <w:r>
              <w:rPr>
                <w:rFonts w:ascii="Tahoma"/>
                <w:spacing w:val="-2"/>
                <w:w w:val="105"/>
                <w:sz w:val="8"/>
              </w:rPr>
              <w:t>propietarios</w:t>
            </w:r>
          </w:p>
        </w:tc>
        <w:tc>
          <w:tcPr>
            <w:tcW w:w="861" w:type="dxa"/>
            <w:tcBorders>
              <w:top w:val="single" w:sz="6" w:space="0" w:color="000000"/>
              <w:bottom w:val="single" w:sz="6" w:space="0" w:color="000000"/>
              <w:right w:val="single" w:sz="6" w:space="0" w:color="000000"/>
            </w:tcBorders>
          </w:tcPr>
          <w:p>
            <w:pPr>
              <w:pStyle w:val="TableParagraph"/>
              <w:spacing w:line="77" w:lineRule="exact" w:before="24"/>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5"/>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8"/>
              <w:jc w:val="right"/>
              <w:rPr>
                <w:rFonts w:ascii="Tahoma"/>
                <w:sz w:val="8"/>
              </w:rPr>
            </w:pPr>
            <w:r>
              <w:rPr>
                <w:rFonts w:ascii="Tahoma"/>
                <w:spacing w:val="-4"/>
                <w:w w:val="105"/>
                <w:sz w:val="8"/>
              </w:rPr>
              <w:t>0,00</w:t>
            </w:r>
          </w:p>
        </w:tc>
      </w:tr>
      <w:tr>
        <w:trPr>
          <w:trHeight w:val="121" w:hRule="atLeast"/>
        </w:trPr>
        <w:tc>
          <w:tcPr>
            <w:tcW w:w="2471" w:type="dxa"/>
            <w:tcBorders>
              <w:top w:val="single" w:sz="6" w:space="0" w:color="000000"/>
              <w:bottom w:val="single" w:sz="6" w:space="0" w:color="000000"/>
            </w:tcBorders>
          </w:tcPr>
          <w:p>
            <w:pPr>
              <w:pStyle w:val="TableParagraph"/>
              <w:spacing w:line="77" w:lineRule="exact" w:before="25"/>
              <w:ind w:left="28"/>
              <w:rPr>
                <w:rFonts w:ascii="Tahoma"/>
                <w:sz w:val="8"/>
              </w:rPr>
            </w:pPr>
            <w:r>
              <w:rPr>
                <w:rFonts w:ascii="Tahoma"/>
                <w:w w:val="105"/>
                <w:sz w:val="8"/>
              </w:rPr>
              <w:t>Otras</w:t>
            </w:r>
            <w:r>
              <w:rPr>
                <w:rFonts w:ascii="Tahoma"/>
                <w:spacing w:val="4"/>
                <w:w w:val="105"/>
                <w:sz w:val="8"/>
              </w:rPr>
              <w:t> </w:t>
            </w:r>
            <w:r>
              <w:rPr>
                <w:rFonts w:ascii="Tahoma"/>
                <w:w w:val="105"/>
                <w:sz w:val="8"/>
              </w:rPr>
              <w:t>variaciones</w:t>
            </w:r>
            <w:r>
              <w:rPr>
                <w:rFonts w:ascii="Tahoma"/>
                <w:spacing w:val="4"/>
                <w:w w:val="105"/>
                <w:sz w:val="8"/>
              </w:rPr>
              <w:t> </w:t>
            </w:r>
            <w:r>
              <w:rPr>
                <w:rFonts w:ascii="Tahoma"/>
                <w:w w:val="105"/>
                <w:sz w:val="8"/>
              </w:rPr>
              <w:t>del</w:t>
            </w:r>
            <w:r>
              <w:rPr>
                <w:rFonts w:ascii="Tahoma"/>
                <w:spacing w:val="-3"/>
                <w:w w:val="105"/>
                <w:sz w:val="8"/>
              </w:rPr>
              <w:t> </w:t>
            </w:r>
            <w:r>
              <w:rPr>
                <w:rFonts w:ascii="Tahoma"/>
                <w:w w:val="105"/>
                <w:sz w:val="8"/>
              </w:rPr>
              <w:t>patrimonio</w:t>
            </w:r>
            <w:r>
              <w:rPr>
                <w:rFonts w:ascii="Tahoma"/>
                <w:spacing w:val="12"/>
                <w:w w:val="105"/>
                <w:sz w:val="8"/>
              </w:rPr>
              <w:t> </w:t>
            </w:r>
            <w:r>
              <w:rPr>
                <w:rFonts w:ascii="Tahoma"/>
                <w:spacing w:val="-4"/>
                <w:w w:val="105"/>
                <w:sz w:val="8"/>
              </w:rPr>
              <w:t>neto</w:t>
            </w:r>
          </w:p>
        </w:tc>
        <w:tc>
          <w:tcPr>
            <w:tcW w:w="861" w:type="dxa"/>
            <w:tcBorders>
              <w:top w:val="single" w:sz="6" w:space="0" w:color="000000"/>
              <w:bottom w:val="single" w:sz="6" w:space="0" w:color="000000"/>
              <w:right w:val="single" w:sz="6" w:space="0" w:color="000000"/>
            </w:tcBorders>
          </w:tcPr>
          <w:p>
            <w:pPr>
              <w:pStyle w:val="TableParagraph"/>
              <w:spacing w:line="77" w:lineRule="exact" w:before="25"/>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36"/>
              <w:jc w:val="right"/>
              <w:rPr>
                <w:rFonts w:ascii="Tahoma"/>
                <w:sz w:val="8"/>
              </w:rPr>
            </w:pPr>
            <w:r>
              <w:rPr>
                <w:rFonts w:ascii="Tahoma"/>
                <w:spacing w:val="-2"/>
                <w:w w:val="105"/>
                <w:sz w:val="8"/>
              </w:rPr>
              <w:t>2.254.785,24</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16"/>
              <w:jc w:val="right"/>
              <w:rPr>
                <w:rFonts w:ascii="Tahoma"/>
                <w:sz w:val="8"/>
              </w:rPr>
            </w:pPr>
            <w:r>
              <w:rPr>
                <w:rFonts w:ascii="Tahoma"/>
                <w:spacing w:val="-2"/>
                <w:w w:val="105"/>
                <w:sz w:val="8"/>
              </w:rPr>
              <w:t>(2.254.785,24)</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5"/>
              <w:ind w:right="19"/>
              <w:jc w:val="right"/>
              <w:rPr>
                <w:rFonts w:ascii="Tahoma"/>
                <w:sz w:val="8"/>
              </w:rPr>
            </w:pPr>
            <w:r>
              <w:rPr>
                <w:rFonts w:ascii="Tahoma"/>
                <w:spacing w:val="-2"/>
                <w:w w:val="105"/>
                <w:sz w:val="8"/>
              </w:rPr>
              <w:t>(0,00)</w:t>
            </w:r>
          </w:p>
        </w:tc>
      </w:tr>
      <w:tr>
        <w:trPr>
          <w:trHeight w:val="120" w:hRule="atLeast"/>
        </w:trPr>
        <w:tc>
          <w:tcPr>
            <w:tcW w:w="2471" w:type="dxa"/>
            <w:tcBorders>
              <w:top w:val="single" w:sz="6" w:space="0" w:color="000000"/>
              <w:bottom w:val="single" w:sz="6" w:space="0" w:color="000000"/>
            </w:tcBorders>
          </w:tcPr>
          <w:p>
            <w:pPr>
              <w:pStyle w:val="TableParagraph"/>
              <w:spacing w:line="75" w:lineRule="exact" w:before="25"/>
              <w:ind w:left="28"/>
              <w:rPr>
                <w:rFonts w:ascii="Tahoma" w:hAnsi="Tahoma"/>
                <w:sz w:val="8"/>
              </w:rPr>
            </w:pPr>
            <w:r>
              <w:rPr>
                <w:rFonts w:ascii="Tahoma" w:hAnsi="Tahoma"/>
                <w:w w:val="105"/>
                <w:sz w:val="8"/>
              </w:rPr>
              <w:t>SALDO</w:t>
            </w:r>
            <w:r>
              <w:rPr>
                <w:rFonts w:ascii="Tahoma" w:hAnsi="Tahoma"/>
                <w:spacing w:val="10"/>
                <w:w w:val="105"/>
                <w:sz w:val="8"/>
              </w:rPr>
              <w:t> </w:t>
            </w:r>
            <w:r>
              <w:rPr>
                <w:rFonts w:ascii="Tahoma" w:hAnsi="Tahoma"/>
                <w:w w:val="105"/>
                <w:sz w:val="8"/>
              </w:rPr>
              <w:t>FINAL</w:t>
            </w:r>
            <w:r>
              <w:rPr>
                <w:rFonts w:ascii="Tahoma" w:hAnsi="Tahoma"/>
                <w:spacing w:val="8"/>
                <w:w w:val="105"/>
                <w:sz w:val="8"/>
              </w:rPr>
              <w:t> </w:t>
            </w:r>
            <w:r>
              <w:rPr>
                <w:rFonts w:ascii="Tahoma" w:hAnsi="Tahoma"/>
                <w:w w:val="105"/>
                <w:sz w:val="8"/>
              </w:rPr>
              <w:t>DEL</w:t>
            </w:r>
            <w:r>
              <w:rPr>
                <w:rFonts w:ascii="Tahoma" w:hAnsi="Tahoma"/>
                <w:spacing w:val="9"/>
                <w:w w:val="105"/>
                <w:sz w:val="8"/>
              </w:rPr>
              <w:t> </w:t>
            </w:r>
            <w:r>
              <w:rPr>
                <w:rFonts w:ascii="Tahoma" w:hAnsi="Tahoma"/>
                <w:w w:val="105"/>
                <w:sz w:val="8"/>
              </w:rPr>
              <w:t>AÑO</w:t>
            </w:r>
            <w:r>
              <w:rPr>
                <w:rFonts w:ascii="Tahoma" w:hAnsi="Tahoma"/>
                <w:spacing w:val="12"/>
                <w:w w:val="105"/>
                <w:sz w:val="8"/>
              </w:rPr>
              <w:t> </w:t>
            </w:r>
            <w:r>
              <w:rPr>
                <w:rFonts w:ascii="Tahoma" w:hAnsi="Tahoma"/>
                <w:spacing w:val="-4"/>
                <w:w w:val="105"/>
                <w:sz w:val="8"/>
              </w:rPr>
              <w:t>2024</w:t>
            </w:r>
          </w:p>
        </w:tc>
        <w:tc>
          <w:tcPr>
            <w:tcW w:w="861" w:type="dxa"/>
            <w:tcBorders>
              <w:top w:val="single" w:sz="6" w:space="0" w:color="000000"/>
              <w:bottom w:val="single" w:sz="6" w:space="0" w:color="000000"/>
              <w:right w:val="single" w:sz="6" w:space="0" w:color="000000"/>
            </w:tcBorders>
          </w:tcPr>
          <w:p>
            <w:pPr>
              <w:pStyle w:val="TableParagraph"/>
              <w:spacing w:line="75" w:lineRule="exact" w:before="25"/>
              <w:ind w:right="33"/>
              <w:jc w:val="right"/>
              <w:rPr>
                <w:rFonts w:ascii="Tahoma"/>
                <w:sz w:val="8"/>
              </w:rPr>
            </w:pPr>
            <w:r>
              <w:rPr>
                <w:rFonts w:ascii="Tahoma"/>
                <w:spacing w:val="-2"/>
                <w:w w:val="105"/>
                <w:sz w:val="8"/>
              </w:rPr>
              <w:t>15.608.538,40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36"/>
              <w:jc w:val="right"/>
              <w:rPr>
                <w:rFonts w:ascii="Tahoma"/>
                <w:sz w:val="8"/>
              </w:rPr>
            </w:pPr>
            <w:r>
              <w:rPr>
                <w:rFonts w:ascii="Tahoma"/>
                <w:spacing w:val="-2"/>
                <w:w w:val="105"/>
                <w:sz w:val="8"/>
              </w:rPr>
              <w:t>12.162.355,22</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45"/>
              <w:jc w:val="right"/>
              <w:rPr>
                <w:rFonts w:ascii="Tahoma"/>
                <w:sz w:val="8"/>
              </w:rPr>
            </w:pPr>
            <w:r>
              <w:rPr>
                <w:rFonts w:ascii="Tahoma"/>
                <w:spacing w:val="-2"/>
                <w:w w:val="105"/>
                <w:sz w:val="8"/>
              </w:rPr>
              <w:t>2.087.752,21</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46"/>
              <w:jc w:val="right"/>
              <w:rPr>
                <w:rFonts w:ascii="Tahoma"/>
                <w:sz w:val="8"/>
              </w:rPr>
            </w:pPr>
            <w:r>
              <w:rPr>
                <w:rFonts w:ascii="Tahoma"/>
                <w:spacing w:val="-2"/>
                <w:w w:val="105"/>
                <w:sz w:val="8"/>
              </w:rPr>
              <w:t>19.849.195,97</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5" w:lineRule="exact" w:before="25"/>
              <w:ind w:right="48"/>
              <w:jc w:val="right"/>
              <w:rPr>
                <w:rFonts w:ascii="Tahoma"/>
                <w:sz w:val="8"/>
              </w:rPr>
            </w:pPr>
            <w:r>
              <w:rPr>
                <w:rFonts w:ascii="Tahoma"/>
                <w:spacing w:val="-2"/>
                <w:w w:val="105"/>
                <w:sz w:val="8"/>
              </w:rPr>
              <w:t>49.707.841,80</w:t>
            </w:r>
          </w:p>
        </w:tc>
      </w:tr>
      <w:tr>
        <w:trPr>
          <w:trHeight w:val="121" w:hRule="atLeast"/>
        </w:trPr>
        <w:tc>
          <w:tcPr>
            <w:tcW w:w="2471" w:type="dxa"/>
            <w:tcBorders>
              <w:top w:val="single" w:sz="6" w:space="0" w:color="000000"/>
              <w:bottom w:val="single" w:sz="6" w:space="0" w:color="000000"/>
            </w:tcBorders>
          </w:tcPr>
          <w:p>
            <w:pPr>
              <w:pStyle w:val="TableParagraph"/>
              <w:spacing w:line="77" w:lineRule="exact" w:before="24"/>
              <w:ind w:left="28"/>
              <w:rPr>
                <w:rFonts w:ascii="Tahoma"/>
                <w:sz w:val="8"/>
              </w:rPr>
            </w:pPr>
            <w:r>
              <w:rPr>
                <w:rFonts w:ascii="Tahoma"/>
                <w:w w:val="105"/>
                <w:sz w:val="8"/>
              </w:rPr>
              <w:t>Ajuste</w:t>
            </w:r>
            <w:r>
              <w:rPr>
                <w:rFonts w:ascii="Tahoma"/>
                <w:spacing w:val="14"/>
                <w:w w:val="105"/>
                <w:sz w:val="8"/>
              </w:rPr>
              <w:t> </w:t>
            </w:r>
            <w:r>
              <w:rPr>
                <w:rFonts w:ascii="Tahoma"/>
                <w:w w:val="105"/>
                <w:sz w:val="8"/>
              </w:rPr>
              <w:t>por</w:t>
            </w:r>
            <w:r>
              <w:rPr>
                <w:rFonts w:ascii="Tahoma"/>
                <w:spacing w:val="8"/>
                <w:w w:val="105"/>
                <w:sz w:val="8"/>
              </w:rPr>
              <w:t> </w:t>
            </w:r>
            <w:r>
              <w:rPr>
                <w:rFonts w:ascii="Tahoma"/>
                <w:w w:val="105"/>
                <w:sz w:val="8"/>
              </w:rPr>
              <w:t>errores</w:t>
            </w:r>
            <w:r>
              <w:rPr>
                <w:rFonts w:ascii="Tahoma"/>
                <w:spacing w:val="7"/>
                <w:w w:val="105"/>
                <w:sz w:val="8"/>
              </w:rPr>
              <w:t> </w:t>
            </w:r>
            <w:r>
              <w:rPr>
                <w:rFonts w:ascii="Tahoma"/>
                <w:w w:val="105"/>
                <w:sz w:val="8"/>
              </w:rPr>
              <w:t>del</w:t>
            </w:r>
            <w:r>
              <w:rPr>
                <w:rFonts w:ascii="Tahoma"/>
                <w:spacing w:val="4"/>
                <w:w w:val="105"/>
                <w:sz w:val="8"/>
              </w:rPr>
              <w:t> </w:t>
            </w:r>
            <w:r>
              <w:rPr>
                <w:rFonts w:ascii="Tahoma"/>
                <w:w w:val="105"/>
                <w:sz w:val="8"/>
              </w:rPr>
              <w:t>ejercicio</w:t>
            </w:r>
            <w:r>
              <w:rPr>
                <w:rFonts w:ascii="Tahoma"/>
                <w:spacing w:val="16"/>
                <w:w w:val="105"/>
                <w:sz w:val="8"/>
              </w:rPr>
              <w:t> </w:t>
            </w:r>
            <w:r>
              <w:rPr>
                <w:rFonts w:ascii="Tahoma"/>
                <w:spacing w:val="-4"/>
                <w:w w:val="105"/>
                <w:sz w:val="8"/>
              </w:rPr>
              <w:t>2024</w:t>
            </w:r>
          </w:p>
        </w:tc>
        <w:tc>
          <w:tcPr>
            <w:tcW w:w="861" w:type="dxa"/>
            <w:tcBorders>
              <w:top w:val="single" w:sz="6" w:space="0" w:color="000000"/>
              <w:bottom w:val="single" w:sz="6" w:space="0" w:color="000000"/>
              <w:right w:val="single" w:sz="6" w:space="0" w:color="000000"/>
            </w:tcBorders>
          </w:tcPr>
          <w:p>
            <w:pPr>
              <w:pStyle w:val="TableParagraph"/>
              <w:spacing w:line="77" w:lineRule="exact" w:before="24"/>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5"/>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8"/>
              <w:jc w:val="right"/>
              <w:rPr>
                <w:rFonts w:ascii="Tahoma"/>
                <w:sz w:val="8"/>
              </w:rPr>
            </w:pPr>
            <w:r>
              <w:rPr>
                <w:rFonts w:ascii="Tahoma"/>
                <w:spacing w:val="-4"/>
                <w:w w:val="105"/>
                <w:sz w:val="8"/>
              </w:rPr>
              <w:t>0,00</w:t>
            </w:r>
          </w:p>
        </w:tc>
      </w:tr>
      <w:tr>
        <w:trPr>
          <w:trHeight w:val="121" w:hRule="atLeast"/>
        </w:trPr>
        <w:tc>
          <w:tcPr>
            <w:tcW w:w="2471" w:type="dxa"/>
            <w:tcBorders>
              <w:top w:val="single" w:sz="6" w:space="0" w:color="000000"/>
              <w:bottom w:val="single" w:sz="6" w:space="0" w:color="000000"/>
            </w:tcBorders>
          </w:tcPr>
          <w:p>
            <w:pPr>
              <w:pStyle w:val="TableParagraph"/>
              <w:spacing w:line="77" w:lineRule="exact" w:before="24"/>
              <w:ind w:left="28"/>
              <w:rPr>
                <w:rFonts w:ascii="Tahoma" w:hAnsi="Tahoma"/>
                <w:sz w:val="8"/>
              </w:rPr>
            </w:pPr>
            <w:r>
              <w:rPr>
                <w:rFonts w:ascii="Tahoma" w:hAnsi="Tahoma"/>
                <w:w w:val="105"/>
                <w:sz w:val="8"/>
              </w:rPr>
              <w:t>SALDO</w:t>
            </w:r>
            <w:r>
              <w:rPr>
                <w:rFonts w:ascii="Tahoma" w:hAnsi="Tahoma"/>
                <w:spacing w:val="12"/>
                <w:w w:val="105"/>
                <w:sz w:val="8"/>
              </w:rPr>
              <w:t> </w:t>
            </w:r>
            <w:r>
              <w:rPr>
                <w:rFonts w:ascii="Tahoma" w:hAnsi="Tahoma"/>
                <w:w w:val="105"/>
                <w:sz w:val="8"/>
              </w:rPr>
              <w:t>AJUSTADO,</w:t>
            </w:r>
            <w:r>
              <w:rPr>
                <w:rFonts w:ascii="Tahoma" w:hAnsi="Tahoma"/>
                <w:spacing w:val="11"/>
                <w:w w:val="105"/>
                <w:sz w:val="8"/>
              </w:rPr>
              <w:t> </w:t>
            </w:r>
            <w:r>
              <w:rPr>
                <w:rFonts w:ascii="Tahoma" w:hAnsi="Tahoma"/>
                <w:w w:val="105"/>
                <w:sz w:val="8"/>
              </w:rPr>
              <w:t>INICIO</w:t>
            </w:r>
            <w:r>
              <w:rPr>
                <w:rFonts w:ascii="Tahoma" w:hAnsi="Tahoma"/>
                <w:spacing w:val="15"/>
                <w:w w:val="105"/>
                <w:sz w:val="8"/>
              </w:rPr>
              <w:t> </w:t>
            </w:r>
            <w:r>
              <w:rPr>
                <w:rFonts w:ascii="Tahoma" w:hAnsi="Tahoma"/>
                <w:w w:val="105"/>
                <w:sz w:val="8"/>
              </w:rPr>
              <w:t>DEL</w:t>
            </w:r>
            <w:r>
              <w:rPr>
                <w:rFonts w:ascii="Tahoma" w:hAnsi="Tahoma"/>
                <w:spacing w:val="10"/>
                <w:w w:val="105"/>
                <w:sz w:val="8"/>
              </w:rPr>
              <w:t> </w:t>
            </w:r>
            <w:r>
              <w:rPr>
                <w:rFonts w:ascii="Tahoma" w:hAnsi="Tahoma"/>
                <w:w w:val="105"/>
                <w:sz w:val="8"/>
              </w:rPr>
              <w:t>AÑO</w:t>
            </w:r>
            <w:r>
              <w:rPr>
                <w:rFonts w:ascii="Tahoma" w:hAnsi="Tahoma"/>
                <w:spacing w:val="15"/>
                <w:w w:val="105"/>
                <w:sz w:val="8"/>
              </w:rPr>
              <w:t> </w:t>
            </w:r>
            <w:r>
              <w:rPr>
                <w:rFonts w:ascii="Tahoma" w:hAnsi="Tahoma"/>
                <w:spacing w:val="-4"/>
                <w:w w:val="105"/>
                <w:sz w:val="8"/>
              </w:rPr>
              <w:t>2025</w:t>
            </w:r>
          </w:p>
        </w:tc>
        <w:tc>
          <w:tcPr>
            <w:tcW w:w="861" w:type="dxa"/>
            <w:tcBorders>
              <w:top w:val="single" w:sz="6" w:space="0" w:color="000000"/>
              <w:bottom w:val="single" w:sz="6" w:space="0" w:color="000000"/>
              <w:right w:val="single" w:sz="6" w:space="0" w:color="000000"/>
            </w:tcBorders>
          </w:tcPr>
          <w:p>
            <w:pPr>
              <w:pStyle w:val="TableParagraph"/>
              <w:spacing w:line="77" w:lineRule="exact" w:before="24"/>
              <w:ind w:right="33"/>
              <w:jc w:val="right"/>
              <w:rPr>
                <w:rFonts w:ascii="Tahoma"/>
                <w:sz w:val="8"/>
              </w:rPr>
            </w:pPr>
            <w:r>
              <w:rPr>
                <w:rFonts w:ascii="Tahoma"/>
                <w:spacing w:val="-2"/>
                <w:w w:val="105"/>
                <w:sz w:val="8"/>
              </w:rPr>
              <w:t>15.608.538,40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6"/>
              <w:jc w:val="right"/>
              <w:rPr>
                <w:rFonts w:ascii="Tahoma"/>
                <w:sz w:val="8"/>
              </w:rPr>
            </w:pPr>
            <w:r>
              <w:rPr>
                <w:rFonts w:ascii="Tahoma"/>
                <w:spacing w:val="-2"/>
                <w:w w:val="105"/>
                <w:sz w:val="8"/>
              </w:rPr>
              <w:t>12.162.355,22</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5"/>
              <w:jc w:val="right"/>
              <w:rPr>
                <w:rFonts w:ascii="Tahoma"/>
                <w:sz w:val="8"/>
              </w:rPr>
            </w:pPr>
            <w:r>
              <w:rPr>
                <w:rFonts w:ascii="Tahoma"/>
                <w:spacing w:val="-2"/>
                <w:w w:val="105"/>
                <w:sz w:val="8"/>
              </w:rPr>
              <w:t>2.087.752,21</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6"/>
              <w:jc w:val="right"/>
              <w:rPr>
                <w:rFonts w:ascii="Tahoma"/>
                <w:sz w:val="8"/>
              </w:rPr>
            </w:pPr>
            <w:r>
              <w:rPr>
                <w:rFonts w:ascii="Tahoma"/>
                <w:spacing w:val="-2"/>
                <w:w w:val="105"/>
                <w:sz w:val="8"/>
              </w:rPr>
              <w:t>19.849.195,97</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8"/>
              <w:jc w:val="right"/>
              <w:rPr>
                <w:rFonts w:ascii="Tahoma"/>
                <w:sz w:val="8"/>
              </w:rPr>
            </w:pPr>
            <w:r>
              <w:rPr>
                <w:rFonts w:ascii="Tahoma"/>
                <w:spacing w:val="-2"/>
                <w:w w:val="105"/>
                <w:sz w:val="8"/>
              </w:rPr>
              <w:t>49.707.841,80</w:t>
            </w:r>
          </w:p>
        </w:tc>
      </w:tr>
      <w:tr>
        <w:trPr>
          <w:trHeight w:val="120" w:hRule="atLeast"/>
        </w:trPr>
        <w:tc>
          <w:tcPr>
            <w:tcW w:w="2471" w:type="dxa"/>
            <w:tcBorders>
              <w:top w:val="single" w:sz="6" w:space="0" w:color="000000"/>
              <w:bottom w:val="single" w:sz="6" w:space="0" w:color="000000"/>
            </w:tcBorders>
          </w:tcPr>
          <w:p>
            <w:pPr>
              <w:pStyle w:val="TableParagraph"/>
              <w:spacing w:line="76" w:lineRule="exact" w:before="24"/>
              <w:ind w:left="28"/>
              <w:rPr>
                <w:rFonts w:ascii="Tahoma"/>
                <w:sz w:val="8"/>
              </w:rPr>
            </w:pPr>
            <w:r>
              <w:rPr>
                <w:rFonts w:ascii="Tahoma"/>
                <w:w w:val="105"/>
                <w:sz w:val="8"/>
              </w:rPr>
              <w:t>Total</w:t>
            </w:r>
            <w:r>
              <w:rPr>
                <w:rFonts w:ascii="Tahoma"/>
                <w:spacing w:val="5"/>
                <w:w w:val="105"/>
                <w:sz w:val="8"/>
              </w:rPr>
              <w:t> </w:t>
            </w:r>
            <w:r>
              <w:rPr>
                <w:rFonts w:ascii="Tahoma"/>
                <w:w w:val="105"/>
                <w:sz w:val="8"/>
              </w:rPr>
              <w:t>ingresos</w:t>
            </w:r>
            <w:r>
              <w:rPr>
                <w:rFonts w:ascii="Tahoma"/>
                <w:spacing w:val="7"/>
                <w:w w:val="105"/>
                <w:sz w:val="8"/>
              </w:rPr>
              <w:t> </w:t>
            </w:r>
            <w:r>
              <w:rPr>
                <w:rFonts w:ascii="Tahoma"/>
                <w:w w:val="105"/>
                <w:sz w:val="8"/>
              </w:rPr>
              <w:t>y</w:t>
            </w:r>
            <w:r>
              <w:rPr>
                <w:rFonts w:ascii="Tahoma"/>
                <w:spacing w:val="12"/>
                <w:w w:val="105"/>
                <w:sz w:val="8"/>
              </w:rPr>
              <w:t> </w:t>
            </w:r>
            <w:r>
              <w:rPr>
                <w:rFonts w:ascii="Tahoma"/>
                <w:w w:val="105"/>
                <w:sz w:val="8"/>
              </w:rPr>
              <w:t>gastos</w:t>
            </w:r>
            <w:r>
              <w:rPr>
                <w:rFonts w:ascii="Tahoma"/>
                <w:spacing w:val="7"/>
                <w:w w:val="105"/>
                <w:sz w:val="8"/>
              </w:rPr>
              <w:t> </w:t>
            </w:r>
            <w:r>
              <w:rPr>
                <w:rFonts w:ascii="Tahoma"/>
                <w:spacing w:val="-2"/>
                <w:w w:val="105"/>
                <w:sz w:val="8"/>
              </w:rPr>
              <w:t>reconocidos</w:t>
            </w:r>
          </w:p>
        </w:tc>
        <w:tc>
          <w:tcPr>
            <w:tcW w:w="861" w:type="dxa"/>
            <w:tcBorders>
              <w:top w:val="single" w:sz="6" w:space="0" w:color="000000"/>
              <w:bottom w:val="single" w:sz="6" w:space="0" w:color="000000"/>
              <w:right w:val="single" w:sz="6" w:space="0" w:color="000000"/>
            </w:tcBorders>
          </w:tcPr>
          <w:p>
            <w:pPr>
              <w:pStyle w:val="TableParagraph"/>
              <w:spacing w:line="76" w:lineRule="exact" w:before="24"/>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shd w:val="clear" w:color="auto" w:fill="F1F1F1"/>
          </w:tcPr>
          <w:p>
            <w:pPr>
              <w:pStyle w:val="TableParagraph"/>
              <w:spacing w:line="76" w:lineRule="exact" w:before="24"/>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4"/>
              <w:ind w:right="45"/>
              <w:jc w:val="right"/>
              <w:rPr>
                <w:rFonts w:ascii="Tahoma"/>
                <w:sz w:val="8"/>
              </w:rPr>
            </w:pPr>
            <w:r>
              <w:rPr>
                <w:rFonts w:ascii="Tahoma"/>
                <w:spacing w:val="-2"/>
                <w:w w:val="105"/>
                <w:sz w:val="8"/>
              </w:rPr>
              <w:t>6.269.808,27</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4"/>
              <w:ind w:right="46"/>
              <w:jc w:val="right"/>
              <w:rPr>
                <w:rFonts w:ascii="Tahoma"/>
                <w:sz w:val="8"/>
              </w:rPr>
            </w:pPr>
            <w:r>
              <w:rPr>
                <w:rFonts w:ascii="Tahoma"/>
                <w:spacing w:val="-2"/>
                <w:w w:val="105"/>
                <w:sz w:val="8"/>
              </w:rPr>
              <w:t>2.767.781,65</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6" w:lineRule="exact" w:before="24"/>
              <w:ind w:right="48"/>
              <w:jc w:val="right"/>
              <w:rPr>
                <w:rFonts w:ascii="Tahoma"/>
                <w:sz w:val="8"/>
              </w:rPr>
            </w:pPr>
            <w:r>
              <w:rPr>
                <w:rFonts w:ascii="Tahoma"/>
                <w:spacing w:val="-2"/>
                <w:w w:val="105"/>
                <w:sz w:val="8"/>
              </w:rPr>
              <w:t>9.037.589,92</w:t>
            </w:r>
          </w:p>
        </w:tc>
      </w:tr>
      <w:tr>
        <w:trPr>
          <w:trHeight w:val="121" w:hRule="atLeast"/>
        </w:trPr>
        <w:tc>
          <w:tcPr>
            <w:tcW w:w="2471" w:type="dxa"/>
            <w:tcBorders>
              <w:top w:val="single" w:sz="6" w:space="0" w:color="000000"/>
              <w:bottom w:val="single" w:sz="6" w:space="0" w:color="000000"/>
            </w:tcBorders>
          </w:tcPr>
          <w:p>
            <w:pPr>
              <w:pStyle w:val="TableParagraph"/>
              <w:spacing w:line="78" w:lineRule="exact" w:before="23"/>
              <w:ind w:left="28"/>
              <w:rPr>
                <w:rFonts w:ascii="Tahoma"/>
                <w:sz w:val="8"/>
              </w:rPr>
            </w:pPr>
            <w:r>
              <w:rPr>
                <w:rFonts w:ascii="Tahoma"/>
                <w:w w:val="105"/>
                <w:sz w:val="8"/>
              </w:rPr>
              <w:t>Operaciones</w:t>
            </w:r>
            <w:r>
              <w:rPr>
                <w:rFonts w:ascii="Tahoma"/>
                <w:spacing w:val="6"/>
                <w:w w:val="105"/>
                <w:sz w:val="8"/>
              </w:rPr>
              <w:t> </w:t>
            </w:r>
            <w:r>
              <w:rPr>
                <w:rFonts w:ascii="Tahoma"/>
                <w:w w:val="105"/>
                <w:sz w:val="8"/>
              </w:rPr>
              <w:t>con</w:t>
            </w:r>
            <w:r>
              <w:rPr>
                <w:rFonts w:ascii="Tahoma"/>
                <w:spacing w:val="13"/>
                <w:w w:val="105"/>
                <w:sz w:val="8"/>
              </w:rPr>
              <w:t> </w:t>
            </w:r>
            <w:r>
              <w:rPr>
                <w:rFonts w:ascii="Tahoma"/>
                <w:w w:val="105"/>
                <w:sz w:val="8"/>
              </w:rPr>
              <w:t>socios</w:t>
            </w:r>
            <w:r>
              <w:rPr>
                <w:rFonts w:ascii="Tahoma"/>
                <w:spacing w:val="7"/>
                <w:w w:val="105"/>
                <w:sz w:val="8"/>
              </w:rPr>
              <w:t> </w:t>
            </w:r>
            <w:r>
              <w:rPr>
                <w:rFonts w:ascii="Tahoma"/>
                <w:w w:val="105"/>
                <w:sz w:val="8"/>
              </w:rPr>
              <w:t>o</w:t>
            </w:r>
            <w:r>
              <w:rPr>
                <w:rFonts w:ascii="Tahoma"/>
                <w:spacing w:val="14"/>
                <w:w w:val="105"/>
                <w:sz w:val="8"/>
              </w:rPr>
              <w:t> </w:t>
            </w:r>
            <w:r>
              <w:rPr>
                <w:rFonts w:ascii="Tahoma"/>
                <w:spacing w:val="-2"/>
                <w:w w:val="105"/>
                <w:sz w:val="8"/>
              </w:rPr>
              <w:t>propietarios</w:t>
            </w:r>
          </w:p>
        </w:tc>
        <w:tc>
          <w:tcPr>
            <w:tcW w:w="861" w:type="dxa"/>
            <w:tcBorders>
              <w:top w:val="single" w:sz="6" w:space="0" w:color="000000"/>
              <w:bottom w:val="single" w:sz="6" w:space="0" w:color="000000"/>
              <w:right w:val="single" w:sz="6" w:space="0" w:color="000000"/>
            </w:tcBorders>
          </w:tcPr>
          <w:p>
            <w:pPr>
              <w:pStyle w:val="TableParagraph"/>
              <w:spacing w:line="78" w:lineRule="exact" w:before="23"/>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45"/>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8" w:lineRule="exact" w:before="23"/>
              <w:ind w:right="48"/>
              <w:jc w:val="right"/>
              <w:rPr>
                <w:rFonts w:ascii="Tahoma"/>
                <w:sz w:val="8"/>
              </w:rPr>
            </w:pPr>
            <w:r>
              <w:rPr>
                <w:rFonts w:ascii="Tahoma"/>
                <w:spacing w:val="-4"/>
                <w:w w:val="105"/>
                <w:sz w:val="8"/>
              </w:rPr>
              <w:t>0,00</w:t>
            </w:r>
          </w:p>
        </w:tc>
      </w:tr>
      <w:tr>
        <w:trPr>
          <w:trHeight w:val="121" w:hRule="atLeast"/>
        </w:trPr>
        <w:tc>
          <w:tcPr>
            <w:tcW w:w="2471" w:type="dxa"/>
            <w:tcBorders>
              <w:top w:val="single" w:sz="6" w:space="0" w:color="000000"/>
              <w:bottom w:val="single" w:sz="6" w:space="0" w:color="000000"/>
            </w:tcBorders>
          </w:tcPr>
          <w:p>
            <w:pPr>
              <w:pStyle w:val="TableParagraph"/>
              <w:spacing w:line="77" w:lineRule="exact" w:before="24"/>
              <w:ind w:left="28"/>
              <w:rPr>
                <w:rFonts w:ascii="Tahoma"/>
                <w:sz w:val="8"/>
              </w:rPr>
            </w:pPr>
            <w:r>
              <w:rPr>
                <w:rFonts w:ascii="Tahoma"/>
                <w:w w:val="105"/>
                <w:sz w:val="8"/>
              </w:rPr>
              <w:t>Otras</w:t>
            </w:r>
            <w:r>
              <w:rPr>
                <w:rFonts w:ascii="Tahoma"/>
                <w:spacing w:val="7"/>
                <w:w w:val="105"/>
                <w:sz w:val="8"/>
              </w:rPr>
              <w:t> </w:t>
            </w:r>
            <w:r>
              <w:rPr>
                <w:rFonts w:ascii="Tahoma"/>
                <w:w w:val="105"/>
                <w:sz w:val="8"/>
              </w:rPr>
              <w:t>operaciones</w:t>
            </w:r>
            <w:r>
              <w:rPr>
                <w:rFonts w:ascii="Tahoma"/>
                <w:spacing w:val="7"/>
                <w:w w:val="105"/>
                <w:sz w:val="8"/>
              </w:rPr>
              <w:t> </w:t>
            </w:r>
            <w:r>
              <w:rPr>
                <w:rFonts w:ascii="Tahoma"/>
                <w:w w:val="105"/>
                <w:sz w:val="8"/>
              </w:rPr>
              <w:t>con</w:t>
            </w:r>
            <w:r>
              <w:rPr>
                <w:rFonts w:ascii="Tahoma"/>
                <w:spacing w:val="14"/>
                <w:w w:val="105"/>
                <w:sz w:val="8"/>
              </w:rPr>
              <w:t> </w:t>
            </w:r>
            <w:r>
              <w:rPr>
                <w:rFonts w:ascii="Tahoma"/>
                <w:w w:val="105"/>
                <w:sz w:val="8"/>
              </w:rPr>
              <w:t>socios</w:t>
            </w:r>
            <w:r>
              <w:rPr>
                <w:rFonts w:ascii="Tahoma"/>
                <w:spacing w:val="7"/>
                <w:w w:val="105"/>
                <w:sz w:val="8"/>
              </w:rPr>
              <w:t> </w:t>
            </w:r>
            <w:r>
              <w:rPr>
                <w:rFonts w:ascii="Tahoma"/>
                <w:w w:val="105"/>
                <w:sz w:val="8"/>
              </w:rPr>
              <w:t>o</w:t>
            </w:r>
            <w:r>
              <w:rPr>
                <w:rFonts w:ascii="Tahoma"/>
                <w:spacing w:val="15"/>
                <w:w w:val="105"/>
                <w:sz w:val="8"/>
              </w:rPr>
              <w:t> </w:t>
            </w:r>
            <w:r>
              <w:rPr>
                <w:rFonts w:ascii="Tahoma"/>
                <w:spacing w:val="-2"/>
                <w:w w:val="105"/>
                <w:sz w:val="8"/>
              </w:rPr>
              <w:t>propietarios</w:t>
            </w:r>
          </w:p>
        </w:tc>
        <w:tc>
          <w:tcPr>
            <w:tcW w:w="861" w:type="dxa"/>
            <w:tcBorders>
              <w:top w:val="single" w:sz="6" w:space="0" w:color="000000"/>
              <w:bottom w:val="single" w:sz="6" w:space="0" w:color="000000"/>
              <w:right w:val="single" w:sz="6" w:space="0" w:color="000000"/>
            </w:tcBorders>
          </w:tcPr>
          <w:p>
            <w:pPr>
              <w:pStyle w:val="TableParagraph"/>
              <w:spacing w:line="77" w:lineRule="exact" w:before="24"/>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6"/>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5"/>
              <w:jc w:val="right"/>
              <w:rPr>
                <w:rFonts w:ascii="Tahoma"/>
                <w:sz w:val="8"/>
              </w:rPr>
            </w:pPr>
            <w:r>
              <w:rPr>
                <w:rFonts w:ascii="Tahoma"/>
                <w:spacing w:val="-4"/>
                <w:w w:val="105"/>
                <w:sz w:val="8"/>
              </w:rPr>
              <w:t>0,00</w:t>
            </w:r>
          </w:p>
        </w:tc>
        <w:tc>
          <w:tcPr>
            <w:tcW w:w="861"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bottom w:val="single" w:sz="6" w:space="0" w:color="000000"/>
              <w:right w:val="single" w:sz="6" w:space="0" w:color="000000"/>
            </w:tcBorders>
          </w:tcPr>
          <w:p>
            <w:pPr>
              <w:pStyle w:val="TableParagraph"/>
              <w:spacing w:line="77" w:lineRule="exact" w:before="24"/>
              <w:ind w:right="48"/>
              <w:jc w:val="right"/>
              <w:rPr>
                <w:rFonts w:ascii="Tahoma"/>
                <w:sz w:val="8"/>
              </w:rPr>
            </w:pPr>
            <w:r>
              <w:rPr>
                <w:rFonts w:ascii="Tahoma"/>
                <w:spacing w:val="-4"/>
                <w:w w:val="105"/>
                <w:sz w:val="8"/>
              </w:rPr>
              <w:t>0,00</w:t>
            </w:r>
          </w:p>
        </w:tc>
      </w:tr>
      <w:tr>
        <w:trPr>
          <w:trHeight w:val="122" w:hRule="atLeast"/>
        </w:trPr>
        <w:tc>
          <w:tcPr>
            <w:tcW w:w="2471" w:type="dxa"/>
            <w:tcBorders>
              <w:top w:val="single" w:sz="6" w:space="0" w:color="000000"/>
            </w:tcBorders>
          </w:tcPr>
          <w:p>
            <w:pPr>
              <w:pStyle w:val="TableParagraph"/>
              <w:spacing w:line="78" w:lineRule="exact" w:before="24"/>
              <w:ind w:left="28"/>
              <w:rPr>
                <w:rFonts w:ascii="Tahoma"/>
                <w:sz w:val="8"/>
              </w:rPr>
            </w:pPr>
            <w:r>
              <w:rPr>
                <w:rFonts w:ascii="Tahoma"/>
                <w:w w:val="105"/>
                <w:sz w:val="8"/>
              </w:rPr>
              <w:t>Otras</w:t>
            </w:r>
            <w:r>
              <w:rPr>
                <w:rFonts w:ascii="Tahoma"/>
                <w:spacing w:val="4"/>
                <w:w w:val="105"/>
                <w:sz w:val="8"/>
              </w:rPr>
              <w:t> </w:t>
            </w:r>
            <w:r>
              <w:rPr>
                <w:rFonts w:ascii="Tahoma"/>
                <w:w w:val="105"/>
                <w:sz w:val="8"/>
              </w:rPr>
              <w:t>variaciones</w:t>
            </w:r>
            <w:r>
              <w:rPr>
                <w:rFonts w:ascii="Tahoma"/>
                <w:spacing w:val="4"/>
                <w:w w:val="105"/>
                <w:sz w:val="8"/>
              </w:rPr>
              <w:t> </w:t>
            </w:r>
            <w:r>
              <w:rPr>
                <w:rFonts w:ascii="Tahoma"/>
                <w:w w:val="105"/>
                <w:sz w:val="8"/>
              </w:rPr>
              <w:t>del</w:t>
            </w:r>
            <w:r>
              <w:rPr>
                <w:rFonts w:ascii="Tahoma"/>
                <w:spacing w:val="-3"/>
                <w:w w:val="105"/>
                <w:sz w:val="8"/>
              </w:rPr>
              <w:t> </w:t>
            </w:r>
            <w:r>
              <w:rPr>
                <w:rFonts w:ascii="Tahoma"/>
                <w:w w:val="105"/>
                <w:sz w:val="8"/>
              </w:rPr>
              <w:t>patrimonio</w:t>
            </w:r>
            <w:r>
              <w:rPr>
                <w:rFonts w:ascii="Tahoma"/>
                <w:spacing w:val="12"/>
                <w:w w:val="105"/>
                <w:sz w:val="8"/>
              </w:rPr>
              <w:t> </w:t>
            </w:r>
            <w:r>
              <w:rPr>
                <w:rFonts w:ascii="Tahoma"/>
                <w:spacing w:val="-4"/>
                <w:w w:val="105"/>
                <w:sz w:val="8"/>
              </w:rPr>
              <w:t>neto</w:t>
            </w:r>
          </w:p>
        </w:tc>
        <w:tc>
          <w:tcPr>
            <w:tcW w:w="861" w:type="dxa"/>
            <w:tcBorders>
              <w:top w:val="single" w:sz="6" w:space="0" w:color="000000"/>
              <w:right w:val="single" w:sz="6" w:space="0" w:color="000000"/>
            </w:tcBorders>
          </w:tcPr>
          <w:p>
            <w:pPr>
              <w:pStyle w:val="TableParagraph"/>
              <w:spacing w:line="78" w:lineRule="exact" w:before="24"/>
              <w:ind w:right="33"/>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8" w:lineRule="exact" w:before="24"/>
              <w:ind w:right="36"/>
              <w:jc w:val="right"/>
              <w:rPr>
                <w:rFonts w:ascii="Tahoma"/>
                <w:sz w:val="8"/>
              </w:rPr>
            </w:pPr>
            <w:r>
              <w:rPr>
                <w:rFonts w:ascii="Tahoma"/>
                <w:spacing w:val="-2"/>
                <w:w w:val="105"/>
                <w:sz w:val="8"/>
              </w:rPr>
              <w:t>2.087.752,21</w:t>
            </w:r>
          </w:p>
        </w:tc>
        <w:tc>
          <w:tcPr>
            <w:tcW w:w="861" w:type="dxa"/>
            <w:tcBorders>
              <w:top w:val="single" w:sz="6" w:space="0" w:color="000000"/>
              <w:left w:val="single" w:sz="6" w:space="0" w:color="000000"/>
              <w:right w:val="single" w:sz="6" w:space="0" w:color="000000"/>
            </w:tcBorders>
          </w:tcPr>
          <w:p>
            <w:pPr>
              <w:pStyle w:val="TableParagraph"/>
              <w:spacing w:line="78" w:lineRule="exact" w:before="24"/>
              <w:ind w:right="38"/>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8" w:lineRule="exact" w:before="24"/>
              <w:ind w:right="42"/>
              <w:jc w:val="right"/>
              <w:rPr>
                <w:rFonts w:ascii="Tahoma"/>
                <w:sz w:val="8"/>
              </w:rPr>
            </w:pPr>
            <w:r>
              <w:rPr>
                <w:rFonts w:ascii="Tahoma"/>
                <w:spacing w:val="-4"/>
                <w:w w:val="105"/>
                <w:sz w:val="8"/>
              </w:rPr>
              <w:t>0,00</w:t>
            </w:r>
          </w:p>
        </w:tc>
        <w:tc>
          <w:tcPr>
            <w:tcW w:w="860" w:type="dxa"/>
            <w:tcBorders>
              <w:top w:val="single" w:sz="6" w:space="0" w:color="000000"/>
              <w:left w:val="single" w:sz="6" w:space="0" w:color="000000"/>
              <w:right w:val="single" w:sz="6" w:space="0" w:color="000000"/>
            </w:tcBorders>
          </w:tcPr>
          <w:p>
            <w:pPr>
              <w:pStyle w:val="TableParagraph"/>
              <w:spacing w:line="78" w:lineRule="exact" w:before="24"/>
              <w:ind w:right="16"/>
              <w:jc w:val="right"/>
              <w:rPr>
                <w:rFonts w:ascii="Tahoma"/>
                <w:sz w:val="8"/>
              </w:rPr>
            </w:pPr>
            <w:r>
              <w:rPr>
                <w:rFonts w:ascii="Tahoma"/>
                <w:spacing w:val="-2"/>
                <w:w w:val="105"/>
                <w:sz w:val="8"/>
              </w:rPr>
              <w:t>(2.087.752,21)</w:t>
            </w:r>
          </w:p>
        </w:tc>
        <w:tc>
          <w:tcPr>
            <w:tcW w:w="861" w:type="dxa"/>
            <w:tcBorders>
              <w:top w:val="single" w:sz="6" w:space="0" w:color="000000"/>
              <w:left w:val="single" w:sz="6" w:space="0" w:color="000000"/>
              <w:right w:val="single" w:sz="6" w:space="0" w:color="000000"/>
            </w:tcBorders>
          </w:tcPr>
          <w:p>
            <w:pPr>
              <w:pStyle w:val="TableParagraph"/>
              <w:spacing w:line="78" w:lineRule="exact" w:before="24"/>
              <w:ind w:right="46"/>
              <w:jc w:val="right"/>
              <w:rPr>
                <w:rFonts w:ascii="Tahoma"/>
                <w:sz w:val="8"/>
              </w:rPr>
            </w:pPr>
            <w:r>
              <w:rPr>
                <w:rFonts w:ascii="Tahoma"/>
                <w:spacing w:val="-4"/>
                <w:w w:val="105"/>
                <w:sz w:val="8"/>
              </w:rPr>
              <w:t>0,00</w:t>
            </w:r>
          </w:p>
        </w:tc>
        <w:tc>
          <w:tcPr>
            <w:tcW w:w="858" w:type="dxa"/>
            <w:tcBorders>
              <w:top w:val="single" w:sz="6" w:space="0" w:color="000000"/>
              <w:left w:val="single" w:sz="6" w:space="0" w:color="000000"/>
              <w:right w:val="single" w:sz="6" w:space="0" w:color="000000"/>
            </w:tcBorders>
          </w:tcPr>
          <w:p>
            <w:pPr>
              <w:pStyle w:val="TableParagraph"/>
              <w:spacing w:line="78" w:lineRule="exact" w:before="24"/>
              <w:ind w:right="19"/>
              <w:jc w:val="right"/>
              <w:rPr>
                <w:rFonts w:ascii="Tahoma"/>
                <w:sz w:val="8"/>
              </w:rPr>
            </w:pPr>
            <w:r>
              <w:rPr>
                <w:rFonts w:ascii="Tahoma"/>
                <w:spacing w:val="-2"/>
                <w:w w:val="105"/>
                <w:sz w:val="8"/>
              </w:rPr>
              <w:t>(0,00)</w:t>
            </w:r>
          </w:p>
        </w:tc>
      </w:tr>
      <w:tr>
        <w:trPr>
          <w:trHeight w:val="129" w:hRule="atLeast"/>
        </w:trPr>
        <w:tc>
          <w:tcPr>
            <w:tcW w:w="2471" w:type="dxa"/>
            <w:tcBorders>
              <w:bottom w:val="single" w:sz="6" w:space="0" w:color="000000"/>
            </w:tcBorders>
          </w:tcPr>
          <w:p>
            <w:pPr>
              <w:pStyle w:val="TableParagraph"/>
              <w:spacing w:line="83" w:lineRule="exact" w:before="26"/>
              <w:ind w:left="28"/>
              <w:rPr>
                <w:rFonts w:ascii="Tahoma" w:hAnsi="Tahoma"/>
                <w:sz w:val="8"/>
              </w:rPr>
            </w:pPr>
            <w:r>
              <w:rPr>
                <w:rFonts w:ascii="Tahoma" w:hAnsi="Tahoma"/>
                <w:w w:val="105"/>
                <w:sz w:val="8"/>
              </w:rPr>
              <w:t>SALDO</w:t>
            </w:r>
            <w:r>
              <w:rPr>
                <w:rFonts w:ascii="Tahoma" w:hAnsi="Tahoma"/>
                <w:spacing w:val="10"/>
                <w:w w:val="105"/>
                <w:sz w:val="8"/>
              </w:rPr>
              <w:t> </w:t>
            </w:r>
            <w:r>
              <w:rPr>
                <w:rFonts w:ascii="Tahoma" w:hAnsi="Tahoma"/>
                <w:w w:val="105"/>
                <w:sz w:val="8"/>
              </w:rPr>
              <w:t>FINAL</w:t>
            </w:r>
            <w:r>
              <w:rPr>
                <w:rFonts w:ascii="Tahoma" w:hAnsi="Tahoma"/>
                <w:spacing w:val="8"/>
                <w:w w:val="105"/>
                <w:sz w:val="8"/>
              </w:rPr>
              <w:t> </w:t>
            </w:r>
            <w:r>
              <w:rPr>
                <w:rFonts w:ascii="Tahoma" w:hAnsi="Tahoma"/>
                <w:w w:val="105"/>
                <w:sz w:val="8"/>
              </w:rPr>
              <w:t>DEL</w:t>
            </w:r>
            <w:r>
              <w:rPr>
                <w:rFonts w:ascii="Tahoma" w:hAnsi="Tahoma"/>
                <w:spacing w:val="9"/>
                <w:w w:val="105"/>
                <w:sz w:val="8"/>
              </w:rPr>
              <w:t> </w:t>
            </w:r>
            <w:r>
              <w:rPr>
                <w:rFonts w:ascii="Tahoma" w:hAnsi="Tahoma"/>
                <w:w w:val="105"/>
                <w:sz w:val="8"/>
              </w:rPr>
              <w:t>AÑO</w:t>
            </w:r>
            <w:r>
              <w:rPr>
                <w:rFonts w:ascii="Tahoma" w:hAnsi="Tahoma"/>
                <w:spacing w:val="12"/>
                <w:w w:val="105"/>
                <w:sz w:val="8"/>
              </w:rPr>
              <w:t> </w:t>
            </w:r>
            <w:r>
              <w:rPr>
                <w:rFonts w:ascii="Tahoma" w:hAnsi="Tahoma"/>
                <w:spacing w:val="-4"/>
                <w:w w:val="105"/>
                <w:sz w:val="8"/>
              </w:rPr>
              <w:t>2025</w:t>
            </w:r>
          </w:p>
        </w:tc>
        <w:tc>
          <w:tcPr>
            <w:tcW w:w="861" w:type="dxa"/>
            <w:tcBorders>
              <w:bottom w:val="single" w:sz="6" w:space="0" w:color="000000"/>
              <w:right w:val="single" w:sz="6" w:space="0" w:color="000000"/>
            </w:tcBorders>
          </w:tcPr>
          <w:p>
            <w:pPr>
              <w:pStyle w:val="TableParagraph"/>
              <w:spacing w:line="83" w:lineRule="exact" w:before="26"/>
              <w:ind w:right="33"/>
              <w:jc w:val="right"/>
              <w:rPr>
                <w:rFonts w:ascii="Tahoma"/>
                <w:sz w:val="8"/>
              </w:rPr>
            </w:pPr>
            <w:r>
              <w:rPr>
                <w:rFonts w:ascii="Tahoma"/>
                <w:spacing w:val="-2"/>
                <w:w w:val="105"/>
                <w:sz w:val="8"/>
              </w:rPr>
              <w:t>15.608.538,40</w:t>
            </w:r>
          </w:p>
        </w:tc>
        <w:tc>
          <w:tcPr>
            <w:tcW w:w="860" w:type="dxa"/>
            <w:tcBorders>
              <w:left w:val="single" w:sz="6" w:space="0" w:color="000000"/>
              <w:bottom w:val="single" w:sz="6" w:space="0" w:color="000000"/>
              <w:right w:val="single" w:sz="6" w:space="0" w:color="000000"/>
            </w:tcBorders>
          </w:tcPr>
          <w:p>
            <w:pPr>
              <w:pStyle w:val="TableParagraph"/>
              <w:spacing w:line="83" w:lineRule="exact" w:before="26"/>
              <w:ind w:right="36"/>
              <w:jc w:val="right"/>
              <w:rPr>
                <w:rFonts w:ascii="Tahoma"/>
                <w:sz w:val="8"/>
              </w:rPr>
            </w:pPr>
            <w:r>
              <w:rPr>
                <w:rFonts w:ascii="Tahoma"/>
                <w:spacing w:val="-2"/>
                <w:w w:val="105"/>
                <w:sz w:val="8"/>
              </w:rPr>
              <w:t>14.250.107,43</w:t>
            </w:r>
          </w:p>
        </w:tc>
        <w:tc>
          <w:tcPr>
            <w:tcW w:w="861" w:type="dxa"/>
            <w:tcBorders>
              <w:left w:val="single" w:sz="6" w:space="0" w:color="000000"/>
              <w:bottom w:val="single" w:sz="6" w:space="0" w:color="000000"/>
              <w:right w:val="single" w:sz="6" w:space="0" w:color="000000"/>
            </w:tcBorders>
          </w:tcPr>
          <w:p>
            <w:pPr>
              <w:pStyle w:val="TableParagraph"/>
              <w:spacing w:line="83" w:lineRule="exact" w:before="26"/>
              <w:ind w:right="38"/>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83" w:lineRule="exact" w:before="26"/>
              <w:ind w:right="42"/>
              <w:jc w:val="right"/>
              <w:rPr>
                <w:rFonts w:ascii="Tahoma"/>
                <w:sz w:val="8"/>
              </w:rPr>
            </w:pPr>
            <w:r>
              <w:rPr>
                <w:rFonts w:ascii="Tahoma"/>
                <w:spacing w:val="-4"/>
                <w:w w:val="105"/>
                <w:sz w:val="8"/>
              </w:rPr>
              <w:t>0,00</w:t>
            </w:r>
          </w:p>
        </w:tc>
        <w:tc>
          <w:tcPr>
            <w:tcW w:w="860" w:type="dxa"/>
            <w:tcBorders>
              <w:left w:val="single" w:sz="6" w:space="0" w:color="000000"/>
              <w:bottom w:val="single" w:sz="6" w:space="0" w:color="000000"/>
              <w:right w:val="single" w:sz="6" w:space="0" w:color="000000"/>
            </w:tcBorders>
          </w:tcPr>
          <w:p>
            <w:pPr>
              <w:pStyle w:val="TableParagraph"/>
              <w:spacing w:line="83" w:lineRule="exact" w:before="26"/>
              <w:ind w:right="45"/>
              <w:jc w:val="right"/>
              <w:rPr>
                <w:rFonts w:ascii="Tahoma"/>
                <w:sz w:val="8"/>
              </w:rPr>
            </w:pPr>
            <w:r>
              <w:rPr>
                <w:rFonts w:ascii="Tahoma"/>
                <w:spacing w:val="-2"/>
                <w:w w:val="105"/>
                <w:sz w:val="8"/>
              </w:rPr>
              <w:t>6.269.808,27</w:t>
            </w:r>
          </w:p>
        </w:tc>
        <w:tc>
          <w:tcPr>
            <w:tcW w:w="861" w:type="dxa"/>
            <w:tcBorders>
              <w:left w:val="single" w:sz="6" w:space="0" w:color="000000"/>
              <w:bottom w:val="single" w:sz="6" w:space="0" w:color="000000"/>
              <w:right w:val="single" w:sz="6" w:space="0" w:color="000000"/>
            </w:tcBorders>
          </w:tcPr>
          <w:p>
            <w:pPr>
              <w:pStyle w:val="TableParagraph"/>
              <w:spacing w:line="83" w:lineRule="exact" w:before="26"/>
              <w:ind w:right="46"/>
              <w:jc w:val="right"/>
              <w:rPr>
                <w:rFonts w:ascii="Tahoma"/>
                <w:sz w:val="8"/>
              </w:rPr>
            </w:pPr>
            <w:r>
              <w:rPr>
                <w:rFonts w:ascii="Tahoma"/>
                <w:spacing w:val="-2"/>
                <w:w w:val="105"/>
                <w:sz w:val="8"/>
              </w:rPr>
              <w:t>22.616.977,62</w:t>
            </w:r>
          </w:p>
        </w:tc>
        <w:tc>
          <w:tcPr>
            <w:tcW w:w="858" w:type="dxa"/>
            <w:tcBorders>
              <w:left w:val="single" w:sz="6" w:space="0" w:color="000000"/>
              <w:bottom w:val="single" w:sz="6" w:space="0" w:color="000000"/>
              <w:right w:val="single" w:sz="6" w:space="0" w:color="000000"/>
            </w:tcBorders>
          </w:tcPr>
          <w:p>
            <w:pPr>
              <w:pStyle w:val="TableParagraph"/>
              <w:spacing w:line="83" w:lineRule="exact" w:before="26"/>
              <w:ind w:right="48"/>
              <w:jc w:val="right"/>
              <w:rPr>
                <w:rFonts w:ascii="Tahoma"/>
                <w:sz w:val="8"/>
              </w:rPr>
            </w:pPr>
            <w:r>
              <w:rPr>
                <w:rFonts w:ascii="Tahoma"/>
                <w:spacing w:val="-2"/>
                <w:w w:val="105"/>
                <w:sz w:val="8"/>
              </w:rPr>
              <w:t>58.745.431,72</w:t>
            </w:r>
          </w:p>
        </w:tc>
      </w:tr>
    </w:tbl>
    <w:p>
      <w:pPr>
        <w:pStyle w:val="TableParagraph"/>
        <w:spacing w:after="0" w:line="83" w:lineRule="exact"/>
        <w:jc w:val="right"/>
        <w:rPr>
          <w:rFonts w:ascii="Tahoma"/>
          <w:sz w:val="8"/>
        </w:rPr>
        <w:sectPr>
          <w:pgSz w:w="11910" w:h="16840"/>
          <w:pgMar w:header="286" w:footer="570" w:top="1920" w:bottom="1260" w:left="360" w:right="36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74"/>
        <w:rPr>
          <w:sz w:val="32"/>
        </w:rPr>
      </w:pPr>
    </w:p>
    <w:p>
      <w:pPr>
        <w:spacing w:before="0"/>
        <w:ind w:left="1" w:right="0" w:firstLine="0"/>
        <w:jc w:val="center"/>
        <w:rPr>
          <w:sz w:val="32"/>
        </w:rPr>
      </w:pPr>
      <w:r>
        <w:rPr>
          <w:w w:val="90"/>
          <w:sz w:val="32"/>
          <w:u w:val="single"/>
        </w:rPr>
        <w:t>ESTADO</w:t>
      </w:r>
      <w:r>
        <w:rPr>
          <w:spacing w:val="7"/>
          <w:sz w:val="32"/>
          <w:u w:val="single"/>
        </w:rPr>
        <w:t> </w:t>
      </w:r>
      <w:r>
        <w:rPr>
          <w:w w:val="90"/>
          <w:sz w:val="32"/>
          <w:u w:val="single"/>
        </w:rPr>
        <w:t>DE</w:t>
      </w:r>
      <w:r>
        <w:rPr>
          <w:spacing w:val="9"/>
          <w:sz w:val="32"/>
          <w:u w:val="single"/>
        </w:rPr>
        <w:t> </w:t>
      </w:r>
      <w:r>
        <w:rPr>
          <w:w w:val="90"/>
          <w:sz w:val="32"/>
          <w:u w:val="single"/>
        </w:rPr>
        <w:t>FLUJOS</w:t>
      </w:r>
      <w:r>
        <w:rPr>
          <w:spacing w:val="4"/>
          <w:sz w:val="32"/>
          <w:u w:val="single"/>
        </w:rPr>
        <w:t> </w:t>
      </w:r>
      <w:r>
        <w:rPr>
          <w:w w:val="90"/>
          <w:sz w:val="32"/>
          <w:u w:val="single"/>
        </w:rPr>
        <w:t>DE</w:t>
      </w:r>
      <w:r>
        <w:rPr>
          <w:spacing w:val="9"/>
          <w:sz w:val="32"/>
          <w:u w:val="single"/>
        </w:rPr>
        <w:t> </w:t>
      </w:r>
      <w:r>
        <w:rPr>
          <w:spacing w:val="-2"/>
          <w:w w:val="90"/>
          <w:sz w:val="32"/>
          <w:u w:val="single"/>
        </w:rPr>
        <w:t>EFECTIVO</w:t>
      </w:r>
    </w:p>
    <w:p>
      <w:pPr>
        <w:pStyle w:val="BodyText"/>
        <w:spacing w:before="49"/>
        <w:rPr>
          <w:sz w:val="32"/>
        </w:rPr>
      </w:pPr>
    </w:p>
    <w:p>
      <w:pPr>
        <w:spacing w:before="0"/>
        <w:ind w:left="2" w:right="0" w:firstLine="0"/>
        <w:jc w:val="center"/>
        <w:rPr>
          <w:sz w:val="32"/>
        </w:rPr>
      </w:pPr>
      <w:r>
        <w:rPr>
          <w:spacing w:val="-6"/>
          <w:sz w:val="32"/>
          <w:u w:val="single"/>
        </w:rPr>
        <w:t>CORRESPONDIENTE</w:t>
      </w:r>
    </w:p>
    <w:p>
      <w:pPr>
        <w:pStyle w:val="BodyText"/>
        <w:spacing w:before="49"/>
        <w:rPr>
          <w:sz w:val="32"/>
        </w:rPr>
      </w:pPr>
    </w:p>
    <w:p>
      <w:pPr>
        <w:spacing w:before="0"/>
        <w:ind w:left="0" w:right="0" w:firstLine="0"/>
        <w:jc w:val="center"/>
        <w:rPr>
          <w:sz w:val="32"/>
        </w:rPr>
      </w:pPr>
      <w:r>
        <w:rPr>
          <w:spacing w:val="-4"/>
          <w:sz w:val="32"/>
          <w:u w:val="single"/>
        </w:rPr>
        <w:t>AL</w:t>
      </w:r>
      <w:r>
        <w:rPr>
          <w:spacing w:val="-12"/>
          <w:sz w:val="32"/>
          <w:u w:val="single"/>
        </w:rPr>
        <w:t> </w:t>
      </w:r>
      <w:r>
        <w:rPr>
          <w:spacing w:val="-4"/>
          <w:sz w:val="32"/>
          <w:u w:val="single"/>
        </w:rPr>
        <w:t>EJERCICIO</w:t>
      </w:r>
      <w:r>
        <w:rPr>
          <w:spacing w:val="-12"/>
          <w:sz w:val="32"/>
          <w:u w:val="single"/>
        </w:rPr>
        <w:t> </w:t>
      </w:r>
      <w:r>
        <w:rPr>
          <w:spacing w:val="-4"/>
          <w:sz w:val="32"/>
          <w:u w:val="single"/>
        </w:rPr>
        <w:t>ANUAL</w:t>
      </w:r>
      <w:r>
        <w:rPr>
          <w:spacing w:val="-8"/>
          <w:sz w:val="32"/>
          <w:u w:val="single"/>
        </w:rPr>
        <w:t> </w:t>
      </w:r>
      <w:r>
        <w:rPr>
          <w:spacing w:val="-4"/>
          <w:sz w:val="32"/>
          <w:u w:val="single"/>
        </w:rPr>
        <w:t>TERMINADO</w:t>
      </w:r>
    </w:p>
    <w:p>
      <w:pPr>
        <w:pStyle w:val="BodyText"/>
        <w:spacing w:before="49"/>
        <w:rPr>
          <w:sz w:val="32"/>
        </w:rPr>
      </w:pPr>
    </w:p>
    <w:p>
      <w:pPr>
        <w:spacing w:before="0"/>
        <w:ind w:left="0" w:right="0" w:firstLine="0"/>
        <w:jc w:val="center"/>
        <w:rPr>
          <w:sz w:val="32"/>
        </w:rPr>
      </w:pPr>
      <w:r>
        <w:rPr>
          <w:sz w:val="32"/>
        </w:rPr>
        <mc:AlternateContent>
          <mc:Choice Requires="wps">
            <w:drawing>
              <wp:anchor distT="0" distB="0" distL="0" distR="0" allowOverlap="1" layoutInCell="1" locked="0" behindDoc="0" simplePos="0" relativeHeight="15740928">
                <wp:simplePos x="0" y="0"/>
                <wp:positionH relativeFrom="page">
                  <wp:posOffset>6966436</wp:posOffset>
                </wp:positionH>
                <wp:positionV relativeFrom="paragraph">
                  <wp:posOffset>1124780</wp:posOffset>
                </wp:positionV>
                <wp:extent cx="263525" cy="323342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88.565422pt;width:20.75pt;height:254.6pt;mso-position-horizontal-relative:page;mso-position-vertical-relative:paragraph;z-index:15740928" type="#_x0000_t202" id="docshape2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8</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w w:val="90"/>
          <w:sz w:val="32"/>
          <w:u w:val="single"/>
        </w:rPr>
        <w:t>EL</w:t>
      </w:r>
      <w:r>
        <w:rPr>
          <w:spacing w:val="10"/>
          <w:sz w:val="32"/>
          <w:u w:val="single"/>
        </w:rPr>
        <w:t> </w:t>
      </w:r>
      <w:r>
        <w:rPr>
          <w:w w:val="90"/>
          <w:sz w:val="32"/>
          <w:u w:val="single"/>
        </w:rPr>
        <w:t>31</w:t>
      </w:r>
      <w:r>
        <w:rPr>
          <w:spacing w:val="10"/>
          <w:sz w:val="32"/>
          <w:u w:val="single"/>
        </w:rPr>
        <w:t> </w:t>
      </w:r>
      <w:r>
        <w:rPr>
          <w:w w:val="90"/>
          <w:sz w:val="32"/>
          <w:u w:val="single"/>
        </w:rPr>
        <w:t>DE</w:t>
      </w:r>
      <w:r>
        <w:rPr>
          <w:spacing w:val="12"/>
          <w:sz w:val="32"/>
          <w:u w:val="single"/>
        </w:rPr>
        <w:t> </w:t>
      </w:r>
      <w:r>
        <w:rPr>
          <w:w w:val="90"/>
          <w:sz w:val="32"/>
          <w:u w:val="single"/>
        </w:rPr>
        <w:t>DICIEMBRE</w:t>
      </w:r>
      <w:r>
        <w:rPr>
          <w:spacing w:val="10"/>
          <w:sz w:val="32"/>
          <w:u w:val="single"/>
        </w:rPr>
        <w:t> </w:t>
      </w:r>
      <w:r>
        <w:rPr>
          <w:w w:val="90"/>
          <w:sz w:val="32"/>
          <w:u w:val="single"/>
        </w:rPr>
        <w:t>DE</w:t>
      </w:r>
      <w:r>
        <w:rPr>
          <w:spacing w:val="8"/>
          <w:sz w:val="32"/>
          <w:u w:val="single"/>
        </w:rPr>
        <w:t> </w:t>
      </w:r>
      <w:r>
        <w:rPr>
          <w:spacing w:val="-4"/>
          <w:w w:val="90"/>
          <w:sz w:val="32"/>
          <w:u w:val="single"/>
        </w:rPr>
        <w:t>2025</w:t>
      </w:r>
    </w:p>
    <w:p>
      <w:pPr>
        <w:spacing w:after="0"/>
        <w:jc w:val="center"/>
        <w:rPr>
          <w:sz w:val="32"/>
        </w:rPr>
        <w:sectPr>
          <w:pgSz w:w="11910" w:h="16840"/>
          <w:pgMar w:header="286" w:footer="570" w:top="1920" w:bottom="1260" w:left="360" w:right="360"/>
        </w:sectPr>
      </w:pPr>
    </w:p>
    <w:p>
      <w:pPr>
        <w:pStyle w:val="BodyText"/>
        <w:spacing w:before="200" w:after="1"/>
      </w:pPr>
      <w:r>
        <w:rPr/>
        <mc:AlternateContent>
          <mc:Choice Requires="wps">
            <w:drawing>
              <wp:anchor distT="0" distB="0" distL="0" distR="0" allowOverlap="1" layoutInCell="1" locked="0" behindDoc="0" simplePos="0" relativeHeight="15741952">
                <wp:simplePos x="0" y="0"/>
                <wp:positionH relativeFrom="page">
                  <wp:posOffset>6966436</wp:posOffset>
                </wp:positionH>
                <wp:positionV relativeFrom="page">
                  <wp:posOffset>6595730</wp:posOffset>
                </wp:positionV>
                <wp:extent cx="263525" cy="323342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41952" type="#_x0000_t202" id="docshape3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9</w:t>
                      </w:r>
                      <w:r>
                        <w:rPr>
                          <w:spacing w:val="-6"/>
                          <w:sz w:val="12"/>
                        </w:rPr>
                        <w:t> </w:t>
                      </w:r>
                      <w:r>
                        <w:rPr>
                          <w:sz w:val="12"/>
                        </w:rPr>
                        <w:t>de</w:t>
                      </w:r>
                      <w:r>
                        <w:rPr>
                          <w:spacing w:val="-6"/>
                          <w:sz w:val="12"/>
                        </w:rPr>
                        <w:t> </w:t>
                      </w:r>
                      <w:r>
                        <w:rPr>
                          <w:spacing w:val="-5"/>
                          <w:sz w:val="12"/>
                        </w:rPr>
                        <w:t>68</w:t>
                      </w:r>
                    </w:p>
                  </w:txbxContent>
                </v:textbox>
                <w10:wrap type="none"/>
              </v:shape>
            </w:pict>
          </mc:Fallback>
        </mc:AlternateContent>
      </w:r>
    </w:p>
    <w:tbl>
      <w:tblPr>
        <w:tblW w:w="0" w:type="auto"/>
        <w:jc w:val="left"/>
        <w:tblInd w:w="1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33"/>
        <w:gridCol w:w="540"/>
        <w:gridCol w:w="1457"/>
        <w:gridCol w:w="1457"/>
      </w:tblGrid>
      <w:tr>
        <w:trPr>
          <w:trHeight w:val="219" w:hRule="atLeast"/>
        </w:trPr>
        <w:tc>
          <w:tcPr>
            <w:tcW w:w="5573" w:type="dxa"/>
            <w:gridSpan w:val="2"/>
            <w:tcBorders>
              <w:bottom w:val="single" w:sz="8" w:space="0" w:color="000000"/>
              <w:right w:val="single" w:sz="8" w:space="0" w:color="000000"/>
            </w:tcBorders>
            <w:shd w:val="clear" w:color="auto" w:fill="FFC000"/>
          </w:tcPr>
          <w:p>
            <w:pPr>
              <w:pStyle w:val="TableParagraph"/>
              <w:tabs>
                <w:tab w:pos="5102" w:val="left" w:leader="none"/>
              </w:tabs>
              <w:spacing w:line="174" w:lineRule="exact" w:before="26"/>
              <w:ind w:left="2128"/>
              <w:rPr>
                <w:rFonts w:ascii="Tahoma"/>
                <w:sz w:val="15"/>
              </w:rPr>
            </w:pPr>
            <w:r>
              <w:rPr>
                <w:rFonts w:ascii="Tahoma"/>
                <w:spacing w:val="-2"/>
                <w:sz w:val="15"/>
              </w:rPr>
              <w:t>CONCEPTO</w:t>
            </w:r>
            <w:r>
              <w:rPr>
                <w:rFonts w:ascii="Tahoma"/>
                <w:sz w:val="15"/>
              </w:rPr>
              <w:tab/>
            </w:r>
            <w:r>
              <w:rPr>
                <w:rFonts w:ascii="Tahoma"/>
                <w:spacing w:val="-4"/>
                <w:sz w:val="15"/>
              </w:rPr>
              <w:t>Notas</w:t>
            </w:r>
          </w:p>
        </w:tc>
        <w:tc>
          <w:tcPr>
            <w:tcW w:w="1457" w:type="dxa"/>
            <w:tcBorders>
              <w:left w:val="single" w:sz="8" w:space="0" w:color="000000"/>
              <w:bottom w:val="single" w:sz="8" w:space="0" w:color="000000"/>
              <w:right w:val="single" w:sz="8" w:space="0" w:color="000000"/>
            </w:tcBorders>
            <w:shd w:val="clear" w:color="auto" w:fill="FFC000"/>
          </w:tcPr>
          <w:p>
            <w:pPr>
              <w:pStyle w:val="TableParagraph"/>
              <w:spacing w:line="174" w:lineRule="exact" w:before="26"/>
              <w:ind w:left="21"/>
              <w:jc w:val="center"/>
              <w:rPr>
                <w:rFonts w:ascii="Tahoma"/>
                <w:sz w:val="15"/>
              </w:rPr>
            </w:pPr>
            <w:r>
              <w:rPr>
                <w:rFonts w:ascii="Tahoma"/>
                <w:spacing w:val="-4"/>
                <w:sz w:val="15"/>
              </w:rPr>
              <w:t>2025</w:t>
            </w:r>
          </w:p>
        </w:tc>
        <w:tc>
          <w:tcPr>
            <w:tcW w:w="1457" w:type="dxa"/>
            <w:tcBorders>
              <w:left w:val="single" w:sz="8" w:space="0" w:color="000000"/>
              <w:bottom w:val="single" w:sz="8" w:space="0" w:color="000000"/>
              <w:right w:val="single" w:sz="8" w:space="0" w:color="000000"/>
            </w:tcBorders>
            <w:shd w:val="clear" w:color="auto" w:fill="FFC000"/>
          </w:tcPr>
          <w:p>
            <w:pPr>
              <w:pStyle w:val="TableParagraph"/>
              <w:spacing w:line="174" w:lineRule="exact" w:before="26"/>
              <w:ind w:left="21" w:right="5"/>
              <w:jc w:val="center"/>
              <w:rPr>
                <w:rFonts w:ascii="Tahoma"/>
                <w:sz w:val="15"/>
              </w:rPr>
            </w:pPr>
            <w:r>
              <w:rPr>
                <w:rFonts w:ascii="Tahoma"/>
                <w:spacing w:val="-4"/>
                <w:sz w:val="15"/>
              </w:rPr>
              <w:t>2024</w:t>
            </w:r>
          </w:p>
        </w:tc>
      </w:tr>
      <w:tr>
        <w:trPr>
          <w:trHeight w:val="5838" w:hRule="atLeast"/>
        </w:trPr>
        <w:tc>
          <w:tcPr>
            <w:tcW w:w="5033" w:type="dxa"/>
            <w:vMerge w:val="restart"/>
            <w:tcBorders>
              <w:top w:val="single" w:sz="8" w:space="0" w:color="000000"/>
              <w:bottom w:val="single" w:sz="12" w:space="0" w:color="000000"/>
              <w:right w:val="single" w:sz="8" w:space="0" w:color="000000"/>
            </w:tcBorders>
          </w:tcPr>
          <w:p>
            <w:pPr>
              <w:pStyle w:val="TableParagraph"/>
              <w:spacing w:line="331" w:lineRule="auto" w:before="134"/>
              <w:ind w:left="34"/>
              <w:rPr>
                <w:b/>
                <w:sz w:val="15"/>
              </w:rPr>
            </w:pPr>
            <w:r>
              <w:rPr>
                <w:b/>
                <w:sz w:val="15"/>
              </w:rPr>
              <mc:AlternateContent>
                <mc:Choice Requires="wps">
                  <w:drawing>
                    <wp:anchor distT="0" distB="0" distL="0" distR="0" allowOverlap="1" layoutInCell="1" locked="0" behindDoc="1" simplePos="0" relativeHeight="476709888">
                      <wp:simplePos x="0" y="0"/>
                      <wp:positionH relativeFrom="column">
                        <wp:posOffset>-3810</wp:posOffset>
                      </wp:positionH>
                      <wp:positionV relativeFrom="paragraph">
                        <wp:posOffset>-160915</wp:posOffset>
                      </wp:positionV>
                      <wp:extent cx="5398135" cy="858774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398135" cy="8587740"/>
                                <a:chExt cx="5398135" cy="8587740"/>
                              </a:xfrm>
                            </wpg:grpSpPr>
                            <wps:wsp>
                              <wps:cNvPr id="42" name="Graphic 42"/>
                              <wps:cNvSpPr/>
                              <wps:spPr>
                                <a:xfrm>
                                  <a:off x="7620" y="7620"/>
                                  <a:ext cx="5390515" cy="152400"/>
                                </a:xfrm>
                                <a:custGeom>
                                  <a:avLst/>
                                  <a:gdLst/>
                                  <a:ahLst/>
                                  <a:cxnLst/>
                                  <a:rect l="l" t="t" r="r" b="b"/>
                                  <a:pathLst>
                                    <a:path w="5390515" h="152400">
                                      <a:moveTo>
                                        <a:pt x="5390387" y="152400"/>
                                      </a:moveTo>
                                      <a:lnTo>
                                        <a:pt x="0" y="152400"/>
                                      </a:lnTo>
                                      <a:lnTo>
                                        <a:pt x="0" y="0"/>
                                      </a:lnTo>
                                      <a:lnTo>
                                        <a:pt x="5390387" y="0"/>
                                      </a:lnTo>
                                      <a:lnTo>
                                        <a:pt x="5390387" y="152400"/>
                                      </a:lnTo>
                                      <a:close/>
                                    </a:path>
                                  </a:pathLst>
                                </a:custGeom>
                                <a:solidFill>
                                  <a:srgbClr val="FFC000"/>
                                </a:solidFill>
                              </wps:spPr>
                              <wps:bodyPr wrap="square" lIns="0" tIns="0" rIns="0" bIns="0" rtlCol="0">
                                <a:prstTxWarp prst="textNoShape">
                                  <a:avLst/>
                                </a:prstTxWarp>
                                <a:noAutofit/>
                              </wps:bodyPr>
                            </wps:wsp>
                            <wps:wsp>
                              <wps:cNvPr id="43" name="Graphic 43"/>
                              <wps:cNvSpPr/>
                              <wps:spPr>
                                <a:xfrm>
                                  <a:off x="3548253" y="518255"/>
                                  <a:ext cx="40005" cy="1270"/>
                                </a:xfrm>
                                <a:custGeom>
                                  <a:avLst/>
                                  <a:gdLst/>
                                  <a:ahLst/>
                                  <a:cxnLst/>
                                  <a:rect l="l" t="t" r="r" b="b"/>
                                  <a:pathLst>
                                    <a:path w="40005" h="0">
                                      <a:moveTo>
                                        <a:pt x="0" y="0"/>
                                      </a:moveTo>
                                      <a:lnTo>
                                        <a:pt x="39814" y="0"/>
                                      </a:lnTo>
                                    </a:path>
                                  </a:pathLst>
                                </a:custGeom>
                                <a:ln w="4762">
                                  <a:solidFill>
                                    <a:srgbClr val="008000"/>
                                  </a:solidFill>
                                  <a:prstDash val="solid"/>
                                </a:ln>
                              </wps:spPr>
                              <wps:bodyPr wrap="square" lIns="0" tIns="0" rIns="0" bIns="0" rtlCol="0">
                                <a:prstTxWarp prst="textNoShape">
                                  <a:avLst/>
                                </a:prstTxWarp>
                                <a:noAutofit/>
                              </wps:bodyPr>
                            </wps:wsp>
                            <wps:wsp>
                              <wps:cNvPr id="44" name="Graphic 44"/>
                              <wps:cNvSpPr/>
                              <wps:spPr>
                                <a:xfrm>
                                  <a:off x="3547872" y="518159"/>
                                  <a:ext cx="40005" cy="7620"/>
                                </a:xfrm>
                                <a:custGeom>
                                  <a:avLst/>
                                  <a:gdLst/>
                                  <a:ahLst/>
                                  <a:cxnLst/>
                                  <a:rect l="l" t="t" r="r" b="b"/>
                                  <a:pathLst>
                                    <a:path w="40005" h="7620">
                                      <a:moveTo>
                                        <a:pt x="39624" y="7620"/>
                                      </a:moveTo>
                                      <a:lnTo>
                                        <a:pt x="0" y="7620"/>
                                      </a:lnTo>
                                      <a:lnTo>
                                        <a:pt x="0" y="0"/>
                                      </a:lnTo>
                                      <a:lnTo>
                                        <a:pt x="39624" y="0"/>
                                      </a:lnTo>
                                      <a:lnTo>
                                        <a:pt x="39624" y="7620"/>
                                      </a:lnTo>
                                      <a:close/>
                                    </a:path>
                                  </a:pathLst>
                                </a:custGeom>
                                <a:solidFill>
                                  <a:srgbClr val="008000"/>
                                </a:solidFill>
                              </wps:spPr>
                              <wps:bodyPr wrap="square" lIns="0" tIns="0" rIns="0" bIns="0" rtlCol="0">
                                <a:prstTxWarp prst="textNoShape">
                                  <a:avLst/>
                                </a:prstTxWarp>
                                <a:noAutofit/>
                              </wps:bodyPr>
                            </wps:wsp>
                            <wps:wsp>
                              <wps:cNvPr id="45" name="Graphic 45"/>
                              <wps:cNvSpPr/>
                              <wps:spPr>
                                <a:xfrm>
                                  <a:off x="3548253" y="526256"/>
                                  <a:ext cx="32384" cy="1270"/>
                                </a:xfrm>
                                <a:custGeom>
                                  <a:avLst/>
                                  <a:gdLst/>
                                  <a:ahLst/>
                                  <a:cxnLst/>
                                  <a:rect l="l" t="t" r="r" b="b"/>
                                  <a:pathLst>
                                    <a:path w="32384" h="0">
                                      <a:moveTo>
                                        <a:pt x="0" y="0"/>
                                      </a:moveTo>
                                      <a:lnTo>
                                        <a:pt x="31908" y="0"/>
                                      </a:lnTo>
                                    </a:path>
                                  </a:pathLst>
                                </a:custGeom>
                                <a:ln w="4762">
                                  <a:solidFill>
                                    <a:srgbClr val="008000"/>
                                  </a:solidFill>
                                  <a:prstDash val="solid"/>
                                </a:ln>
                              </wps:spPr>
                              <wps:bodyPr wrap="square" lIns="0" tIns="0" rIns="0" bIns="0" rtlCol="0">
                                <a:prstTxWarp prst="textNoShape">
                                  <a:avLst/>
                                </a:prstTxWarp>
                                <a:noAutofit/>
                              </wps:bodyPr>
                            </wps:wsp>
                            <wps:wsp>
                              <wps:cNvPr id="46" name="Graphic 46"/>
                              <wps:cNvSpPr/>
                              <wps:spPr>
                                <a:xfrm>
                                  <a:off x="3547872" y="525780"/>
                                  <a:ext cx="32384" cy="9525"/>
                                </a:xfrm>
                                <a:custGeom>
                                  <a:avLst/>
                                  <a:gdLst/>
                                  <a:ahLst/>
                                  <a:cxnLst/>
                                  <a:rect l="l" t="t" r="r" b="b"/>
                                  <a:pathLst>
                                    <a:path w="32384" h="9525">
                                      <a:moveTo>
                                        <a:pt x="32004" y="9144"/>
                                      </a:moveTo>
                                      <a:lnTo>
                                        <a:pt x="0" y="9144"/>
                                      </a:lnTo>
                                      <a:lnTo>
                                        <a:pt x="0" y="0"/>
                                      </a:lnTo>
                                      <a:lnTo>
                                        <a:pt x="32004" y="0"/>
                                      </a:lnTo>
                                      <a:lnTo>
                                        <a:pt x="32004" y="9144"/>
                                      </a:lnTo>
                                      <a:close/>
                                    </a:path>
                                  </a:pathLst>
                                </a:custGeom>
                                <a:solidFill>
                                  <a:srgbClr val="008000"/>
                                </a:solidFill>
                              </wps:spPr>
                              <wps:bodyPr wrap="square" lIns="0" tIns="0" rIns="0" bIns="0" rtlCol="0">
                                <a:prstTxWarp prst="textNoShape">
                                  <a:avLst/>
                                </a:prstTxWarp>
                                <a:noAutofit/>
                              </wps:bodyPr>
                            </wps:wsp>
                            <wps:wsp>
                              <wps:cNvPr id="47" name="Graphic 47"/>
                              <wps:cNvSpPr/>
                              <wps:spPr>
                                <a:xfrm>
                                  <a:off x="3548253" y="534257"/>
                                  <a:ext cx="24130" cy="1270"/>
                                </a:xfrm>
                                <a:custGeom>
                                  <a:avLst/>
                                  <a:gdLst/>
                                  <a:ahLst/>
                                  <a:cxnLst/>
                                  <a:rect l="l" t="t" r="r" b="b"/>
                                  <a:pathLst>
                                    <a:path w="24130" h="0">
                                      <a:moveTo>
                                        <a:pt x="0" y="0"/>
                                      </a:moveTo>
                                      <a:lnTo>
                                        <a:pt x="23907" y="0"/>
                                      </a:lnTo>
                                    </a:path>
                                  </a:pathLst>
                                </a:custGeom>
                                <a:ln w="4762">
                                  <a:solidFill>
                                    <a:srgbClr val="008000"/>
                                  </a:solidFill>
                                  <a:prstDash val="solid"/>
                                </a:ln>
                              </wps:spPr>
                              <wps:bodyPr wrap="square" lIns="0" tIns="0" rIns="0" bIns="0" rtlCol="0">
                                <a:prstTxWarp prst="textNoShape">
                                  <a:avLst/>
                                </a:prstTxWarp>
                                <a:noAutofit/>
                              </wps:bodyPr>
                            </wps:wsp>
                            <wps:wsp>
                              <wps:cNvPr id="48" name="Graphic 48"/>
                              <wps:cNvSpPr/>
                              <wps:spPr>
                                <a:xfrm>
                                  <a:off x="3547872" y="534923"/>
                                  <a:ext cx="24765" cy="7620"/>
                                </a:xfrm>
                                <a:custGeom>
                                  <a:avLst/>
                                  <a:gdLst/>
                                  <a:ahLst/>
                                  <a:cxnLst/>
                                  <a:rect l="l" t="t" r="r" b="b"/>
                                  <a:pathLst>
                                    <a:path w="24765" h="7620">
                                      <a:moveTo>
                                        <a:pt x="24384" y="7620"/>
                                      </a:moveTo>
                                      <a:lnTo>
                                        <a:pt x="0" y="7620"/>
                                      </a:lnTo>
                                      <a:lnTo>
                                        <a:pt x="0" y="0"/>
                                      </a:lnTo>
                                      <a:lnTo>
                                        <a:pt x="24384" y="0"/>
                                      </a:lnTo>
                                      <a:lnTo>
                                        <a:pt x="24384" y="7620"/>
                                      </a:lnTo>
                                      <a:close/>
                                    </a:path>
                                  </a:pathLst>
                                </a:custGeom>
                                <a:solidFill>
                                  <a:srgbClr val="008000"/>
                                </a:solidFill>
                              </wps:spPr>
                              <wps:bodyPr wrap="square" lIns="0" tIns="0" rIns="0" bIns="0" rtlCol="0">
                                <a:prstTxWarp prst="textNoShape">
                                  <a:avLst/>
                                </a:prstTxWarp>
                                <a:noAutofit/>
                              </wps:bodyPr>
                            </wps:wsp>
                            <wps:wsp>
                              <wps:cNvPr id="49" name="Graphic 49"/>
                              <wps:cNvSpPr/>
                              <wps:spPr>
                                <a:xfrm>
                                  <a:off x="3548253" y="542258"/>
                                  <a:ext cx="16510" cy="1270"/>
                                </a:xfrm>
                                <a:custGeom>
                                  <a:avLst/>
                                  <a:gdLst/>
                                  <a:ahLst/>
                                  <a:cxnLst/>
                                  <a:rect l="l" t="t" r="r" b="b"/>
                                  <a:pathLst>
                                    <a:path w="16510" h="0">
                                      <a:moveTo>
                                        <a:pt x="0" y="0"/>
                                      </a:moveTo>
                                      <a:lnTo>
                                        <a:pt x="15906" y="0"/>
                                      </a:lnTo>
                                    </a:path>
                                  </a:pathLst>
                                </a:custGeom>
                                <a:ln w="4762">
                                  <a:solidFill>
                                    <a:srgbClr val="008000"/>
                                  </a:solidFill>
                                  <a:prstDash val="solid"/>
                                </a:ln>
                              </wps:spPr>
                              <wps:bodyPr wrap="square" lIns="0" tIns="0" rIns="0" bIns="0" rtlCol="0">
                                <a:prstTxWarp prst="textNoShape">
                                  <a:avLst/>
                                </a:prstTxWarp>
                                <a:noAutofit/>
                              </wps:bodyPr>
                            </wps:wsp>
                            <wps:wsp>
                              <wps:cNvPr id="50" name="Graphic 50"/>
                              <wps:cNvSpPr/>
                              <wps:spPr>
                                <a:xfrm>
                                  <a:off x="3547872" y="542544"/>
                                  <a:ext cx="17145" cy="7620"/>
                                </a:xfrm>
                                <a:custGeom>
                                  <a:avLst/>
                                  <a:gdLst/>
                                  <a:ahLst/>
                                  <a:cxnLst/>
                                  <a:rect l="l" t="t" r="r" b="b"/>
                                  <a:pathLst>
                                    <a:path w="17145" h="7620">
                                      <a:moveTo>
                                        <a:pt x="16764" y="7620"/>
                                      </a:moveTo>
                                      <a:lnTo>
                                        <a:pt x="0" y="7620"/>
                                      </a:lnTo>
                                      <a:lnTo>
                                        <a:pt x="0" y="0"/>
                                      </a:lnTo>
                                      <a:lnTo>
                                        <a:pt x="16764" y="0"/>
                                      </a:lnTo>
                                      <a:lnTo>
                                        <a:pt x="16764" y="7620"/>
                                      </a:lnTo>
                                      <a:close/>
                                    </a:path>
                                  </a:pathLst>
                                </a:custGeom>
                                <a:solidFill>
                                  <a:srgbClr val="008000"/>
                                </a:solidFill>
                              </wps:spPr>
                              <wps:bodyPr wrap="square" lIns="0" tIns="0" rIns="0" bIns="0" rtlCol="0">
                                <a:prstTxWarp prst="textNoShape">
                                  <a:avLst/>
                                </a:prstTxWarp>
                                <a:noAutofit/>
                              </wps:bodyPr>
                            </wps:wsp>
                            <wps:wsp>
                              <wps:cNvPr id="51" name="Graphic 51"/>
                              <wps:cNvSpPr/>
                              <wps:spPr>
                                <a:xfrm>
                                  <a:off x="3548253" y="550163"/>
                                  <a:ext cx="8255" cy="1270"/>
                                </a:xfrm>
                                <a:custGeom>
                                  <a:avLst/>
                                  <a:gdLst/>
                                  <a:ahLst/>
                                  <a:cxnLst/>
                                  <a:rect l="l" t="t" r="r" b="b"/>
                                  <a:pathLst>
                                    <a:path w="8255" h="0">
                                      <a:moveTo>
                                        <a:pt x="0" y="0"/>
                                      </a:moveTo>
                                      <a:lnTo>
                                        <a:pt x="7905" y="0"/>
                                      </a:lnTo>
                                    </a:path>
                                  </a:pathLst>
                                </a:custGeom>
                                <a:ln w="4762">
                                  <a:solidFill>
                                    <a:srgbClr val="008000"/>
                                  </a:solidFill>
                                  <a:prstDash val="solid"/>
                                </a:ln>
                              </wps:spPr>
                              <wps:bodyPr wrap="square" lIns="0" tIns="0" rIns="0" bIns="0" rtlCol="0">
                                <a:prstTxWarp prst="textNoShape">
                                  <a:avLst/>
                                </a:prstTxWarp>
                                <a:noAutofit/>
                              </wps:bodyPr>
                            </wps:wsp>
                            <wps:wsp>
                              <wps:cNvPr id="52" name="Graphic 52"/>
                              <wps:cNvSpPr/>
                              <wps:spPr>
                                <a:xfrm>
                                  <a:off x="3547872" y="550163"/>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008000"/>
                                </a:solidFill>
                              </wps:spPr>
                              <wps:bodyPr wrap="square" lIns="0" tIns="0" rIns="0" bIns="0" rtlCol="0">
                                <a:prstTxWarp prst="textNoShape">
                                  <a:avLst/>
                                </a:prstTxWarp>
                                <a:noAutofit/>
                              </wps:bodyPr>
                            </wps:wsp>
                            <wps:wsp>
                              <wps:cNvPr id="53" name="Graphic 53"/>
                              <wps:cNvSpPr/>
                              <wps:spPr>
                                <a:xfrm>
                                  <a:off x="4473130" y="518255"/>
                                  <a:ext cx="40005" cy="1270"/>
                                </a:xfrm>
                                <a:custGeom>
                                  <a:avLst/>
                                  <a:gdLst/>
                                  <a:ahLst/>
                                  <a:cxnLst/>
                                  <a:rect l="l" t="t" r="r" b="b"/>
                                  <a:pathLst>
                                    <a:path w="40005" h="0">
                                      <a:moveTo>
                                        <a:pt x="0" y="0"/>
                                      </a:moveTo>
                                      <a:lnTo>
                                        <a:pt x="39909" y="0"/>
                                      </a:lnTo>
                                    </a:path>
                                  </a:pathLst>
                                </a:custGeom>
                                <a:ln w="4762">
                                  <a:solidFill>
                                    <a:srgbClr val="008000"/>
                                  </a:solidFill>
                                  <a:prstDash val="solid"/>
                                </a:ln>
                              </wps:spPr>
                              <wps:bodyPr wrap="square" lIns="0" tIns="0" rIns="0" bIns="0" rtlCol="0">
                                <a:prstTxWarp prst="textNoShape">
                                  <a:avLst/>
                                </a:prstTxWarp>
                                <a:noAutofit/>
                              </wps:bodyPr>
                            </wps:wsp>
                            <wps:wsp>
                              <wps:cNvPr id="54" name="Graphic 54"/>
                              <wps:cNvSpPr/>
                              <wps:spPr>
                                <a:xfrm>
                                  <a:off x="4472940" y="518159"/>
                                  <a:ext cx="40005" cy="7620"/>
                                </a:xfrm>
                                <a:custGeom>
                                  <a:avLst/>
                                  <a:gdLst/>
                                  <a:ahLst/>
                                  <a:cxnLst/>
                                  <a:rect l="l" t="t" r="r" b="b"/>
                                  <a:pathLst>
                                    <a:path w="40005" h="7620">
                                      <a:moveTo>
                                        <a:pt x="39624" y="7620"/>
                                      </a:moveTo>
                                      <a:lnTo>
                                        <a:pt x="0" y="7620"/>
                                      </a:lnTo>
                                      <a:lnTo>
                                        <a:pt x="0" y="0"/>
                                      </a:lnTo>
                                      <a:lnTo>
                                        <a:pt x="39624" y="0"/>
                                      </a:lnTo>
                                      <a:lnTo>
                                        <a:pt x="39624" y="7620"/>
                                      </a:lnTo>
                                      <a:close/>
                                    </a:path>
                                  </a:pathLst>
                                </a:custGeom>
                                <a:solidFill>
                                  <a:srgbClr val="008000"/>
                                </a:solidFill>
                              </wps:spPr>
                              <wps:bodyPr wrap="square" lIns="0" tIns="0" rIns="0" bIns="0" rtlCol="0">
                                <a:prstTxWarp prst="textNoShape">
                                  <a:avLst/>
                                </a:prstTxWarp>
                                <a:noAutofit/>
                              </wps:bodyPr>
                            </wps:wsp>
                            <wps:wsp>
                              <wps:cNvPr id="55" name="Graphic 55"/>
                              <wps:cNvSpPr/>
                              <wps:spPr>
                                <a:xfrm>
                                  <a:off x="4473130" y="526256"/>
                                  <a:ext cx="32384" cy="1270"/>
                                </a:xfrm>
                                <a:custGeom>
                                  <a:avLst/>
                                  <a:gdLst/>
                                  <a:ahLst/>
                                  <a:cxnLst/>
                                  <a:rect l="l" t="t" r="r" b="b"/>
                                  <a:pathLst>
                                    <a:path w="32384" h="0">
                                      <a:moveTo>
                                        <a:pt x="0" y="0"/>
                                      </a:moveTo>
                                      <a:lnTo>
                                        <a:pt x="31908" y="0"/>
                                      </a:lnTo>
                                    </a:path>
                                  </a:pathLst>
                                </a:custGeom>
                                <a:ln w="4762">
                                  <a:solidFill>
                                    <a:srgbClr val="008000"/>
                                  </a:solidFill>
                                  <a:prstDash val="solid"/>
                                </a:ln>
                              </wps:spPr>
                              <wps:bodyPr wrap="square" lIns="0" tIns="0" rIns="0" bIns="0" rtlCol="0">
                                <a:prstTxWarp prst="textNoShape">
                                  <a:avLst/>
                                </a:prstTxWarp>
                                <a:noAutofit/>
                              </wps:bodyPr>
                            </wps:wsp>
                            <wps:wsp>
                              <wps:cNvPr id="56" name="Graphic 56"/>
                              <wps:cNvSpPr/>
                              <wps:spPr>
                                <a:xfrm>
                                  <a:off x="4472940" y="525780"/>
                                  <a:ext cx="32384" cy="9525"/>
                                </a:xfrm>
                                <a:custGeom>
                                  <a:avLst/>
                                  <a:gdLst/>
                                  <a:ahLst/>
                                  <a:cxnLst/>
                                  <a:rect l="l" t="t" r="r" b="b"/>
                                  <a:pathLst>
                                    <a:path w="32384" h="9525">
                                      <a:moveTo>
                                        <a:pt x="32004" y="9144"/>
                                      </a:moveTo>
                                      <a:lnTo>
                                        <a:pt x="0" y="9144"/>
                                      </a:lnTo>
                                      <a:lnTo>
                                        <a:pt x="0" y="0"/>
                                      </a:lnTo>
                                      <a:lnTo>
                                        <a:pt x="32004" y="0"/>
                                      </a:lnTo>
                                      <a:lnTo>
                                        <a:pt x="32004" y="9144"/>
                                      </a:lnTo>
                                      <a:close/>
                                    </a:path>
                                  </a:pathLst>
                                </a:custGeom>
                                <a:solidFill>
                                  <a:srgbClr val="008000"/>
                                </a:solidFill>
                              </wps:spPr>
                              <wps:bodyPr wrap="square" lIns="0" tIns="0" rIns="0" bIns="0" rtlCol="0">
                                <a:prstTxWarp prst="textNoShape">
                                  <a:avLst/>
                                </a:prstTxWarp>
                                <a:noAutofit/>
                              </wps:bodyPr>
                            </wps:wsp>
                            <wps:wsp>
                              <wps:cNvPr id="57" name="Graphic 57"/>
                              <wps:cNvSpPr/>
                              <wps:spPr>
                                <a:xfrm>
                                  <a:off x="4473130" y="534257"/>
                                  <a:ext cx="24130" cy="1270"/>
                                </a:xfrm>
                                <a:custGeom>
                                  <a:avLst/>
                                  <a:gdLst/>
                                  <a:ahLst/>
                                  <a:cxnLst/>
                                  <a:rect l="l" t="t" r="r" b="b"/>
                                  <a:pathLst>
                                    <a:path w="24130" h="0">
                                      <a:moveTo>
                                        <a:pt x="0" y="0"/>
                                      </a:moveTo>
                                      <a:lnTo>
                                        <a:pt x="23907" y="0"/>
                                      </a:lnTo>
                                    </a:path>
                                  </a:pathLst>
                                </a:custGeom>
                                <a:ln w="4762">
                                  <a:solidFill>
                                    <a:srgbClr val="008000"/>
                                  </a:solidFill>
                                  <a:prstDash val="solid"/>
                                </a:ln>
                              </wps:spPr>
                              <wps:bodyPr wrap="square" lIns="0" tIns="0" rIns="0" bIns="0" rtlCol="0">
                                <a:prstTxWarp prst="textNoShape">
                                  <a:avLst/>
                                </a:prstTxWarp>
                                <a:noAutofit/>
                              </wps:bodyPr>
                            </wps:wsp>
                            <wps:wsp>
                              <wps:cNvPr id="58" name="Graphic 58"/>
                              <wps:cNvSpPr/>
                              <wps:spPr>
                                <a:xfrm>
                                  <a:off x="4472940" y="534923"/>
                                  <a:ext cx="24765" cy="7620"/>
                                </a:xfrm>
                                <a:custGeom>
                                  <a:avLst/>
                                  <a:gdLst/>
                                  <a:ahLst/>
                                  <a:cxnLst/>
                                  <a:rect l="l" t="t" r="r" b="b"/>
                                  <a:pathLst>
                                    <a:path w="24765" h="7620">
                                      <a:moveTo>
                                        <a:pt x="24384" y="7620"/>
                                      </a:moveTo>
                                      <a:lnTo>
                                        <a:pt x="0" y="7620"/>
                                      </a:lnTo>
                                      <a:lnTo>
                                        <a:pt x="0" y="0"/>
                                      </a:lnTo>
                                      <a:lnTo>
                                        <a:pt x="24384" y="0"/>
                                      </a:lnTo>
                                      <a:lnTo>
                                        <a:pt x="24384" y="7620"/>
                                      </a:lnTo>
                                      <a:close/>
                                    </a:path>
                                  </a:pathLst>
                                </a:custGeom>
                                <a:solidFill>
                                  <a:srgbClr val="008000"/>
                                </a:solidFill>
                              </wps:spPr>
                              <wps:bodyPr wrap="square" lIns="0" tIns="0" rIns="0" bIns="0" rtlCol="0">
                                <a:prstTxWarp prst="textNoShape">
                                  <a:avLst/>
                                </a:prstTxWarp>
                                <a:noAutofit/>
                              </wps:bodyPr>
                            </wps:wsp>
                            <wps:wsp>
                              <wps:cNvPr id="59" name="Graphic 59"/>
                              <wps:cNvSpPr/>
                              <wps:spPr>
                                <a:xfrm>
                                  <a:off x="4473130" y="542258"/>
                                  <a:ext cx="16510" cy="1270"/>
                                </a:xfrm>
                                <a:custGeom>
                                  <a:avLst/>
                                  <a:gdLst/>
                                  <a:ahLst/>
                                  <a:cxnLst/>
                                  <a:rect l="l" t="t" r="r" b="b"/>
                                  <a:pathLst>
                                    <a:path w="16510" h="0">
                                      <a:moveTo>
                                        <a:pt x="0" y="0"/>
                                      </a:moveTo>
                                      <a:lnTo>
                                        <a:pt x="16002" y="0"/>
                                      </a:lnTo>
                                    </a:path>
                                  </a:pathLst>
                                </a:custGeom>
                                <a:ln w="4762">
                                  <a:solidFill>
                                    <a:srgbClr val="008000"/>
                                  </a:solidFill>
                                  <a:prstDash val="solid"/>
                                </a:ln>
                              </wps:spPr>
                              <wps:bodyPr wrap="square" lIns="0" tIns="0" rIns="0" bIns="0" rtlCol="0">
                                <a:prstTxWarp prst="textNoShape">
                                  <a:avLst/>
                                </a:prstTxWarp>
                                <a:noAutofit/>
                              </wps:bodyPr>
                            </wps:wsp>
                            <wps:wsp>
                              <wps:cNvPr id="60" name="Graphic 60"/>
                              <wps:cNvSpPr/>
                              <wps:spPr>
                                <a:xfrm>
                                  <a:off x="4472940" y="542544"/>
                                  <a:ext cx="17145" cy="7620"/>
                                </a:xfrm>
                                <a:custGeom>
                                  <a:avLst/>
                                  <a:gdLst/>
                                  <a:ahLst/>
                                  <a:cxnLst/>
                                  <a:rect l="l" t="t" r="r" b="b"/>
                                  <a:pathLst>
                                    <a:path w="17145" h="7620">
                                      <a:moveTo>
                                        <a:pt x="16764" y="7620"/>
                                      </a:moveTo>
                                      <a:lnTo>
                                        <a:pt x="0" y="7620"/>
                                      </a:lnTo>
                                      <a:lnTo>
                                        <a:pt x="0" y="0"/>
                                      </a:lnTo>
                                      <a:lnTo>
                                        <a:pt x="16764" y="0"/>
                                      </a:lnTo>
                                      <a:lnTo>
                                        <a:pt x="16764" y="7620"/>
                                      </a:lnTo>
                                      <a:close/>
                                    </a:path>
                                  </a:pathLst>
                                </a:custGeom>
                                <a:solidFill>
                                  <a:srgbClr val="008000"/>
                                </a:solidFill>
                              </wps:spPr>
                              <wps:bodyPr wrap="square" lIns="0" tIns="0" rIns="0" bIns="0" rtlCol="0">
                                <a:prstTxWarp prst="textNoShape">
                                  <a:avLst/>
                                </a:prstTxWarp>
                                <a:noAutofit/>
                              </wps:bodyPr>
                            </wps:wsp>
                            <wps:wsp>
                              <wps:cNvPr id="61" name="Graphic 61"/>
                              <wps:cNvSpPr/>
                              <wps:spPr>
                                <a:xfrm>
                                  <a:off x="4473130" y="550163"/>
                                  <a:ext cx="8255" cy="1270"/>
                                </a:xfrm>
                                <a:custGeom>
                                  <a:avLst/>
                                  <a:gdLst/>
                                  <a:ahLst/>
                                  <a:cxnLst/>
                                  <a:rect l="l" t="t" r="r" b="b"/>
                                  <a:pathLst>
                                    <a:path w="8255" h="0">
                                      <a:moveTo>
                                        <a:pt x="0" y="0"/>
                                      </a:moveTo>
                                      <a:lnTo>
                                        <a:pt x="8001" y="0"/>
                                      </a:lnTo>
                                    </a:path>
                                  </a:pathLst>
                                </a:custGeom>
                                <a:ln w="4762">
                                  <a:solidFill>
                                    <a:srgbClr val="008000"/>
                                  </a:solidFill>
                                  <a:prstDash val="solid"/>
                                </a:ln>
                              </wps:spPr>
                              <wps:bodyPr wrap="square" lIns="0" tIns="0" rIns="0" bIns="0" rtlCol="0">
                                <a:prstTxWarp prst="textNoShape">
                                  <a:avLst/>
                                </a:prstTxWarp>
                                <a:noAutofit/>
                              </wps:bodyPr>
                            </wps:wsp>
                            <wps:wsp>
                              <wps:cNvPr id="62" name="Graphic 62"/>
                              <wps:cNvSpPr/>
                              <wps:spPr>
                                <a:xfrm>
                                  <a:off x="4472940" y="550163"/>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008000"/>
                                </a:solidFill>
                              </wps:spPr>
                              <wps:bodyPr wrap="square" lIns="0" tIns="0" rIns="0" bIns="0" rtlCol="0">
                                <a:prstTxWarp prst="textNoShape">
                                  <a:avLst/>
                                </a:prstTxWarp>
                                <a:noAutofit/>
                              </wps:bodyPr>
                            </wps:wsp>
                            <wps:wsp>
                              <wps:cNvPr id="63" name="Graphic 63"/>
                              <wps:cNvSpPr/>
                              <wps:spPr>
                                <a:xfrm>
                                  <a:off x="3548253" y="2049208"/>
                                  <a:ext cx="40005" cy="1270"/>
                                </a:xfrm>
                                <a:custGeom>
                                  <a:avLst/>
                                  <a:gdLst/>
                                  <a:ahLst/>
                                  <a:cxnLst/>
                                  <a:rect l="l" t="t" r="r" b="b"/>
                                  <a:pathLst>
                                    <a:path w="40005" h="0">
                                      <a:moveTo>
                                        <a:pt x="0" y="0"/>
                                      </a:moveTo>
                                      <a:lnTo>
                                        <a:pt x="39814" y="0"/>
                                      </a:lnTo>
                                    </a:path>
                                  </a:pathLst>
                                </a:custGeom>
                                <a:ln w="4762">
                                  <a:solidFill>
                                    <a:srgbClr val="008000"/>
                                  </a:solidFill>
                                  <a:prstDash val="solid"/>
                                </a:ln>
                              </wps:spPr>
                              <wps:bodyPr wrap="square" lIns="0" tIns="0" rIns="0" bIns="0" rtlCol="0">
                                <a:prstTxWarp prst="textNoShape">
                                  <a:avLst/>
                                </a:prstTxWarp>
                                <a:noAutofit/>
                              </wps:bodyPr>
                            </wps:wsp>
                            <wps:wsp>
                              <wps:cNvPr id="64" name="Graphic 64"/>
                              <wps:cNvSpPr/>
                              <wps:spPr>
                                <a:xfrm>
                                  <a:off x="3547872" y="2049779"/>
                                  <a:ext cx="40005" cy="7620"/>
                                </a:xfrm>
                                <a:custGeom>
                                  <a:avLst/>
                                  <a:gdLst/>
                                  <a:ahLst/>
                                  <a:cxnLst/>
                                  <a:rect l="l" t="t" r="r" b="b"/>
                                  <a:pathLst>
                                    <a:path w="40005" h="7620">
                                      <a:moveTo>
                                        <a:pt x="39624" y="7620"/>
                                      </a:moveTo>
                                      <a:lnTo>
                                        <a:pt x="0" y="7620"/>
                                      </a:lnTo>
                                      <a:lnTo>
                                        <a:pt x="0" y="0"/>
                                      </a:lnTo>
                                      <a:lnTo>
                                        <a:pt x="39624" y="0"/>
                                      </a:lnTo>
                                      <a:lnTo>
                                        <a:pt x="39624" y="7620"/>
                                      </a:lnTo>
                                      <a:close/>
                                    </a:path>
                                  </a:pathLst>
                                </a:custGeom>
                                <a:solidFill>
                                  <a:srgbClr val="008000"/>
                                </a:solidFill>
                              </wps:spPr>
                              <wps:bodyPr wrap="square" lIns="0" tIns="0" rIns="0" bIns="0" rtlCol="0">
                                <a:prstTxWarp prst="textNoShape">
                                  <a:avLst/>
                                </a:prstTxWarp>
                                <a:noAutofit/>
                              </wps:bodyPr>
                            </wps:wsp>
                            <wps:wsp>
                              <wps:cNvPr id="65" name="Graphic 65"/>
                              <wps:cNvSpPr/>
                              <wps:spPr>
                                <a:xfrm>
                                  <a:off x="3548253" y="2057209"/>
                                  <a:ext cx="32384" cy="1270"/>
                                </a:xfrm>
                                <a:custGeom>
                                  <a:avLst/>
                                  <a:gdLst/>
                                  <a:ahLst/>
                                  <a:cxnLst/>
                                  <a:rect l="l" t="t" r="r" b="b"/>
                                  <a:pathLst>
                                    <a:path w="32384" h="0">
                                      <a:moveTo>
                                        <a:pt x="0" y="0"/>
                                      </a:moveTo>
                                      <a:lnTo>
                                        <a:pt x="31908" y="0"/>
                                      </a:lnTo>
                                    </a:path>
                                  </a:pathLst>
                                </a:custGeom>
                                <a:ln w="4762">
                                  <a:solidFill>
                                    <a:srgbClr val="008000"/>
                                  </a:solidFill>
                                  <a:prstDash val="solid"/>
                                </a:ln>
                              </wps:spPr>
                              <wps:bodyPr wrap="square" lIns="0" tIns="0" rIns="0" bIns="0" rtlCol="0">
                                <a:prstTxWarp prst="textNoShape">
                                  <a:avLst/>
                                </a:prstTxWarp>
                                <a:noAutofit/>
                              </wps:bodyPr>
                            </wps:wsp>
                            <wps:wsp>
                              <wps:cNvPr id="66" name="Graphic 66"/>
                              <wps:cNvSpPr/>
                              <wps:spPr>
                                <a:xfrm>
                                  <a:off x="3547872" y="2057400"/>
                                  <a:ext cx="32384" cy="7620"/>
                                </a:xfrm>
                                <a:custGeom>
                                  <a:avLst/>
                                  <a:gdLst/>
                                  <a:ahLst/>
                                  <a:cxnLst/>
                                  <a:rect l="l" t="t" r="r" b="b"/>
                                  <a:pathLst>
                                    <a:path w="32384" h="7620">
                                      <a:moveTo>
                                        <a:pt x="32004" y="7620"/>
                                      </a:moveTo>
                                      <a:lnTo>
                                        <a:pt x="0" y="7620"/>
                                      </a:lnTo>
                                      <a:lnTo>
                                        <a:pt x="0" y="0"/>
                                      </a:lnTo>
                                      <a:lnTo>
                                        <a:pt x="32004" y="0"/>
                                      </a:lnTo>
                                      <a:lnTo>
                                        <a:pt x="32004" y="7620"/>
                                      </a:lnTo>
                                      <a:close/>
                                    </a:path>
                                  </a:pathLst>
                                </a:custGeom>
                                <a:solidFill>
                                  <a:srgbClr val="008000"/>
                                </a:solidFill>
                              </wps:spPr>
                              <wps:bodyPr wrap="square" lIns="0" tIns="0" rIns="0" bIns="0" rtlCol="0">
                                <a:prstTxWarp prst="textNoShape">
                                  <a:avLst/>
                                </a:prstTxWarp>
                                <a:noAutofit/>
                              </wps:bodyPr>
                            </wps:wsp>
                            <wps:wsp>
                              <wps:cNvPr id="67" name="Graphic 67"/>
                              <wps:cNvSpPr/>
                              <wps:spPr>
                                <a:xfrm>
                                  <a:off x="3548253" y="2065210"/>
                                  <a:ext cx="24130" cy="1270"/>
                                </a:xfrm>
                                <a:custGeom>
                                  <a:avLst/>
                                  <a:gdLst/>
                                  <a:ahLst/>
                                  <a:cxnLst/>
                                  <a:rect l="l" t="t" r="r" b="b"/>
                                  <a:pathLst>
                                    <a:path w="24130" h="0">
                                      <a:moveTo>
                                        <a:pt x="0" y="0"/>
                                      </a:moveTo>
                                      <a:lnTo>
                                        <a:pt x="23907" y="0"/>
                                      </a:lnTo>
                                    </a:path>
                                  </a:pathLst>
                                </a:custGeom>
                                <a:ln w="4762">
                                  <a:solidFill>
                                    <a:srgbClr val="008000"/>
                                  </a:solidFill>
                                  <a:prstDash val="solid"/>
                                </a:ln>
                              </wps:spPr>
                              <wps:bodyPr wrap="square" lIns="0" tIns="0" rIns="0" bIns="0" rtlCol="0">
                                <a:prstTxWarp prst="textNoShape">
                                  <a:avLst/>
                                </a:prstTxWarp>
                                <a:noAutofit/>
                              </wps:bodyPr>
                            </wps:wsp>
                            <wps:wsp>
                              <wps:cNvPr id="68" name="Graphic 68"/>
                              <wps:cNvSpPr/>
                              <wps:spPr>
                                <a:xfrm>
                                  <a:off x="3547872" y="2065020"/>
                                  <a:ext cx="24765" cy="7620"/>
                                </a:xfrm>
                                <a:custGeom>
                                  <a:avLst/>
                                  <a:gdLst/>
                                  <a:ahLst/>
                                  <a:cxnLst/>
                                  <a:rect l="l" t="t" r="r" b="b"/>
                                  <a:pathLst>
                                    <a:path w="24765" h="7620">
                                      <a:moveTo>
                                        <a:pt x="24384" y="7620"/>
                                      </a:moveTo>
                                      <a:lnTo>
                                        <a:pt x="0" y="7620"/>
                                      </a:lnTo>
                                      <a:lnTo>
                                        <a:pt x="0" y="0"/>
                                      </a:lnTo>
                                      <a:lnTo>
                                        <a:pt x="24384" y="0"/>
                                      </a:lnTo>
                                      <a:lnTo>
                                        <a:pt x="24384" y="7620"/>
                                      </a:lnTo>
                                      <a:close/>
                                    </a:path>
                                  </a:pathLst>
                                </a:custGeom>
                                <a:solidFill>
                                  <a:srgbClr val="008000"/>
                                </a:solidFill>
                              </wps:spPr>
                              <wps:bodyPr wrap="square" lIns="0" tIns="0" rIns="0" bIns="0" rtlCol="0">
                                <a:prstTxWarp prst="textNoShape">
                                  <a:avLst/>
                                </a:prstTxWarp>
                                <a:noAutofit/>
                              </wps:bodyPr>
                            </wps:wsp>
                            <wps:wsp>
                              <wps:cNvPr id="69" name="Graphic 69"/>
                              <wps:cNvSpPr/>
                              <wps:spPr>
                                <a:xfrm>
                                  <a:off x="3548253" y="2073211"/>
                                  <a:ext cx="16510" cy="1270"/>
                                </a:xfrm>
                                <a:custGeom>
                                  <a:avLst/>
                                  <a:gdLst/>
                                  <a:ahLst/>
                                  <a:cxnLst/>
                                  <a:rect l="l" t="t" r="r" b="b"/>
                                  <a:pathLst>
                                    <a:path w="16510" h="0">
                                      <a:moveTo>
                                        <a:pt x="0" y="0"/>
                                      </a:moveTo>
                                      <a:lnTo>
                                        <a:pt x="15906" y="0"/>
                                      </a:lnTo>
                                    </a:path>
                                  </a:pathLst>
                                </a:custGeom>
                                <a:ln w="4762">
                                  <a:solidFill>
                                    <a:srgbClr val="008000"/>
                                  </a:solidFill>
                                  <a:prstDash val="solid"/>
                                </a:ln>
                              </wps:spPr>
                              <wps:bodyPr wrap="square" lIns="0" tIns="0" rIns="0" bIns="0" rtlCol="0">
                                <a:prstTxWarp prst="textNoShape">
                                  <a:avLst/>
                                </a:prstTxWarp>
                                <a:noAutofit/>
                              </wps:bodyPr>
                            </wps:wsp>
                            <wps:wsp>
                              <wps:cNvPr id="70" name="Graphic 70"/>
                              <wps:cNvSpPr/>
                              <wps:spPr>
                                <a:xfrm>
                                  <a:off x="3547872" y="2072639"/>
                                  <a:ext cx="17145" cy="9525"/>
                                </a:xfrm>
                                <a:custGeom>
                                  <a:avLst/>
                                  <a:gdLst/>
                                  <a:ahLst/>
                                  <a:cxnLst/>
                                  <a:rect l="l" t="t" r="r" b="b"/>
                                  <a:pathLst>
                                    <a:path w="17145" h="9525">
                                      <a:moveTo>
                                        <a:pt x="16764" y="9144"/>
                                      </a:moveTo>
                                      <a:lnTo>
                                        <a:pt x="0" y="9144"/>
                                      </a:lnTo>
                                      <a:lnTo>
                                        <a:pt x="0" y="0"/>
                                      </a:lnTo>
                                      <a:lnTo>
                                        <a:pt x="16764" y="0"/>
                                      </a:lnTo>
                                      <a:lnTo>
                                        <a:pt x="16764" y="9144"/>
                                      </a:lnTo>
                                      <a:close/>
                                    </a:path>
                                  </a:pathLst>
                                </a:custGeom>
                                <a:solidFill>
                                  <a:srgbClr val="008000"/>
                                </a:solidFill>
                              </wps:spPr>
                              <wps:bodyPr wrap="square" lIns="0" tIns="0" rIns="0" bIns="0" rtlCol="0">
                                <a:prstTxWarp prst="textNoShape">
                                  <a:avLst/>
                                </a:prstTxWarp>
                                <a:noAutofit/>
                              </wps:bodyPr>
                            </wps:wsp>
                            <wps:wsp>
                              <wps:cNvPr id="71" name="Graphic 71"/>
                              <wps:cNvSpPr/>
                              <wps:spPr>
                                <a:xfrm>
                                  <a:off x="3548253" y="2081117"/>
                                  <a:ext cx="8255" cy="1270"/>
                                </a:xfrm>
                                <a:custGeom>
                                  <a:avLst/>
                                  <a:gdLst/>
                                  <a:ahLst/>
                                  <a:cxnLst/>
                                  <a:rect l="l" t="t" r="r" b="b"/>
                                  <a:pathLst>
                                    <a:path w="8255" h="0">
                                      <a:moveTo>
                                        <a:pt x="0" y="0"/>
                                      </a:moveTo>
                                      <a:lnTo>
                                        <a:pt x="7905" y="0"/>
                                      </a:lnTo>
                                    </a:path>
                                  </a:pathLst>
                                </a:custGeom>
                                <a:ln w="4762">
                                  <a:solidFill>
                                    <a:srgbClr val="008000"/>
                                  </a:solidFill>
                                  <a:prstDash val="solid"/>
                                </a:ln>
                              </wps:spPr>
                              <wps:bodyPr wrap="square" lIns="0" tIns="0" rIns="0" bIns="0" rtlCol="0">
                                <a:prstTxWarp prst="textNoShape">
                                  <a:avLst/>
                                </a:prstTxWarp>
                                <a:noAutofit/>
                              </wps:bodyPr>
                            </wps:wsp>
                            <wps:wsp>
                              <wps:cNvPr id="72" name="Graphic 72"/>
                              <wps:cNvSpPr/>
                              <wps:spPr>
                                <a:xfrm>
                                  <a:off x="3547872" y="2081783"/>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008000"/>
                                </a:solidFill>
                              </wps:spPr>
                              <wps:bodyPr wrap="square" lIns="0" tIns="0" rIns="0" bIns="0" rtlCol="0">
                                <a:prstTxWarp prst="textNoShape">
                                  <a:avLst/>
                                </a:prstTxWarp>
                                <a:noAutofit/>
                              </wps:bodyPr>
                            </wps:wsp>
                            <wps:wsp>
                              <wps:cNvPr id="73" name="Graphic 73"/>
                              <wps:cNvSpPr/>
                              <wps:spPr>
                                <a:xfrm>
                                  <a:off x="4473130" y="2049208"/>
                                  <a:ext cx="40005" cy="1270"/>
                                </a:xfrm>
                                <a:custGeom>
                                  <a:avLst/>
                                  <a:gdLst/>
                                  <a:ahLst/>
                                  <a:cxnLst/>
                                  <a:rect l="l" t="t" r="r" b="b"/>
                                  <a:pathLst>
                                    <a:path w="40005" h="0">
                                      <a:moveTo>
                                        <a:pt x="0" y="0"/>
                                      </a:moveTo>
                                      <a:lnTo>
                                        <a:pt x="39909" y="0"/>
                                      </a:lnTo>
                                    </a:path>
                                  </a:pathLst>
                                </a:custGeom>
                                <a:ln w="4762">
                                  <a:solidFill>
                                    <a:srgbClr val="008000"/>
                                  </a:solidFill>
                                  <a:prstDash val="solid"/>
                                </a:ln>
                              </wps:spPr>
                              <wps:bodyPr wrap="square" lIns="0" tIns="0" rIns="0" bIns="0" rtlCol="0">
                                <a:prstTxWarp prst="textNoShape">
                                  <a:avLst/>
                                </a:prstTxWarp>
                                <a:noAutofit/>
                              </wps:bodyPr>
                            </wps:wsp>
                            <wps:wsp>
                              <wps:cNvPr id="74" name="Graphic 74"/>
                              <wps:cNvSpPr/>
                              <wps:spPr>
                                <a:xfrm>
                                  <a:off x="4472940" y="2049779"/>
                                  <a:ext cx="40005" cy="7620"/>
                                </a:xfrm>
                                <a:custGeom>
                                  <a:avLst/>
                                  <a:gdLst/>
                                  <a:ahLst/>
                                  <a:cxnLst/>
                                  <a:rect l="l" t="t" r="r" b="b"/>
                                  <a:pathLst>
                                    <a:path w="40005" h="7620">
                                      <a:moveTo>
                                        <a:pt x="39624" y="7620"/>
                                      </a:moveTo>
                                      <a:lnTo>
                                        <a:pt x="0" y="7620"/>
                                      </a:lnTo>
                                      <a:lnTo>
                                        <a:pt x="0" y="0"/>
                                      </a:lnTo>
                                      <a:lnTo>
                                        <a:pt x="39624" y="0"/>
                                      </a:lnTo>
                                      <a:lnTo>
                                        <a:pt x="39624" y="7620"/>
                                      </a:lnTo>
                                      <a:close/>
                                    </a:path>
                                  </a:pathLst>
                                </a:custGeom>
                                <a:solidFill>
                                  <a:srgbClr val="008000"/>
                                </a:solidFill>
                              </wps:spPr>
                              <wps:bodyPr wrap="square" lIns="0" tIns="0" rIns="0" bIns="0" rtlCol="0">
                                <a:prstTxWarp prst="textNoShape">
                                  <a:avLst/>
                                </a:prstTxWarp>
                                <a:noAutofit/>
                              </wps:bodyPr>
                            </wps:wsp>
                            <wps:wsp>
                              <wps:cNvPr id="75" name="Graphic 75"/>
                              <wps:cNvSpPr/>
                              <wps:spPr>
                                <a:xfrm>
                                  <a:off x="4473130" y="2057209"/>
                                  <a:ext cx="32384" cy="1270"/>
                                </a:xfrm>
                                <a:custGeom>
                                  <a:avLst/>
                                  <a:gdLst/>
                                  <a:ahLst/>
                                  <a:cxnLst/>
                                  <a:rect l="l" t="t" r="r" b="b"/>
                                  <a:pathLst>
                                    <a:path w="32384" h="0">
                                      <a:moveTo>
                                        <a:pt x="0" y="0"/>
                                      </a:moveTo>
                                      <a:lnTo>
                                        <a:pt x="31908" y="0"/>
                                      </a:lnTo>
                                    </a:path>
                                  </a:pathLst>
                                </a:custGeom>
                                <a:ln w="4762">
                                  <a:solidFill>
                                    <a:srgbClr val="008000"/>
                                  </a:solidFill>
                                  <a:prstDash val="solid"/>
                                </a:ln>
                              </wps:spPr>
                              <wps:bodyPr wrap="square" lIns="0" tIns="0" rIns="0" bIns="0" rtlCol="0">
                                <a:prstTxWarp prst="textNoShape">
                                  <a:avLst/>
                                </a:prstTxWarp>
                                <a:noAutofit/>
                              </wps:bodyPr>
                            </wps:wsp>
                            <wps:wsp>
                              <wps:cNvPr id="76" name="Graphic 76"/>
                              <wps:cNvSpPr/>
                              <wps:spPr>
                                <a:xfrm>
                                  <a:off x="4472940" y="2057400"/>
                                  <a:ext cx="32384" cy="7620"/>
                                </a:xfrm>
                                <a:custGeom>
                                  <a:avLst/>
                                  <a:gdLst/>
                                  <a:ahLst/>
                                  <a:cxnLst/>
                                  <a:rect l="l" t="t" r="r" b="b"/>
                                  <a:pathLst>
                                    <a:path w="32384" h="7620">
                                      <a:moveTo>
                                        <a:pt x="32004" y="7620"/>
                                      </a:moveTo>
                                      <a:lnTo>
                                        <a:pt x="0" y="7620"/>
                                      </a:lnTo>
                                      <a:lnTo>
                                        <a:pt x="0" y="0"/>
                                      </a:lnTo>
                                      <a:lnTo>
                                        <a:pt x="32004" y="0"/>
                                      </a:lnTo>
                                      <a:lnTo>
                                        <a:pt x="32004" y="7620"/>
                                      </a:lnTo>
                                      <a:close/>
                                    </a:path>
                                  </a:pathLst>
                                </a:custGeom>
                                <a:solidFill>
                                  <a:srgbClr val="008000"/>
                                </a:solidFill>
                              </wps:spPr>
                              <wps:bodyPr wrap="square" lIns="0" tIns="0" rIns="0" bIns="0" rtlCol="0">
                                <a:prstTxWarp prst="textNoShape">
                                  <a:avLst/>
                                </a:prstTxWarp>
                                <a:noAutofit/>
                              </wps:bodyPr>
                            </wps:wsp>
                            <wps:wsp>
                              <wps:cNvPr id="77" name="Graphic 77"/>
                              <wps:cNvSpPr/>
                              <wps:spPr>
                                <a:xfrm>
                                  <a:off x="4473130" y="2065210"/>
                                  <a:ext cx="24130" cy="1270"/>
                                </a:xfrm>
                                <a:custGeom>
                                  <a:avLst/>
                                  <a:gdLst/>
                                  <a:ahLst/>
                                  <a:cxnLst/>
                                  <a:rect l="l" t="t" r="r" b="b"/>
                                  <a:pathLst>
                                    <a:path w="24130" h="0">
                                      <a:moveTo>
                                        <a:pt x="0" y="0"/>
                                      </a:moveTo>
                                      <a:lnTo>
                                        <a:pt x="23907" y="0"/>
                                      </a:lnTo>
                                    </a:path>
                                  </a:pathLst>
                                </a:custGeom>
                                <a:ln w="4762">
                                  <a:solidFill>
                                    <a:srgbClr val="008000"/>
                                  </a:solidFill>
                                  <a:prstDash val="solid"/>
                                </a:ln>
                              </wps:spPr>
                              <wps:bodyPr wrap="square" lIns="0" tIns="0" rIns="0" bIns="0" rtlCol="0">
                                <a:prstTxWarp prst="textNoShape">
                                  <a:avLst/>
                                </a:prstTxWarp>
                                <a:noAutofit/>
                              </wps:bodyPr>
                            </wps:wsp>
                            <wps:wsp>
                              <wps:cNvPr id="78" name="Graphic 78"/>
                              <wps:cNvSpPr/>
                              <wps:spPr>
                                <a:xfrm>
                                  <a:off x="4472940" y="2065020"/>
                                  <a:ext cx="24765" cy="7620"/>
                                </a:xfrm>
                                <a:custGeom>
                                  <a:avLst/>
                                  <a:gdLst/>
                                  <a:ahLst/>
                                  <a:cxnLst/>
                                  <a:rect l="l" t="t" r="r" b="b"/>
                                  <a:pathLst>
                                    <a:path w="24765" h="7620">
                                      <a:moveTo>
                                        <a:pt x="24384" y="7620"/>
                                      </a:moveTo>
                                      <a:lnTo>
                                        <a:pt x="0" y="7620"/>
                                      </a:lnTo>
                                      <a:lnTo>
                                        <a:pt x="0" y="0"/>
                                      </a:lnTo>
                                      <a:lnTo>
                                        <a:pt x="24384" y="0"/>
                                      </a:lnTo>
                                      <a:lnTo>
                                        <a:pt x="24384" y="7620"/>
                                      </a:lnTo>
                                      <a:close/>
                                    </a:path>
                                  </a:pathLst>
                                </a:custGeom>
                                <a:solidFill>
                                  <a:srgbClr val="008000"/>
                                </a:solidFill>
                              </wps:spPr>
                              <wps:bodyPr wrap="square" lIns="0" tIns="0" rIns="0" bIns="0" rtlCol="0">
                                <a:prstTxWarp prst="textNoShape">
                                  <a:avLst/>
                                </a:prstTxWarp>
                                <a:noAutofit/>
                              </wps:bodyPr>
                            </wps:wsp>
                            <wps:wsp>
                              <wps:cNvPr id="79" name="Graphic 79"/>
                              <wps:cNvSpPr/>
                              <wps:spPr>
                                <a:xfrm>
                                  <a:off x="4473130" y="2073211"/>
                                  <a:ext cx="16510" cy="1270"/>
                                </a:xfrm>
                                <a:custGeom>
                                  <a:avLst/>
                                  <a:gdLst/>
                                  <a:ahLst/>
                                  <a:cxnLst/>
                                  <a:rect l="l" t="t" r="r" b="b"/>
                                  <a:pathLst>
                                    <a:path w="16510" h="0">
                                      <a:moveTo>
                                        <a:pt x="0" y="0"/>
                                      </a:moveTo>
                                      <a:lnTo>
                                        <a:pt x="16002" y="0"/>
                                      </a:lnTo>
                                    </a:path>
                                  </a:pathLst>
                                </a:custGeom>
                                <a:ln w="4762">
                                  <a:solidFill>
                                    <a:srgbClr val="008000"/>
                                  </a:solidFill>
                                  <a:prstDash val="solid"/>
                                </a:ln>
                              </wps:spPr>
                              <wps:bodyPr wrap="square" lIns="0" tIns="0" rIns="0" bIns="0" rtlCol="0">
                                <a:prstTxWarp prst="textNoShape">
                                  <a:avLst/>
                                </a:prstTxWarp>
                                <a:noAutofit/>
                              </wps:bodyPr>
                            </wps:wsp>
                            <wps:wsp>
                              <wps:cNvPr id="80" name="Graphic 80"/>
                              <wps:cNvSpPr/>
                              <wps:spPr>
                                <a:xfrm>
                                  <a:off x="4472940" y="2072639"/>
                                  <a:ext cx="17145" cy="9525"/>
                                </a:xfrm>
                                <a:custGeom>
                                  <a:avLst/>
                                  <a:gdLst/>
                                  <a:ahLst/>
                                  <a:cxnLst/>
                                  <a:rect l="l" t="t" r="r" b="b"/>
                                  <a:pathLst>
                                    <a:path w="17145" h="9525">
                                      <a:moveTo>
                                        <a:pt x="16764" y="9144"/>
                                      </a:moveTo>
                                      <a:lnTo>
                                        <a:pt x="0" y="9144"/>
                                      </a:lnTo>
                                      <a:lnTo>
                                        <a:pt x="0" y="0"/>
                                      </a:lnTo>
                                      <a:lnTo>
                                        <a:pt x="16764" y="0"/>
                                      </a:lnTo>
                                      <a:lnTo>
                                        <a:pt x="16764" y="9144"/>
                                      </a:lnTo>
                                      <a:close/>
                                    </a:path>
                                  </a:pathLst>
                                </a:custGeom>
                                <a:solidFill>
                                  <a:srgbClr val="008000"/>
                                </a:solidFill>
                              </wps:spPr>
                              <wps:bodyPr wrap="square" lIns="0" tIns="0" rIns="0" bIns="0" rtlCol="0">
                                <a:prstTxWarp prst="textNoShape">
                                  <a:avLst/>
                                </a:prstTxWarp>
                                <a:noAutofit/>
                              </wps:bodyPr>
                            </wps:wsp>
                            <wps:wsp>
                              <wps:cNvPr id="81" name="Graphic 81"/>
                              <wps:cNvSpPr/>
                              <wps:spPr>
                                <a:xfrm>
                                  <a:off x="4473130" y="2081117"/>
                                  <a:ext cx="8255" cy="1270"/>
                                </a:xfrm>
                                <a:custGeom>
                                  <a:avLst/>
                                  <a:gdLst/>
                                  <a:ahLst/>
                                  <a:cxnLst/>
                                  <a:rect l="l" t="t" r="r" b="b"/>
                                  <a:pathLst>
                                    <a:path w="8255" h="0">
                                      <a:moveTo>
                                        <a:pt x="0" y="0"/>
                                      </a:moveTo>
                                      <a:lnTo>
                                        <a:pt x="8001" y="0"/>
                                      </a:lnTo>
                                    </a:path>
                                  </a:pathLst>
                                </a:custGeom>
                                <a:ln w="4762">
                                  <a:solidFill>
                                    <a:srgbClr val="008000"/>
                                  </a:solidFill>
                                  <a:prstDash val="solid"/>
                                </a:ln>
                              </wps:spPr>
                              <wps:bodyPr wrap="square" lIns="0" tIns="0" rIns="0" bIns="0" rtlCol="0">
                                <a:prstTxWarp prst="textNoShape">
                                  <a:avLst/>
                                </a:prstTxWarp>
                                <a:noAutofit/>
                              </wps:bodyPr>
                            </wps:wsp>
                            <wps:wsp>
                              <wps:cNvPr id="82" name="Graphic 82"/>
                              <wps:cNvSpPr/>
                              <wps:spPr>
                                <a:xfrm>
                                  <a:off x="4472940" y="2081783"/>
                                  <a:ext cx="7620" cy="7620"/>
                                </a:xfrm>
                                <a:custGeom>
                                  <a:avLst/>
                                  <a:gdLst/>
                                  <a:ahLst/>
                                  <a:cxnLst/>
                                  <a:rect l="l" t="t" r="r" b="b"/>
                                  <a:pathLst>
                                    <a:path w="7620" h="7620">
                                      <a:moveTo>
                                        <a:pt x="7620" y="7620"/>
                                      </a:moveTo>
                                      <a:lnTo>
                                        <a:pt x="0" y="7620"/>
                                      </a:lnTo>
                                      <a:lnTo>
                                        <a:pt x="0" y="0"/>
                                      </a:lnTo>
                                      <a:lnTo>
                                        <a:pt x="7620" y="0"/>
                                      </a:lnTo>
                                      <a:lnTo>
                                        <a:pt x="7620" y="7620"/>
                                      </a:lnTo>
                                      <a:close/>
                                    </a:path>
                                  </a:pathLst>
                                </a:custGeom>
                                <a:solidFill>
                                  <a:srgbClr val="008000"/>
                                </a:solidFill>
                              </wps:spPr>
                              <wps:bodyPr wrap="square" lIns="0" tIns="0" rIns="0" bIns="0" rtlCol="0">
                                <a:prstTxWarp prst="textNoShape">
                                  <a:avLst/>
                                </a:prstTxWarp>
                                <a:noAutofit/>
                              </wps:bodyPr>
                            </wps:wsp>
                            <wps:wsp>
                              <wps:cNvPr id="83" name="Graphic 83"/>
                              <wps:cNvSpPr/>
                              <wps:spPr>
                                <a:xfrm>
                                  <a:off x="4473130" y="7367778"/>
                                  <a:ext cx="40005" cy="1270"/>
                                </a:xfrm>
                                <a:custGeom>
                                  <a:avLst/>
                                  <a:gdLst/>
                                  <a:ahLst/>
                                  <a:cxnLst/>
                                  <a:rect l="l" t="t" r="r" b="b"/>
                                  <a:pathLst>
                                    <a:path w="40005" h="0">
                                      <a:moveTo>
                                        <a:pt x="0" y="0"/>
                                      </a:moveTo>
                                      <a:lnTo>
                                        <a:pt x="39909" y="0"/>
                                      </a:lnTo>
                                    </a:path>
                                  </a:pathLst>
                                </a:custGeom>
                                <a:ln w="4762">
                                  <a:solidFill>
                                    <a:srgbClr val="008000"/>
                                  </a:solidFill>
                                  <a:prstDash val="solid"/>
                                </a:ln>
                              </wps:spPr>
                              <wps:bodyPr wrap="square" lIns="0" tIns="0" rIns="0" bIns="0" rtlCol="0">
                                <a:prstTxWarp prst="textNoShape">
                                  <a:avLst/>
                                </a:prstTxWarp>
                                <a:noAutofit/>
                              </wps:bodyPr>
                            </wps:wsp>
                            <wps:wsp>
                              <wps:cNvPr id="84" name="Graphic 84"/>
                              <wps:cNvSpPr/>
                              <wps:spPr>
                                <a:xfrm>
                                  <a:off x="4472940" y="7368540"/>
                                  <a:ext cx="40005" cy="7620"/>
                                </a:xfrm>
                                <a:custGeom>
                                  <a:avLst/>
                                  <a:gdLst/>
                                  <a:ahLst/>
                                  <a:cxnLst/>
                                  <a:rect l="l" t="t" r="r" b="b"/>
                                  <a:pathLst>
                                    <a:path w="40005" h="7620">
                                      <a:moveTo>
                                        <a:pt x="39624" y="7620"/>
                                      </a:moveTo>
                                      <a:lnTo>
                                        <a:pt x="0" y="7620"/>
                                      </a:lnTo>
                                      <a:lnTo>
                                        <a:pt x="0" y="0"/>
                                      </a:lnTo>
                                      <a:lnTo>
                                        <a:pt x="39624" y="0"/>
                                      </a:lnTo>
                                      <a:lnTo>
                                        <a:pt x="39624" y="7620"/>
                                      </a:lnTo>
                                      <a:close/>
                                    </a:path>
                                  </a:pathLst>
                                </a:custGeom>
                                <a:solidFill>
                                  <a:srgbClr val="008000"/>
                                </a:solidFill>
                              </wps:spPr>
                              <wps:bodyPr wrap="square" lIns="0" tIns="0" rIns="0" bIns="0" rtlCol="0">
                                <a:prstTxWarp prst="textNoShape">
                                  <a:avLst/>
                                </a:prstTxWarp>
                                <a:noAutofit/>
                              </wps:bodyPr>
                            </wps:wsp>
                            <wps:wsp>
                              <wps:cNvPr id="85" name="Graphic 85"/>
                              <wps:cNvSpPr/>
                              <wps:spPr>
                                <a:xfrm>
                                  <a:off x="4473130" y="7375683"/>
                                  <a:ext cx="32384" cy="1270"/>
                                </a:xfrm>
                                <a:custGeom>
                                  <a:avLst/>
                                  <a:gdLst/>
                                  <a:ahLst/>
                                  <a:cxnLst/>
                                  <a:rect l="l" t="t" r="r" b="b"/>
                                  <a:pathLst>
                                    <a:path w="32384" h="0">
                                      <a:moveTo>
                                        <a:pt x="0" y="0"/>
                                      </a:moveTo>
                                      <a:lnTo>
                                        <a:pt x="31908" y="0"/>
                                      </a:lnTo>
                                    </a:path>
                                  </a:pathLst>
                                </a:custGeom>
                                <a:ln w="4762">
                                  <a:solidFill>
                                    <a:srgbClr val="008000"/>
                                  </a:solidFill>
                                  <a:prstDash val="solid"/>
                                </a:ln>
                              </wps:spPr>
                              <wps:bodyPr wrap="square" lIns="0" tIns="0" rIns="0" bIns="0" rtlCol="0">
                                <a:prstTxWarp prst="textNoShape">
                                  <a:avLst/>
                                </a:prstTxWarp>
                                <a:noAutofit/>
                              </wps:bodyPr>
                            </wps:wsp>
                            <wps:wsp>
                              <wps:cNvPr id="86" name="Graphic 86"/>
                              <wps:cNvSpPr/>
                              <wps:spPr>
                                <a:xfrm>
                                  <a:off x="4472940" y="7376159"/>
                                  <a:ext cx="32384" cy="7620"/>
                                </a:xfrm>
                                <a:custGeom>
                                  <a:avLst/>
                                  <a:gdLst/>
                                  <a:ahLst/>
                                  <a:cxnLst/>
                                  <a:rect l="l" t="t" r="r" b="b"/>
                                  <a:pathLst>
                                    <a:path w="32384" h="7620">
                                      <a:moveTo>
                                        <a:pt x="32004" y="7620"/>
                                      </a:moveTo>
                                      <a:lnTo>
                                        <a:pt x="0" y="7620"/>
                                      </a:lnTo>
                                      <a:lnTo>
                                        <a:pt x="0" y="0"/>
                                      </a:lnTo>
                                      <a:lnTo>
                                        <a:pt x="32004" y="0"/>
                                      </a:lnTo>
                                      <a:lnTo>
                                        <a:pt x="32004" y="7620"/>
                                      </a:lnTo>
                                      <a:close/>
                                    </a:path>
                                  </a:pathLst>
                                </a:custGeom>
                                <a:solidFill>
                                  <a:srgbClr val="008000"/>
                                </a:solidFill>
                              </wps:spPr>
                              <wps:bodyPr wrap="square" lIns="0" tIns="0" rIns="0" bIns="0" rtlCol="0">
                                <a:prstTxWarp prst="textNoShape">
                                  <a:avLst/>
                                </a:prstTxWarp>
                                <a:noAutofit/>
                              </wps:bodyPr>
                            </wps:wsp>
                            <wps:wsp>
                              <wps:cNvPr id="87" name="Graphic 87"/>
                              <wps:cNvSpPr/>
                              <wps:spPr>
                                <a:xfrm>
                                  <a:off x="4473130" y="7383684"/>
                                  <a:ext cx="24130" cy="1270"/>
                                </a:xfrm>
                                <a:custGeom>
                                  <a:avLst/>
                                  <a:gdLst/>
                                  <a:ahLst/>
                                  <a:cxnLst/>
                                  <a:rect l="l" t="t" r="r" b="b"/>
                                  <a:pathLst>
                                    <a:path w="24130" h="0">
                                      <a:moveTo>
                                        <a:pt x="0" y="0"/>
                                      </a:moveTo>
                                      <a:lnTo>
                                        <a:pt x="23907" y="0"/>
                                      </a:lnTo>
                                    </a:path>
                                  </a:pathLst>
                                </a:custGeom>
                                <a:ln w="4762">
                                  <a:solidFill>
                                    <a:srgbClr val="008000"/>
                                  </a:solidFill>
                                  <a:prstDash val="solid"/>
                                </a:ln>
                              </wps:spPr>
                              <wps:bodyPr wrap="square" lIns="0" tIns="0" rIns="0" bIns="0" rtlCol="0">
                                <a:prstTxWarp prst="textNoShape">
                                  <a:avLst/>
                                </a:prstTxWarp>
                                <a:noAutofit/>
                              </wps:bodyPr>
                            </wps:wsp>
                            <wps:wsp>
                              <wps:cNvPr id="88" name="Graphic 88"/>
                              <wps:cNvSpPr/>
                              <wps:spPr>
                                <a:xfrm>
                                  <a:off x="4472940" y="7383780"/>
                                  <a:ext cx="24765" cy="7620"/>
                                </a:xfrm>
                                <a:custGeom>
                                  <a:avLst/>
                                  <a:gdLst/>
                                  <a:ahLst/>
                                  <a:cxnLst/>
                                  <a:rect l="l" t="t" r="r" b="b"/>
                                  <a:pathLst>
                                    <a:path w="24765" h="7620">
                                      <a:moveTo>
                                        <a:pt x="24384" y="7620"/>
                                      </a:moveTo>
                                      <a:lnTo>
                                        <a:pt x="0" y="7620"/>
                                      </a:lnTo>
                                      <a:lnTo>
                                        <a:pt x="0" y="0"/>
                                      </a:lnTo>
                                      <a:lnTo>
                                        <a:pt x="24384" y="0"/>
                                      </a:lnTo>
                                      <a:lnTo>
                                        <a:pt x="24384" y="7620"/>
                                      </a:lnTo>
                                      <a:close/>
                                    </a:path>
                                  </a:pathLst>
                                </a:custGeom>
                                <a:solidFill>
                                  <a:srgbClr val="008000"/>
                                </a:solidFill>
                              </wps:spPr>
                              <wps:bodyPr wrap="square" lIns="0" tIns="0" rIns="0" bIns="0" rtlCol="0">
                                <a:prstTxWarp prst="textNoShape">
                                  <a:avLst/>
                                </a:prstTxWarp>
                                <a:noAutofit/>
                              </wps:bodyPr>
                            </wps:wsp>
                            <wps:wsp>
                              <wps:cNvPr id="89" name="Graphic 89"/>
                              <wps:cNvSpPr/>
                              <wps:spPr>
                                <a:xfrm>
                                  <a:off x="4473130" y="7391686"/>
                                  <a:ext cx="16510" cy="1270"/>
                                </a:xfrm>
                                <a:custGeom>
                                  <a:avLst/>
                                  <a:gdLst/>
                                  <a:ahLst/>
                                  <a:cxnLst/>
                                  <a:rect l="l" t="t" r="r" b="b"/>
                                  <a:pathLst>
                                    <a:path w="16510" h="0">
                                      <a:moveTo>
                                        <a:pt x="0" y="0"/>
                                      </a:moveTo>
                                      <a:lnTo>
                                        <a:pt x="16002" y="0"/>
                                      </a:lnTo>
                                    </a:path>
                                  </a:pathLst>
                                </a:custGeom>
                                <a:ln w="4762">
                                  <a:solidFill>
                                    <a:srgbClr val="008000"/>
                                  </a:solidFill>
                                  <a:prstDash val="solid"/>
                                </a:ln>
                              </wps:spPr>
                              <wps:bodyPr wrap="square" lIns="0" tIns="0" rIns="0" bIns="0" rtlCol="0">
                                <a:prstTxWarp prst="textNoShape">
                                  <a:avLst/>
                                </a:prstTxWarp>
                                <a:noAutofit/>
                              </wps:bodyPr>
                            </wps:wsp>
                            <wps:wsp>
                              <wps:cNvPr id="90" name="Graphic 90"/>
                              <wps:cNvSpPr/>
                              <wps:spPr>
                                <a:xfrm>
                                  <a:off x="4472940" y="7391400"/>
                                  <a:ext cx="17145" cy="7620"/>
                                </a:xfrm>
                                <a:custGeom>
                                  <a:avLst/>
                                  <a:gdLst/>
                                  <a:ahLst/>
                                  <a:cxnLst/>
                                  <a:rect l="l" t="t" r="r" b="b"/>
                                  <a:pathLst>
                                    <a:path w="17145" h="7620">
                                      <a:moveTo>
                                        <a:pt x="16764" y="7620"/>
                                      </a:moveTo>
                                      <a:lnTo>
                                        <a:pt x="0" y="7620"/>
                                      </a:lnTo>
                                      <a:lnTo>
                                        <a:pt x="0" y="0"/>
                                      </a:lnTo>
                                      <a:lnTo>
                                        <a:pt x="16764" y="0"/>
                                      </a:lnTo>
                                      <a:lnTo>
                                        <a:pt x="16764" y="7620"/>
                                      </a:lnTo>
                                      <a:close/>
                                    </a:path>
                                  </a:pathLst>
                                </a:custGeom>
                                <a:solidFill>
                                  <a:srgbClr val="008000"/>
                                </a:solidFill>
                              </wps:spPr>
                              <wps:bodyPr wrap="square" lIns="0" tIns="0" rIns="0" bIns="0" rtlCol="0">
                                <a:prstTxWarp prst="textNoShape">
                                  <a:avLst/>
                                </a:prstTxWarp>
                                <a:noAutofit/>
                              </wps:bodyPr>
                            </wps:wsp>
                            <wps:wsp>
                              <wps:cNvPr id="91" name="Graphic 91"/>
                              <wps:cNvSpPr/>
                              <wps:spPr>
                                <a:xfrm>
                                  <a:off x="4473130" y="7399591"/>
                                  <a:ext cx="8255" cy="1270"/>
                                </a:xfrm>
                                <a:custGeom>
                                  <a:avLst/>
                                  <a:gdLst/>
                                  <a:ahLst/>
                                  <a:cxnLst/>
                                  <a:rect l="l" t="t" r="r" b="b"/>
                                  <a:pathLst>
                                    <a:path w="8255" h="0">
                                      <a:moveTo>
                                        <a:pt x="0" y="0"/>
                                      </a:moveTo>
                                      <a:lnTo>
                                        <a:pt x="8001" y="0"/>
                                      </a:lnTo>
                                    </a:path>
                                  </a:pathLst>
                                </a:custGeom>
                                <a:ln w="4762">
                                  <a:solidFill>
                                    <a:srgbClr val="008000"/>
                                  </a:solidFill>
                                  <a:prstDash val="solid"/>
                                </a:ln>
                              </wps:spPr>
                              <wps:bodyPr wrap="square" lIns="0" tIns="0" rIns="0" bIns="0" rtlCol="0">
                                <a:prstTxWarp prst="textNoShape">
                                  <a:avLst/>
                                </a:prstTxWarp>
                                <a:noAutofit/>
                              </wps:bodyPr>
                            </wps:wsp>
                            <wps:wsp>
                              <wps:cNvPr id="92" name="Graphic 92"/>
                              <wps:cNvSpPr/>
                              <wps:spPr>
                                <a:xfrm>
                                  <a:off x="4472940" y="7399019"/>
                                  <a:ext cx="7620" cy="9525"/>
                                </a:xfrm>
                                <a:custGeom>
                                  <a:avLst/>
                                  <a:gdLst/>
                                  <a:ahLst/>
                                  <a:cxnLst/>
                                  <a:rect l="l" t="t" r="r" b="b"/>
                                  <a:pathLst>
                                    <a:path w="7620" h="9525">
                                      <a:moveTo>
                                        <a:pt x="7620" y="9144"/>
                                      </a:moveTo>
                                      <a:lnTo>
                                        <a:pt x="0" y="9144"/>
                                      </a:lnTo>
                                      <a:lnTo>
                                        <a:pt x="0" y="0"/>
                                      </a:lnTo>
                                      <a:lnTo>
                                        <a:pt x="7620" y="0"/>
                                      </a:lnTo>
                                      <a:lnTo>
                                        <a:pt x="7620" y="9144"/>
                                      </a:lnTo>
                                      <a:close/>
                                    </a:path>
                                  </a:pathLst>
                                </a:custGeom>
                                <a:solidFill>
                                  <a:srgbClr val="008000"/>
                                </a:solidFill>
                              </wps:spPr>
                              <wps:bodyPr wrap="square" lIns="0" tIns="0" rIns="0" bIns="0" rtlCol="0">
                                <a:prstTxWarp prst="textNoShape">
                                  <a:avLst/>
                                </a:prstTxWarp>
                                <a:noAutofit/>
                              </wps:bodyPr>
                            </wps:wsp>
                            <wps:wsp>
                              <wps:cNvPr id="93" name="Graphic 93"/>
                              <wps:cNvSpPr/>
                              <wps:spPr>
                                <a:xfrm>
                                  <a:off x="7620" y="0"/>
                                  <a:ext cx="5390515" cy="7620"/>
                                </a:xfrm>
                                <a:custGeom>
                                  <a:avLst/>
                                  <a:gdLst/>
                                  <a:ahLst/>
                                  <a:cxnLst/>
                                  <a:rect l="l" t="t" r="r" b="b"/>
                                  <a:pathLst>
                                    <a:path w="5390515" h="7620">
                                      <a:moveTo>
                                        <a:pt x="5390387" y="7620"/>
                                      </a:moveTo>
                                      <a:lnTo>
                                        <a:pt x="0" y="7620"/>
                                      </a:lnTo>
                                      <a:lnTo>
                                        <a:pt x="0" y="0"/>
                                      </a:lnTo>
                                      <a:lnTo>
                                        <a:pt x="5390387" y="0"/>
                                      </a:lnTo>
                                      <a:lnTo>
                                        <a:pt x="5390387" y="762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8001" y="151542"/>
                                  <a:ext cx="5390515" cy="1270"/>
                                </a:xfrm>
                                <a:custGeom>
                                  <a:avLst/>
                                  <a:gdLst/>
                                  <a:ahLst/>
                                  <a:cxnLst/>
                                  <a:rect l="l" t="t" r="r" b="b"/>
                                  <a:pathLst>
                                    <a:path w="5390515" h="0">
                                      <a:moveTo>
                                        <a:pt x="0" y="0"/>
                                      </a:moveTo>
                                      <a:lnTo>
                                        <a:pt x="5390102" y="0"/>
                                      </a:lnTo>
                                    </a:path>
                                  </a:pathLst>
                                </a:custGeom>
                                <a:ln w="4762">
                                  <a:solidFill>
                                    <a:srgbClr val="000000"/>
                                  </a:solidFill>
                                  <a:prstDash val="solid"/>
                                </a:ln>
                              </wps:spPr>
                              <wps:bodyPr wrap="square" lIns="0" tIns="0" rIns="0" bIns="0" rtlCol="0">
                                <a:prstTxWarp prst="textNoShape">
                                  <a:avLst/>
                                </a:prstTxWarp>
                                <a:noAutofit/>
                              </wps:bodyPr>
                            </wps:wsp>
                            <wps:wsp>
                              <wps:cNvPr id="95" name="Graphic 95"/>
                              <wps:cNvSpPr/>
                              <wps:spPr>
                                <a:xfrm>
                                  <a:off x="7620" y="150876"/>
                                  <a:ext cx="5390515" cy="9525"/>
                                </a:xfrm>
                                <a:custGeom>
                                  <a:avLst/>
                                  <a:gdLst/>
                                  <a:ahLst/>
                                  <a:cxnLst/>
                                  <a:rect l="l" t="t" r="r" b="b"/>
                                  <a:pathLst>
                                    <a:path w="5390515" h="9525">
                                      <a:moveTo>
                                        <a:pt x="5390387" y="9144"/>
                                      </a:moveTo>
                                      <a:lnTo>
                                        <a:pt x="0" y="9144"/>
                                      </a:lnTo>
                                      <a:lnTo>
                                        <a:pt x="0" y="0"/>
                                      </a:lnTo>
                                      <a:lnTo>
                                        <a:pt x="5390387" y="0"/>
                                      </a:lnTo>
                                      <a:lnTo>
                                        <a:pt x="5390387" y="9144"/>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548253" y="3875246"/>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97" name="Graphic 97"/>
                              <wps:cNvSpPr/>
                              <wps:spPr>
                                <a:xfrm>
                                  <a:off x="3547872" y="3875532"/>
                                  <a:ext cx="1850389" cy="7620"/>
                                </a:xfrm>
                                <a:custGeom>
                                  <a:avLst/>
                                  <a:gdLst/>
                                  <a:ahLst/>
                                  <a:cxnLst/>
                                  <a:rect l="l" t="t" r="r" b="b"/>
                                  <a:pathLst>
                                    <a:path w="1850389" h="7620">
                                      <a:moveTo>
                                        <a:pt x="1850136" y="7620"/>
                                      </a:moveTo>
                                      <a:lnTo>
                                        <a:pt x="0" y="7620"/>
                                      </a:lnTo>
                                      <a:lnTo>
                                        <a:pt x="0" y="0"/>
                                      </a:lnTo>
                                      <a:lnTo>
                                        <a:pt x="1850136" y="0"/>
                                      </a:lnTo>
                                      <a:lnTo>
                                        <a:pt x="1850136" y="762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548253" y="4026789"/>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99" name="Graphic 99"/>
                              <wps:cNvSpPr/>
                              <wps:spPr>
                                <a:xfrm>
                                  <a:off x="3547872" y="4026408"/>
                                  <a:ext cx="1850389" cy="7620"/>
                                </a:xfrm>
                                <a:custGeom>
                                  <a:avLst/>
                                  <a:gdLst/>
                                  <a:ahLst/>
                                  <a:cxnLst/>
                                  <a:rect l="l" t="t" r="r" b="b"/>
                                  <a:pathLst>
                                    <a:path w="1850389" h="7620">
                                      <a:moveTo>
                                        <a:pt x="1850136" y="7620"/>
                                      </a:moveTo>
                                      <a:lnTo>
                                        <a:pt x="0" y="7620"/>
                                      </a:lnTo>
                                      <a:lnTo>
                                        <a:pt x="0" y="0"/>
                                      </a:lnTo>
                                      <a:lnTo>
                                        <a:pt x="1850136" y="0"/>
                                      </a:lnTo>
                                      <a:lnTo>
                                        <a:pt x="1850136" y="762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548253" y="5087207"/>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101" name="Graphic 101"/>
                              <wps:cNvSpPr/>
                              <wps:spPr>
                                <a:xfrm>
                                  <a:off x="3547872" y="5087111"/>
                                  <a:ext cx="1850389" cy="7620"/>
                                </a:xfrm>
                                <a:custGeom>
                                  <a:avLst/>
                                  <a:gdLst/>
                                  <a:ahLst/>
                                  <a:cxnLst/>
                                  <a:rect l="l" t="t" r="r" b="b"/>
                                  <a:pathLst>
                                    <a:path w="1850389" h="7620">
                                      <a:moveTo>
                                        <a:pt x="1850136" y="7620"/>
                                      </a:moveTo>
                                      <a:lnTo>
                                        <a:pt x="0" y="7620"/>
                                      </a:lnTo>
                                      <a:lnTo>
                                        <a:pt x="0" y="0"/>
                                      </a:lnTo>
                                      <a:lnTo>
                                        <a:pt x="1850136" y="0"/>
                                      </a:lnTo>
                                      <a:lnTo>
                                        <a:pt x="1850136" y="762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548253" y="5238750"/>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103" name="Graphic 103"/>
                              <wps:cNvSpPr/>
                              <wps:spPr>
                                <a:xfrm>
                                  <a:off x="3547872" y="5239511"/>
                                  <a:ext cx="1850389" cy="7620"/>
                                </a:xfrm>
                                <a:custGeom>
                                  <a:avLst/>
                                  <a:gdLst/>
                                  <a:ahLst/>
                                  <a:cxnLst/>
                                  <a:rect l="l" t="t" r="r" b="b"/>
                                  <a:pathLst>
                                    <a:path w="1850389" h="7620">
                                      <a:moveTo>
                                        <a:pt x="1850136" y="7620"/>
                                      </a:moveTo>
                                      <a:lnTo>
                                        <a:pt x="0" y="7620"/>
                                      </a:lnTo>
                                      <a:lnTo>
                                        <a:pt x="0" y="0"/>
                                      </a:lnTo>
                                      <a:lnTo>
                                        <a:pt x="1850136" y="0"/>
                                      </a:lnTo>
                                      <a:lnTo>
                                        <a:pt x="1850136" y="762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548253" y="7965757"/>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105" name="Graphic 105"/>
                              <wps:cNvSpPr/>
                              <wps:spPr>
                                <a:xfrm>
                                  <a:off x="3547872" y="7965947"/>
                                  <a:ext cx="1850389" cy="7620"/>
                                </a:xfrm>
                                <a:custGeom>
                                  <a:avLst/>
                                  <a:gdLst/>
                                  <a:ahLst/>
                                  <a:cxnLst/>
                                  <a:rect l="l" t="t" r="r" b="b"/>
                                  <a:pathLst>
                                    <a:path w="1850389" h="7620">
                                      <a:moveTo>
                                        <a:pt x="1850136" y="7620"/>
                                      </a:moveTo>
                                      <a:lnTo>
                                        <a:pt x="0" y="7620"/>
                                      </a:lnTo>
                                      <a:lnTo>
                                        <a:pt x="0" y="0"/>
                                      </a:lnTo>
                                      <a:lnTo>
                                        <a:pt x="1850136" y="0"/>
                                      </a:lnTo>
                                      <a:lnTo>
                                        <a:pt x="1850136" y="762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548253" y="8117299"/>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107" name="Graphic 107"/>
                              <wps:cNvSpPr/>
                              <wps:spPr>
                                <a:xfrm>
                                  <a:off x="3547872" y="8116823"/>
                                  <a:ext cx="1850389" cy="9525"/>
                                </a:xfrm>
                                <a:custGeom>
                                  <a:avLst/>
                                  <a:gdLst/>
                                  <a:ahLst/>
                                  <a:cxnLst/>
                                  <a:rect l="l" t="t" r="r" b="b"/>
                                  <a:pathLst>
                                    <a:path w="1850389" h="9525">
                                      <a:moveTo>
                                        <a:pt x="1850136" y="9144"/>
                                      </a:moveTo>
                                      <a:lnTo>
                                        <a:pt x="0" y="9144"/>
                                      </a:lnTo>
                                      <a:lnTo>
                                        <a:pt x="0" y="0"/>
                                      </a:lnTo>
                                      <a:lnTo>
                                        <a:pt x="1850136" y="0"/>
                                      </a:lnTo>
                                      <a:lnTo>
                                        <a:pt x="1850136" y="9144"/>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3548253" y="8268747"/>
                                  <a:ext cx="1850389" cy="1270"/>
                                </a:xfrm>
                                <a:custGeom>
                                  <a:avLst/>
                                  <a:gdLst/>
                                  <a:ahLst/>
                                  <a:cxnLst/>
                                  <a:rect l="l" t="t" r="r" b="b"/>
                                  <a:pathLst>
                                    <a:path w="1850389" h="0">
                                      <a:moveTo>
                                        <a:pt x="0" y="0"/>
                                      </a:moveTo>
                                      <a:lnTo>
                                        <a:pt x="1849850" y="0"/>
                                      </a:lnTo>
                                    </a:path>
                                  </a:pathLst>
                                </a:custGeom>
                                <a:ln w="4762">
                                  <a:solidFill>
                                    <a:srgbClr val="000000"/>
                                  </a:solidFill>
                                  <a:prstDash val="solid"/>
                                </a:ln>
                              </wps:spPr>
                              <wps:bodyPr wrap="square" lIns="0" tIns="0" rIns="0" bIns="0" rtlCol="0">
                                <a:prstTxWarp prst="textNoShape">
                                  <a:avLst/>
                                </a:prstTxWarp>
                                <a:noAutofit/>
                              </wps:bodyPr>
                            </wps:wsp>
                            <wps:wsp>
                              <wps:cNvPr id="109" name="Graphic 109"/>
                              <wps:cNvSpPr/>
                              <wps:spPr>
                                <a:xfrm>
                                  <a:off x="-12" y="12"/>
                                  <a:ext cx="5398135" cy="8587740"/>
                                </a:xfrm>
                                <a:custGeom>
                                  <a:avLst/>
                                  <a:gdLst/>
                                  <a:ahLst/>
                                  <a:cxnLst/>
                                  <a:rect l="l" t="t" r="r" b="b"/>
                                  <a:pathLst>
                                    <a:path w="5398135" h="8587740">
                                      <a:moveTo>
                                        <a:pt x="7620" y="0"/>
                                      </a:moveTo>
                                      <a:lnTo>
                                        <a:pt x="0" y="0"/>
                                      </a:lnTo>
                                      <a:lnTo>
                                        <a:pt x="0" y="8587740"/>
                                      </a:lnTo>
                                      <a:lnTo>
                                        <a:pt x="7620" y="8587740"/>
                                      </a:lnTo>
                                      <a:lnTo>
                                        <a:pt x="7620" y="0"/>
                                      </a:lnTo>
                                      <a:close/>
                                    </a:path>
                                    <a:path w="5398135" h="8587740">
                                      <a:moveTo>
                                        <a:pt x="5398020" y="8269224"/>
                                      </a:moveTo>
                                      <a:lnTo>
                                        <a:pt x="3547884" y="8269224"/>
                                      </a:lnTo>
                                      <a:lnTo>
                                        <a:pt x="3547884" y="8276844"/>
                                      </a:lnTo>
                                      <a:lnTo>
                                        <a:pt x="5398020" y="8276844"/>
                                      </a:lnTo>
                                      <a:lnTo>
                                        <a:pt x="5398020" y="8269224"/>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197352" y="159448"/>
                                  <a:ext cx="1270" cy="8412480"/>
                                </a:xfrm>
                                <a:custGeom>
                                  <a:avLst/>
                                  <a:gdLst/>
                                  <a:ahLst/>
                                  <a:cxnLst/>
                                  <a:rect l="l" t="t" r="r" b="b"/>
                                  <a:pathLst>
                                    <a:path w="0" h="8412480">
                                      <a:moveTo>
                                        <a:pt x="0" y="0"/>
                                      </a:moveTo>
                                      <a:lnTo>
                                        <a:pt x="0" y="8412289"/>
                                      </a:lnTo>
                                    </a:path>
                                  </a:pathLst>
                                </a:custGeom>
                                <a:ln w="4762">
                                  <a:solidFill>
                                    <a:srgbClr val="000000"/>
                                  </a:solidFill>
                                  <a:prstDash val="solid"/>
                                </a:ln>
                              </wps:spPr>
                              <wps:bodyPr wrap="square" lIns="0" tIns="0" rIns="0" bIns="0" rtlCol="0">
                                <a:prstTxWarp prst="textNoShape">
                                  <a:avLst/>
                                </a:prstTxWarp>
                                <a:noAutofit/>
                              </wps:bodyPr>
                            </wps:wsp>
                            <wps:wsp>
                              <wps:cNvPr id="111" name="Graphic 111"/>
                              <wps:cNvSpPr/>
                              <wps:spPr>
                                <a:xfrm>
                                  <a:off x="3197352" y="160020"/>
                                  <a:ext cx="7620" cy="8412480"/>
                                </a:xfrm>
                                <a:custGeom>
                                  <a:avLst/>
                                  <a:gdLst/>
                                  <a:ahLst/>
                                  <a:cxnLst/>
                                  <a:rect l="l" t="t" r="r" b="b"/>
                                  <a:pathLst>
                                    <a:path w="7620" h="8412480">
                                      <a:moveTo>
                                        <a:pt x="7620" y="8412480"/>
                                      </a:moveTo>
                                      <a:lnTo>
                                        <a:pt x="0" y="8412480"/>
                                      </a:lnTo>
                                      <a:lnTo>
                                        <a:pt x="0" y="0"/>
                                      </a:lnTo>
                                      <a:lnTo>
                                        <a:pt x="7620" y="0"/>
                                      </a:lnTo>
                                      <a:lnTo>
                                        <a:pt x="7620" y="841248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3540252" y="8000"/>
                                  <a:ext cx="1270" cy="8564245"/>
                                </a:xfrm>
                                <a:custGeom>
                                  <a:avLst/>
                                  <a:gdLst/>
                                  <a:ahLst/>
                                  <a:cxnLst/>
                                  <a:rect l="l" t="t" r="r" b="b"/>
                                  <a:pathLst>
                                    <a:path w="0" h="8564245">
                                      <a:moveTo>
                                        <a:pt x="0" y="0"/>
                                      </a:moveTo>
                                      <a:lnTo>
                                        <a:pt x="0" y="8563737"/>
                                      </a:lnTo>
                                    </a:path>
                                  </a:pathLst>
                                </a:custGeom>
                                <a:ln w="4762">
                                  <a:solidFill>
                                    <a:srgbClr val="000000"/>
                                  </a:solidFill>
                                  <a:prstDash val="solid"/>
                                </a:ln>
                              </wps:spPr>
                              <wps:bodyPr wrap="square" lIns="0" tIns="0" rIns="0" bIns="0" rtlCol="0">
                                <a:prstTxWarp prst="textNoShape">
                                  <a:avLst/>
                                </a:prstTxWarp>
                                <a:noAutofit/>
                              </wps:bodyPr>
                            </wps:wsp>
                            <wps:wsp>
                              <wps:cNvPr id="113" name="Graphic 113"/>
                              <wps:cNvSpPr/>
                              <wps:spPr>
                                <a:xfrm>
                                  <a:off x="3540252" y="7620"/>
                                  <a:ext cx="7620" cy="8564880"/>
                                </a:xfrm>
                                <a:custGeom>
                                  <a:avLst/>
                                  <a:gdLst/>
                                  <a:ahLst/>
                                  <a:cxnLst/>
                                  <a:rect l="l" t="t" r="r" b="b"/>
                                  <a:pathLst>
                                    <a:path w="7620" h="8564880">
                                      <a:moveTo>
                                        <a:pt x="7620" y="8564880"/>
                                      </a:moveTo>
                                      <a:lnTo>
                                        <a:pt x="0" y="8564880"/>
                                      </a:lnTo>
                                      <a:lnTo>
                                        <a:pt x="0" y="0"/>
                                      </a:lnTo>
                                      <a:lnTo>
                                        <a:pt x="7620" y="0"/>
                                      </a:lnTo>
                                      <a:lnTo>
                                        <a:pt x="7620" y="856488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465224" y="8000"/>
                                  <a:ext cx="1270" cy="8564245"/>
                                </a:xfrm>
                                <a:custGeom>
                                  <a:avLst/>
                                  <a:gdLst/>
                                  <a:ahLst/>
                                  <a:cxnLst/>
                                  <a:rect l="l" t="t" r="r" b="b"/>
                                  <a:pathLst>
                                    <a:path w="0" h="8564245">
                                      <a:moveTo>
                                        <a:pt x="0" y="0"/>
                                      </a:moveTo>
                                      <a:lnTo>
                                        <a:pt x="0" y="8563737"/>
                                      </a:lnTo>
                                    </a:path>
                                  </a:pathLst>
                                </a:custGeom>
                                <a:ln w="4762">
                                  <a:solidFill>
                                    <a:srgbClr val="000000"/>
                                  </a:solidFill>
                                  <a:prstDash val="solid"/>
                                </a:ln>
                              </wps:spPr>
                              <wps:bodyPr wrap="square" lIns="0" tIns="0" rIns="0" bIns="0" rtlCol="0">
                                <a:prstTxWarp prst="textNoShape">
                                  <a:avLst/>
                                </a:prstTxWarp>
                                <a:noAutofit/>
                              </wps:bodyPr>
                            </wps:wsp>
                            <wps:wsp>
                              <wps:cNvPr id="115" name="Graphic 115"/>
                              <wps:cNvSpPr/>
                              <wps:spPr>
                                <a:xfrm>
                                  <a:off x="7620" y="7620"/>
                                  <a:ext cx="5390515" cy="8580120"/>
                                </a:xfrm>
                                <a:custGeom>
                                  <a:avLst/>
                                  <a:gdLst/>
                                  <a:ahLst/>
                                  <a:cxnLst/>
                                  <a:rect l="l" t="t" r="r" b="b"/>
                                  <a:pathLst>
                                    <a:path w="5390515" h="8580120">
                                      <a:moveTo>
                                        <a:pt x="5390375" y="8564880"/>
                                      </a:moveTo>
                                      <a:lnTo>
                                        <a:pt x="4465320" y="8564880"/>
                                      </a:lnTo>
                                      <a:lnTo>
                                        <a:pt x="4465320" y="0"/>
                                      </a:lnTo>
                                      <a:lnTo>
                                        <a:pt x="4457700" y="0"/>
                                      </a:lnTo>
                                      <a:lnTo>
                                        <a:pt x="4457700" y="8564880"/>
                                      </a:lnTo>
                                      <a:lnTo>
                                        <a:pt x="0" y="8564880"/>
                                      </a:lnTo>
                                      <a:lnTo>
                                        <a:pt x="0" y="8580120"/>
                                      </a:lnTo>
                                      <a:lnTo>
                                        <a:pt x="5390375" y="8580120"/>
                                      </a:lnTo>
                                      <a:lnTo>
                                        <a:pt x="5390375" y="856488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5390102" y="8000"/>
                                  <a:ext cx="1270" cy="8564245"/>
                                </a:xfrm>
                                <a:custGeom>
                                  <a:avLst/>
                                  <a:gdLst/>
                                  <a:ahLst/>
                                  <a:cxnLst/>
                                  <a:rect l="l" t="t" r="r" b="b"/>
                                  <a:pathLst>
                                    <a:path w="0" h="8564245">
                                      <a:moveTo>
                                        <a:pt x="0" y="0"/>
                                      </a:moveTo>
                                      <a:lnTo>
                                        <a:pt x="0" y="8563737"/>
                                      </a:lnTo>
                                    </a:path>
                                  </a:pathLst>
                                </a:custGeom>
                                <a:ln w="4762">
                                  <a:solidFill>
                                    <a:srgbClr val="000000"/>
                                  </a:solidFill>
                                  <a:prstDash val="solid"/>
                                </a:ln>
                              </wps:spPr>
                              <wps:bodyPr wrap="square" lIns="0" tIns="0" rIns="0" bIns="0" rtlCol="0">
                                <a:prstTxWarp prst="textNoShape">
                                  <a:avLst/>
                                </a:prstTxWarp>
                                <a:noAutofit/>
                              </wps:bodyPr>
                            </wps:wsp>
                            <wps:wsp>
                              <wps:cNvPr id="117" name="Graphic 117"/>
                              <wps:cNvSpPr/>
                              <wps:spPr>
                                <a:xfrm>
                                  <a:off x="5390388" y="7620"/>
                                  <a:ext cx="7620" cy="8564880"/>
                                </a:xfrm>
                                <a:custGeom>
                                  <a:avLst/>
                                  <a:gdLst/>
                                  <a:ahLst/>
                                  <a:cxnLst/>
                                  <a:rect l="l" t="t" r="r" b="b"/>
                                  <a:pathLst>
                                    <a:path w="7620" h="8564880">
                                      <a:moveTo>
                                        <a:pt x="7620" y="8564880"/>
                                      </a:moveTo>
                                      <a:lnTo>
                                        <a:pt x="0" y="8564880"/>
                                      </a:lnTo>
                                      <a:lnTo>
                                        <a:pt x="0" y="0"/>
                                      </a:lnTo>
                                      <a:lnTo>
                                        <a:pt x="7620" y="0"/>
                                      </a:lnTo>
                                      <a:lnTo>
                                        <a:pt x="7620" y="85648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pt;margin-top:-12.670532pt;width:425.05pt;height:676.2pt;mso-position-horizontal-relative:column;mso-position-vertical-relative:paragraph;z-index:-26606592" id="docshapegroup31" coordorigin="-6,-253" coordsize="8501,13524">
                      <v:rect style="position:absolute;left:6;top:-242;width:8489;height:240" id="docshape32" filled="true" fillcolor="#ffc000" stroked="false">
                        <v:fill type="solid"/>
                      </v:rect>
                      <v:line style="position:absolute" from="5582,563" to="5645,563" stroked="true" strokeweight=".375pt" strokecolor="#008000">
                        <v:stroke dashstyle="solid"/>
                      </v:line>
                      <v:rect style="position:absolute;left:5581;top:562;width:63;height:12" id="docshape33" filled="true" fillcolor="#008000" stroked="false">
                        <v:fill type="solid"/>
                      </v:rect>
                      <v:line style="position:absolute" from="5582,575" to="5632,575" stroked="true" strokeweight=".375pt" strokecolor="#008000">
                        <v:stroke dashstyle="solid"/>
                      </v:line>
                      <v:rect style="position:absolute;left:5581;top:574;width:51;height:15" id="docshape34" filled="true" fillcolor="#008000" stroked="false">
                        <v:fill type="solid"/>
                      </v:rect>
                      <v:line style="position:absolute" from="5582,588" to="5619,588" stroked="true" strokeweight=".375pt" strokecolor="#008000">
                        <v:stroke dashstyle="solid"/>
                      </v:line>
                      <v:rect style="position:absolute;left:5581;top:588;width:39;height:12" id="docshape35" filled="true" fillcolor="#008000" stroked="false">
                        <v:fill type="solid"/>
                      </v:rect>
                      <v:line style="position:absolute" from="5582,601" to="5607,601" stroked="true" strokeweight=".375pt" strokecolor="#008000">
                        <v:stroke dashstyle="solid"/>
                      </v:line>
                      <v:rect style="position:absolute;left:5581;top:600;width:27;height:12" id="docshape36" filled="true" fillcolor="#008000" stroked="false">
                        <v:fill type="solid"/>
                      </v:rect>
                      <v:line style="position:absolute" from="5582,613" to="5594,613" stroked="true" strokeweight=".375pt" strokecolor="#008000">
                        <v:stroke dashstyle="solid"/>
                      </v:line>
                      <v:rect style="position:absolute;left:5581;top:612;width:12;height:12" id="docshape37" filled="true" fillcolor="#008000" stroked="false">
                        <v:fill type="solid"/>
                      </v:rect>
                      <v:line style="position:absolute" from="7038,563" to="7101,563" stroked="true" strokeweight=".375pt" strokecolor="#008000">
                        <v:stroke dashstyle="solid"/>
                      </v:line>
                      <v:rect style="position:absolute;left:7038;top:562;width:63;height:12" id="docshape38" filled="true" fillcolor="#008000" stroked="false">
                        <v:fill type="solid"/>
                      </v:rect>
                      <v:line style="position:absolute" from="7038,575" to="7089,575" stroked="true" strokeweight=".375pt" strokecolor="#008000">
                        <v:stroke dashstyle="solid"/>
                      </v:line>
                      <v:rect style="position:absolute;left:7038;top:574;width:51;height:15" id="docshape39" filled="true" fillcolor="#008000" stroked="false">
                        <v:fill type="solid"/>
                      </v:rect>
                      <v:line style="position:absolute" from="7038,588" to="7076,588" stroked="true" strokeweight=".375pt" strokecolor="#008000">
                        <v:stroke dashstyle="solid"/>
                      </v:line>
                      <v:rect style="position:absolute;left:7038;top:588;width:39;height:12" id="docshape40" filled="true" fillcolor="#008000" stroked="false">
                        <v:fill type="solid"/>
                      </v:rect>
                      <v:line style="position:absolute" from="7038,601" to="7063,601" stroked="true" strokeweight=".375pt" strokecolor="#008000">
                        <v:stroke dashstyle="solid"/>
                      </v:line>
                      <v:rect style="position:absolute;left:7038;top:600;width:27;height:12" id="docshape41" filled="true" fillcolor="#008000" stroked="false">
                        <v:fill type="solid"/>
                      </v:rect>
                      <v:line style="position:absolute" from="7038,613" to="7051,613" stroked="true" strokeweight=".375pt" strokecolor="#008000">
                        <v:stroke dashstyle="solid"/>
                      </v:line>
                      <v:rect style="position:absolute;left:7038;top:612;width:12;height:12" id="docshape42" filled="true" fillcolor="#008000" stroked="false">
                        <v:fill type="solid"/>
                      </v:rect>
                      <v:line style="position:absolute" from="5582,2974" to="5645,2974" stroked="true" strokeweight=".375pt" strokecolor="#008000">
                        <v:stroke dashstyle="solid"/>
                      </v:line>
                      <v:rect style="position:absolute;left:5581;top:2974;width:63;height:12" id="docshape43" filled="true" fillcolor="#008000" stroked="false">
                        <v:fill type="solid"/>
                      </v:rect>
                      <v:line style="position:absolute" from="5582,2986" to="5632,2986" stroked="true" strokeweight=".375pt" strokecolor="#008000">
                        <v:stroke dashstyle="solid"/>
                      </v:line>
                      <v:rect style="position:absolute;left:5581;top:2986;width:51;height:12" id="docshape44" filled="true" fillcolor="#008000" stroked="false">
                        <v:fill type="solid"/>
                      </v:rect>
                      <v:line style="position:absolute" from="5582,2999" to="5619,2999" stroked="true" strokeweight=".375pt" strokecolor="#008000">
                        <v:stroke dashstyle="solid"/>
                      </v:line>
                      <v:rect style="position:absolute;left:5581;top:2998;width:39;height:12" id="docshape45" filled="true" fillcolor="#008000" stroked="false">
                        <v:fill type="solid"/>
                      </v:rect>
                      <v:line style="position:absolute" from="5582,3011" to="5607,3011" stroked="true" strokeweight=".375pt" strokecolor="#008000">
                        <v:stroke dashstyle="solid"/>
                      </v:line>
                      <v:rect style="position:absolute;left:5581;top:3010;width:27;height:15" id="docshape46" filled="true" fillcolor="#008000" stroked="false">
                        <v:fill type="solid"/>
                      </v:rect>
                      <v:line style="position:absolute" from="5582,3024" to="5594,3024" stroked="true" strokeweight=".375pt" strokecolor="#008000">
                        <v:stroke dashstyle="solid"/>
                      </v:line>
                      <v:rect style="position:absolute;left:5581;top:3024;width:12;height:12" id="docshape47" filled="true" fillcolor="#008000" stroked="false">
                        <v:fill type="solid"/>
                      </v:rect>
                      <v:line style="position:absolute" from="7038,2974" to="7101,2974" stroked="true" strokeweight=".375pt" strokecolor="#008000">
                        <v:stroke dashstyle="solid"/>
                      </v:line>
                      <v:rect style="position:absolute;left:7038;top:2974;width:63;height:12" id="docshape48" filled="true" fillcolor="#008000" stroked="false">
                        <v:fill type="solid"/>
                      </v:rect>
                      <v:line style="position:absolute" from="7038,2986" to="7089,2986" stroked="true" strokeweight=".375pt" strokecolor="#008000">
                        <v:stroke dashstyle="solid"/>
                      </v:line>
                      <v:rect style="position:absolute;left:7038;top:2986;width:51;height:12" id="docshape49" filled="true" fillcolor="#008000" stroked="false">
                        <v:fill type="solid"/>
                      </v:rect>
                      <v:line style="position:absolute" from="7038,2999" to="7076,2999" stroked="true" strokeweight=".375pt" strokecolor="#008000">
                        <v:stroke dashstyle="solid"/>
                      </v:line>
                      <v:rect style="position:absolute;left:7038;top:2998;width:39;height:12" id="docshape50" filled="true" fillcolor="#008000" stroked="false">
                        <v:fill type="solid"/>
                      </v:rect>
                      <v:line style="position:absolute" from="7038,3011" to="7063,3011" stroked="true" strokeweight=".375pt" strokecolor="#008000">
                        <v:stroke dashstyle="solid"/>
                      </v:line>
                      <v:rect style="position:absolute;left:7038;top:3010;width:27;height:15" id="docshape51" filled="true" fillcolor="#008000" stroked="false">
                        <v:fill type="solid"/>
                      </v:rect>
                      <v:line style="position:absolute" from="7038,3024" to="7051,3024" stroked="true" strokeweight=".375pt" strokecolor="#008000">
                        <v:stroke dashstyle="solid"/>
                      </v:line>
                      <v:rect style="position:absolute;left:7038;top:3024;width:12;height:12" id="docshape52" filled="true" fillcolor="#008000" stroked="false">
                        <v:fill type="solid"/>
                      </v:rect>
                      <v:line style="position:absolute" from="7038,11349" to="7101,11349" stroked="true" strokeweight=".375pt" strokecolor="#008000">
                        <v:stroke dashstyle="solid"/>
                      </v:line>
                      <v:rect style="position:absolute;left:7038;top:11350;width:63;height:12" id="docshape53" filled="true" fillcolor="#008000" stroked="false">
                        <v:fill type="solid"/>
                      </v:rect>
                      <v:line style="position:absolute" from="7038,11362" to="7089,11362" stroked="true" strokeweight=".375pt" strokecolor="#008000">
                        <v:stroke dashstyle="solid"/>
                      </v:line>
                      <v:rect style="position:absolute;left:7038;top:11362;width:51;height:12" id="docshape54" filled="true" fillcolor="#008000" stroked="false">
                        <v:fill type="solid"/>
                      </v:rect>
                      <v:line style="position:absolute" from="7038,11374" to="7076,11374" stroked="true" strokeweight=".375pt" strokecolor="#008000">
                        <v:stroke dashstyle="solid"/>
                      </v:line>
                      <v:rect style="position:absolute;left:7038;top:11374;width:39;height:12" id="docshape55" filled="true" fillcolor="#008000" stroked="false">
                        <v:fill type="solid"/>
                      </v:rect>
                      <v:line style="position:absolute" from="7038,11387" to="7063,11387" stroked="true" strokeweight=".375pt" strokecolor="#008000">
                        <v:stroke dashstyle="solid"/>
                      </v:line>
                      <v:rect style="position:absolute;left:7038;top:11386;width:27;height:12" id="docshape56" filled="true" fillcolor="#008000" stroked="false">
                        <v:fill type="solid"/>
                      </v:rect>
                      <v:line style="position:absolute" from="7038,11399" to="7051,11399" stroked="true" strokeweight=".375pt" strokecolor="#008000">
                        <v:stroke dashstyle="solid"/>
                      </v:line>
                      <v:rect style="position:absolute;left:7038;top:11398;width:12;height:15" id="docshape57" filled="true" fillcolor="#008000" stroked="false">
                        <v:fill type="solid"/>
                      </v:rect>
                      <v:rect style="position:absolute;left:6;top:-254;width:8489;height:12" id="docshape58" filled="true" fillcolor="#000000" stroked="false">
                        <v:fill type="solid"/>
                      </v:rect>
                      <v:line style="position:absolute" from="7,-15" to="8495,-15" stroked="true" strokeweight=".375pt" strokecolor="#000000">
                        <v:stroke dashstyle="solid"/>
                      </v:line>
                      <v:rect style="position:absolute;left:6;top:-16;width:8489;height:15" id="docshape59" filled="true" fillcolor="#000000" stroked="false">
                        <v:fill type="solid"/>
                      </v:rect>
                      <v:line style="position:absolute" from="5582,5849" to="8495,5849" stroked="true" strokeweight=".375pt" strokecolor="#000000">
                        <v:stroke dashstyle="solid"/>
                      </v:line>
                      <v:rect style="position:absolute;left:5581;top:5849;width:2914;height:12" id="docshape60" filled="true" fillcolor="#000000" stroked="false">
                        <v:fill type="solid"/>
                      </v:rect>
                      <v:line style="position:absolute" from="5582,6088" to="8495,6088" stroked="true" strokeweight=".375pt" strokecolor="#000000">
                        <v:stroke dashstyle="solid"/>
                      </v:line>
                      <v:rect style="position:absolute;left:5581;top:6087;width:2914;height:12" id="docshape61" filled="true" fillcolor="#000000" stroked="false">
                        <v:fill type="solid"/>
                      </v:rect>
                      <v:line style="position:absolute" from="5582,7758" to="8495,7758" stroked="true" strokeweight=".375pt" strokecolor="#000000">
                        <v:stroke dashstyle="solid"/>
                      </v:line>
                      <v:rect style="position:absolute;left:5581;top:7757;width:2914;height:12" id="docshape62" filled="true" fillcolor="#000000" stroked="false">
                        <v:fill type="solid"/>
                      </v:rect>
                      <v:line style="position:absolute" from="5582,7997" to="8495,7997" stroked="true" strokeweight=".375pt" strokecolor="#000000">
                        <v:stroke dashstyle="solid"/>
                      </v:line>
                      <v:rect style="position:absolute;left:5581;top:7997;width:2914;height:12" id="docshape63" filled="true" fillcolor="#000000" stroked="false">
                        <v:fill type="solid"/>
                      </v:rect>
                      <v:line style="position:absolute" from="5582,12291" to="8495,12291" stroked="true" strokeweight=".375pt" strokecolor="#000000">
                        <v:stroke dashstyle="solid"/>
                      </v:line>
                      <v:rect style="position:absolute;left:5581;top:12291;width:2914;height:12" id="docshape64" filled="true" fillcolor="#000000" stroked="false">
                        <v:fill type="solid"/>
                      </v:rect>
                      <v:line style="position:absolute" from="5582,12530" to="8495,12530" stroked="true" strokeweight=".375pt" strokecolor="#000000">
                        <v:stroke dashstyle="solid"/>
                      </v:line>
                      <v:rect style="position:absolute;left:5581;top:12528;width:2914;height:15" id="docshape65" filled="true" fillcolor="#000000" stroked="false">
                        <v:fill type="solid"/>
                      </v:rect>
                      <v:line style="position:absolute" from="5582,12768" to="8495,12768" stroked="true" strokeweight=".375pt" strokecolor="#000000">
                        <v:stroke dashstyle="solid"/>
                      </v:line>
                      <v:shape style="position:absolute;left:-7;top:-254;width:8501;height:13524" id="docshape66" coordorigin="-6,-253" coordsize="8501,13524" path="m6,-253l-6,-253,-6,13271,6,13271,6,-253xm8495,12769l5581,12769,5581,12781,8495,12781,8495,12769xe" filled="true" fillcolor="#000000" stroked="false">
                        <v:path arrowok="t"/>
                        <v:fill type="solid"/>
                      </v:shape>
                      <v:line style="position:absolute" from="5029,-2" to="5029,13245" stroked="true" strokeweight=".375pt" strokecolor="#000000">
                        <v:stroke dashstyle="solid"/>
                      </v:line>
                      <v:rect style="position:absolute;left:5029;top:-2;width:12;height:13248" id="docshape67" filled="true" fillcolor="#000000" stroked="false">
                        <v:fill type="solid"/>
                      </v:rect>
                      <v:line style="position:absolute" from="5569,-241" to="5569,13245" stroked="true" strokeweight=".375pt" strokecolor="#000000">
                        <v:stroke dashstyle="solid"/>
                      </v:line>
                      <v:rect style="position:absolute;left:5569;top:-242;width:12;height:13488" id="docshape68" filled="true" fillcolor="#000000" stroked="false">
                        <v:fill type="solid"/>
                      </v:rect>
                      <v:line style="position:absolute" from="7026,-241" to="7026,13245" stroked="true" strokeweight=".375pt" strokecolor="#000000">
                        <v:stroke dashstyle="solid"/>
                      </v:line>
                      <v:shape style="position:absolute;left:6;top:-242;width:8489;height:13512" id="docshape69" coordorigin="6,-241" coordsize="8489,13512" path="m8495,13247l7038,13247,7038,-241,7026,-241,7026,13247,6,13247,6,13271,8495,13271,8495,13247xe" filled="true" fillcolor="#000000" stroked="false">
                        <v:path arrowok="t"/>
                        <v:fill type="solid"/>
                      </v:shape>
                      <v:line style="position:absolute" from="8482,-241" to="8482,13245" stroked="true" strokeweight=".375pt" strokecolor="#000000">
                        <v:stroke dashstyle="solid"/>
                      </v:line>
                      <v:rect style="position:absolute;left:8482;top:-242;width:12;height:13488" id="docshape70" filled="true" fillcolor="#000000" stroked="false">
                        <v:fill type="solid"/>
                      </v:rect>
                      <w10:wrap type="none"/>
                    </v:group>
                  </w:pict>
                </mc:Fallback>
              </mc:AlternateContent>
            </w:r>
            <w:r>
              <w:rPr>
                <w:b/>
                <w:sz w:val="15"/>
              </w:rPr>
              <w:t>FLUJOS</w:t>
            </w:r>
            <w:r>
              <w:rPr>
                <w:b/>
                <w:spacing w:val="-1"/>
                <w:sz w:val="15"/>
              </w:rPr>
              <w:t> </w:t>
            </w:r>
            <w:r>
              <w:rPr>
                <w:b/>
                <w:sz w:val="15"/>
              </w:rPr>
              <w:t>DE</w:t>
            </w:r>
            <w:r>
              <w:rPr>
                <w:b/>
                <w:spacing w:val="-9"/>
                <w:sz w:val="15"/>
              </w:rPr>
              <w:t> </w:t>
            </w:r>
            <w:r>
              <w:rPr>
                <w:b/>
                <w:sz w:val="15"/>
              </w:rPr>
              <w:t>EFECTIVO</w:t>
            </w:r>
            <w:r>
              <w:rPr>
                <w:b/>
                <w:spacing w:val="-7"/>
                <w:sz w:val="15"/>
              </w:rPr>
              <w:t> </w:t>
            </w:r>
            <w:r>
              <w:rPr>
                <w:b/>
                <w:sz w:val="15"/>
              </w:rPr>
              <w:t>DE</w:t>
            </w:r>
            <w:r>
              <w:rPr>
                <w:b/>
                <w:spacing w:val="-9"/>
                <w:sz w:val="15"/>
              </w:rPr>
              <w:t> </w:t>
            </w:r>
            <w:r>
              <w:rPr>
                <w:b/>
                <w:sz w:val="15"/>
              </w:rPr>
              <w:t>LAS</w:t>
            </w:r>
            <w:r>
              <w:rPr>
                <w:b/>
                <w:spacing w:val="-1"/>
                <w:sz w:val="15"/>
              </w:rPr>
              <w:t> </w:t>
            </w:r>
            <w:r>
              <w:rPr>
                <w:b/>
                <w:sz w:val="15"/>
              </w:rPr>
              <w:t>ACTIVID.</w:t>
            </w:r>
            <w:r>
              <w:rPr>
                <w:b/>
                <w:spacing w:val="-4"/>
                <w:sz w:val="15"/>
              </w:rPr>
              <w:t> </w:t>
            </w:r>
            <w:r>
              <w:rPr>
                <w:b/>
                <w:sz w:val="15"/>
              </w:rPr>
              <w:t>DE</w:t>
            </w:r>
            <w:r>
              <w:rPr>
                <w:b/>
                <w:spacing w:val="-9"/>
                <w:sz w:val="15"/>
              </w:rPr>
              <w:t> </w:t>
            </w:r>
            <w:r>
              <w:rPr>
                <w:b/>
                <w:sz w:val="15"/>
              </w:rPr>
              <w:t>EXPLOTACION. </w:t>
            </w:r>
            <w:r>
              <w:rPr>
                <w:b/>
                <w:spacing w:val="-2"/>
                <w:w w:val="105"/>
                <w:sz w:val="15"/>
              </w:rPr>
              <w:t>RESULTADO</w:t>
            </w:r>
            <w:r>
              <w:rPr>
                <w:b/>
                <w:spacing w:val="-6"/>
                <w:w w:val="105"/>
                <w:sz w:val="15"/>
              </w:rPr>
              <w:t> </w:t>
            </w:r>
            <w:r>
              <w:rPr>
                <w:b/>
                <w:spacing w:val="-2"/>
                <w:w w:val="105"/>
                <w:sz w:val="15"/>
              </w:rPr>
              <w:t>DEL EJERCICIO</w:t>
            </w:r>
            <w:r>
              <w:rPr>
                <w:b/>
                <w:spacing w:val="-6"/>
                <w:w w:val="105"/>
                <w:sz w:val="15"/>
              </w:rPr>
              <w:t> </w:t>
            </w:r>
            <w:r>
              <w:rPr>
                <w:b/>
                <w:spacing w:val="-2"/>
                <w:w w:val="105"/>
                <w:sz w:val="15"/>
              </w:rPr>
              <w:t>ANTES DE</w:t>
            </w:r>
            <w:r>
              <w:rPr>
                <w:b/>
                <w:spacing w:val="-9"/>
                <w:w w:val="105"/>
                <w:sz w:val="15"/>
              </w:rPr>
              <w:t> </w:t>
            </w:r>
            <w:r>
              <w:rPr>
                <w:b/>
                <w:spacing w:val="-2"/>
                <w:w w:val="105"/>
                <w:sz w:val="15"/>
              </w:rPr>
              <w:t>IMPUESTOS</w:t>
            </w:r>
          </w:p>
          <w:p>
            <w:pPr>
              <w:pStyle w:val="TableParagraph"/>
              <w:spacing w:line="162" w:lineRule="exact"/>
              <w:ind w:left="34"/>
              <w:rPr>
                <w:b/>
                <w:sz w:val="15"/>
              </w:rPr>
            </w:pPr>
            <w:r>
              <w:rPr>
                <w:b/>
                <w:spacing w:val="-2"/>
                <w:sz w:val="15"/>
              </w:rPr>
              <w:t>AJUSTES</w:t>
            </w:r>
            <w:r>
              <w:rPr>
                <w:b/>
                <w:sz w:val="15"/>
              </w:rPr>
              <w:t> </w:t>
            </w:r>
            <w:r>
              <w:rPr>
                <w:b/>
                <w:spacing w:val="-2"/>
                <w:sz w:val="15"/>
              </w:rPr>
              <w:t>AL</w:t>
            </w:r>
            <w:r>
              <w:rPr>
                <w:b/>
                <w:spacing w:val="-1"/>
                <w:sz w:val="15"/>
              </w:rPr>
              <w:t> </w:t>
            </w:r>
            <w:r>
              <w:rPr>
                <w:b/>
                <w:spacing w:val="-2"/>
                <w:sz w:val="15"/>
              </w:rPr>
              <w:t>RESULTADO</w:t>
            </w:r>
          </w:p>
          <w:p>
            <w:pPr>
              <w:pStyle w:val="TableParagraph"/>
              <w:spacing w:line="316" w:lineRule="auto" w:before="68"/>
              <w:ind w:left="34" w:right="2363"/>
              <w:rPr>
                <w:rFonts w:ascii="Tahoma" w:hAnsi="Tahoma"/>
                <w:sz w:val="15"/>
              </w:rPr>
            </w:pPr>
            <w:r>
              <w:rPr>
                <w:rFonts w:ascii="Tahoma" w:hAnsi="Tahoma"/>
                <w:sz w:val="15"/>
              </w:rPr>
              <w:t>Amortización del inmovilizado Correcciones valorativas por deterioro Variación de provisiones</w:t>
            </w:r>
          </w:p>
          <w:p>
            <w:pPr>
              <w:pStyle w:val="TableParagraph"/>
              <w:spacing w:before="12"/>
              <w:ind w:left="34"/>
              <w:rPr>
                <w:rFonts w:ascii="Tahoma" w:hAnsi="Tahoma"/>
                <w:sz w:val="15"/>
              </w:rPr>
            </w:pPr>
            <w:r>
              <w:rPr>
                <w:rFonts w:ascii="Tahoma" w:hAnsi="Tahoma"/>
                <w:sz w:val="15"/>
              </w:rPr>
              <w:t>Imputación</w:t>
            </w:r>
            <w:r>
              <w:rPr>
                <w:rFonts w:ascii="Tahoma" w:hAnsi="Tahoma"/>
                <w:spacing w:val="10"/>
                <w:sz w:val="15"/>
              </w:rPr>
              <w:t> </w:t>
            </w:r>
            <w:r>
              <w:rPr>
                <w:rFonts w:ascii="Tahoma" w:hAnsi="Tahoma"/>
                <w:sz w:val="15"/>
              </w:rPr>
              <w:t>de</w:t>
            </w:r>
            <w:r>
              <w:rPr>
                <w:rFonts w:ascii="Tahoma" w:hAnsi="Tahoma"/>
                <w:spacing w:val="18"/>
                <w:sz w:val="15"/>
              </w:rPr>
              <w:t> </w:t>
            </w:r>
            <w:r>
              <w:rPr>
                <w:rFonts w:ascii="Tahoma" w:hAnsi="Tahoma"/>
                <w:spacing w:val="-2"/>
                <w:sz w:val="15"/>
              </w:rPr>
              <w:t>subvenciones</w:t>
            </w:r>
          </w:p>
          <w:p>
            <w:pPr>
              <w:pStyle w:val="TableParagraph"/>
              <w:spacing w:line="319" w:lineRule="auto" w:before="69"/>
              <w:ind w:left="34" w:right="925"/>
              <w:rPr>
                <w:rFonts w:ascii="Tahoma"/>
                <w:sz w:val="15"/>
              </w:rPr>
            </w:pPr>
            <w:r>
              <w:rPr>
                <w:rFonts w:ascii="Tahoma"/>
                <w:sz w:val="15"/>
              </w:rPr>
              <w:t>Resultado por</w:t>
            </w:r>
            <w:r>
              <w:rPr>
                <w:rFonts w:ascii="Tahoma"/>
                <w:spacing w:val="-2"/>
                <w:sz w:val="15"/>
              </w:rPr>
              <w:t> </w:t>
            </w:r>
            <w:r>
              <w:rPr>
                <w:rFonts w:ascii="Tahoma"/>
                <w:sz w:val="15"/>
              </w:rPr>
              <w:t>bajas</w:t>
            </w:r>
            <w:r>
              <w:rPr>
                <w:rFonts w:ascii="Tahoma"/>
                <w:spacing w:val="-3"/>
                <w:sz w:val="15"/>
              </w:rPr>
              <w:t> </w:t>
            </w:r>
            <w:r>
              <w:rPr>
                <w:rFonts w:ascii="Tahoma"/>
                <w:sz w:val="15"/>
              </w:rPr>
              <w:t>y enajenaciones</w:t>
            </w:r>
            <w:r>
              <w:rPr>
                <w:rFonts w:ascii="Tahoma"/>
                <w:spacing w:val="-3"/>
                <w:sz w:val="15"/>
              </w:rPr>
              <w:t> </w:t>
            </w:r>
            <w:r>
              <w:rPr>
                <w:rFonts w:ascii="Tahoma"/>
                <w:sz w:val="15"/>
              </w:rPr>
              <w:t>del</w:t>
            </w:r>
            <w:r>
              <w:rPr>
                <w:rFonts w:ascii="Tahoma"/>
                <w:spacing w:val="-9"/>
                <w:sz w:val="15"/>
              </w:rPr>
              <w:t> </w:t>
            </w:r>
            <w:r>
              <w:rPr>
                <w:rFonts w:ascii="Tahoma"/>
                <w:sz w:val="15"/>
              </w:rPr>
              <w:t>inmovilizado Ingresos financieros</w:t>
            </w:r>
          </w:p>
          <w:p>
            <w:pPr>
              <w:pStyle w:val="TableParagraph"/>
              <w:spacing w:line="319" w:lineRule="auto"/>
              <w:ind w:left="34" w:right="1710"/>
              <w:rPr>
                <w:rFonts w:ascii="Tahoma" w:hAnsi="Tahoma"/>
                <w:sz w:val="15"/>
              </w:rPr>
            </w:pPr>
            <w:r>
              <w:rPr>
                <w:rFonts w:ascii="Tahoma" w:hAnsi="Tahoma"/>
                <w:sz w:val="15"/>
              </w:rPr>
              <w:t>Otros ingresos y gastos de carácter financiero Gastos financieros</w:t>
            </w:r>
          </w:p>
          <w:p>
            <w:pPr>
              <w:pStyle w:val="TableParagraph"/>
              <w:spacing w:line="177" w:lineRule="exact"/>
              <w:ind w:left="34"/>
              <w:rPr>
                <w:rFonts w:ascii="Tahoma"/>
                <w:sz w:val="15"/>
              </w:rPr>
            </w:pPr>
            <w:r>
              <w:rPr>
                <w:rFonts w:ascii="Tahoma"/>
                <w:sz w:val="15"/>
              </w:rPr>
              <w:t>Otros</w:t>
            </w:r>
            <w:r>
              <w:rPr>
                <w:rFonts w:ascii="Tahoma"/>
                <w:spacing w:val="4"/>
                <w:sz w:val="15"/>
              </w:rPr>
              <w:t> </w:t>
            </w:r>
            <w:r>
              <w:rPr>
                <w:rFonts w:ascii="Tahoma"/>
                <w:sz w:val="15"/>
              </w:rPr>
              <w:t>ingresos</w:t>
            </w:r>
            <w:r>
              <w:rPr>
                <w:rFonts w:ascii="Tahoma"/>
                <w:spacing w:val="4"/>
                <w:sz w:val="15"/>
              </w:rPr>
              <w:t> </w:t>
            </w:r>
            <w:r>
              <w:rPr>
                <w:rFonts w:ascii="Tahoma"/>
                <w:sz w:val="15"/>
              </w:rPr>
              <w:t>y</w:t>
            </w:r>
            <w:r>
              <w:rPr>
                <w:rFonts w:ascii="Tahoma"/>
                <w:spacing w:val="8"/>
                <w:sz w:val="15"/>
              </w:rPr>
              <w:t> </w:t>
            </w:r>
            <w:r>
              <w:rPr>
                <w:rFonts w:ascii="Tahoma"/>
                <w:spacing w:val="-2"/>
                <w:sz w:val="15"/>
              </w:rPr>
              <w:t>gastos</w:t>
            </w:r>
          </w:p>
          <w:p>
            <w:pPr>
              <w:pStyle w:val="TableParagraph"/>
              <w:spacing w:before="50"/>
              <w:ind w:left="34"/>
              <w:rPr>
                <w:b/>
                <w:sz w:val="15"/>
              </w:rPr>
            </w:pPr>
            <w:r>
              <w:rPr>
                <w:b/>
                <w:sz w:val="15"/>
              </w:rPr>
              <w:t>CAMBIOS</w:t>
            </w:r>
            <w:r>
              <w:rPr>
                <w:b/>
                <w:spacing w:val="10"/>
                <w:sz w:val="15"/>
              </w:rPr>
              <w:t> </w:t>
            </w:r>
            <w:r>
              <w:rPr>
                <w:b/>
                <w:sz w:val="15"/>
              </w:rPr>
              <w:t>EN</w:t>
            </w:r>
            <w:r>
              <w:rPr>
                <w:b/>
                <w:spacing w:val="-9"/>
                <w:sz w:val="15"/>
              </w:rPr>
              <w:t> </w:t>
            </w:r>
            <w:r>
              <w:rPr>
                <w:b/>
                <w:sz w:val="15"/>
              </w:rPr>
              <w:t>EL</w:t>
            </w:r>
            <w:r>
              <w:rPr>
                <w:b/>
                <w:spacing w:val="6"/>
                <w:sz w:val="15"/>
              </w:rPr>
              <w:t> </w:t>
            </w:r>
            <w:r>
              <w:rPr>
                <w:b/>
                <w:sz w:val="15"/>
              </w:rPr>
              <w:t>CAPITAL</w:t>
            </w:r>
            <w:r>
              <w:rPr>
                <w:b/>
                <w:spacing w:val="5"/>
                <w:sz w:val="15"/>
              </w:rPr>
              <w:t> </w:t>
            </w:r>
            <w:r>
              <w:rPr>
                <w:b/>
                <w:spacing w:val="-2"/>
                <w:sz w:val="15"/>
              </w:rPr>
              <w:t>CORRIENTE</w:t>
            </w:r>
          </w:p>
          <w:p>
            <w:pPr>
              <w:pStyle w:val="TableParagraph"/>
              <w:spacing w:before="70"/>
              <w:ind w:left="34"/>
              <w:rPr>
                <w:rFonts w:ascii="Tahoma"/>
                <w:sz w:val="15"/>
              </w:rPr>
            </w:pPr>
            <w:r>
              <w:rPr>
                <w:rFonts w:ascii="Tahoma"/>
                <w:spacing w:val="-2"/>
                <w:sz w:val="15"/>
              </w:rPr>
              <w:t>Existencias</w:t>
            </w:r>
          </w:p>
          <w:p>
            <w:pPr>
              <w:pStyle w:val="TableParagraph"/>
              <w:spacing w:line="319" w:lineRule="auto" w:before="57"/>
              <w:ind w:left="34" w:right="2363"/>
              <w:rPr>
                <w:rFonts w:ascii="Tahoma"/>
                <w:sz w:val="15"/>
              </w:rPr>
            </w:pPr>
            <w:r>
              <w:rPr>
                <w:rFonts w:ascii="Tahoma"/>
                <w:sz w:val="15"/>
              </w:rPr>
              <w:t>Deudores y otras cuentas a cobrar Otros activos corrientes</w:t>
            </w:r>
          </w:p>
          <w:p>
            <w:pPr>
              <w:pStyle w:val="TableParagraph"/>
              <w:spacing w:line="314" w:lineRule="auto"/>
              <w:ind w:left="34" w:right="2363"/>
              <w:rPr>
                <w:rFonts w:ascii="Tahoma"/>
                <w:sz w:val="15"/>
              </w:rPr>
            </w:pPr>
            <w:r>
              <w:rPr>
                <w:rFonts w:ascii="Tahoma"/>
                <w:sz w:val="15"/>
              </w:rPr>
              <w:t>Acreedores y otras cuentas a pagar Otros pasivos corrientes</w:t>
            </w:r>
          </w:p>
          <w:p>
            <w:pPr>
              <w:pStyle w:val="TableParagraph"/>
              <w:spacing w:line="181" w:lineRule="exact"/>
              <w:ind w:left="32"/>
              <w:rPr>
                <w:sz w:val="16"/>
              </w:rPr>
            </w:pPr>
            <w:r>
              <w:rPr>
                <w:sz w:val="16"/>
              </w:rPr>
              <w:t>Otros</w:t>
            </w:r>
            <w:r>
              <w:rPr>
                <w:spacing w:val="11"/>
                <w:sz w:val="16"/>
              </w:rPr>
              <w:t> </w:t>
            </w:r>
            <w:r>
              <w:rPr>
                <w:sz w:val="16"/>
              </w:rPr>
              <w:t>activos</w:t>
            </w:r>
            <w:r>
              <w:rPr>
                <w:spacing w:val="14"/>
                <w:sz w:val="16"/>
              </w:rPr>
              <w:t> </w:t>
            </w:r>
            <w:r>
              <w:rPr>
                <w:sz w:val="16"/>
              </w:rPr>
              <w:t>y</w:t>
            </w:r>
            <w:r>
              <w:rPr>
                <w:spacing w:val="8"/>
                <w:sz w:val="16"/>
              </w:rPr>
              <w:t> </w:t>
            </w:r>
            <w:r>
              <w:rPr>
                <w:sz w:val="16"/>
              </w:rPr>
              <w:t>pasivos</w:t>
            </w:r>
            <w:r>
              <w:rPr>
                <w:spacing w:val="14"/>
                <w:sz w:val="16"/>
              </w:rPr>
              <w:t> </w:t>
            </w:r>
            <w:r>
              <w:rPr>
                <w:sz w:val="16"/>
              </w:rPr>
              <w:t>no</w:t>
            </w:r>
            <w:r>
              <w:rPr>
                <w:spacing w:val="16"/>
                <w:sz w:val="16"/>
              </w:rPr>
              <w:t> </w:t>
            </w:r>
            <w:r>
              <w:rPr>
                <w:spacing w:val="-2"/>
                <w:sz w:val="16"/>
              </w:rPr>
              <w:t>corrientes</w:t>
            </w:r>
          </w:p>
          <w:p>
            <w:pPr>
              <w:pStyle w:val="TableParagraph"/>
              <w:spacing w:before="76"/>
              <w:ind w:left="36"/>
              <w:rPr>
                <w:b/>
                <w:sz w:val="15"/>
              </w:rPr>
            </w:pPr>
            <w:r>
              <w:rPr>
                <w:b/>
                <w:sz w:val="15"/>
              </w:rPr>
              <w:t>OTROS</w:t>
            </w:r>
            <w:r>
              <w:rPr>
                <w:b/>
                <w:spacing w:val="-5"/>
                <w:sz w:val="15"/>
              </w:rPr>
              <w:t> </w:t>
            </w:r>
            <w:r>
              <w:rPr>
                <w:b/>
                <w:sz w:val="15"/>
              </w:rPr>
              <w:t>FLUJOS</w:t>
            </w:r>
            <w:r>
              <w:rPr>
                <w:b/>
                <w:spacing w:val="-3"/>
                <w:sz w:val="15"/>
              </w:rPr>
              <w:t> </w:t>
            </w:r>
            <w:r>
              <w:rPr>
                <w:b/>
                <w:sz w:val="15"/>
              </w:rPr>
              <w:t>DE</w:t>
            </w:r>
            <w:r>
              <w:rPr>
                <w:b/>
                <w:spacing w:val="-11"/>
                <w:sz w:val="15"/>
              </w:rPr>
              <w:t> </w:t>
            </w:r>
            <w:r>
              <w:rPr>
                <w:b/>
                <w:sz w:val="15"/>
              </w:rPr>
              <w:t>EFECTIVO</w:t>
            </w:r>
            <w:r>
              <w:rPr>
                <w:b/>
                <w:spacing w:val="-8"/>
                <w:sz w:val="15"/>
              </w:rPr>
              <w:t> </w:t>
            </w:r>
            <w:r>
              <w:rPr>
                <w:b/>
                <w:sz w:val="15"/>
              </w:rPr>
              <w:t>DE</w:t>
            </w:r>
            <w:r>
              <w:rPr>
                <w:b/>
                <w:spacing w:val="-10"/>
                <w:sz w:val="15"/>
              </w:rPr>
              <w:t> </w:t>
            </w:r>
            <w:r>
              <w:rPr>
                <w:b/>
                <w:sz w:val="15"/>
              </w:rPr>
              <w:t>LAS</w:t>
            </w:r>
            <w:r>
              <w:rPr>
                <w:b/>
                <w:spacing w:val="-5"/>
                <w:sz w:val="15"/>
              </w:rPr>
              <w:t> </w:t>
            </w:r>
            <w:r>
              <w:rPr>
                <w:b/>
                <w:sz w:val="15"/>
              </w:rPr>
              <w:t>ACTIV.</w:t>
            </w:r>
            <w:r>
              <w:rPr>
                <w:b/>
                <w:spacing w:val="-4"/>
                <w:sz w:val="15"/>
              </w:rPr>
              <w:t> </w:t>
            </w:r>
            <w:r>
              <w:rPr>
                <w:b/>
                <w:spacing w:val="-2"/>
                <w:sz w:val="15"/>
              </w:rPr>
              <w:t>EXPLOTACION</w:t>
            </w:r>
          </w:p>
          <w:p>
            <w:pPr>
              <w:pStyle w:val="TableParagraph"/>
              <w:spacing w:line="316" w:lineRule="auto" w:before="70"/>
              <w:ind w:left="36" w:right="3368"/>
              <w:rPr>
                <w:rFonts w:ascii="Tahoma"/>
                <w:sz w:val="15"/>
              </w:rPr>
            </w:pPr>
            <w:r>
              <w:rPr>
                <w:rFonts w:ascii="Tahoma"/>
                <w:sz w:val="15"/>
              </w:rPr>
              <w:t>Pago de intereses Cobros</w:t>
            </w:r>
            <w:r>
              <w:rPr>
                <w:rFonts w:ascii="Tahoma"/>
                <w:spacing w:val="-3"/>
                <w:sz w:val="15"/>
              </w:rPr>
              <w:t> </w:t>
            </w:r>
            <w:r>
              <w:rPr>
                <w:rFonts w:ascii="Tahoma"/>
                <w:sz w:val="15"/>
              </w:rPr>
              <w:t>de dividendos Cobros de intereses</w:t>
            </w:r>
          </w:p>
          <w:p>
            <w:pPr>
              <w:pStyle w:val="TableParagraph"/>
              <w:spacing w:line="179" w:lineRule="exact"/>
              <w:ind w:left="36"/>
              <w:rPr>
                <w:rFonts w:ascii="Tahoma"/>
                <w:sz w:val="15"/>
              </w:rPr>
            </w:pPr>
            <w:r>
              <w:rPr>
                <w:rFonts w:ascii="Tahoma"/>
                <w:sz w:val="15"/>
              </w:rPr>
              <w:t>Pagos</w:t>
            </w:r>
            <w:r>
              <w:rPr>
                <w:rFonts w:ascii="Tahoma"/>
                <w:spacing w:val="4"/>
                <w:sz w:val="15"/>
              </w:rPr>
              <w:t> </w:t>
            </w:r>
            <w:r>
              <w:rPr>
                <w:rFonts w:ascii="Tahoma"/>
                <w:sz w:val="15"/>
              </w:rPr>
              <w:t>por</w:t>
            </w:r>
            <w:r>
              <w:rPr>
                <w:rFonts w:ascii="Tahoma"/>
                <w:spacing w:val="5"/>
                <w:sz w:val="15"/>
              </w:rPr>
              <w:t> </w:t>
            </w:r>
            <w:r>
              <w:rPr>
                <w:rFonts w:ascii="Tahoma"/>
                <w:sz w:val="15"/>
              </w:rPr>
              <w:t>impuesto</w:t>
            </w:r>
            <w:r>
              <w:rPr>
                <w:rFonts w:ascii="Tahoma"/>
                <w:spacing w:val="16"/>
                <w:sz w:val="15"/>
              </w:rPr>
              <w:t> </w:t>
            </w:r>
            <w:r>
              <w:rPr>
                <w:rFonts w:ascii="Tahoma"/>
                <w:sz w:val="15"/>
              </w:rPr>
              <w:t>sobre</w:t>
            </w:r>
            <w:r>
              <w:rPr>
                <w:rFonts w:ascii="Tahoma"/>
                <w:spacing w:val="22"/>
                <w:sz w:val="15"/>
              </w:rPr>
              <w:t> </w:t>
            </w:r>
            <w:r>
              <w:rPr>
                <w:rFonts w:ascii="Tahoma"/>
                <w:spacing w:val="-2"/>
                <w:sz w:val="15"/>
              </w:rPr>
              <w:t>beneficios</w:t>
            </w:r>
          </w:p>
          <w:p>
            <w:pPr>
              <w:pStyle w:val="TableParagraph"/>
              <w:spacing w:line="331" w:lineRule="auto" w:before="56"/>
              <w:ind w:left="36" w:right="225"/>
              <w:rPr>
                <w:b/>
                <w:sz w:val="15"/>
              </w:rPr>
            </w:pPr>
            <w:r>
              <w:rPr>
                <w:b/>
                <w:sz w:val="15"/>
              </w:rPr>
              <w:t>FLUJOS DE</w:t>
            </w:r>
            <w:r>
              <w:rPr>
                <w:b/>
                <w:spacing w:val="-8"/>
                <w:sz w:val="15"/>
              </w:rPr>
              <w:t> </w:t>
            </w:r>
            <w:r>
              <w:rPr>
                <w:b/>
                <w:sz w:val="15"/>
              </w:rPr>
              <w:t>EFECTIVO</w:t>
            </w:r>
            <w:r>
              <w:rPr>
                <w:b/>
                <w:spacing w:val="-5"/>
                <w:sz w:val="15"/>
              </w:rPr>
              <w:t> </w:t>
            </w:r>
            <w:r>
              <w:rPr>
                <w:b/>
                <w:sz w:val="15"/>
              </w:rPr>
              <w:t>DE</w:t>
            </w:r>
            <w:r>
              <w:rPr>
                <w:b/>
                <w:spacing w:val="-8"/>
                <w:sz w:val="15"/>
              </w:rPr>
              <w:t> </w:t>
            </w:r>
            <w:r>
              <w:rPr>
                <w:b/>
                <w:sz w:val="15"/>
              </w:rPr>
              <w:t>LAS ACTIVID.</w:t>
            </w:r>
            <w:r>
              <w:rPr>
                <w:b/>
                <w:spacing w:val="-2"/>
                <w:sz w:val="15"/>
              </w:rPr>
              <w:t> </w:t>
            </w:r>
            <w:r>
              <w:rPr>
                <w:b/>
                <w:sz w:val="15"/>
              </w:rPr>
              <w:t>DE</w:t>
            </w:r>
            <w:r>
              <w:rPr>
                <w:b/>
                <w:spacing w:val="-8"/>
                <w:sz w:val="15"/>
              </w:rPr>
              <w:t> </w:t>
            </w:r>
            <w:r>
              <w:rPr>
                <w:b/>
                <w:sz w:val="15"/>
              </w:rPr>
              <w:t>EXPLOTACION </w:t>
            </w:r>
            <w:r>
              <w:rPr>
                <w:b/>
                <w:w w:val="105"/>
                <w:sz w:val="15"/>
              </w:rPr>
              <w:t>FLUJOS</w:t>
            </w:r>
            <w:r>
              <w:rPr>
                <w:b/>
                <w:spacing w:val="-9"/>
                <w:w w:val="105"/>
                <w:sz w:val="15"/>
              </w:rPr>
              <w:t> </w:t>
            </w:r>
            <w:r>
              <w:rPr>
                <w:b/>
                <w:w w:val="105"/>
                <w:sz w:val="15"/>
              </w:rPr>
              <w:t>DE</w:t>
            </w:r>
            <w:r>
              <w:rPr>
                <w:b/>
                <w:spacing w:val="-11"/>
                <w:w w:val="105"/>
                <w:sz w:val="15"/>
              </w:rPr>
              <w:t> </w:t>
            </w:r>
            <w:r>
              <w:rPr>
                <w:b/>
                <w:w w:val="105"/>
                <w:sz w:val="15"/>
              </w:rPr>
              <w:t>EFECTIVO</w:t>
            </w:r>
            <w:r>
              <w:rPr>
                <w:b/>
                <w:spacing w:val="-10"/>
                <w:w w:val="105"/>
                <w:sz w:val="15"/>
              </w:rPr>
              <w:t> </w:t>
            </w:r>
            <w:r>
              <w:rPr>
                <w:b/>
                <w:w w:val="105"/>
                <w:sz w:val="15"/>
              </w:rPr>
              <w:t>DE</w:t>
            </w:r>
            <w:r>
              <w:rPr>
                <w:b/>
                <w:spacing w:val="-11"/>
                <w:w w:val="105"/>
                <w:sz w:val="15"/>
              </w:rPr>
              <w:t> </w:t>
            </w:r>
            <w:r>
              <w:rPr>
                <w:b/>
                <w:w w:val="105"/>
                <w:sz w:val="15"/>
              </w:rPr>
              <w:t>LAS</w:t>
            </w:r>
            <w:r>
              <w:rPr>
                <w:b/>
                <w:spacing w:val="-5"/>
                <w:w w:val="105"/>
                <w:sz w:val="15"/>
              </w:rPr>
              <w:t> </w:t>
            </w:r>
            <w:r>
              <w:rPr>
                <w:b/>
                <w:w w:val="105"/>
                <w:sz w:val="15"/>
              </w:rPr>
              <w:t>ACTIVID.</w:t>
            </w:r>
            <w:r>
              <w:rPr>
                <w:b/>
                <w:spacing w:val="-8"/>
                <w:w w:val="105"/>
                <w:sz w:val="15"/>
              </w:rPr>
              <w:t> </w:t>
            </w:r>
            <w:r>
              <w:rPr>
                <w:b/>
                <w:w w:val="105"/>
                <w:sz w:val="15"/>
              </w:rPr>
              <w:t>DE</w:t>
            </w:r>
            <w:r>
              <w:rPr>
                <w:b/>
                <w:spacing w:val="-11"/>
                <w:w w:val="105"/>
                <w:sz w:val="15"/>
              </w:rPr>
              <w:t> </w:t>
            </w:r>
            <w:r>
              <w:rPr>
                <w:b/>
                <w:w w:val="105"/>
                <w:sz w:val="15"/>
              </w:rPr>
              <w:t>INVERSION. PAGOS POR INVERSIONES</w:t>
            </w:r>
          </w:p>
          <w:p>
            <w:pPr>
              <w:pStyle w:val="TableParagraph"/>
              <w:spacing w:line="314" w:lineRule="auto"/>
              <w:ind w:left="36" w:right="3368"/>
              <w:rPr>
                <w:rFonts w:ascii="Tahoma"/>
                <w:sz w:val="15"/>
              </w:rPr>
            </w:pPr>
            <w:r>
              <w:rPr>
                <w:rFonts w:ascii="Tahoma"/>
                <w:spacing w:val="-2"/>
                <w:sz w:val="15"/>
              </w:rPr>
              <w:t>Inmovilizado</w:t>
            </w:r>
            <w:r>
              <w:rPr>
                <w:rFonts w:ascii="Tahoma"/>
                <w:spacing w:val="-10"/>
                <w:sz w:val="15"/>
              </w:rPr>
              <w:t> </w:t>
            </w:r>
            <w:r>
              <w:rPr>
                <w:rFonts w:ascii="Tahoma"/>
                <w:spacing w:val="-2"/>
                <w:sz w:val="15"/>
              </w:rPr>
              <w:t>intangible </w:t>
            </w:r>
            <w:r>
              <w:rPr>
                <w:rFonts w:ascii="Tahoma"/>
                <w:sz w:val="15"/>
              </w:rPr>
              <w:t>Inmovilizado material</w:t>
            </w:r>
          </w:p>
          <w:p>
            <w:pPr>
              <w:pStyle w:val="TableParagraph"/>
              <w:ind w:left="36"/>
              <w:rPr>
                <w:rFonts w:ascii="Tahoma"/>
                <w:sz w:val="15"/>
              </w:rPr>
            </w:pPr>
            <w:r>
              <w:rPr>
                <w:rFonts w:ascii="Tahoma"/>
                <w:sz w:val="15"/>
              </w:rPr>
              <w:t>Otros</w:t>
            </w:r>
            <w:r>
              <w:rPr>
                <w:rFonts w:ascii="Tahoma"/>
                <w:spacing w:val="11"/>
                <w:sz w:val="15"/>
              </w:rPr>
              <w:t> </w:t>
            </w:r>
            <w:r>
              <w:rPr>
                <w:rFonts w:ascii="Tahoma"/>
                <w:sz w:val="15"/>
              </w:rPr>
              <w:t>activos</w:t>
            </w:r>
            <w:r>
              <w:rPr>
                <w:rFonts w:ascii="Tahoma"/>
                <w:spacing w:val="11"/>
                <w:sz w:val="15"/>
              </w:rPr>
              <w:t> </w:t>
            </w:r>
            <w:r>
              <w:rPr>
                <w:rFonts w:ascii="Tahoma"/>
                <w:spacing w:val="-2"/>
                <w:sz w:val="15"/>
              </w:rPr>
              <w:t>financieros</w:t>
            </w:r>
          </w:p>
          <w:p>
            <w:pPr>
              <w:pStyle w:val="TableParagraph"/>
              <w:spacing w:before="62"/>
              <w:ind w:left="36"/>
              <w:rPr>
                <w:b/>
                <w:sz w:val="15"/>
              </w:rPr>
            </w:pPr>
            <w:r>
              <w:rPr>
                <w:b/>
                <w:sz w:val="15"/>
              </w:rPr>
              <w:t>COBROS</w:t>
            </w:r>
            <w:r>
              <w:rPr>
                <w:b/>
                <w:spacing w:val="-6"/>
                <w:sz w:val="15"/>
              </w:rPr>
              <w:t> </w:t>
            </w:r>
            <w:r>
              <w:rPr>
                <w:b/>
                <w:sz w:val="15"/>
              </w:rPr>
              <w:t>POR</w:t>
            </w:r>
            <w:r>
              <w:rPr>
                <w:b/>
                <w:spacing w:val="-6"/>
                <w:sz w:val="15"/>
              </w:rPr>
              <w:t> </w:t>
            </w:r>
            <w:r>
              <w:rPr>
                <w:b/>
                <w:spacing w:val="-2"/>
                <w:sz w:val="15"/>
              </w:rPr>
              <w:t>DESINVERSIONES</w:t>
            </w:r>
          </w:p>
          <w:p>
            <w:pPr>
              <w:pStyle w:val="TableParagraph"/>
              <w:spacing w:before="56"/>
              <w:ind w:left="36"/>
              <w:rPr>
                <w:rFonts w:ascii="Tahoma"/>
                <w:sz w:val="15"/>
              </w:rPr>
            </w:pPr>
            <w:r>
              <w:rPr>
                <w:rFonts w:ascii="Tahoma"/>
                <w:spacing w:val="-2"/>
                <w:sz w:val="15"/>
              </w:rPr>
              <w:t>Inmovilizado</w:t>
            </w:r>
            <w:r>
              <w:rPr>
                <w:rFonts w:ascii="Tahoma"/>
                <w:spacing w:val="-3"/>
                <w:sz w:val="15"/>
              </w:rPr>
              <w:t> </w:t>
            </w:r>
            <w:r>
              <w:rPr>
                <w:rFonts w:ascii="Tahoma"/>
                <w:spacing w:val="-2"/>
                <w:sz w:val="15"/>
              </w:rPr>
              <w:t>material</w:t>
            </w:r>
          </w:p>
          <w:p>
            <w:pPr>
              <w:pStyle w:val="TableParagraph"/>
              <w:spacing w:line="331" w:lineRule="auto" w:before="68"/>
              <w:ind w:left="36"/>
              <w:rPr>
                <w:b/>
                <w:sz w:val="15"/>
              </w:rPr>
            </w:pPr>
            <w:r>
              <w:rPr>
                <w:b/>
                <w:spacing w:val="-4"/>
                <w:w w:val="105"/>
                <w:sz w:val="15"/>
              </w:rPr>
              <w:t>FLUJOS</w:t>
            </w:r>
            <w:r>
              <w:rPr>
                <w:b/>
                <w:spacing w:val="-7"/>
                <w:w w:val="105"/>
                <w:sz w:val="15"/>
              </w:rPr>
              <w:t> </w:t>
            </w:r>
            <w:r>
              <w:rPr>
                <w:b/>
                <w:spacing w:val="-4"/>
                <w:w w:val="105"/>
                <w:sz w:val="15"/>
              </w:rPr>
              <w:t>DE</w:t>
            </w:r>
            <w:r>
              <w:rPr>
                <w:b/>
                <w:spacing w:val="-7"/>
                <w:w w:val="105"/>
                <w:sz w:val="15"/>
              </w:rPr>
              <w:t> </w:t>
            </w:r>
            <w:r>
              <w:rPr>
                <w:b/>
                <w:spacing w:val="-4"/>
                <w:w w:val="105"/>
                <w:sz w:val="15"/>
              </w:rPr>
              <w:t>EFECTIVO</w:t>
            </w:r>
            <w:r>
              <w:rPr>
                <w:b/>
                <w:spacing w:val="-7"/>
                <w:w w:val="105"/>
                <w:sz w:val="15"/>
              </w:rPr>
              <w:t> </w:t>
            </w:r>
            <w:r>
              <w:rPr>
                <w:b/>
                <w:spacing w:val="-4"/>
                <w:w w:val="105"/>
                <w:sz w:val="15"/>
              </w:rPr>
              <w:t>DE</w:t>
            </w:r>
            <w:r>
              <w:rPr>
                <w:b/>
                <w:spacing w:val="-7"/>
                <w:w w:val="105"/>
                <w:sz w:val="15"/>
              </w:rPr>
              <w:t> </w:t>
            </w:r>
            <w:r>
              <w:rPr>
                <w:b/>
                <w:spacing w:val="-4"/>
                <w:w w:val="105"/>
                <w:sz w:val="15"/>
              </w:rPr>
              <w:t>LAS</w:t>
            </w:r>
            <w:r>
              <w:rPr>
                <w:b/>
                <w:spacing w:val="-7"/>
                <w:w w:val="105"/>
                <w:sz w:val="15"/>
              </w:rPr>
              <w:t> </w:t>
            </w:r>
            <w:r>
              <w:rPr>
                <w:b/>
                <w:spacing w:val="-4"/>
                <w:w w:val="105"/>
                <w:sz w:val="15"/>
              </w:rPr>
              <w:t>ACTIVIDADES</w:t>
            </w:r>
            <w:r>
              <w:rPr>
                <w:b/>
                <w:spacing w:val="-7"/>
                <w:w w:val="105"/>
                <w:sz w:val="15"/>
              </w:rPr>
              <w:t> </w:t>
            </w:r>
            <w:r>
              <w:rPr>
                <w:b/>
                <w:spacing w:val="-4"/>
                <w:w w:val="105"/>
                <w:sz w:val="15"/>
              </w:rPr>
              <w:t>DE</w:t>
            </w:r>
            <w:r>
              <w:rPr>
                <w:b/>
                <w:spacing w:val="-7"/>
                <w:w w:val="105"/>
                <w:sz w:val="15"/>
              </w:rPr>
              <w:t> </w:t>
            </w:r>
            <w:r>
              <w:rPr>
                <w:b/>
                <w:spacing w:val="-4"/>
                <w:w w:val="105"/>
                <w:sz w:val="15"/>
              </w:rPr>
              <w:t>INVERSION</w:t>
            </w:r>
            <w:r>
              <w:rPr>
                <w:b/>
                <w:spacing w:val="-2"/>
                <w:w w:val="105"/>
                <w:sz w:val="15"/>
              </w:rPr>
              <w:t> FLUJOS</w:t>
            </w:r>
            <w:r>
              <w:rPr>
                <w:b/>
                <w:spacing w:val="-9"/>
                <w:w w:val="105"/>
                <w:sz w:val="15"/>
              </w:rPr>
              <w:t> </w:t>
            </w:r>
            <w:r>
              <w:rPr>
                <w:b/>
                <w:spacing w:val="-2"/>
                <w:w w:val="105"/>
                <w:sz w:val="15"/>
              </w:rPr>
              <w:t>DE</w:t>
            </w:r>
            <w:r>
              <w:rPr>
                <w:b/>
                <w:spacing w:val="-9"/>
                <w:w w:val="105"/>
                <w:sz w:val="15"/>
              </w:rPr>
              <w:t> </w:t>
            </w:r>
            <w:r>
              <w:rPr>
                <w:b/>
                <w:spacing w:val="-2"/>
                <w:w w:val="105"/>
                <w:sz w:val="15"/>
              </w:rPr>
              <w:t>EFECTIVO</w:t>
            </w:r>
            <w:r>
              <w:rPr>
                <w:b/>
                <w:spacing w:val="-9"/>
                <w:w w:val="105"/>
                <w:sz w:val="15"/>
              </w:rPr>
              <w:t> </w:t>
            </w:r>
            <w:r>
              <w:rPr>
                <w:b/>
                <w:spacing w:val="-2"/>
                <w:w w:val="105"/>
                <w:sz w:val="15"/>
              </w:rPr>
              <w:t>DE</w:t>
            </w:r>
            <w:r>
              <w:rPr>
                <w:b/>
                <w:spacing w:val="-9"/>
                <w:w w:val="105"/>
                <w:sz w:val="15"/>
              </w:rPr>
              <w:t> </w:t>
            </w:r>
            <w:r>
              <w:rPr>
                <w:b/>
                <w:spacing w:val="-2"/>
                <w:w w:val="105"/>
                <w:sz w:val="15"/>
              </w:rPr>
              <w:t>LAS</w:t>
            </w:r>
            <w:r>
              <w:rPr>
                <w:b/>
                <w:spacing w:val="-8"/>
                <w:w w:val="105"/>
                <w:sz w:val="15"/>
              </w:rPr>
              <w:t> </w:t>
            </w:r>
            <w:r>
              <w:rPr>
                <w:b/>
                <w:spacing w:val="-2"/>
                <w:w w:val="105"/>
                <w:sz w:val="15"/>
              </w:rPr>
              <w:t>ACTIVID.</w:t>
            </w:r>
            <w:r>
              <w:rPr>
                <w:b/>
                <w:spacing w:val="-9"/>
                <w:w w:val="105"/>
                <w:sz w:val="15"/>
              </w:rPr>
              <w:t> </w:t>
            </w:r>
            <w:r>
              <w:rPr>
                <w:b/>
                <w:spacing w:val="-2"/>
                <w:w w:val="105"/>
                <w:sz w:val="15"/>
              </w:rPr>
              <w:t>DE</w:t>
            </w:r>
            <w:r>
              <w:rPr>
                <w:b/>
                <w:spacing w:val="-9"/>
                <w:w w:val="105"/>
                <w:sz w:val="15"/>
              </w:rPr>
              <w:t> </w:t>
            </w:r>
            <w:r>
              <w:rPr>
                <w:b/>
                <w:spacing w:val="-2"/>
                <w:w w:val="105"/>
                <w:sz w:val="15"/>
              </w:rPr>
              <w:t>FINANCIACION.</w:t>
            </w:r>
          </w:p>
          <w:p>
            <w:pPr>
              <w:pStyle w:val="TableParagraph"/>
              <w:rPr>
                <w:sz w:val="15"/>
              </w:rPr>
            </w:pPr>
          </w:p>
          <w:p>
            <w:pPr>
              <w:pStyle w:val="TableParagraph"/>
              <w:spacing w:before="7"/>
              <w:rPr>
                <w:sz w:val="15"/>
              </w:rPr>
            </w:pPr>
          </w:p>
          <w:p>
            <w:pPr>
              <w:pStyle w:val="TableParagraph"/>
              <w:ind w:left="36"/>
              <w:rPr>
                <w:b/>
                <w:sz w:val="15"/>
              </w:rPr>
            </w:pPr>
            <w:r>
              <w:rPr>
                <w:b/>
                <w:sz w:val="15"/>
              </w:rPr>
              <w:t>COBROS</w:t>
            </w:r>
            <w:r>
              <w:rPr>
                <w:b/>
                <w:spacing w:val="-7"/>
                <w:sz w:val="15"/>
              </w:rPr>
              <w:t> </w:t>
            </w:r>
            <w:r>
              <w:rPr>
                <w:b/>
                <w:sz w:val="15"/>
              </w:rPr>
              <w:t>Y</w:t>
            </w:r>
            <w:r>
              <w:rPr>
                <w:b/>
                <w:spacing w:val="-11"/>
                <w:sz w:val="15"/>
              </w:rPr>
              <w:t> </w:t>
            </w:r>
            <w:r>
              <w:rPr>
                <w:b/>
                <w:sz w:val="15"/>
              </w:rPr>
              <w:t>PAGOS</w:t>
            </w:r>
            <w:r>
              <w:rPr>
                <w:b/>
                <w:spacing w:val="-5"/>
                <w:sz w:val="15"/>
              </w:rPr>
              <w:t> </w:t>
            </w:r>
            <w:r>
              <w:rPr>
                <w:b/>
                <w:sz w:val="15"/>
              </w:rPr>
              <w:t>POR</w:t>
            </w:r>
            <w:r>
              <w:rPr>
                <w:b/>
                <w:spacing w:val="-4"/>
                <w:sz w:val="15"/>
              </w:rPr>
              <w:t> </w:t>
            </w:r>
            <w:r>
              <w:rPr>
                <w:b/>
                <w:sz w:val="15"/>
              </w:rPr>
              <w:t>INSTRUMENTOS</w:t>
            </w:r>
            <w:r>
              <w:rPr>
                <w:b/>
                <w:spacing w:val="-3"/>
                <w:sz w:val="15"/>
              </w:rPr>
              <w:t> </w:t>
            </w:r>
            <w:r>
              <w:rPr>
                <w:b/>
                <w:sz w:val="15"/>
              </w:rPr>
              <w:t>DE</w:t>
            </w:r>
            <w:r>
              <w:rPr>
                <w:b/>
                <w:spacing w:val="-10"/>
                <w:sz w:val="15"/>
              </w:rPr>
              <w:t> </w:t>
            </w:r>
            <w:r>
              <w:rPr>
                <w:b/>
                <w:spacing w:val="-2"/>
                <w:sz w:val="15"/>
              </w:rPr>
              <w:t>PATRIMONIO</w:t>
            </w:r>
          </w:p>
          <w:p>
            <w:pPr>
              <w:pStyle w:val="TableParagraph"/>
              <w:rPr>
                <w:sz w:val="15"/>
              </w:rPr>
            </w:pPr>
          </w:p>
          <w:p>
            <w:pPr>
              <w:pStyle w:val="TableParagraph"/>
              <w:spacing w:before="64"/>
              <w:rPr>
                <w:sz w:val="15"/>
              </w:rPr>
            </w:pPr>
          </w:p>
          <w:p>
            <w:pPr>
              <w:pStyle w:val="TableParagraph"/>
              <w:ind w:left="36"/>
              <w:rPr>
                <w:rFonts w:ascii="Tahoma" w:hAnsi="Tahoma"/>
                <w:sz w:val="15"/>
              </w:rPr>
            </w:pPr>
            <w:r>
              <w:rPr>
                <w:rFonts w:ascii="Tahoma" w:hAnsi="Tahoma"/>
                <w:sz w:val="15"/>
              </w:rPr>
              <w:t>Emisión</w:t>
            </w:r>
            <w:r>
              <w:rPr>
                <w:rFonts w:ascii="Tahoma" w:hAnsi="Tahoma"/>
                <w:spacing w:val="9"/>
                <w:sz w:val="15"/>
              </w:rPr>
              <w:t> </w:t>
            </w:r>
            <w:r>
              <w:rPr>
                <w:rFonts w:ascii="Tahoma" w:hAnsi="Tahoma"/>
                <w:sz w:val="15"/>
              </w:rPr>
              <w:t>de</w:t>
            </w:r>
            <w:r>
              <w:rPr>
                <w:rFonts w:ascii="Tahoma" w:hAnsi="Tahoma"/>
                <w:spacing w:val="14"/>
                <w:sz w:val="15"/>
              </w:rPr>
              <w:t> </w:t>
            </w:r>
            <w:r>
              <w:rPr>
                <w:rFonts w:ascii="Tahoma" w:hAnsi="Tahoma"/>
                <w:sz w:val="15"/>
              </w:rPr>
              <w:t>instrumentos</w:t>
            </w:r>
            <w:r>
              <w:rPr>
                <w:rFonts w:ascii="Tahoma" w:hAnsi="Tahoma"/>
                <w:spacing w:val="3"/>
                <w:sz w:val="15"/>
              </w:rPr>
              <w:t> </w:t>
            </w:r>
            <w:r>
              <w:rPr>
                <w:rFonts w:ascii="Tahoma" w:hAnsi="Tahoma"/>
                <w:sz w:val="15"/>
              </w:rPr>
              <w:t>de</w:t>
            </w:r>
            <w:r>
              <w:rPr>
                <w:rFonts w:ascii="Tahoma" w:hAnsi="Tahoma"/>
                <w:spacing w:val="16"/>
                <w:sz w:val="15"/>
              </w:rPr>
              <w:t> </w:t>
            </w:r>
            <w:r>
              <w:rPr>
                <w:rFonts w:ascii="Tahoma" w:hAnsi="Tahoma"/>
                <w:spacing w:val="-2"/>
                <w:sz w:val="15"/>
              </w:rPr>
              <w:t>patrimonio</w:t>
            </w:r>
          </w:p>
          <w:p>
            <w:pPr>
              <w:pStyle w:val="TableParagraph"/>
              <w:spacing w:before="136"/>
              <w:rPr>
                <w:sz w:val="15"/>
              </w:rPr>
            </w:pPr>
          </w:p>
          <w:p>
            <w:pPr>
              <w:pStyle w:val="TableParagraph"/>
              <w:ind w:left="36"/>
              <w:rPr>
                <w:rFonts w:ascii="Tahoma"/>
                <w:sz w:val="15"/>
              </w:rPr>
            </w:pPr>
            <w:r>
              <w:rPr>
                <w:rFonts w:ascii="Tahoma"/>
                <w:sz w:val="15"/>
              </w:rPr>
              <w:t>Subvenciones,</w:t>
            </w:r>
            <w:r>
              <w:rPr>
                <w:rFonts w:ascii="Tahoma"/>
                <w:spacing w:val="23"/>
                <w:sz w:val="15"/>
              </w:rPr>
              <w:t> </w:t>
            </w:r>
            <w:r>
              <w:rPr>
                <w:rFonts w:ascii="Tahoma"/>
                <w:sz w:val="15"/>
              </w:rPr>
              <w:t>donaciones</w:t>
            </w:r>
            <w:r>
              <w:rPr>
                <w:rFonts w:ascii="Tahoma"/>
                <w:spacing w:val="12"/>
                <w:sz w:val="15"/>
              </w:rPr>
              <w:t> </w:t>
            </w:r>
            <w:r>
              <w:rPr>
                <w:rFonts w:ascii="Tahoma"/>
                <w:sz w:val="15"/>
              </w:rPr>
              <w:t>y</w:t>
            </w:r>
            <w:r>
              <w:rPr>
                <w:rFonts w:ascii="Tahoma"/>
                <w:spacing w:val="14"/>
                <w:sz w:val="15"/>
              </w:rPr>
              <w:t> </w:t>
            </w:r>
            <w:r>
              <w:rPr>
                <w:rFonts w:ascii="Tahoma"/>
                <w:sz w:val="15"/>
              </w:rPr>
              <w:t>legados</w:t>
            </w:r>
            <w:r>
              <w:rPr>
                <w:rFonts w:ascii="Tahoma"/>
                <w:spacing w:val="12"/>
                <w:sz w:val="15"/>
              </w:rPr>
              <w:t> </w:t>
            </w:r>
            <w:r>
              <w:rPr>
                <w:rFonts w:ascii="Tahoma"/>
                <w:spacing w:val="-2"/>
                <w:sz w:val="15"/>
              </w:rPr>
              <w:t>recibidos</w:t>
            </w:r>
          </w:p>
          <w:p>
            <w:pPr>
              <w:pStyle w:val="TableParagraph"/>
              <w:spacing w:before="134"/>
              <w:rPr>
                <w:sz w:val="15"/>
              </w:rPr>
            </w:pPr>
          </w:p>
          <w:p>
            <w:pPr>
              <w:pStyle w:val="TableParagraph"/>
              <w:ind w:left="36"/>
              <w:rPr>
                <w:b/>
                <w:sz w:val="15"/>
              </w:rPr>
            </w:pPr>
            <w:r>
              <w:rPr>
                <w:b/>
                <w:sz w:val="15"/>
              </w:rPr>
              <w:t>COBROS</w:t>
            </w:r>
            <w:r>
              <w:rPr>
                <w:b/>
                <w:spacing w:val="8"/>
                <w:sz w:val="15"/>
              </w:rPr>
              <w:t> </w:t>
            </w:r>
            <w:r>
              <w:rPr>
                <w:b/>
                <w:sz w:val="15"/>
              </w:rPr>
              <w:t>Y</w:t>
            </w:r>
            <w:r>
              <w:rPr>
                <w:b/>
                <w:spacing w:val="-7"/>
                <w:sz w:val="15"/>
              </w:rPr>
              <w:t> </w:t>
            </w:r>
            <w:r>
              <w:rPr>
                <w:b/>
                <w:sz w:val="15"/>
              </w:rPr>
              <w:t>PAGOS</w:t>
            </w:r>
            <w:r>
              <w:rPr>
                <w:b/>
                <w:spacing w:val="9"/>
                <w:sz w:val="15"/>
              </w:rPr>
              <w:t> </w:t>
            </w:r>
            <w:r>
              <w:rPr>
                <w:b/>
                <w:sz w:val="15"/>
              </w:rPr>
              <w:t>POR</w:t>
            </w:r>
            <w:r>
              <w:rPr>
                <w:b/>
                <w:spacing w:val="8"/>
                <w:sz w:val="15"/>
              </w:rPr>
              <w:t> </w:t>
            </w:r>
            <w:r>
              <w:rPr>
                <w:b/>
                <w:sz w:val="15"/>
              </w:rPr>
              <w:t>INSTRUM.</w:t>
            </w:r>
            <w:r>
              <w:rPr>
                <w:b/>
                <w:spacing w:val="8"/>
                <w:sz w:val="15"/>
              </w:rPr>
              <w:t> </w:t>
            </w:r>
            <w:r>
              <w:rPr>
                <w:b/>
                <w:sz w:val="15"/>
              </w:rPr>
              <w:t>DE</w:t>
            </w:r>
            <w:r>
              <w:rPr>
                <w:b/>
                <w:spacing w:val="-1"/>
                <w:sz w:val="15"/>
              </w:rPr>
              <w:t> </w:t>
            </w:r>
            <w:r>
              <w:rPr>
                <w:b/>
                <w:sz w:val="15"/>
              </w:rPr>
              <w:t>PASIVO</w:t>
            </w:r>
            <w:r>
              <w:rPr>
                <w:b/>
                <w:spacing w:val="3"/>
                <w:sz w:val="15"/>
              </w:rPr>
              <w:t> </w:t>
            </w:r>
            <w:r>
              <w:rPr>
                <w:b/>
                <w:spacing w:val="-2"/>
                <w:sz w:val="15"/>
              </w:rPr>
              <w:t>FINANCIERO</w:t>
            </w:r>
          </w:p>
          <w:p>
            <w:pPr>
              <w:pStyle w:val="TableParagraph"/>
              <w:spacing w:before="56"/>
              <w:ind w:left="36"/>
              <w:rPr>
                <w:rFonts w:ascii="Tahoma" w:hAnsi="Tahoma"/>
                <w:sz w:val="15"/>
              </w:rPr>
            </w:pPr>
            <w:r>
              <w:rPr>
                <w:rFonts w:ascii="Tahoma" w:hAnsi="Tahoma"/>
                <w:spacing w:val="-2"/>
                <w:sz w:val="15"/>
              </w:rPr>
              <w:t>Emisión</w:t>
            </w:r>
          </w:p>
          <w:p>
            <w:pPr>
              <w:pStyle w:val="TableParagraph"/>
              <w:spacing w:before="47"/>
              <w:ind w:left="-9281213"/>
              <w:rPr>
                <w:rFonts w:ascii="Tahoma" w:hAnsi="Tahoma"/>
                <w:i/>
                <w:sz w:val="16"/>
              </w:rPr>
            </w:pPr>
            <w:r>
              <w:rPr>
                <w:rFonts w:ascii="Tahoma" w:hAnsi="Tahoma"/>
                <w:i/>
                <w:spacing w:val="-31680"/>
                <w:sz w:val="16"/>
              </w:rPr>
              <w:t>t</w:t>
            </w:r>
            <w:r>
              <w:rPr>
                <w:rFonts w:ascii="Tahoma" w:hAnsi="Tahoma"/>
                <w:i/>
                <w:spacing w:val="-31680"/>
                <w:sz w:val="16"/>
              </w:rPr>
              <w:t>d</w:t>
            </w:r>
            <w:r>
              <w:rPr>
                <w:rFonts w:ascii="Tahoma" w:hAnsi="Tahoma"/>
                <w:i/>
                <w:spacing w:val="-31680"/>
                <w:sz w:val="16"/>
              </w:rPr>
              <w:t>r</w:t>
            </w:r>
            <w:r>
              <w:rPr>
                <w:rFonts w:ascii="Tahoma" w:hAnsi="Tahoma"/>
                <w:i/>
                <w:spacing w:val="-31680"/>
                <w:sz w:val="16"/>
              </w:rPr>
              <w:t>é</w:t>
            </w:r>
            <w:r>
              <w:rPr>
                <w:rFonts w:ascii="Tahoma" w:hAnsi="Tahoma"/>
                <w:i/>
                <w:spacing w:val="-31680"/>
                <w:sz w:val="16"/>
              </w:rPr>
              <w:t>e</w:t>
            </w:r>
            <w:r>
              <w:rPr>
                <w:rFonts w:ascii="Tahoma" w:hAnsi="Tahoma"/>
                <w:i/>
                <w:spacing w:val="-31680"/>
                <w:sz w:val="16"/>
              </w:rPr>
              <w:t>i</w:t>
            </w:r>
            <w:r>
              <w:rPr>
                <w:rFonts w:ascii="Tahoma" w:hAnsi="Tahoma"/>
                <w:i/>
                <w:spacing w:val="-31680"/>
                <w:sz w:val="16"/>
              </w:rPr>
              <w:t>e</w:t>
            </w:r>
            <w:r>
              <w:rPr>
                <w:rFonts w:ascii="Tahoma" w:hAnsi="Tahoma"/>
                <w:i/>
                <w:spacing w:val="-31680"/>
                <w:sz w:val="16"/>
              </w:rPr>
              <w:t>n</w:t>
            </w:r>
            <w:r>
              <w:rPr>
                <w:rFonts w:ascii="Tahoma" w:hAnsi="Tahoma"/>
                <w:i/>
                <w:spacing w:val="-31680"/>
                <w:sz w:val="16"/>
              </w:rPr>
              <w:t>c</w:t>
            </w:r>
            <w:r>
              <w:rPr>
                <w:rFonts w:ascii="Tahoma" w:hAnsi="Tahoma"/>
                <w:i/>
                <w:spacing w:val="-19059"/>
                <w:sz w:val="16"/>
              </w:rPr>
              <w:t>d</w:t>
            </w:r>
            <w:r>
              <w:rPr>
                <w:rFonts w:ascii="Tahoma" w:hAnsi="Tahoma"/>
                <w:i/>
                <w:spacing w:val="-9361"/>
                <w:sz w:val="16"/>
              </w:rPr>
              <w:t>e</w:t>
            </w:r>
            <w:r>
              <w:rPr>
                <w:rFonts w:ascii="Tahoma" w:hAnsi="Tahoma"/>
                <w:i/>
                <w:spacing w:val="-4298"/>
                <w:sz w:val="16"/>
              </w:rPr>
              <w:t>D</w:t>
            </w:r>
            <w:r>
              <w:rPr>
                <w:rFonts w:ascii="Tahoma" w:hAnsi="Tahoma"/>
                <w:i/>
                <w:spacing w:val="-1767"/>
                <w:sz w:val="16"/>
              </w:rPr>
              <w:t>u</w:t>
            </w:r>
            <w:r>
              <w:rPr>
                <w:rFonts w:ascii="Tahoma" w:hAnsi="Tahoma"/>
                <w:i/>
                <w:spacing w:val="-544"/>
                <w:sz w:val="16"/>
              </w:rPr>
              <w:t>a</w:t>
            </w:r>
            <w:r>
              <w:rPr>
                <w:rFonts w:ascii="Tahoma" w:hAnsi="Tahoma"/>
                <w:i/>
                <w:sz w:val="16"/>
              </w:rPr>
              <w:t>s</w:t>
            </w:r>
            <w:r>
              <w:rPr>
                <w:rFonts w:ascii="Tahoma" w:hAnsi="Tahoma"/>
                <w:i/>
                <w:spacing w:val="-38"/>
                <w:sz w:val="16"/>
              </w:rPr>
              <w:t> </w:t>
            </w:r>
            <w:r>
              <w:rPr>
                <w:rFonts w:ascii="Tahoma" w:hAnsi="Tahoma"/>
                <w:i/>
                <w:sz w:val="16"/>
              </w:rPr>
              <w:t>o</w:t>
            </w:r>
            <w:r>
              <w:rPr>
                <w:rFonts w:ascii="Tahoma" w:hAnsi="Tahoma"/>
                <w:i/>
                <w:spacing w:val="11"/>
                <w:sz w:val="16"/>
              </w:rPr>
              <w:t> </w:t>
            </w:r>
            <w:r>
              <w:rPr>
                <w:rFonts w:ascii="Tahoma" w:hAnsi="Tahoma"/>
                <w:i/>
                <w:spacing w:val="-541"/>
                <w:sz w:val="16"/>
              </w:rPr>
              <w:t>d</w:t>
            </w:r>
            <w:r>
              <w:rPr>
                <w:rFonts w:ascii="Tahoma" w:hAnsi="Tahoma"/>
                <w:i/>
                <w:spacing w:val="-448"/>
                <w:sz w:val="16"/>
              </w:rPr>
              <w:t>a</w:t>
            </w:r>
            <w:r>
              <w:rPr>
                <w:rFonts w:ascii="Tahoma" w:hAnsi="Tahoma"/>
                <w:i/>
                <w:spacing w:val="-373"/>
                <w:sz w:val="16"/>
              </w:rPr>
              <w:t>d</w:t>
            </w:r>
            <w:r>
              <w:rPr>
                <w:rFonts w:ascii="Tahoma" w:hAnsi="Tahoma"/>
                <w:i/>
                <w:spacing w:val="-946"/>
                <w:sz w:val="16"/>
              </w:rPr>
              <w:t>i</w:t>
            </w:r>
            <w:r>
              <w:rPr>
                <w:rFonts w:ascii="Tahoma" w:hAnsi="Tahoma"/>
                <w:i/>
                <w:spacing w:val="-62"/>
                <w:sz w:val="16"/>
              </w:rPr>
              <w:t>t</w:t>
            </w:r>
            <w:r>
              <w:rPr>
                <w:rFonts w:ascii="Tahoma" w:hAnsi="Tahoma"/>
                <w:i/>
                <w:spacing w:val="-10"/>
                <w:sz w:val="16"/>
              </w:rPr>
              <w:t>o</w:t>
            </w:r>
          </w:p>
          <w:p>
            <w:pPr>
              <w:pStyle w:val="TableParagraph"/>
              <w:spacing w:line="297" w:lineRule="auto" w:before="44"/>
              <w:ind w:left="21" w:right="1659"/>
              <w:rPr>
                <w:rFonts w:ascii="Tahoma"/>
                <w:i/>
                <w:sz w:val="16"/>
              </w:rPr>
            </w:pPr>
            <w:r>
              <w:rPr>
                <w:rFonts w:ascii="Tahoma"/>
                <w:i/>
                <w:spacing w:val="-66"/>
                <w:sz w:val="16"/>
              </w:rPr>
              <w:t>D</w:t>
            </w:r>
            <w:r>
              <w:rPr>
                <w:rFonts w:ascii="Tahoma"/>
                <w:i/>
                <w:spacing w:val="-58"/>
                <w:sz w:val="16"/>
              </w:rPr>
              <w:t>e</w:t>
            </w:r>
            <w:r>
              <w:rPr>
                <w:rFonts w:ascii="Tahoma"/>
                <w:i/>
                <w:spacing w:val="-60"/>
                <w:sz w:val="16"/>
              </w:rPr>
              <w:t>u</w:t>
            </w:r>
            <w:r>
              <w:rPr>
                <w:rFonts w:ascii="Tahoma"/>
                <w:i/>
                <w:spacing w:val="-62"/>
                <w:sz w:val="16"/>
              </w:rPr>
              <w:t>d</w:t>
            </w:r>
            <w:r>
              <w:rPr>
                <w:rFonts w:ascii="Tahoma"/>
                <w:i/>
                <w:spacing w:val="-67"/>
                <w:sz w:val="16"/>
              </w:rPr>
              <w:t>a</w:t>
            </w:r>
            <w:r>
              <w:rPr>
                <w:rFonts w:ascii="Tahoma"/>
                <w:i/>
                <w:spacing w:val="-19"/>
                <w:sz w:val="16"/>
              </w:rPr>
              <w:t>s</w:t>
            </w:r>
            <w:r>
              <w:rPr>
                <w:rFonts w:ascii="Tahoma"/>
                <w:i/>
                <w:spacing w:val="-61"/>
                <w:sz w:val="16"/>
              </w:rPr>
              <w:t>c</w:t>
            </w:r>
            <w:r>
              <w:rPr>
                <w:rFonts w:ascii="Tahoma"/>
                <w:i/>
                <w:spacing w:val="-58"/>
                <w:sz w:val="16"/>
              </w:rPr>
              <w:t>o</w:t>
            </w:r>
            <w:r>
              <w:rPr>
                <w:rFonts w:ascii="Tahoma"/>
                <w:i/>
                <w:spacing w:val="-12"/>
                <w:sz w:val="16"/>
              </w:rPr>
              <w:t>n</w:t>
            </w:r>
            <w:r>
              <w:rPr>
                <w:rFonts w:ascii="Tahoma"/>
                <w:i/>
                <w:spacing w:val="-55"/>
                <w:sz w:val="16"/>
              </w:rPr>
              <w:t>e</w:t>
            </w:r>
            <w:r>
              <w:rPr>
                <w:rFonts w:ascii="Tahoma"/>
                <w:i/>
                <w:spacing w:val="-68"/>
                <w:sz w:val="16"/>
              </w:rPr>
              <w:t>m</w:t>
            </w:r>
            <w:r>
              <w:rPr>
                <w:rFonts w:ascii="Tahoma"/>
                <w:i/>
                <w:spacing w:val="-71"/>
                <w:sz w:val="16"/>
              </w:rPr>
              <w:t>p</w:t>
            </w:r>
            <w:r>
              <w:rPr>
                <w:rFonts w:ascii="Tahoma"/>
                <w:i/>
                <w:spacing w:val="-79"/>
                <w:sz w:val="16"/>
              </w:rPr>
              <w:t>r</w:t>
            </w:r>
            <w:r>
              <w:rPr>
                <w:rFonts w:ascii="Tahoma"/>
                <w:i/>
                <w:spacing w:val="-56"/>
                <w:sz w:val="16"/>
              </w:rPr>
              <w:t>e</w:t>
            </w:r>
            <w:r>
              <w:rPr>
                <w:rFonts w:ascii="Tahoma"/>
                <w:i/>
                <w:spacing w:val="-71"/>
                <w:sz w:val="16"/>
              </w:rPr>
              <w:t>s</w:t>
            </w:r>
            <w:r>
              <w:rPr>
                <w:rFonts w:ascii="Tahoma"/>
                <w:i/>
                <w:spacing w:val="-70"/>
                <w:sz w:val="16"/>
              </w:rPr>
              <w:t>a</w:t>
            </w:r>
            <w:r>
              <w:rPr>
                <w:rFonts w:ascii="Tahoma"/>
                <w:i/>
                <w:spacing w:val="-19"/>
                <w:sz w:val="16"/>
              </w:rPr>
              <w:t>s</w:t>
            </w:r>
            <w:r>
              <w:rPr>
                <w:rFonts w:ascii="Tahoma"/>
                <w:i/>
                <w:spacing w:val="-59"/>
                <w:sz w:val="16"/>
              </w:rPr>
              <w:t>d</w:t>
            </w:r>
            <w:r>
              <w:rPr>
                <w:rFonts w:ascii="Tahoma"/>
                <w:i/>
                <w:spacing w:val="-55"/>
                <w:sz w:val="16"/>
              </w:rPr>
              <w:t>e</w:t>
            </w:r>
            <w:r>
              <w:rPr>
                <w:rFonts w:ascii="Tahoma"/>
                <w:i/>
                <w:spacing w:val="-26"/>
                <w:sz w:val="16"/>
              </w:rPr>
              <w:t>l</w:t>
            </w:r>
            <w:r>
              <w:rPr>
                <w:rFonts w:ascii="Tahoma"/>
                <w:i/>
                <w:spacing w:val="-74"/>
                <w:sz w:val="16"/>
              </w:rPr>
              <w:t>g</w:t>
            </w:r>
            <w:r>
              <w:rPr>
                <w:rFonts w:ascii="Tahoma"/>
                <w:i/>
                <w:spacing w:val="-85"/>
                <w:sz w:val="16"/>
              </w:rPr>
              <w:t>r</w:t>
            </w:r>
            <w:r>
              <w:rPr>
                <w:rFonts w:ascii="Tahoma"/>
                <w:i/>
                <w:spacing w:val="-60"/>
                <w:sz w:val="16"/>
              </w:rPr>
              <w:t>u</w:t>
            </w:r>
            <w:r>
              <w:rPr>
                <w:rFonts w:ascii="Tahoma"/>
                <w:i/>
                <w:spacing w:val="-59"/>
                <w:sz w:val="16"/>
              </w:rPr>
              <w:t>p</w:t>
            </w:r>
            <w:r>
              <w:rPr>
                <w:rFonts w:ascii="Tahoma"/>
                <w:i/>
                <w:spacing w:val="-11"/>
                <w:sz w:val="16"/>
              </w:rPr>
              <w:t>o</w:t>
            </w:r>
            <w:r>
              <w:rPr>
                <w:rFonts w:ascii="Tahoma"/>
                <w:i/>
                <w:spacing w:val="-12"/>
                <w:sz w:val="16"/>
              </w:rPr>
              <w:t>y</w:t>
            </w:r>
            <w:r>
              <w:rPr>
                <w:rFonts w:ascii="Tahoma"/>
                <w:i/>
                <w:spacing w:val="-71"/>
                <w:sz w:val="16"/>
              </w:rPr>
              <w:t>as</w:t>
            </w:r>
            <w:r>
              <w:rPr>
                <w:rFonts w:ascii="Tahoma"/>
                <w:i/>
                <w:spacing w:val="-143"/>
                <w:sz w:val="16"/>
              </w:rPr>
              <w:t>o</w:t>
            </w:r>
            <w:r>
              <w:rPr>
                <w:rFonts w:ascii="Tahoma"/>
                <w:i/>
                <w:spacing w:val="-255"/>
                <w:sz w:val="16"/>
              </w:rPr>
              <w:t>c</w:t>
            </w:r>
            <w:r>
              <w:rPr>
                <w:rFonts w:ascii="Tahoma"/>
                <w:i/>
                <w:spacing w:val="-184"/>
                <w:sz w:val="16"/>
              </w:rPr>
              <w:t>i</w:t>
            </w:r>
            <w:r>
              <w:rPr>
                <w:rFonts w:ascii="Tahoma"/>
                <w:i/>
                <w:spacing w:val="-70"/>
                <w:sz w:val="16"/>
              </w:rPr>
              <w:t>a</w:t>
            </w:r>
            <w:r>
              <w:rPr>
                <w:rFonts w:ascii="Tahoma"/>
                <w:i/>
                <w:spacing w:val="-59"/>
                <w:sz w:val="16"/>
              </w:rPr>
              <w:t>d</w:t>
            </w:r>
            <w:r>
              <w:rPr>
                <w:rFonts w:ascii="Tahoma"/>
                <w:i/>
                <w:spacing w:val="-69"/>
                <w:sz w:val="16"/>
              </w:rPr>
              <w:t>a</w:t>
            </w:r>
            <w:r>
              <w:rPr>
                <w:rFonts w:ascii="Tahoma"/>
                <w:i/>
                <w:spacing w:val="-21"/>
                <w:sz w:val="16"/>
              </w:rPr>
              <w:t>s</w:t>
            </w:r>
            <w:r>
              <w:rPr>
                <w:rFonts w:ascii="Tahoma"/>
                <w:i/>
                <w:spacing w:val="-59"/>
                <w:sz w:val="16"/>
              </w:rPr>
              <w:t>(</w:t>
            </w:r>
            <w:r>
              <w:rPr>
                <w:rFonts w:ascii="Tahoma"/>
                <w:i/>
                <w:spacing w:val="-74"/>
                <w:sz w:val="16"/>
              </w:rPr>
              <w:t>+</w:t>
            </w:r>
            <w:r>
              <w:rPr>
                <w:rFonts w:ascii="Tahoma"/>
                <w:i/>
                <w:spacing w:val="-2"/>
                <w:sz w:val="16"/>
              </w:rPr>
              <w:t>)</w:t>
            </w:r>
            <w:r>
              <w:rPr>
                <w:rFonts w:ascii="Tahoma"/>
                <w:i/>
                <w:spacing w:val="80"/>
                <w:w w:val="150"/>
                <w:sz w:val="16"/>
              </w:rPr>
              <w:t>             </w:t>
            </w:r>
            <w:r>
              <w:rPr>
                <w:rFonts w:ascii="Tahoma"/>
                <w:i/>
                <w:spacing w:val="-54"/>
                <w:sz w:val="16"/>
              </w:rPr>
              <w:t>Otrasdeudas(+)</w:t>
            </w:r>
          </w:p>
          <w:p>
            <w:pPr>
              <w:pStyle w:val="TableParagraph"/>
              <w:spacing w:before="9"/>
              <w:ind w:left="32"/>
              <w:rPr>
                <w:rFonts w:ascii="Tahoma" w:hAnsi="Tahoma"/>
                <w:sz w:val="15"/>
              </w:rPr>
            </w:pPr>
            <w:r>
              <w:rPr>
                <w:rFonts w:ascii="Tahoma" w:hAnsi="Tahoma"/>
                <w:sz w:val="15"/>
              </w:rPr>
              <w:t>Devolución</w:t>
            </w:r>
            <w:r>
              <w:rPr>
                <w:rFonts w:ascii="Tahoma" w:hAnsi="Tahoma"/>
                <w:spacing w:val="6"/>
                <w:sz w:val="15"/>
              </w:rPr>
              <w:t> </w:t>
            </w:r>
            <w:r>
              <w:rPr>
                <w:rFonts w:ascii="Tahoma" w:hAnsi="Tahoma"/>
                <w:sz w:val="15"/>
              </w:rPr>
              <w:t>y</w:t>
            </w:r>
            <w:r>
              <w:rPr>
                <w:rFonts w:ascii="Tahoma" w:hAnsi="Tahoma"/>
                <w:spacing w:val="9"/>
                <w:sz w:val="15"/>
              </w:rPr>
              <w:t> </w:t>
            </w:r>
            <w:r>
              <w:rPr>
                <w:rFonts w:ascii="Tahoma" w:hAnsi="Tahoma"/>
                <w:spacing w:val="-2"/>
                <w:sz w:val="15"/>
              </w:rPr>
              <w:t>amortización</w:t>
            </w:r>
          </w:p>
          <w:p>
            <w:pPr>
              <w:pStyle w:val="TableParagraph"/>
              <w:spacing w:before="46"/>
              <w:ind w:left="-9281213"/>
              <w:rPr>
                <w:rFonts w:ascii="Tahoma" w:hAnsi="Tahoma"/>
                <w:i/>
                <w:sz w:val="16"/>
              </w:rPr>
            </w:pPr>
            <w:r>
              <w:rPr>
                <w:rFonts w:ascii="Tahoma" w:hAnsi="Tahoma"/>
                <w:i/>
                <w:spacing w:val="-31680"/>
                <w:sz w:val="16"/>
              </w:rPr>
              <w:t>t</w:t>
            </w:r>
            <w:r>
              <w:rPr>
                <w:rFonts w:ascii="Tahoma" w:hAnsi="Tahoma"/>
                <w:i/>
                <w:spacing w:val="-31680"/>
                <w:sz w:val="16"/>
              </w:rPr>
              <w:t>d</w:t>
            </w:r>
            <w:r>
              <w:rPr>
                <w:rFonts w:ascii="Tahoma" w:hAnsi="Tahoma"/>
                <w:i/>
                <w:spacing w:val="-31680"/>
                <w:sz w:val="16"/>
              </w:rPr>
              <w:t>r</w:t>
            </w:r>
            <w:r>
              <w:rPr>
                <w:rFonts w:ascii="Tahoma" w:hAnsi="Tahoma"/>
                <w:i/>
                <w:spacing w:val="-31680"/>
                <w:sz w:val="16"/>
              </w:rPr>
              <w:t>é</w:t>
            </w:r>
            <w:r>
              <w:rPr>
                <w:rFonts w:ascii="Tahoma" w:hAnsi="Tahoma"/>
                <w:i/>
                <w:spacing w:val="-31680"/>
                <w:sz w:val="16"/>
              </w:rPr>
              <w:t>e</w:t>
            </w:r>
            <w:r>
              <w:rPr>
                <w:rFonts w:ascii="Tahoma" w:hAnsi="Tahoma"/>
                <w:i/>
                <w:spacing w:val="-31680"/>
                <w:sz w:val="16"/>
              </w:rPr>
              <w:t>i</w:t>
            </w:r>
            <w:r>
              <w:rPr>
                <w:rFonts w:ascii="Tahoma" w:hAnsi="Tahoma"/>
                <w:i/>
                <w:spacing w:val="-31680"/>
                <w:sz w:val="16"/>
              </w:rPr>
              <w:t>e</w:t>
            </w:r>
            <w:r>
              <w:rPr>
                <w:rFonts w:ascii="Tahoma" w:hAnsi="Tahoma"/>
                <w:i/>
                <w:spacing w:val="-31680"/>
                <w:sz w:val="16"/>
              </w:rPr>
              <w:t>n</w:t>
            </w:r>
            <w:r>
              <w:rPr>
                <w:rFonts w:ascii="Tahoma" w:hAnsi="Tahoma"/>
                <w:i/>
                <w:spacing w:val="-31680"/>
                <w:sz w:val="16"/>
              </w:rPr>
              <w:t>c</w:t>
            </w:r>
            <w:r>
              <w:rPr>
                <w:rFonts w:ascii="Tahoma" w:hAnsi="Tahoma"/>
                <w:i/>
                <w:spacing w:val="-19059"/>
                <w:sz w:val="16"/>
              </w:rPr>
              <w:t>d</w:t>
            </w:r>
            <w:r>
              <w:rPr>
                <w:rFonts w:ascii="Tahoma" w:hAnsi="Tahoma"/>
                <w:i/>
                <w:spacing w:val="-9361"/>
                <w:sz w:val="16"/>
              </w:rPr>
              <w:t>e</w:t>
            </w:r>
            <w:r>
              <w:rPr>
                <w:rFonts w:ascii="Tahoma" w:hAnsi="Tahoma"/>
                <w:i/>
                <w:spacing w:val="-4298"/>
                <w:sz w:val="16"/>
              </w:rPr>
              <w:t>D</w:t>
            </w:r>
            <w:r>
              <w:rPr>
                <w:rFonts w:ascii="Tahoma" w:hAnsi="Tahoma"/>
                <w:i/>
                <w:spacing w:val="-1767"/>
                <w:sz w:val="16"/>
              </w:rPr>
              <w:t>u</w:t>
            </w:r>
            <w:r>
              <w:rPr>
                <w:rFonts w:ascii="Tahoma" w:hAnsi="Tahoma"/>
                <w:i/>
                <w:spacing w:val="-544"/>
                <w:sz w:val="16"/>
              </w:rPr>
              <w:t>a</w:t>
            </w:r>
            <w:r>
              <w:rPr>
                <w:rFonts w:ascii="Tahoma" w:hAnsi="Tahoma"/>
                <w:i/>
                <w:sz w:val="16"/>
              </w:rPr>
              <w:t>s</w:t>
            </w:r>
            <w:r>
              <w:rPr>
                <w:rFonts w:ascii="Tahoma" w:hAnsi="Tahoma"/>
                <w:i/>
                <w:spacing w:val="-38"/>
                <w:sz w:val="16"/>
              </w:rPr>
              <w:t> </w:t>
            </w:r>
            <w:r>
              <w:rPr>
                <w:rFonts w:ascii="Tahoma" w:hAnsi="Tahoma"/>
                <w:i/>
                <w:sz w:val="16"/>
              </w:rPr>
              <w:t>o</w:t>
            </w:r>
            <w:r>
              <w:rPr>
                <w:rFonts w:ascii="Tahoma" w:hAnsi="Tahoma"/>
                <w:i/>
                <w:spacing w:val="11"/>
                <w:sz w:val="16"/>
              </w:rPr>
              <w:t> </w:t>
            </w:r>
            <w:r>
              <w:rPr>
                <w:rFonts w:ascii="Tahoma" w:hAnsi="Tahoma"/>
                <w:i/>
                <w:spacing w:val="-533"/>
                <w:sz w:val="16"/>
              </w:rPr>
              <w:t>d</w:t>
            </w:r>
            <w:r>
              <w:rPr>
                <w:rFonts w:ascii="Tahoma" w:hAnsi="Tahoma"/>
                <w:i/>
                <w:spacing w:val="-440"/>
                <w:sz w:val="16"/>
              </w:rPr>
              <w:t>a</w:t>
            </w:r>
            <w:r>
              <w:rPr>
                <w:rFonts w:ascii="Tahoma" w:hAnsi="Tahoma"/>
                <w:i/>
                <w:spacing w:val="-365"/>
                <w:sz w:val="16"/>
              </w:rPr>
              <w:t>d</w:t>
            </w:r>
            <w:r>
              <w:rPr>
                <w:rFonts w:ascii="Tahoma" w:hAnsi="Tahoma"/>
                <w:i/>
                <w:spacing w:val="-938"/>
                <w:sz w:val="16"/>
              </w:rPr>
              <w:t>i</w:t>
            </w:r>
            <w:r>
              <w:rPr>
                <w:rFonts w:ascii="Tahoma" w:hAnsi="Tahoma"/>
                <w:i/>
                <w:spacing w:val="-54"/>
                <w:sz w:val="16"/>
              </w:rPr>
              <w:t>t</w:t>
            </w:r>
            <w:r>
              <w:rPr>
                <w:rFonts w:ascii="Tahoma" w:hAnsi="Tahoma"/>
                <w:i/>
                <w:spacing w:val="-8"/>
                <w:sz w:val="16"/>
              </w:rPr>
              <w:t>o</w:t>
            </w:r>
            <w:r>
              <w:rPr>
                <w:rFonts w:ascii="Tahoma" w:hAnsi="Tahoma"/>
                <w:i/>
                <w:spacing w:val="-15"/>
                <w:sz w:val="16"/>
              </w:rPr>
              <w:t>y</w:t>
            </w:r>
            <w:r>
              <w:rPr>
                <w:rFonts w:ascii="Tahoma" w:hAnsi="Tahoma"/>
                <w:i/>
                <w:spacing w:val="-59"/>
                <w:sz w:val="16"/>
              </w:rPr>
              <w:t>o</w:t>
            </w:r>
            <w:r>
              <w:rPr>
                <w:rFonts w:ascii="Tahoma" w:hAnsi="Tahoma"/>
                <w:i/>
                <w:spacing w:val="-66"/>
                <w:sz w:val="16"/>
              </w:rPr>
              <w:t>t</w:t>
            </w:r>
            <w:r>
              <w:rPr>
                <w:rFonts w:ascii="Tahoma" w:hAnsi="Tahoma"/>
                <w:i/>
                <w:spacing w:val="-79"/>
                <w:sz w:val="16"/>
              </w:rPr>
              <w:t>r</w:t>
            </w:r>
            <w:r>
              <w:rPr>
                <w:rFonts w:ascii="Tahoma" w:hAnsi="Tahoma"/>
                <w:i/>
                <w:spacing w:val="-70"/>
                <w:sz w:val="16"/>
              </w:rPr>
              <w:t>a</w:t>
            </w:r>
            <w:r>
              <w:rPr>
                <w:rFonts w:ascii="Tahoma" w:hAnsi="Tahoma"/>
                <w:i/>
                <w:spacing w:val="-2"/>
                <w:sz w:val="16"/>
              </w:rPr>
              <w:t>s</w:t>
            </w:r>
          </w:p>
          <w:p>
            <w:pPr>
              <w:pStyle w:val="TableParagraph"/>
              <w:spacing w:line="295" w:lineRule="auto" w:before="47"/>
              <w:ind w:left="21" w:right="1710"/>
              <w:rPr>
                <w:rFonts w:ascii="Tahoma"/>
                <w:i/>
                <w:sz w:val="16"/>
              </w:rPr>
            </w:pPr>
            <w:r>
              <w:rPr>
                <w:rFonts w:ascii="Tahoma"/>
                <w:i/>
                <w:spacing w:val="-64"/>
                <w:sz w:val="16"/>
              </w:rPr>
              <w:t>D</w:t>
            </w:r>
            <w:r>
              <w:rPr>
                <w:rFonts w:ascii="Tahoma"/>
                <w:i/>
                <w:spacing w:val="-56"/>
                <w:sz w:val="16"/>
              </w:rPr>
              <w:t>e</w:t>
            </w:r>
            <w:r>
              <w:rPr>
                <w:rFonts w:ascii="Tahoma"/>
                <w:i/>
                <w:spacing w:val="-58"/>
                <w:sz w:val="16"/>
              </w:rPr>
              <w:t>u</w:t>
            </w:r>
            <w:r>
              <w:rPr>
                <w:rFonts w:ascii="Tahoma"/>
                <w:i/>
                <w:spacing w:val="-60"/>
                <w:sz w:val="16"/>
              </w:rPr>
              <w:t>d</w:t>
            </w:r>
            <w:r>
              <w:rPr>
                <w:rFonts w:ascii="Tahoma"/>
                <w:i/>
                <w:spacing w:val="-65"/>
                <w:sz w:val="16"/>
              </w:rPr>
              <w:t>a</w:t>
            </w:r>
            <w:r>
              <w:rPr>
                <w:rFonts w:ascii="Tahoma"/>
                <w:i/>
                <w:spacing w:val="-17"/>
                <w:sz w:val="16"/>
              </w:rPr>
              <w:t>s</w:t>
            </w:r>
            <w:r>
              <w:rPr>
                <w:rFonts w:ascii="Tahoma"/>
                <w:i/>
                <w:spacing w:val="-59"/>
                <w:sz w:val="16"/>
              </w:rPr>
              <w:t>c</w:t>
            </w:r>
            <w:r>
              <w:rPr>
                <w:rFonts w:ascii="Tahoma"/>
                <w:i/>
                <w:spacing w:val="-56"/>
                <w:sz w:val="16"/>
              </w:rPr>
              <w:t>o</w:t>
            </w:r>
            <w:r>
              <w:rPr>
                <w:rFonts w:ascii="Tahoma"/>
                <w:i/>
                <w:spacing w:val="-10"/>
                <w:sz w:val="16"/>
              </w:rPr>
              <w:t>n</w:t>
            </w:r>
            <w:r>
              <w:rPr>
                <w:rFonts w:ascii="Tahoma"/>
                <w:i/>
                <w:spacing w:val="-53"/>
                <w:sz w:val="16"/>
              </w:rPr>
              <w:t>e</w:t>
            </w:r>
            <w:r>
              <w:rPr>
                <w:rFonts w:ascii="Tahoma"/>
                <w:i/>
                <w:spacing w:val="-66"/>
                <w:sz w:val="16"/>
              </w:rPr>
              <w:t>m</w:t>
            </w:r>
            <w:r>
              <w:rPr>
                <w:rFonts w:ascii="Tahoma"/>
                <w:i/>
                <w:spacing w:val="-69"/>
                <w:sz w:val="16"/>
              </w:rPr>
              <w:t>p</w:t>
            </w:r>
            <w:r>
              <w:rPr>
                <w:rFonts w:ascii="Tahoma"/>
                <w:i/>
                <w:spacing w:val="-77"/>
                <w:sz w:val="16"/>
              </w:rPr>
              <w:t>r</w:t>
            </w:r>
            <w:r>
              <w:rPr>
                <w:rFonts w:ascii="Tahoma"/>
                <w:i/>
                <w:spacing w:val="-54"/>
                <w:sz w:val="16"/>
              </w:rPr>
              <w:t>e</w:t>
            </w:r>
            <w:r>
              <w:rPr>
                <w:rFonts w:ascii="Tahoma"/>
                <w:i/>
                <w:spacing w:val="-69"/>
                <w:sz w:val="16"/>
              </w:rPr>
              <w:t>s</w:t>
            </w:r>
            <w:r>
              <w:rPr>
                <w:rFonts w:ascii="Tahoma"/>
                <w:i/>
                <w:spacing w:val="-68"/>
                <w:sz w:val="16"/>
              </w:rPr>
              <w:t>a</w:t>
            </w:r>
            <w:r>
              <w:rPr>
                <w:rFonts w:ascii="Tahoma"/>
                <w:i/>
                <w:spacing w:val="-17"/>
                <w:sz w:val="16"/>
              </w:rPr>
              <w:t>s</w:t>
            </w:r>
            <w:r>
              <w:rPr>
                <w:rFonts w:ascii="Tahoma"/>
                <w:i/>
                <w:spacing w:val="-57"/>
                <w:sz w:val="16"/>
              </w:rPr>
              <w:t>d</w:t>
            </w:r>
            <w:r>
              <w:rPr>
                <w:rFonts w:ascii="Tahoma"/>
                <w:i/>
                <w:spacing w:val="-53"/>
                <w:sz w:val="16"/>
              </w:rPr>
              <w:t>e</w:t>
            </w:r>
            <w:r>
              <w:rPr>
                <w:rFonts w:ascii="Tahoma"/>
                <w:i/>
                <w:spacing w:val="-24"/>
                <w:sz w:val="16"/>
              </w:rPr>
              <w:t>l</w:t>
            </w:r>
            <w:r>
              <w:rPr>
                <w:rFonts w:ascii="Tahoma"/>
                <w:i/>
                <w:spacing w:val="-72"/>
                <w:sz w:val="16"/>
              </w:rPr>
              <w:t>g</w:t>
            </w:r>
            <w:r>
              <w:rPr>
                <w:rFonts w:ascii="Tahoma"/>
                <w:i/>
                <w:spacing w:val="-83"/>
                <w:sz w:val="16"/>
              </w:rPr>
              <w:t>r</w:t>
            </w:r>
            <w:r>
              <w:rPr>
                <w:rFonts w:ascii="Tahoma"/>
                <w:i/>
                <w:spacing w:val="-58"/>
                <w:sz w:val="16"/>
              </w:rPr>
              <w:t>u</w:t>
            </w:r>
            <w:r>
              <w:rPr>
                <w:rFonts w:ascii="Tahoma"/>
                <w:i/>
                <w:spacing w:val="-57"/>
                <w:sz w:val="16"/>
              </w:rPr>
              <w:t>p</w:t>
            </w:r>
            <w:r>
              <w:rPr>
                <w:rFonts w:ascii="Tahoma"/>
                <w:i/>
                <w:spacing w:val="-9"/>
                <w:sz w:val="16"/>
              </w:rPr>
              <w:t>o</w:t>
            </w:r>
            <w:r>
              <w:rPr>
                <w:rFonts w:ascii="Tahoma"/>
                <w:i/>
                <w:spacing w:val="-10"/>
                <w:sz w:val="16"/>
              </w:rPr>
              <w:t>y</w:t>
            </w:r>
            <w:r>
              <w:rPr>
                <w:rFonts w:ascii="Tahoma"/>
                <w:i/>
                <w:spacing w:val="-69"/>
                <w:sz w:val="16"/>
              </w:rPr>
              <w:t>as</w:t>
            </w:r>
            <w:r>
              <w:rPr>
                <w:rFonts w:ascii="Tahoma"/>
                <w:i/>
                <w:spacing w:val="-141"/>
                <w:sz w:val="16"/>
              </w:rPr>
              <w:t>o</w:t>
            </w:r>
            <w:r>
              <w:rPr>
                <w:rFonts w:ascii="Tahoma"/>
                <w:i/>
                <w:spacing w:val="-253"/>
                <w:sz w:val="16"/>
              </w:rPr>
              <w:t>c</w:t>
            </w:r>
            <w:r>
              <w:rPr>
                <w:rFonts w:ascii="Tahoma"/>
                <w:i/>
                <w:spacing w:val="-182"/>
                <w:sz w:val="16"/>
              </w:rPr>
              <w:t>i</w:t>
            </w:r>
            <w:r>
              <w:rPr>
                <w:rFonts w:ascii="Tahoma"/>
                <w:i/>
                <w:spacing w:val="-68"/>
                <w:sz w:val="16"/>
              </w:rPr>
              <w:t>a</w:t>
            </w:r>
            <w:r>
              <w:rPr>
                <w:rFonts w:ascii="Tahoma"/>
                <w:i/>
                <w:spacing w:val="-57"/>
                <w:sz w:val="16"/>
              </w:rPr>
              <w:t>d</w:t>
            </w:r>
            <w:r>
              <w:rPr>
                <w:rFonts w:ascii="Tahoma"/>
                <w:i/>
                <w:spacing w:val="-67"/>
                <w:sz w:val="16"/>
              </w:rPr>
              <w:t>a</w:t>
            </w:r>
            <w:r>
              <w:rPr>
                <w:rFonts w:ascii="Tahoma"/>
                <w:i/>
                <w:spacing w:val="-19"/>
                <w:sz w:val="16"/>
              </w:rPr>
              <w:t>s</w:t>
            </w:r>
            <w:r>
              <w:rPr>
                <w:rFonts w:ascii="Tahoma"/>
                <w:i/>
                <w:spacing w:val="-70"/>
                <w:sz w:val="16"/>
              </w:rPr>
              <w:t>(</w:t>
            </w:r>
            <w:r>
              <w:rPr>
                <w:rFonts w:ascii="Tahoma"/>
                <w:i/>
                <w:spacing w:val="-81"/>
                <w:sz w:val="16"/>
              </w:rPr>
              <w:t>-</w:t>
            </w:r>
            <w:r>
              <w:rPr>
                <w:rFonts w:ascii="Tahoma"/>
                <w:i/>
                <w:spacing w:val="-10"/>
                <w:sz w:val="16"/>
              </w:rPr>
              <w:t>)</w:t>
            </w:r>
            <w:r>
              <w:rPr>
                <w:rFonts w:ascii="Tahoma"/>
                <w:i/>
                <w:spacing w:val="80"/>
                <w:w w:val="150"/>
                <w:sz w:val="16"/>
              </w:rPr>
              <w:t>              </w:t>
            </w:r>
            <w:r>
              <w:rPr>
                <w:rFonts w:ascii="Tahoma"/>
                <w:i/>
                <w:spacing w:val="-59"/>
                <w:sz w:val="16"/>
              </w:rPr>
              <w:t>Otrasdeudas(-</w:t>
            </w:r>
            <w:r>
              <w:rPr>
                <w:rFonts w:ascii="Tahoma"/>
                <w:i/>
                <w:spacing w:val="-10"/>
                <w:sz w:val="16"/>
              </w:rPr>
              <w:t>)</w:t>
            </w:r>
          </w:p>
          <w:p>
            <w:pPr>
              <w:pStyle w:val="TableParagraph"/>
              <w:spacing w:line="348" w:lineRule="auto" w:before="22"/>
              <w:ind w:left="32"/>
              <w:rPr>
                <w:b/>
                <w:sz w:val="15"/>
              </w:rPr>
            </w:pPr>
            <w:r>
              <w:rPr>
                <w:b/>
                <w:spacing w:val="-4"/>
                <w:w w:val="105"/>
                <w:sz w:val="15"/>
              </w:rPr>
              <w:t>FLUJOS</w:t>
            </w:r>
            <w:r>
              <w:rPr>
                <w:b/>
                <w:spacing w:val="-7"/>
                <w:w w:val="105"/>
                <w:sz w:val="15"/>
              </w:rPr>
              <w:t> </w:t>
            </w:r>
            <w:r>
              <w:rPr>
                <w:b/>
                <w:spacing w:val="-4"/>
                <w:w w:val="105"/>
                <w:sz w:val="15"/>
              </w:rPr>
              <w:t>DE</w:t>
            </w:r>
            <w:r>
              <w:rPr>
                <w:b/>
                <w:spacing w:val="-7"/>
                <w:w w:val="105"/>
                <w:sz w:val="15"/>
              </w:rPr>
              <w:t> </w:t>
            </w:r>
            <w:r>
              <w:rPr>
                <w:b/>
                <w:spacing w:val="-4"/>
                <w:w w:val="105"/>
                <w:sz w:val="15"/>
              </w:rPr>
              <w:t>EFECTIVO</w:t>
            </w:r>
            <w:r>
              <w:rPr>
                <w:b/>
                <w:spacing w:val="-7"/>
                <w:w w:val="105"/>
                <w:sz w:val="15"/>
              </w:rPr>
              <w:t> </w:t>
            </w:r>
            <w:r>
              <w:rPr>
                <w:b/>
                <w:spacing w:val="-4"/>
                <w:w w:val="105"/>
                <w:sz w:val="15"/>
              </w:rPr>
              <w:t>DE</w:t>
            </w:r>
            <w:r>
              <w:rPr>
                <w:b/>
                <w:spacing w:val="-7"/>
                <w:w w:val="105"/>
                <w:sz w:val="15"/>
              </w:rPr>
              <w:t> </w:t>
            </w:r>
            <w:r>
              <w:rPr>
                <w:b/>
                <w:spacing w:val="-4"/>
                <w:w w:val="105"/>
                <w:sz w:val="15"/>
              </w:rPr>
              <w:t>LAS</w:t>
            </w:r>
            <w:r>
              <w:rPr>
                <w:b/>
                <w:spacing w:val="-1"/>
                <w:w w:val="105"/>
                <w:sz w:val="15"/>
              </w:rPr>
              <w:t> </w:t>
            </w:r>
            <w:r>
              <w:rPr>
                <w:b/>
                <w:spacing w:val="-4"/>
                <w:w w:val="105"/>
                <w:sz w:val="15"/>
              </w:rPr>
              <w:t>ACTIVID. DE</w:t>
            </w:r>
            <w:r>
              <w:rPr>
                <w:b/>
                <w:spacing w:val="-7"/>
                <w:w w:val="105"/>
                <w:sz w:val="15"/>
              </w:rPr>
              <w:t> </w:t>
            </w:r>
            <w:r>
              <w:rPr>
                <w:b/>
                <w:spacing w:val="-4"/>
                <w:w w:val="105"/>
                <w:sz w:val="15"/>
              </w:rPr>
              <w:t>FINANCIACION</w:t>
            </w:r>
            <w:r>
              <w:rPr>
                <w:b/>
                <w:sz w:val="15"/>
              </w:rPr>
              <w:t> </w:t>
            </w:r>
            <w:r>
              <w:rPr>
                <w:b/>
                <w:spacing w:val="-4"/>
                <w:w w:val="105"/>
                <w:sz w:val="15"/>
              </w:rPr>
              <w:t>AUMENTO NETO DEL</w:t>
            </w:r>
            <w:r>
              <w:rPr>
                <w:b/>
                <w:sz w:val="15"/>
              </w:rPr>
              <w:t> </w:t>
            </w:r>
            <w:r>
              <w:rPr>
                <w:b/>
                <w:spacing w:val="-4"/>
                <w:w w:val="105"/>
                <w:sz w:val="15"/>
              </w:rPr>
              <w:t>EFECTIVO O EQUIVALENTES.</w:t>
            </w:r>
          </w:p>
          <w:p>
            <w:pPr>
              <w:pStyle w:val="TableParagraph"/>
              <w:spacing w:line="161" w:lineRule="exact"/>
              <w:ind w:left="32"/>
              <w:rPr>
                <w:rFonts w:ascii="Tahoma"/>
                <w:sz w:val="15"/>
              </w:rPr>
            </w:pPr>
            <w:r>
              <w:rPr>
                <w:rFonts w:ascii="Tahoma"/>
                <w:sz w:val="15"/>
              </w:rPr>
              <w:t>Efectivo</w:t>
            </w:r>
            <w:r>
              <w:rPr>
                <w:rFonts w:ascii="Tahoma"/>
                <w:spacing w:val="19"/>
                <w:sz w:val="15"/>
              </w:rPr>
              <w:t> </w:t>
            </w:r>
            <w:r>
              <w:rPr>
                <w:rFonts w:ascii="Tahoma"/>
                <w:sz w:val="15"/>
              </w:rPr>
              <w:t>o</w:t>
            </w:r>
            <w:r>
              <w:rPr>
                <w:rFonts w:ascii="Tahoma"/>
                <w:spacing w:val="18"/>
                <w:sz w:val="15"/>
              </w:rPr>
              <w:t> </w:t>
            </w:r>
            <w:r>
              <w:rPr>
                <w:rFonts w:ascii="Tahoma"/>
                <w:sz w:val="15"/>
              </w:rPr>
              <w:t>equivalentes</w:t>
            </w:r>
            <w:r>
              <w:rPr>
                <w:rFonts w:ascii="Tahoma"/>
                <w:spacing w:val="6"/>
                <w:sz w:val="15"/>
              </w:rPr>
              <w:t> </w:t>
            </w:r>
            <w:r>
              <w:rPr>
                <w:rFonts w:ascii="Tahoma"/>
                <w:sz w:val="15"/>
              </w:rPr>
              <w:t>al</w:t>
            </w:r>
            <w:r>
              <w:rPr>
                <w:rFonts w:ascii="Tahoma"/>
                <w:spacing w:val="-1"/>
                <w:sz w:val="15"/>
              </w:rPr>
              <w:t> </w:t>
            </w:r>
            <w:r>
              <w:rPr>
                <w:rFonts w:ascii="Tahoma"/>
                <w:sz w:val="15"/>
              </w:rPr>
              <w:t>comienzo</w:t>
            </w:r>
            <w:r>
              <w:rPr>
                <w:rFonts w:ascii="Tahoma"/>
                <w:spacing w:val="19"/>
                <w:sz w:val="15"/>
              </w:rPr>
              <w:t> </w:t>
            </w:r>
            <w:r>
              <w:rPr>
                <w:rFonts w:ascii="Tahoma"/>
                <w:sz w:val="15"/>
              </w:rPr>
              <w:t>del </w:t>
            </w:r>
            <w:r>
              <w:rPr>
                <w:rFonts w:ascii="Tahoma"/>
                <w:spacing w:val="-2"/>
                <w:sz w:val="15"/>
              </w:rPr>
              <w:t>ejercicio</w:t>
            </w:r>
          </w:p>
          <w:p>
            <w:pPr>
              <w:pStyle w:val="TableParagraph"/>
              <w:spacing w:line="165" w:lineRule="exact" w:before="57"/>
              <w:ind w:left="32"/>
              <w:rPr>
                <w:rFonts w:ascii="Tahoma"/>
                <w:sz w:val="15"/>
              </w:rPr>
            </w:pPr>
            <w:r>
              <w:rPr>
                <w:rFonts w:ascii="Tahoma"/>
                <w:sz w:val="15"/>
              </w:rPr>
              <w:t>Efectivo</w:t>
            </w:r>
            <w:r>
              <w:rPr>
                <w:rFonts w:ascii="Tahoma"/>
                <w:spacing w:val="16"/>
                <w:sz w:val="15"/>
              </w:rPr>
              <w:t> </w:t>
            </w:r>
            <w:r>
              <w:rPr>
                <w:rFonts w:ascii="Tahoma"/>
                <w:sz w:val="15"/>
              </w:rPr>
              <w:t>o</w:t>
            </w:r>
            <w:r>
              <w:rPr>
                <w:rFonts w:ascii="Tahoma"/>
                <w:spacing w:val="16"/>
                <w:sz w:val="15"/>
              </w:rPr>
              <w:t> </w:t>
            </w:r>
            <w:r>
              <w:rPr>
                <w:rFonts w:ascii="Tahoma"/>
                <w:sz w:val="15"/>
              </w:rPr>
              <w:t>equivalentes</w:t>
            </w:r>
            <w:r>
              <w:rPr>
                <w:rFonts w:ascii="Tahoma"/>
                <w:spacing w:val="4"/>
                <w:sz w:val="15"/>
              </w:rPr>
              <w:t> </w:t>
            </w:r>
            <w:r>
              <w:rPr>
                <w:rFonts w:ascii="Tahoma"/>
                <w:sz w:val="15"/>
              </w:rPr>
              <w:t>al</w:t>
            </w:r>
            <w:r>
              <w:rPr>
                <w:rFonts w:ascii="Tahoma"/>
                <w:spacing w:val="-3"/>
                <w:sz w:val="15"/>
              </w:rPr>
              <w:t> </w:t>
            </w:r>
            <w:r>
              <w:rPr>
                <w:rFonts w:ascii="Tahoma"/>
                <w:sz w:val="15"/>
              </w:rPr>
              <w:t>final</w:t>
            </w:r>
            <w:r>
              <w:rPr>
                <w:rFonts w:ascii="Tahoma"/>
                <w:spacing w:val="1"/>
                <w:sz w:val="15"/>
              </w:rPr>
              <w:t> </w:t>
            </w:r>
            <w:r>
              <w:rPr>
                <w:rFonts w:ascii="Tahoma"/>
                <w:sz w:val="15"/>
              </w:rPr>
              <w:t>del</w:t>
            </w:r>
            <w:r>
              <w:rPr>
                <w:rFonts w:ascii="Tahoma"/>
                <w:spacing w:val="-2"/>
                <w:sz w:val="15"/>
              </w:rPr>
              <w:t> ejercicio</w:t>
            </w:r>
          </w:p>
        </w:tc>
        <w:tc>
          <w:tcPr>
            <w:tcW w:w="540" w:type="dxa"/>
            <w:vMerge w:val="restart"/>
            <w:tcBorders>
              <w:top w:val="single" w:sz="8" w:space="0" w:color="000000"/>
              <w:left w:val="single" w:sz="8" w:space="0" w:color="000000"/>
              <w:bottom w:val="single" w:sz="12" w:space="0" w:color="000000"/>
              <w:right w:val="single" w:sz="24" w:space="0" w:color="008000"/>
            </w:tcBorders>
          </w:tcPr>
          <w:p>
            <w:pPr>
              <w:pStyle w:val="TableParagraph"/>
              <w:rPr>
                <w:sz w:val="15"/>
              </w:rPr>
            </w:pPr>
          </w:p>
          <w:p>
            <w:pPr>
              <w:pStyle w:val="TableParagraph"/>
              <w:rPr>
                <w:sz w:val="15"/>
              </w:rPr>
            </w:pPr>
          </w:p>
          <w:p>
            <w:pPr>
              <w:pStyle w:val="TableParagraph"/>
              <w:rPr>
                <w:sz w:val="15"/>
              </w:rPr>
            </w:pPr>
          </w:p>
          <w:p>
            <w:pPr>
              <w:pStyle w:val="TableParagraph"/>
              <w:spacing w:before="150"/>
              <w:rPr>
                <w:sz w:val="15"/>
              </w:rPr>
            </w:pPr>
          </w:p>
          <w:p>
            <w:pPr>
              <w:pStyle w:val="TableParagraph"/>
              <w:ind w:left="45" w:right="14"/>
              <w:jc w:val="center"/>
              <w:rPr>
                <w:rFonts w:ascii="Tahoma"/>
                <w:sz w:val="15"/>
              </w:rPr>
            </w:pPr>
            <w:r>
              <w:rPr>
                <w:rFonts w:ascii="Tahoma"/>
                <w:sz w:val="15"/>
              </w:rPr>
              <w:t>5-</w:t>
            </w:r>
            <w:r>
              <w:rPr>
                <w:rFonts w:ascii="Tahoma"/>
                <w:spacing w:val="-10"/>
                <w:sz w:val="15"/>
              </w:rPr>
              <w:t>7</w:t>
            </w:r>
          </w:p>
          <w:p>
            <w:pPr>
              <w:pStyle w:val="TableParagraph"/>
              <w:rPr>
                <w:sz w:val="15"/>
              </w:rPr>
            </w:pPr>
          </w:p>
          <w:p>
            <w:pPr>
              <w:pStyle w:val="TableParagraph"/>
              <w:rPr>
                <w:sz w:val="15"/>
              </w:rPr>
            </w:pPr>
          </w:p>
          <w:p>
            <w:pPr>
              <w:pStyle w:val="TableParagraph"/>
              <w:spacing w:before="31"/>
              <w:rPr>
                <w:sz w:val="15"/>
              </w:rPr>
            </w:pPr>
          </w:p>
          <w:p>
            <w:pPr>
              <w:pStyle w:val="TableParagraph"/>
              <w:ind w:left="45" w:right="14"/>
              <w:jc w:val="center"/>
              <w:rPr>
                <w:rFonts w:ascii="Tahoma"/>
                <w:sz w:val="15"/>
              </w:rPr>
            </w:pPr>
            <w:r>
              <w:rPr>
                <w:rFonts w:ascii="Tahoma"/>
                <w:spacing w:val="-5"/>
                <w:sz w:val="15"/>
              </w:rPr>
              <w:t>16</w:t>
            </w:r>
          </w:p>
          <w:p>
            <w:pPr>
              <w:pStyle w:val="TableParagraph"/>
              <w:spacing w:before="136"/>
              <w:rPr>
                <w:sz w:val="15"/>
              </w:rPr>
            </w:pPr>
          </w:p>
          <w:p>
            <w:pPr>
              <w:pStyle w:val="TableParagraph"/>
              <w:ind w:left="45" w:right="5"/>
              <w:jc w:val="center"/>
              <w:rPr>
                <w:rFonts w:ascii="Tahoma"/>
                <w:sz w:val="15"/>
              </w:rPr>
            </w:pPr>
            <w:r>
              <w:rPr>
                <w:rFonts w:ascii="Tahoma"/>
                <w:spacing w:val="-10"/>
                <w:sz w:val="15"/>
              </w:rPr>
              <w:t>9</w:t>
            </w:r>
          </w:p>
          <w:p>
            <w:pPr>
              <w:pStyle w:val="TableParagraph"/>
              <w:spacing w:before="124"/>
              <w:rPr>
                <w:sz w:val="15"/>
              </w:rPr>
            </w:pPr>
          </w:p>
          <w:p>
            <w:pPr>
              <w:pStyle w:val="TableParagraph"/>
              <w:spacing w:before="1"/>
              <w:ind w:left="45" w:right="5"/>
              <w:jc w:val="center"/>
              <w:rPr>
                <w:rFonts w:ascii="Tahoma"/>
                <w:sz w:val="15"/>
              </w:rPr>
            </w:pPr>
            <w:r>
              <w:rPr>
                <w:rFonts w:ascii="Tahoma"/>
                <w:spacing w:val="-10"/>
                <w:sz w:val="15"/>
              </w:rPr>
              <w:t>9</w:t>
            </w: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157"/>
              <w:rPr>
                <w:sz w:val="15"/>
              </w:rPr>
            </w:pPr>
          </w:p>
          <w:p>
            <w:pPr>
              <w:pStyle w:val="TableParagraph"/>
              <w:spacing w:before="1"/>
              <w:ind w:left="45"/>
              <w:jc w:val="center"/>
              <w:rPr>
                <w:rFonts w:ascii="Tahoma"/>
                <w:sz w:val="15"/>
              </w:rPr>
            </w:pPr>
            <w:r>
              <w:rPr>
                <w:rFonts w:ascii="Tahoma"/>
                <w:spacing w:val="-10"/>
                <w:sz w:val="15"/>
              </w:rPr>
              <w:t>9</w:t>
            </w:r>
          </w:p>
          <w:p>
            <w:pPr>
              <w:pStyle w:val="TableParagraph"/>
              <w:spacing w:before="124"/>
              <w:rPr>
                <w:sz w:val="15"/>
              </w:rPr>
            </w:pPr>
          </w:p>
          <w:p>
            <w:pPr>
              <w:pStyle w:val="TableParagraph"/>
              <w:ind w:left="45"/>
              <w:jc w:val="center"/>
              <w:rPr>
                <w:rFonts w:ascii="Tahoma"/>
                <w:sz w:val="15"/>
              </w:rPr>
            </w:pPr>
            <w:r>
              <w:rPr>
                <w:rFonts w:ascii="Tahoma"/>
                <w:spacing w:val="-10"/>
                <w:sz w:val="15"/>
              </w:rPr>
              <w:t>9</w:t>
            </w: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149"/>
              <w:rPr>
                <w:sz w:val="15"/>
              </w:rPr>
            </w:pPr>
          </w:p>
          <w:p>
            <w:pPr>
              <w:pStyle w:val="TableParagraph"/>
              <w:ind w:left="45"/>
              <w:jc w:val="center"/>
              <w:rPr>
                <w:rFonts w:ascii="Tahoma"/>
                <w:sz w:val="15"/>
              </w:rPr>
            </w:pPr>
            <w:r>
              <w:rPr>
                <w:rFonts w:ascii="Tahoma"/>
                <w:spacing w:val="-10"/>
                <w:sz w:val="15"/>
              </w:rPr>
              <w:t>5</w:t>
            </w:r>
          </w:p>
          <w:p>
            <w:pPr>
              <w:pStyle w:val="TableParagraph"/>
              <w:spacing w:before="57"/>
              <w:ind w:left="45"/>
              <w:jc w:val="center"/>
              <w:rPr>
                <w:rFonts w:ascii="Tahoma"/>
                <w:sz w:val="15"/>
              </w:rPr>
            </w:pPr>
            <w:r>
              <w:rPr>
                <w:rFonts w:ascii="Tahoma"/>
                <w:spacing w:val="-10"/>
                <w:sz w:val="15"/>
              </w:rPr>
              <w:t>6</w:t>
            </w: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163"/>
              <w:rPr>
                <w:sz w:val="15"/>
              </w:rPr>
            </w:pPr>
          </w:p>
          <w:p>
            <w:pPr>
              <w:pStyle w:val="TableParagraph"/>
              <w:ind w:left="45" w:right="10"/>
              <w:jc w:val="center"/>
              <w:rPr>
                <w:rFonts w:ascii="Tahoma"/>
                <w:sz w:val="15"/>
              </w:rPr>
            </w:pPr>
            <w:r>
              <w:rPr>
                <w:rFonts w:ascii="Tahoma"/>
                <w:spacing w:val="-5"/>
                <w:sz w:val="15"/>
              </w:rPr>
              <w:t>16</w:t>
            </w: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94"/>
              <w:rPr>
                <w:sz w:val="15"/>
              </w:rPr>
            </w:pPr>
          </w:p>
          <w:p>
            <w:pPr>
              <w:pStyle w:val="TableParagraph"/>
              <w:ind w:left="45" w:right="7"/>
              <w:jc w:val="center"/>
              <w:rPr>
                <w:rFonts w:ascii="Tahoma"/>
                <w:sz w:val="15"/>
              </w:rPr>
            </w:pPr>
            <w:r>
              <w:rPr>
                <w:rFonts w:ascii="Tahoma"/>
                <w:spacing w:val="-10"/>
                <w:sz w:val="15"/>
              </w:rPr>
              <w:t>9</w:t>
            </w:r>
          </w:p>
          <w:p>
            <w:pPr>
              <w:pStyle w:val="TableParagraph"/>
              <w:spacing w:line="165" w:lineRule="exact" w:before="56"/>
              <w:ind w:left="45" w:right="7"/>
              <w:jc w:val="center"/>
              <w:rPr>
                <w:rFonts w:ascii="Tahoma"/>
                <w:sz w:val="15"/>
              </w:rPr>
            </w:pPr>
            <w:r>
              <w:rPr>
                <w:rFonts w:ascii="Tahoma"/>
                <w:spacing w:val="-10"/>
                <w:sz w:val="15"/>
              </w:rPr>
              <w:t>9</w:t>
            </w:r>
          </w:p>
        </w:tc>
        <w:tc>
          <w:tcPr>
            <w:tcW w:w="1457" w:type="dxa"/>
            <w:tcBorders>
              <w:top w:val="single" w:sz="8" w:space="0" w:color="000000"/>
              <w:left w:val="single" w:sz="24" w:space="0" w:color="008000"/>
              <w:bottom w:val="single" w:sz="8" w:space="0" w:color="000000"/>
              <w:right w:val="single" w:sz="24" w:space="0" w:color="008000"/>
            </w:tcBorders>
          </w:tcPr>
          <w:p>
            <w:pPr>
              <w:pStyle w:val="TableParagraph"/>
              <w:rPr>
                <w:sz w:val="15"/>
              </w:rPr>
            </w:pPr>
          </w:p>
          <w:p>
            <w:pPr>
              <w:pStyle w:val="TableParagraph"/>
              <w:spacing w:before="26"/>
              <w:rPr>
                <w:sz w:val="15"/>
              </w:rPr>
            </w:pPr>
          </w:p>
          <w:p>
            <w:pPr>
              <w:pStyle w:val="TableParagraph"/>
              <w:ind w:left="297"/>
              <w:rPr>
                <w:b/>
                <w:sz w:val="15"/>
              </w:rPr>
            </w:pPr>
            <w:r>
              <w:rPr>
                <w:b/>
                <w:spacing w:val="-2"/>
                <w:w w:val="115"/>
                <w:sz w:val="15"/>
              </w:rPr>
              <w:t>6.273.983,95</w:t>
            </w:r>
          </w:p>
          <w:p>
            <w:pPr>
              <w:pStyle w:val="TableParagraph"/>
              <w:spacing w:before="56"/>
              <w:ind w:left="297"/>
              <w:rPr>
                <w:b/>
                <w:sz w:val="15"/>
              </w:rPr>
            </w:pPr>
            <w:r>
              <w:rPr>
                <w:b/>
                <w:spacing w:val="-2"/>
                <w:w w:val="115"/>
                <w:sz w:val="15"/>
              </w:rPr>
              <w:t>5.807.716,60</w:t>
            </w:r>
          </w:p>
          <w:p>
            <w:pPr>
              <w:pStyle w:val="TableParagraph"/>
              <w:spacing w:before="56"/>
              <w:ind w:right="48"/>
              <w:jc w:val="right"/>
              <w:rPr>
                <w:rFonts w:ascii="Tahoma"/>
                <w:sz w:val="15"/>
              </w:rPr>
            </w:pPr>
            <w:r>
              <w:rPr>
                <w:rFonts w:ascii="Tahoma"/>
                <w:spacing w:val="-2"/>
                <w:sz w:val="15"/>
              </w:rPr>
              <w:t>6.962.251,77</w:t>
            </w:r>
          </w:p>
          <w:p>
            <w:pPr>
              <w:pStyle w:val="TableParagraph"/>
              <w:spacing w:before="56"/>
              <w:ind w:right="47"/>
              <w:jc w:val="right"/>
              <w:rPr>
                <w:rFonts w:ascii="Tahoma"/>
                <w:sz w:val="15"/>
              </w:rPr>
            </w:pPr>
            <w:r>
              <w:rPr>
                <w:rFonts w:ascii="Tahoma"/>
                <w:spacing w:val="-4"/>
                <w:sz w:val="15"/>
              </w:rPr>
              <w:t>0,00</w:t>
            </w:r>
          </w:p>
          <w:p>
            <w:pPr>
              <w:pStyle w:val="TableParagraph"/>
              <w:spacing w:before="59"/>
              <w:ind w:right="48"/>
              <w:jc w:val="right"/>
              <w:rPr>
                <w:rFonts w:ascii="Tahoma"/>
                <w:sz w:val="15"/>
              </w:rPr>
            </w:pPr>
            <w:r>
              <w:rPr>
                <w:rFonts w:ascii="Tahoma"/>
                <w:spacing w:val="-2"/>
                <w:sz w:val="15"/>
              </w:rPr>
              <w:t>3.123.132,22</w:t>
            </w:r>
          </w:p>
          <w:p>
            <w:pPr>
              <w:pStyle w:val="TableParagraph"/>
              <w:spacing w:before="69"/>
              <w:jc w:val="right"/>
              <w:rPr>
                <w:rFonts w:ascii="Tahoma"/>
                <w:sz w:val="15"/>
              </w:rPr>
            </w:pPr>
            <w:r>
              <w:rPr>
                <w:rFonts w:ascii="Tahoma"/>
                <w:spacing w:val="-2"/>
                <w:sz w:val="15"/>
              </w:rPr>
              <w:t>(4.048.349,68)</w:t>
            </w:r>
          </w:p>
          <w:p>
            <w:pPr>
              <w:pStyle w:val="TableParagraph"/>
              <w:spacing w:before="71"/>
              <w:ind w:right="47"/>
              <w:jc w:val="right"/>
              <w:rPr>
                <w:rFonts w:ascii="Tahoma"/>
                <w:sz w:val="15"/>
              </w:rPr>
            </w:pPr>
            <w:r>
              <w:rPr>
                <w:rFonts w:ascii="Tahoma"/>
                <w:spacing w:val="-4"/>
                <w:sz w:val="15"/>
              </w:rPr>
              <w:t>0,00</w:t>
            </w:r>
          </w:p>
          <w:p>
            <w:pPr>
              <w:pStyle w:val="TableParagraph"/>
              <w:spacing w:before="59"/>
              <w:jc w:val="right"/>
              <w:rPr>
                <w:rFonts w:ascii="Tahoma"/>
                <w:sz w:val="15"/>
              </w:rPr>
            </w:pPr>
            <w:r>
              <w:rPr>
                <w:rFonts w:ascii="Tahoma"/>
                <w:spacing w:val="-2"/>
                <w:sz w:val="15"/>
              </w:rPr>
              <w:t>(1.028.236,91)</w:t>
            </w:r>
          </w:p>
          <w:p>
            <w:pPr>
              <w:pStyle w:val="TableParagraph"/>
              <w:spacing w:before="57"/>
              <w:jc w:val="right"/>
              <w:rPr>
                <w:rFonts w:ascii="Tahoma"/>
                <w:sz w:val="15"/>
              </w:rPr>
            </w:pPr>
            <w:r>
              <w:rPr>
                <w:rFonts w:ascii="Tahoma"/>
                <w:spacing w:val="-2"/>
                <w:sz w:val="15"/>
              </w:rPr>
              <w:t>(1.606.855,79)</w:t>
            </w:r>
          </w:p>
          <w:p>
            <w:pPr>
              <w:pStyle w:val="TableParagraph"/>
              <w:spacing w:before="56"/>
              <w:ind w:right="48"/>
              <w:jc w:val="right"/>
              <w:rPr>
                <w:rFonts w:ascii="Tahoma"/>
                <w:sz w:val="15"/>
              </w:rPr>
            </w:pPr>
            <w:r>
              <w:rPr>
                <w:rFonts w:ascii="Tahoma"/>
                <w:spacing w:val="-2"/>
                <w:sz w:val="15"/>
              </w:rPr>
              <w:t>2.405.774,99</w:t>
            </w:r>
          </w:p>
          <w:p>
            <w:pPr>
              <w:pStyle w:val="TableParagraph"/>
              <w:spacing w:before="59"/>
              <w:ind w:right="47"/>
              <w:jc w:val="right"/>
              <w:rPr>
                <w:rFonts w:ascii="Tahoma"/>
                <w:sz w:val="15"/>
              </w:rPr>
            </w:pPr>
            <w:r>
              <w:rPr>
                <w:rFonts w:ascii="Tahoma"/>
                <w:spacing w:val="-4"/>
                <w:sz w:val="15"/>
              </w:rPr>
              <w:t>0,00</w:t>
            </w:r>
          </w:p>
          <w:p>
            <w:pPr>
              <w:pStyle w:val="TableParagraph"/>
              <w:spacing w:before="66"/>
              <w:ind w:right="-15"/>
              <w:jc w:val="right"/>
              <w:rPr>
                <w:b/>
                <w:sz w:val="15"/>
              </w:rPr>
            </w:pPr>
            <w:r>
              <w:rPr>
                <w:b/>
                <w:spacing w:val="-2"/>
                <w:w w:val="120"/>
                <w:sz w:val="15"/>
              </w:rPr>
              <w:t>(12.913.130,30)</w:t>
            </w:r>
          </w:p>
          <w:p>
            <w:pPr>
              <w:pStyle w:val="TableParagraph"/>
              <w:spacing w:before="59"/>
              <w:ind w:right="-15"/>
              <w:jc w:val="right"/>
              <w:rPr>
                <w:rFonts w:ascii="Tahoma"/>
                <w:sz w:val="15"/>
              </w:rPr>
            </w:pPr>
            <w:r>
              <w:rPr>
                <w:rFonts w:ascii="Tahoma"/>
                <w:spacing w:val="-2"/>
                <w:sz w:val="15"/>
              </w:rPr>
              <w:t>(12.559,75)</w:t>
            </w:r>
          </w:p>
          <w:p>
            <w:pPr>
              <w:pStyle w:val="TableParagraph"/>
              <w:spacing w:before="56"/>
              <w:jc w:val="right"/>
              <w:rPr>
                <w:rFonts w:ascii="Tahoma"/>
                <w:sz w:val="15"/>
              </w:rPr>
            </w:pPr>
            <w:r>
              <w:rPr>
                <w:rFonts w:ascii="Tahoma"/>
                <w:spacing w:val="-2"/>
                <w:sz w:val="15"/>
              </w:rPr>
              <w:t>(12.287.552,00)</w:t>
            </w:r>
          </w:p>
          <w:p>
            <w:pPr>
              <w:pStyle w:val="TableParagraph"/>
              <w:spacing w:before="57"/>
              <w:ind w:right="47"/>
              <w:jc w:val="right"/>
              <w:rPr>
                <w:rFonts w:ascii="Tahoma"/>
                <w:sz w:val="15"/>
              </w:rPr>
            </w:pPr>
            <w:r>
              <w:rPr>
                <w:rFonts w:ascii="Tahoma"/>
                <w:spacing w:val="-2"/>
                <w:sz w:val="15"/>
              </w:rPr>
              <w:t>23.145,94</w:t>
            </w:r>
          </w:p>
          <w:p>
            <w:pPr>
              <w:pStyle w:val="TableParagraph"/>
              <w:spacing w:before="59"/>
              <w:ind w:right="1"/>
              <w:jc w:val="right"/>
              <w:rPr>
                <w:rFonts w:ascii="Tahoma"/>
                <w:sz w:val="15"/>
              </w:rPr>
            </w:pPr>
            <w:r>
              <w:rPr>
                <w:rFonts w:ascii="Tahoma"/>
                <w:spacing w:val="-2"/>
                <w:sz w:val="15"/>
              </w:rPr>
              <w:t>(568.484,73)</w:t>
            </w:r>
          </w:p>
          <w:p>
            <w:pPr>
              <w:pStyle w:val="TableParagraph"/>
              <w:spacing w:before="56"/>
              <w:ind w:right="-15"/>
              <w:jc w:val="right"/>
              <w:rPr>
                <w:rFonts w:ascii="Tahoma"/>
                <w:sz w:val="15"/>
              </w:rPr>
            </w:pPr>
            <w:r>
              <w:rPr>
                <w:rFonts w:ascii="Tahoma"/>
                <w:spacing w:val="-2"/>
                <w:sz w:val="15"/>
              </w:rPr>
              <w:t>(67.679,76)</w:t>
            </w:r>
          </w:p>
          <w:p>
            <w:pPr>
              <w:pStyle w:val="TableParagraph"/>
              <w:spacing w:before="70"/>
              <w:ind w:right="45"/>
              <w:jc w:val="right"/>
              <w:rPr>
                <w:rFonts w:ascii="Tahoma"/>
                <w:sz w:val="15"/>
              </w:rPr>
            </w:pPr>
            <w:r>
              <w:rPr>
                <w:rFonts w:ascii="Tahoma"/>
                <w:spacing w:val="-4"/>
                <w:sz w:val="15"/>
              </w:rPr>
              <w:t>0,00</w:t>
            </w:r>
          </w:p>
          <w:p>
            <w:pPr>
              <w:pStyle w:val="TableParagraph"/>
              <w:spacing w:before="78"/>
              <w:ind w:right="44"/>
              <w:jc w:val="right"/>
              <w:rPr>
                <w:b/>
                <w:sz w:val="15"/>
              </w:rPr>
            </w:pPr>
            <w:r>
              <w:rPr>
                <w:b/>
                <w:spacing w:val="-2"/>
                <w:w w:val="115"/>
                <w:sz w:val="15"/>
              </w:rPr>
              <w:t>286.969,55</w:t>
            </w:r>
          </w:p>
          <w:p>
            <w:pPr>
              <w:pStyle w:val="TableParagraph"/>
              <w:spacing w:before="58"/>
              <w:ind w:right="-15"/>
              <w:jc w:val="right"/>
              <w:rPr>
                <w:rFonts w:ascii="Tahoma"/>
                <w:sz w:val="15"/>
              </w:rPr>
            </w:pPr>
            <w:r>
              <w:rPr>
                <w:rFonts w:ascii="Tahoma"/>
                <w:spacing w:val="-2"/>
                <w:sz w:val="15"/>
              </w:rPr>
              <w:t>(798.919,20)</w:t>
            </w:r>
          </w:p>
          <w:p>
            <w:pPr>
              <w:pStyle w:val="TableParagraph"/>
              <w:spacing w:before="57"/>
              <w:ind w:right="46"/>
              <w:jc w:val="right"/>
              <w:rPr>
                <w:rFonts w:ascii="Tahoma"/>
                <w:sz w:val="15"/>
              </w:rPr>
            </w:pPr>
            <w:r>
              <w:rPr>
                <w:rFonts w:ascii="Tahoma"/>
                <w:spacing w:val="-2"/>
                <w:sz w:val="15"/>
              </w:rPr>
              <w:t>399.960,00</w:t>
            </w:r>
          </w:p>
          <w:p>
            <w:pPr>
              <w:pStyle w:val="TableParagraph"/>
              <w:spacing w:before="59"/>
              <w:ind w:right="46"/>
              <w:jc w:val="right"/>
              <w:rPr>
                <w:rFonts w:ascii="Tahoma"/>
                <w:sz w:val="15"/>
              </w:rPr>
            </w:pPr>
            <w:r>
              <w:rPr>
                <w:rFonts w:ascii="Tahoma"/>
                <w:spacing w:val="-2"/>
                <w:sz w:val="15"/>
              </w:rPr>
              <w:t>628.276,91</w:t>
            </w:r>
          </w:p>
          <w:p>
            <w:pPr>
              <w:pStyle w:val="TableParagraph"/>
              <w:spacing w:line="169" w:lineRule="exact" w:before="56"/>
              <w:ind w:right="45"/>
              <w:jc w:val="right"/>
              <w:rPr>
                <w:rFonts w:ascii="Tahoma"/>
                <w:sz w:val="15"/>
              </w:rPr>
            </w:pPr>
            <w:r>
              <w:rPr>
                <w:rFonts w:ascii="Tahoma"/>
                <w:spacing w:val="-2"/>
                <w:sz w:val="15"/>
              </w:rPr>
              <w:t>57.651,84</w:t>
            </w:r>
          </w:p>
        </w:tc>
        <w:tc>
          <w:tcPr>
            <w:tcW w:w="1457" w:type="dxa"/>
            <w:tcBorders>
              <w:top w:val="single" w:sz="8" w:space="0" w:color="000000"/>
              <w:left w:val="single" w:sz="24" w:space="0" w:color="008000"/>
              <w:bottom w:val="single" w:sz="8" w:space="0" w:color="000000"/>
              <w:right w:val="single" w:sz="8" w:space="0" w:color="000000"/>
            </w:tcBorders>
          </w:tcPr>
          <w:p>
            <w:pPr>
              <w:pStyle w:val="TableParagraph"/>
              <w:rPr>
                <w:sz w:val="15"/>
              </w:rPr>
            </w:pPr>
          </w:p>
          <w:p>
            <w:pPr>
              <w:pStyle w:val="TableParagraph"/>
              <w:spacing w:before="26"/>
              <w:rPr>
                <w:sz w:val="15"/>
              </w:rPr>
            </w:pPr>
          </w:p>
          <w:p>
            <w:pPr>
              <w:pStyle w:val="TableParagraph"/>
              <w:ind w:left="297"/>
              <w:rPr>
                <w:b/>
                <w:sz w:val="15"/>
              </w:rPr>
            </w:pPr>
            <w:r>
              <w:rPr>
                <w:b/>
                <w:spacing w:val="-2"/>
                <w:w w:val="115"/>
                <w:sz w:val="15"/>
              </w:rPr>
              <w:t>2.087.752,21</w:t>
            </w:r>
          </w:p>
          <w:p>
            <w:pPr>
              <w:pStyle w:val="TableParagraph"/>
              <w:spacing w:before="56"/>
              <w:ind w:left="297"/>
              <w:rPr>
                <w:b/>
                <w:sz w:val="15"/>
              </w:rPr>
            </w:pPr>
            <w:r>
              <w:rPr>
                <w:b/>
                <w:spacing w:val="-2"/>
                <w:w w:val="115"/>
                <w:sz w:val="15"/>
              </w:rPr>
              <w:t>5.465.879,60</w:t>
            </w:r>
          </w:p>
          <w:p>
            <w:pPr>
              <w:pStyle w:val="TableParagraph"/>
              <w:spacing w:before="56"/>
              <w:ind w:right="69"/>
              <w:jc w:val="right"/>
              <w:rPr>
                <w:rFonts w:ascii="Tahoma"/>
                <w:sz w:val="15"/>
              </w:rPr>
            </w:pPr>
            <w:r>
              <w:rPr>
                <w:rFonts w:ascii="Tahoma"/>
                <w:spacing w:val="-2"/>
                <w:sz w:val="15"/>
              </w:rPr>
              <w:t>6.365.356,27</w:t>
            </w:r>
          </w:p>
          <w:p>
            <w:pPr>
              <w:pStyle w:val="TableParagraph"/>
              <w:spacing w:before="56"/>
              <w:ind w:right="19"/>
              <w:jc w:val="right"/>
              <w:rPr>
                <w:rFonts w:ascii="Tahoma"/>
                <w:sz w:val="15"/>
              </w:rPr>
            </w:pPr>
            <w:r>
              <w:rPr>
                <w:rFonts w:ascii="Tahoma"/>
                <w:spacing w:val="-2"/>
                <w:sz w:val="15"/>
              </w:rPr>
              <w:t>(37.631,94)</w:t>
            </w:r>
          </w:p>
          <w:p>
            <w:pPr>
              <w:pStyle w:val="TableParagraph"/>
              <w:spacing w:before="59"/>
              <w:ind w:right="69"/>
              <w:jc w:val="right"/>
              <w:rPr>
                <w:rFonts w:ascii="Tahoma"/>
                <w:sz w:val="15"/>
              </w:rPr>
            </w:pPr>
            <w:r>
              <w:rPr>
                <w:rFonts w:ascii="Tahoma"/>
                <w:spacing w:val="-2"/>
                <w:sz w:val="15"/>
              </w:rPr>
              <w:t>1.720.999,69</w:t>
            </w:r>
          </w:p>
          <w:p>
            <w:pPr>
              <w:pStyle w:val="TableParagraph"/>
              <w:spacing w:before="69"/>
              <w:ind w:right="19"/>
              <w:jc w:val="right"/>
              <w:rPr>
                <w:rFonts w:ascii="Tahoma"/>
                <w:sz w:val="15"/>
              </w:rPr>
            </w:pPr>
            <w:r>
              <w:rPr>
                <w:rFonts w:ascii="Tahoma"/>
                <w:spacing w:val="-2"/>
                <w:sz w:val="15"/>
              </w:rPr>
              <w:t>(2.192.691,72)</w:t>
            </w:r>
          </w:p>
          <w:p>
            <w:pPr>
              <w:pStyle w:val="TableParagraph"/>
              <w:spacing w:before="71"/>
              <w:ind w:right="69"/>
              <w:jc w:val="right"/>
              <w:rPr>
                <w:rFonts w:ascii="Tahoma"/>
                <w:sz w:val="15"/>
              </w:rPr>
            </w:pPr>
            <w:r>
              <w:rPr>
                <w:rFonts w:ascii="Tahoma"/>
                <w:spacing w:val="-4"/>
                <w:sz w:val="15"/>
              </w:rPr>
              <w:t>0,00</w:t>
            </w:r>
          </w:p>
          <w:p>
            <w:pPr>
              <w:pStyle w:val="TableParagraph"/>
              <w:spacing w:before="59"/>
              <w:ind w:right="19"/>
              <w:jc w:val="right"/>
              <w:rPr>
                <w:rFonts w:ascii="Tahoma"/>
                <w:sz w:val="15"/>
              </w:rPr>
            </w:pPr>
            <w:r>
              <w:rPr>
                <w:rFonts w:ascii="Tahoma"/>
                <w:spacing w:val="-2"/>
                <w:sz w:val="15"/>
              </w:rPr>
              <w:t>(881.894,79)</w:t>
            </w:r>
          </w:p>
          <w:p>
            <w:pPr>
              <w:pStyle w:val="TableParagraph"/>
              <w:spacing w:before="57"/>
              <w:ind w:right="19"/>
              <w:jc w:val="right"/>
              <w:rPr>
                <w:rFonts w:ascii="Tahoma"/>
                <w:sz w:val="15"/>
              </w:rPr>
            </w:pPr>
            <w:r>
              <w:rPr>
                <w:rFonts w:ascii="Tahoma"/>
                <w:spacing w:val="-2"/>
                <w:sz w:val="15"/>
              </w:rPr>
              <w:t>(1.624.044,80)</w:t>
            </w:r>
          </w:p>
          <w:p>
            <w:pPr>
              <w:pStyle w:val="TableParagraph"/>
              <w:spacing w:before="56"/>
              <w:ind w:right="69"/>
              <w:jc w:val="right"/>
              <w:rPr>
                <w:rFonts w:ascii="Tahoma"/>
                <w:sz w:val="15"/>
              </w:rPr>
            </w:pPr>
            <w:r>
              <w:rPr>
                <w:rFonts w:ascii="Tahoma"/>
                <w:spacing w:val="-2"/>
                <w:sz w:val="15"/>
              </w:rPr>
              <w:t>2.115.786,89</w:t>
            </w:r>
          </w:p>
          <w:p>
            <w:pPr>
              <w:pStyle w:val="TableParagraph"/>
              <w:spacing w:before="59"/>
              <w:ind w:right="69"/>
              <w:jc w:val="right"/>
              <w:rPr>
                <w:rFonts w:ascii="Tahoma"/>
                <w:sz w:val="15"/>
              </w:rPr>
            </w:pPr>
            <w:r>
              <w:rPr>
                <w:rFonts w:ascii="Tahoma"/>
                <w:spacing w:val="-4"/>
                <w:sz w:val="15"/>
              </w:rPr>
              <w:t>0,00</w:t>
            </w:r>
          </w:p>
          <w:p>
            <w:pPr>
              <w:pStyle w:val="TableParagraph"/>
              <w:spacing w:before="66"/>
              <w:ind w:left="223"/>
              <w:rPr>
                <w:b/>
                <w:sz w:val="15"/>
              </w:rPr>
            </w:pPr>
            <w:r>
              <w:rPr>
                <w:b/>
                <w:spacing w:val="-2"/>
                <w:w w:val="115"/>
                <w:sz w:val="15"/>
              </w:rPr>
              <w:t>(2.878.431,09)</w:t>
            </w:r>
          </w:p>
          <w:p>
            <w:pPr>
              <w:pStyle w:val="TableParagraph"/>
              <w:spacing w:before="59"/>
              <w:ind w:right="20"/>
              <w:jc w:val="right"/>
              <w:rPr>
                <w:rFonts w:ascii="Tahoma"/>
                <w:sz w:val="15"/>
              </w:rPr>
            </w:pPr>
            <w:r>
              <w:rPr>
                <w:rFonts w:ascii="Tahoma"/>
                <w:spacing w:val="-2"/>
                <w:sz w:val="15"/>
              </w:rPr>
              <w:t>(565.191,80)</w:t>
            </w:r>
          </w:p>
          <w:p>
            <w:pPr>
              <w:pStyle w:val="TableParagraph"/>
              <w:spacing w:before="56"/>
              <w:ind w:right="19"/>
              <w:jc w:val="right"/>
              <w:rPr>
                <w:rFonts w:ascii="Tahoma"/>
                <w:sz w:val="15"/>
              </w:rPr>
            </w:pPr>
            <w:r>
              <w:rPr>
                <w:rFonts w:ascii="Tahoma"/>
                <w:spacing w:val="-2"/>
                <w:sz w:val="15"/>
              </w:rPr>
              <w:t>(2.984.530,00)</w:t>
            </w:r>
          </w:p>
          <w:p>
            <w:pPr>
              <w:pStyle w:val="TableParagraph"/>
              <w:spacing w:before="57"/>
              <w:ind w:right="68"/>
              <w:jc w:val="right"/>
              <w:rPr>
                <w:rFonts w:ascii="Tahoma"/>
                <w:sz w:val="15"/>
              </w:rPr>
            </w:pPr>
            <w:r>
              <w:rPr>
                <w:rFonts w:ascii="Tahoma"/>
                <w:spacing w:val="-2"/>
                <w:sz w:val="15"/>
              </w:rPr>
              <w:t>61.070,22</w:t>
            </w:r>
          </w:p>
          <w:p>
            <w:pPr>
              <w:pStyle w:val="TableParagraph"/>
              <w:spacing w:before="59"/>
              <w:ind w:right="69"/>
              <w:jc w:val="right"/>
              <w:rPr>
                <w:rFonts w:ascii="Tahoma"/>
                <w:sz w:val="15"/>
              </w:rPr>
            </w:pPr>
            <w:r>
              <w:rPr>
                <w:rFonts w:ascii="Tahoma"/>
                <w:spacing w:val="-2"/>
                <w:sz w:val="15"/>
              </w:rPr>
              <w:t>681.813,56</w:t>
            </w:r>
          </w:p>
          <w:p>
            <w:pPr>
              <w:pStyle w:val="TableParagraph"/>
              <w:spacing w:before="56"/>
              <w:ind w:right="20"/>
              <w:jc w:val="right"/>
              <w:rPr>
                <w:rFonts w:ascii="Tahoma"/>
                <w:sz w:val="15"/>
              </w:rPr>
            </w:pPr>
            <w:r>
              <w:rPr>
                <w:rFonts w:ascii="Tahoma"/>
                <w:spacing w:val="-2"/>
                <w:sz w:val="15"/>
              </w:rPr>
              <w:t>(71.593,07)</w:t>
            </w:r>
          </w:p>
          <w:p>
            <w:pPr>
              <w:pStyle w:val="TableParagraph"/>
              <w:spacing w:before="70"/>
              <w:ind w:right="67"/>
              <w:jc w:val="right"/>
              <w:rPr>
                <w:rFonts w:ascii="Tahoma"/>
                <w:sz w:val="15"/>
              </w:rPr>
            </w:pPr>
            <w:r>
              <w:rPr>
                <w:rFonts w:ascii="Tahoma"/>
                <w:spacing w:val="-4"/>
                <w:sz w:val="15"/>
              </w:rPr>
              <w:t>0,00</w:t>
            </w:r>
          </w:p>
          <w:p>
            <w:pPr>
              <w:pStyle w:val="TableParagraph"/>
              <w:spacing w:before="78"/>
              <w:ind w:left="450"/>
              <w:rPr>
                <w:b/>
                <w:sz w:val="15"/>
              </w:rPr>
            </w:pPr>
            <w:r>
              <w:rPr>
                <w:b/>
                <w:spacing w:val="-2"/>
                <w:w w:val="115"/>
                <w:sz w:val="15"/>
              </w:rPr>
              <w:t>506.359,18</w:t>
            </w:r>
          </w:p>
          <w:p>
            <w:pPr>
              <w:pStyle w:val="TableParagraph"/>
              <w:spacing w:before="58"/>
              <w:ind w:right="17"/>
              <w:jc w:val="right"/>
              <w:rPr>
                <w:rFonts w:ascii="Tahoma"/>
                <w:sz w:val="15"/>
              </w:rPr>
            </w:pPr>
            <w:r>
              <w:rPr>
                <w:rFonts w:ascii="Tahoma"/>
                <w:spacing w:val="-2"/>
                <w:sz w:val="15"/>
              </w:rPr>
              <w:t>(491.742,09)</w:t>
            </w:r>
          </w:p>
          <w:p>
            <w:pPr>
              <w:pStyle w:val="TableParagraph"/>
              <w:spacing w:before="57"/>
              <w:ind w:right="67"/>
              <w:jc w:val="right"/>
              <w:rPr>
                <w:rFonts w:ascii="Tahoma"/>
                <w:sz w:val="15"/>
              </w:rPr>
            </w:pPr>
            <w:r>
              <w:rPr>
                <w:rFonts w:ascii="Tahoma"/>
                <w:spacing w:val="-4"/>
                <w:sz w:val="15"/>
              </w:rPr>
              <w:t>0,00</w:t>
            </w:r>
          </w:p>
          <w:p>
            <w:pPr>
              <w:pStyle w:val="TableParagraph"/>
              <w:spacing w:before="59"/>
              <w:ind w:right="67"/>
              <w:jc w:val="right"/>
              <w:rPr>
                <w:rFonts w:ascii="Tahoma"/>
                <w:sz w:val="15"/>
              </w:rPr>
            </w:pPr>
            <w:r>
              <w:rPr>
                <w:rFonts w:ascii="Tahoma"/>
                <w:spacing w:val="-2"/>
                <w:sz w:val="15"/>
              </w:rPr>
              <w:t>881.894,79</w:t>
            </w:r>
          </w:p>
          <w:p>
            <w:pPr>
              <w:pStyle w:val="TableParagraph"/>
              <w:spacing w:line="169" w:lineRule="exact" w:before="56"/>
              <w:ind w:right="66"/>
              <w:jc w:val="right"/>
              <w:rPr>
                <w:rFonts w:ascii="Tahoma"/>
                <w:sz w:val="15"/>
              </w:rPr>
            </w:pPr>
            <w:r>
              <w:rPr>
                <w:rFonts w:ascii="Tahoma"/>
                <w:spacing w:val="-2"/>
                <w:sz w:val="15"/>
              </w:rPr>
              <w:t>116.206,48</w:t>
            </w:r>
          </w:p>
        </w:tc>
      </w:tr>
      <w:tr>
        <w:trPr>
          <w:trHeight w:val="208"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right w:val="single" w:sz="8" w:space="0" w:color="000000"/>
            </w:tcBorders>
          </w:tcPr>
          <w:p>
            <w:pPr>
              <w:pStyle w:val="TableParagraph"/>
              <w:spacing w:line="158" w:lineRule="exact" w:before="30"/>
              <w:ind w:right="5"/>
              <w:jc w:val="right"/>
              <w:rPr>
                <w:b/>
                <w:sz w:val="15"/>
              </w:rPr>
            </w:pPr>
            <w:r>
              <w:rPr>
                <w:b/>
                <w:spacing w:val="-2"/>
                <w:w w:val="120"/>
                <w:sz w:val="15"/>
              </w:rPr>
              <w:t>(544.460,20)</w:t>
            </w:r>
          </w:p>
        </w:tc>
        <w:tc>
          <w:tcPr>
            <w:tcW w:w="1457" w:type="dxa"/>
            <w:tcBorders>
              <w:top w:val="single" w:sz="8" w:space="0" w:color="000000"/>
              <w:left w:val="single" w:sz="8" w:space="0" w:color="000000"/>
              <w:right w:val="single" w:sz="8" w:space="0" w:color="000000"/>
            </w:tcBorders>
          </w:tcPr>
          <w:p>
            <w:pPr>
              <w:pStyle w:val="TableParagraph"/>
              <w:spacing w:line="158" w:lineRule="exact" w:before="30"/>
              <w:ind w:right="65"/>
              <w:jc w:val="right"/>
              <w:rPr>
                <w:b/>
                <w:sz w:val="15"/>
              </w:rPr>
            </w:pPr>
            <w:r>
              <w:rPr>
                <w:b/>
                <w:spacing w:val="-2"/>
                <w:w w:val="115"/>
                <w:sz w:val="15"/>
              </w:rPr>
              <w:t>5.181.559,90</w:t>
            </w:r>
          </w:p>
        </w:tc>
      </w:tr>
      <w:tr>
        <w:trPr>
          <w:trHeight w:val="1640"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left w:val="single" w:sz="8" w:space="0" w:color="000000"/>
              <w:bottom w:val="single" w:sz="8" w:space="0" w:color="000000"/>
              <w:right w:val="single" w:sz="8" w:space="0" w:color="000000"/>
            </w:tcBorders>
          </w:tcPr>
          <w:p>
            <w:pPr>
              <w:pStyle w:val="TableParagraph"/>
              <w:spacing w:before="95"/>
              <w:rPr>
                <w:sz w:val="15"/>
              </w:rPr>
            </w:pPr>
          </w:p>
          <w:p>
            <w:pPr>
              <w:pStyle w:val="TableParagraph"/>
              <w:ind w:right="5"/>
              <w:jc w:val="right"/>
              <w:rPr>
                <w:b/>
                <w:sz w:val="15"/>
              </w:rPr>
            </w:pPr>
            <w:r>
              <w:rPr>
                <w:b/>
                <w:spacing w:val="-2"/>
                <w:w w:val="120"/>
                <w:sz w:val="15"/>
              </w:rPr>
              <w:t>(21.814.665,64)</w:t>
            </w:r>
          </w:p>
          <w:p>
            <w:pPr>
              <w:pStyle w:val="TableParagraph"/>
              <w:spacing w:before="58"/>
              <w:ind w:left="358"/>
              <w:rPr>
                <w:rFonts w:ascii="Tahoma"/>
                <w:sz w:val="15"/>
              </w:rPr>
            </w:pPr>
            <w:r>
              <w:rPr>
                <w:rFonts w:ascii="Tahoma"/>
                <w:spacing w:val="-2"/>
                <w:sz w:val="15"/>
              </w:rPr>
              <w:t>(1.606.897,85)</w:t>
            </w:r>
          </w:p>
          <w:p>
            <w:pPr>
              <w:pStyle w:val="TableParagraph"/>
              <w:spacing w:before="57"/>
              <w:ind w:left="269"/>
              <w:rPr>
                <w:rFonts w:ascii="Tahoma"/>
                <w:sz w:val="15"/>
              </w:rPr>
            </w:pPr>
            <w:r>
              <w:rPr>
                <w:rFonts w:ascii="Tahoma"/>
                <w:spacing w:val="-2"/>
                <w:sz w:val="15"/>
              </w:rPr>
              <w:t>(12.504.080,00)</w:t>
            </w:r>
          </w:p>
          <w:p>
            <w:pPr>
              <w:pStyle w:val="TableParagraph"/>
              <w:spacing w:before="59"/>
              <w:ind w:left="358"/>
              <w:rPr>
                <w:rFonts w:ascii="Tahoma"/>
                <w:sz w:val="15"/>
              </w:rPr>
            </w:pPr>
            <w:r>
              <w:rPr>
                <w:rFonts w:ascii="Tahoma"/>
                <w:spacing w:val="-2"/>
                <w:sz w:val="15"/>
              </w:rPr>
              <w:t>(7.703.687,79)</w:t>
            </w:r>
          </w:p>
          <w:p>
            <w:pPr>
              <w:pStyle w:val="TableParagraph"/>
              <w:spacing w:before="66"/>
              <w:ind w:right="64"/>
              <w:jc w:val="right"/>
              <w:rPr>
                <w:b/>
                <w:sz w:val="15"/>
              </w:rPr>
            </w:pPr>
            <w:r>
              <w:rPr>
                <w:b/>
                <w:spacing w:val="-4"/>
                <w:w w:val="115"/>
                <w:sz w:val="15"/>
              </w:rPr>
              <w:t>0,00</w:t>
            </w:r>
          </w:p>
        </w:tc>
        <w:tc>
          <w:tcPr>
            <w:tcW w:w="1457" w:type="dxa"/>
            <w:tcBorders>
              <w:left w:val="single" w:sz="8" w:space="0" w:color="000000"/>
              <w:bottom w:val="single" w:sz="8" w:space="0" w:color="000000"/>
              <w:right w:val="single" w:sz="8" w:space="0" w:color="000000"/>
            </w:tcBorders>
          </w:tcPr>
          <w:p>
            <w:pPr>
              <w:pStyle w:val="TableParagraph"/>
              <w:spacing w:before="95"/>
              <w:rPr>
                <w:sz w:val="15"/>
              </w:rPr>
            </w:pPr>
          </w:p>
          <w:p>
            <w:pPr>
              <w:pStyle w:val="TableParagraph"/>
              <w:ind w:right="7"/>
              <w:jc w:val="right"/>
              <w:rPr>
                <w:b/>
                <w:sz w:val="15"/>
              </w:rPr>
            </w:pPr>
            <w:r>
              <w:rPr>
                <w:b/>
                <w:spacing w:val="-2"/>
                <w:w w:val="120"/>
                <w:sz w:val="15"/>
              </w:rPr>
              <w:t>(8.315.594,30)</w:t>
            </w:r>
          </w:p>
          <w:p>
            <w:pPr>
              <w:pStyle w:val="TableParagraph"/>
              <w:spacing w:before="58"/>
              <w:ind w:left="357"/>
              <w:rPr>
                <w:rFonts w:ascii="Tahoma"/>
                <w:sz w:val="15"/>
              </w:rPr>
            </w:pPr>
            <w:r>
              <w:rPr>
                <w:rFonts w:ascii="Tahoma"/>
                <w:spacing w:val="-2"/>
                <w:sz w:val="15"/>
              </w:rPr>
              <w:t>(1.827.962,52)</w:t>
            </w:r>
          </w:p>
          <w:p>
            <w:pPr>
              <w:pStyle w:val="TableParagraph"/>
              <w:spacing w:before="57"/>
              <w:ind w:left="268"/>
              <w:rPr>
                <w:rFonts w:ascii="Tahoma"/>
                <w:sz w:val="15"/>
              </w:rPr>
            </w:pPr>
            <w:r>
              <w:rPr>
                <w:rFonts w:ascii="Tahoma"/>
                <w:spacing w:val="-2"/>
                <w:sz w:val="15"/>
              </w:rPr>
              <w:t>(14.512.833,52)</w:t>
            </w:r>
          </w:p>
          <w:p>
            <w:pPr>
              <w:pStyle w:val="TableParagraph"/>
              <w:spacing w:before="59"/>
              <w:ind w:left="431"/>
              <w:rPr>
                <w:rFonts w:ascii="Tahoma"/>
                <w:sz w:val="15"/>
              </w:rPr>
            </w:pPr>
            <w:r>
              <w:rPr>
                <w:rFonts w:ascii="Tahoma"/>
                <w:spacing w:val="-2"/>
                <w:sz w:val="15"/>
              </w:rPr>
              <w:t>8.025.201,74</w:t>
            </w:r>
          </w:p>
          <w:p>
            <w:pPr>
              <w:pStyle w:val="TableParagraph"/>
              <w:spacing w:before="66"/>
              <w:ind w:right="65"/>
              <w:jc w:val="right"/>
              <w:rPr>
                <w:b/>
                <w:sz w:val="15"/>
              </w:rPr>
            </w:pPr>
            <w:r>
              <w:rPr>
                <w:b/>
                <w:spacing w:val="-4"/>
                <w:w w:val="115"/>
                <w:sz w:val="15"/>
              </w:rPr>
              <w:t>0,00</w:t>
            </w:r>
          </w:p>
        </w:tc>
      </w:tr>
      <w:tr>
        <w:trPr>
          <w:trHeight w:val="209"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59" w:lineRule="exact" w:before="30"/>
              <w:ind w:right="5"/>
              <w:jc w:val="right"/>
              <w:rPr>
                <w:b/>
                <w:sz w:val="15"/>
              </w:rPr>
            </w:pPr>
            <w:r>
              <w:rPr>
                <w:b/>
                <w:spacing w:val="-2"/>
                <w:w w:val="120"/>
                <w:sz w:val="15"/>
              </w:rPr>
              <w:t>(21.814.665,64)</w:t>
            </w: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59" w:lineRule="exact" w:before="30"/>
              <w:ind w:right="7"/>
              <w:jc w:val="right"/>
              <w:rPr>
                <w:b/>
                <w:sz w:val="15"/>
              </w:rPr>
            </w:pPr>
            <w:r>
              <w:rPr>
                <w:b/>
                <w:spacing w:val="-2"/>
                <w:w w:val="120"/>
                <w:sz w:val="15"/>
              </w:rPr>
              <w:t>(8.315.594,30)</w:t>
            </w:r>
          </w:p>
        </w:tc>
      </w:tr>
      <w:tr>
        <w:trPr>
          <w:trHeight w:val="4264"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bottom w:val="single" w:sz="8" w:space="0" w:color="000000"/>
              <w:right w:val="single" w:sz="8" w:space="0" w:color="000000"/>
            </w:tcBorders>
          </w:tcPr>
          <w:p>
            <w:pPr>
              <w:pStyle w:val="TableParagraph"/>
              <w:rPr>
                <w:sz w:val="15"/>
              </w:rPr>
            </w:pPr>
          </w:p>
          <w:p>
            <w:pPr>
              <w:pStyle w:val="TableParagraph"/>
              <w:rPr>
                <w:sz w:val="15"/>
              </w:rPr>
            </w:pPr>
          </w:p>
          <w:p>
            <w:pPr>
              <w:pStyle w:val="TableParagraph"/>
              <w:spacing w:before="102"/>
              <w:rPr>
                <w:sz w:val="15"/>
              </w:rPr>
            </w:pPr>
          </w:p>
          <w:p>
            <w:pPr>
              <w:pStyle w:val="TableParagraph"/>
              <w:ind w:right="64"/>
              <w:jc w:val="right"/>
              <w:rPr>
                <w:b/>
                <w:sz w:val="15"/>
              </w:rPr>
            </w:pPr>
            <w:r>
              <w:rPr>
                <w:b/>
                <w:spacing w:val="-2"/>
                <w:w w:val="115"/>
                <w:sz w:val="15"/>
              </w:rPr>
              <w:t>6.816.131,33</w:t>
            </w:r>
          </w:p>
          <w:p>
            <w:pPr>
              <w:pStyle w:val="TableParagraph"/>
              <w:rPr>
                <w:sz w:val="15"/>
              </w:rPr>
            </w:pPr>
          </w:p>
          <w:p>
            <w:pPr>
              <w:pStyle w:val="TableParagraph"/>
              <w:spacing w:before="64"/>
              <w:rPr>
                <w:sz w:val="15"/>
              </w:rPr>
            </w:pPr>
          </w:p>
          <w:p>
            <w:pPr>
              <w:pStyle w:val="TableParagraph"/>
              <w:ind w:right="66"/>
              <w:jc w:val="right"/>
              <w:rPr>
                <w:rFonts w:ascii="Tahoma"/>
                <w:sz w:val="15"/>
              </w:rPr>
            </w:pPr>
            <w:r>
              <w:rPr>
                <w:rFonts w:ascii="Tahoma"/>
                <w:spacing w:val="-4"/>
                <w:sz w:val="15"/>
              </w:rPr>
              <w:t>0,00</w:t>
            </w:r>
          </w:p>
          <w:p>
            <w:pPr>
              <w:pStyle w:val="TableParagraph"/>
              <w:spacing w:before="136"/>
              <w:rPr>
                <w:sz w:val="15"/>
              </w:rPr>
            </w:pPr>
          </w:p>
          <w:p>
            <w:pPr>
              <w:pStyle w:val="TableParagraph"/>
              <w:ind w:right="66"/>
              <w:jc w:val="right"/>
              <w:rPr>
                <w:rFonts w:ascii="Tahoma"/>
                <w:sz w:val="15"/>
              </w:rPr>
            </w:pPr>
            <w:r>
              <w:rPr>
                <w:rFonts w:ascii="Tahoma"/>
                <w:spacing w:val="-2"/>
                <w:sz w:val="15"/>
              </w:rPr>
              <w:t>6.816.131,33</w:t>
            </w:r>
          </w:p>
          <w:p>
            <w:pPr>
              <w:pStyle w:val="TableParagraph"/>
              <w:spacing w:before="133"/>
              <w:rPr>
                <w:sz w:val="15"/>
              </w:rPr>
            </w:pPr>
          </w:p>
          <w:p>
            <w:pPr>
              <w:pStyle w:val="TableParagraph"/>
              <w:ind w:right="64"/>
              <w:jc w:val="right"/>
              <w:rPr>
                <w:b/>
                <w:sz w:val="15"/>
              </w:rPr>
            </w:pPr>
            <w:r>
              <w:rPr>
                <w:b/>
                <w:spacing w:val="-2"/>
                <w:w w:val="115"/>
                <w:sz w:val="15"/>
              </w:rPr>
              <w:t>12.661.490,95</w:t>
            </w:r>
          </w:p>
          <w:p>
            <w:pPr>
              <w:pStyle w:val="TableParagraph"/>
              <w:spacing w:before="56"/>
              <w:ind w:right="65"/>
              <w:jc w:val="right"/>
              <w:rPr>
                <w:rFonts w:ascii="Tahoma"/>
                <w:sz w:val="15"/>
              </w:rPr>
            </w:pPr>
            <w:r>
              <w:rPr>
                <w:rFonts w:ascii="Tahoma"/>
                <w:spacing w:val="-2"/>
                <w:sz w:val="15"/>
              </w:rPr>
              <w:t>20.080.041,74</w:t>
            </w:r>
          </w:p>
          <w:p>
            <w:pPr>
              <w:pStyle w:val="TableParagraph"/>
              <w:spacing w:before="47"/>
              <w:ind w:right="43"/>
              <w:jc w:val="right"/>
              <w:rPr>
                <w:rFonts w:ascii="Tahoma"/>
                <w:i/>
                <w:sz w:val="16"/>
              </w:rPr>
            </w:pPr>
            <w:r>
              <w:rPr>
                <w:rFonts w:ascii="Tahoma"/>
                <w:i/>
                <w:spacing w:val="-61"/>
                <w:sz w:val="16"/>
              </w:rPr>
              <w:t>18.945.499,00</w:t>
            </w:r>
          </w:p>
          <w:p>
            <w:pPr>
              <w:pStyle w:val="TableParagraph"/>
              <w:spacing w:before="45"/>
              <w:ind w:right="44"/>
              <w:jc w:val="right"/>
              <w:rPr>
                <w:rFonts w:ascii="Tahoma"/>
                <w:i/>
                <w:sz w:val="16"/>
              </w:rPr>
            </w:pPr>
            <w:r>
              <w:rPr>
                <w:rFonts w:ascii="Tahoma"/>
                <w:i/>
                <w:spacing w:val="-4"/>
                <w:sz w:val="16"/>
              </w:rPr>
              <w:t>0,00</w:t>
            </w:r>
          </w:p>
          <w:p>
            <w:pPr>
              <w:pStyle w:val="TableParagraph"/>
              <w:spacing w:before="47"/>
              <w:ind w:right="44"/>
              <w:jc w:val="right"/>
              <w:rPr>
                <w:rFonts w:ascii="Tahoma"/>
                <w:i/>
                <w:sz w:val="16"/>
              </w:rPr>
            </w:pPr>
            <w:r>
              <w:rPr>
                <w:rFonts w:ascii="Tahoma"/>
                <w:i/>
                <w:spacing w:val="-61"/>
                <w:sz w:val="16"/>
              </w:rPr>
              <w:t>1.134.542,74</w:t>
            </w:r>
          </w:p>
          <w:p>
            <w:pPr>
              <w:pStyle w:val="TableParagraph"/>
              <w:spacing w:before="54"/>
              <w:ind w:right="19"/>
              <w:jc w:val="right"/>
              <w:rPr>
                <w:rFonts w:ascii="Tahoma"/>
                <w:sz w:val="15"/>
              </w:rPr>
            </w:pPr>
            <w:r>
              <w:rPr>
                <w:rFonts w:ascii="Tahoma"/>
                <w:spacing w:val="-2"/>
                <w:sz w:val="15"/>
              </w:rPr>
              <w:t>(7.418.550,79)</w:t>
            </w:r>
          </w:p>
          <w:p>
            <w:pPr>
              <w:pStyle w:val="TableParagraph"/>
              <w:spacing w:before="47"/>
              <w:ind w:right="-15"/>
              <w:jc w:val="right"/>
              <w:rPr>
                <w:rFonts w:ascii="Tahoma"/>
                <w:i/>
                <w:sz w:val="16"/>
              </w:rPr>
            </w:pPr>
            <w:r>
              <w:rPr>
                <w:rFonts w:ascii="Tahoma"/>
                <w:i/>
                <w:spacing w:val="-61"/>
                <w:sz w:val="16"/>
              </w:rPr>
              <w:t>(7.418.550,79)</w:t>
            </w:r>
          </w:p>
          <w:p>
            <w:pPr>
              <w:pStyle w:val="TableParagraph"/>
              <w:spacing w:before="47"/>
              <w:ind w:right="44"/>
              <w:jc w:val="right"/>
              <w:rPr>
                <w:rFonts w:ascii="Tahoma"/>
                <w:i/>
                <w:sz w:val="16"/>
              </w:rPr>
            </w:pPr>
            <w:r>
              <w:rPr>
                <w:rFonts w:ascii="Tahoma"/>
                <w:i/>
                <w:spacing w:val="-4"/>
                <w:sz w:val="16"/>
              </w:rPr>
              <w:t>0,00</w:t>
            </w:r>
          </w:p>
          <w:p>
            <w:pPr>
              <w:pStyle w:val="TableParagraph"/>
              <w:spacing w:line="179" w:lineRule="exact" w:before="44"/>
              <w:ind w:right="44"/>
              <w:jc w:val="right"/>
              <w:rPr>
                <w:rFonts w:ascii="Tahoma"/>
                <w:i/>
                <w:sz w:val="16"/>
              </w:rPr>
            </w:pPr>
            <w:r>
              <w:rPr>
                <w:rFonts w:ascii="Tahoma"/>
                <w:i/>
                <w:spacing w:val="-4"/>
                <w:sz w:val="16"/>
              </w:rPr>
              <w:t>0,00</w:t>
            </w:r>
          </w:p>
        </w:tc>
        <w:tc>
          <w:tcPr>
            <w:tcW w:w="1457" w:type="dxa"/>
            <w:tcBorders>
              <w:top w:val="single" w:sz="8" w:space="0" w:color="000000"/>
              <w:left w:val="single" w:sz="8" w:space="0" w:color="000000"/>
              <w:bottom w:val="single" w:sz="8" w:space="0" w:color="000000"/>
              <w:right w:val="single" w:sz="8" w:space="0" w:color="000000"/>
            </w:tcBorders>
          </w:tcPr>
          <w:p>
            <w:pPr>
              <w:pStyle w:val="TableParagraph"/>
              <w:rPr>
                <w:sz w:val="15"/>
              </w:rPr>
            </w:pPr>
          </w:p>
          <w:p>
            <w:pPr>
              <w:pStyle w:val="TableParagraph"/>
              <w:rPr>
                <w:sz w:val="15"/>
              </w:rPr>
            </w:pPr>
          </w:p>
          <w:p>
            <w:pPr>
              <w:pStyle w:val="TableParagraph"/>
              <w:spacing w:before="102"/>
              <w:rPr>
                <w:sz w:val="15"/>
              </w:rPr>
            </w:pPr>
          </w:p>
          <w:p>
            <w:pPr>
              <w:pStyle w:val="TableParagraph"/>
              <w:ind w:left="319"/>
              <w:rPr>
                <w:b/>
                <w:sz w:val="15"/>
              </w:rPr>
            </w:pPr>
            <w:r>
              <w:rPr>
                <w:b/>
                <w:spacing w:val="-2"/>
                <w:w w:val="115"/>
                <w:sz w:val="15"/>
              </w:rPr>
              <w:t>4.000.000,00</w:t>
            </w:r>
          </w:p>
          <w:p>
            <w:pPr>
              <w:pStyle w:val="TableParagraph"/>
              <w:rPr>
                <w:sz w:val="15"/>
              </w:rPr>
            </w:pPr>
          </w:p>
          <w:p>
            <w:pPr>
              <w:pStyle w:val="TableParagraph"/>
              <w:spacing w:before="64"/>
              <w:rPr>
                <w:sz w:val="15"/>
              </w:rPr>
            </w:pPr>
          </w:p>
          <w:p>
            <w:pPr>
              <w:pStyle w:val="TableParagraph"/>
              <w:ind w:right="67"/>
              <w:jc w:val="right"/>
              <w:rPr>
                <w:rFonts w:ascii="Tahoma"/>
                <w:sz w:val="15"/>
              </w:rPr>
            </w:pPr>
            <w:r>
              <w:rPr>
                <w:rFonts w:ascii="Tahoma"/>
                <w:spacing w:val="-4"/>
                <w:sz w:val="15"/>
              </w:rPr>
              <w:t>0,00</w:t>
            </w:r>
          </w:p>
          <w:p>
            <w:pPr>
              <w:pStyle w:val="TableParagraph"/>
              <w:spacing w:before="136"/>
              <w:rPr>
                <w:sz w:val="15"/>
              </w:rPr>
            </w:pPr>
          </w:p>
          <w:p>
            <w:pPr>
              <w:pStyle w:val="TableParagraph"/>
              <w:ind w:right="67"/>
              <w:jc w:val="right"/>
              <w:rPr>
                <w:rFonts w:ascii="Tahoma"/>
                <w:sz w:val="15"/>
              </w:rPr>
            </w:pPr>
            <w:r>
              <w:rPr>
                <w:rFonts w:ascii="Tahoma"/>
                <w:spacing w:val="-2"/>
                <w:sz w:val="15"/>
              </w:rPr>
              <w:t>4.000.000,00</w:t>
            </w:r>
          </w:p>
          <w:p>
            <w:pPr>
              <w:pStyle w:val="TableParagraph"/>
              <w:spacing w:before="133"/>
              <w:rPr>
                <w:sz w:val="15"/>
              </w:rPr>
            </w:pPr>
          </w:p>
          <w:p>
            <w:pPr>
              <w:pStyle w:val="TableParagraph"/>
              <w:ind w:left="244"/>
              <w:rPr>
                <w:b/>
                <w:sz w:val="15"/>
              </w:rPr>
            </w:pPr>
            <w:r>
              <w:rPr>
                <w:b/>
                <w:spacing w:val="-2"/>
                <w:w w:val="115"/>
                <w:sz w:val="15"/>
              </w:rPr>
              <w:t>(4.154.338,05)</w:t>
            </w:r>
          </w:p>
          <w:p>
            <w:pPr>
              <w:pStyle w:val="TableParagraph"/>
              <w:spacing w:before="56"/>
              <w:ind w:right="66"/>
              <w:jc w:val="right"/>
              <w:rPr>
                <w:rFonts w:ascii="Tahoma"/>
                <w:sz w:val="15"/>
              </w:rPr>
            </w:pPr>
            <w:r>
              <w:rPr>
                <w:rFonts w:ascii="Tahoma"/>
                <w:spacing w:val="-2"/>
                <w:sz w:val="15"/>
              </w:rPr>
              <w:t>3.208.930,00</w:t>
            </w:r>
          </w:p>
          <w:p>
            <w:pPr>
              <w:pStyle w:val="TableParagraph"/>
              <w:spacing w:before="47"/>
              <w:ind w:right="44"/>
              <w:jc w:val="right"/>
              <w:rPr>
                <w:rFonts w:ascii="Tahoma"/>
                <w:i/>
                <w:sz w:val="16"/>
              </w:rPr>
            </w:pPr>
            <w:r>
              <w:rPr>
                <w:rFonts w:ascii="Tahoma"/>
                <w:i/>
                <w:spacing w:val="-62"/>
                <w:sz w:val="16"/>
              </w:rPr>
              <w:t>3.208.930,00</w:t>
            </w:r>
          </w:p>
          <w:p>
            <w:pPr>
              <w:pStyle w:val="TableParagraph"/>
              <w:spacing w:before="45"/>
              <w:ind w:right="45"/>
              <w:jc w:val="right"/>
              <w:rPr>
                <w:rFonts w:ascii="Tahoma"/>
                <w:i/>
                <w:sz w:val="16"/>
              </w:rPr>
            </w:pPr>
            <w:r>
              <w:rPr>
                <w:rFonts w:ascii="Tahoma"/>
                <w:i/>
                <w:spacing w:val="-4"/>
                <w:sz w:val="16"/>
              </w:rPr>
              <w:t>0,00</w:t>
            </w:r>
          </w:p>
          <w:p>
            <w:pPr>
              <w:pStyle w:val="TableParagraph"/>
              <w:spacing w:before="47"/>
              <w:ind w:right="45"/>
              <w:jc w:val="right"/>
              <w:rPr>
                <w:rFonts w:ascii="Tahoma"/>
                <w:i/>
                <w:sz w:val="16"/>
              </w:rPr>
            </w:pPr>
            <w:r>
              <w:rPr>
                <w:rFonts w:ascii="Tahoma"/>
                <w:i/>
                <w:spacing w:val="-4"/>
                <w:sz w:val="16"/>
              </w:rPr>
              <w:t>0,00</w:t>
            </w:r>
          </w:p>
          <w:p>
            <w:pPr>
              <w:pStyle w:val="TableParagraph"/>
              <w:spacing w:before="54"/>
              <w:ind w:right="20"/>
              <w:jc w:val="right"/>
              <w:rPr>
                <w:rFonts w:ascii="Tahoma"/>
                <w:sz w:val="15"/>
              </w:rPr>
            </w:pPr>
            <w:r>
              <w:rPr>
                <w:rFonts w:ascii="Tahoma"/>
                <w:spacing w:val="-2"/>
                <w:sz w:val="15"/>
              </w:rPr>
              <w:t>(7.363.268,05)</w:t>
            </w:r>
          </w:p>
          <w:p>
            <w:pPr>
              <w:pStyle w:val="TableParagraph"/>
              <w:spacing w:before="47"/>
              <w:ind w:right="-15"/>
              <w:jc w:val="right"/>
              <w:rPr>
                <w:rFonts w:ascii="Tahoma"/>
                <w:i/>
                <w:sz w:val="16"/>
              </w:rPr>
            </w:pPr>
            <w:r>
              <w:rPr>
                <w:rFonts w:ascii="Tahoma"/>
                <w:i/>
                <w:spacing w:val="-62"/>
                <w:sz w:val="16"/>
              </w:rPr>
              <w:t>(6.596.495,98)</w:t>
            </w:r>
          </w:p>
          <w:p>
            <w:pPr>
              <w:pStyle w:val="TableParagraph"/>
              <w:spacing w:before="47"/>
              <w:ind w:right="45"/>
              <w:jc w:val="right"/>
              <w:rPr>
                <w:rFonts w:ascii="Tahoma"/>
                <w:i/>
                <w:sz w:val="16"/>
              </w:rPr>
            </w:pPr>
            <w:r>
              <w:rPr>
                <w:rFonts w:ascii="Tahoma"/>
                <w:i/>
                <w:spacing w:val="-4"/>
                <w:sz w:val="16"/>
              </w:rPr>
              <w:t>0,00</w:t>
            </w:r>
          </w:p>
          <w:p>
            <w:pPr>
              <w:pStyle w:val="TableParagraph"/>
              <w:spacing w:line="179" w:lineRule="exact" w:before="44"/>
              <w:ind w:right="-15"/>
              <w:jc w:val="right"/>
              <w:rPr>
                <w:rFonts w:ascii="Tahoma"/>
                <w:i/>
                <w:sz w:val="16"/>
              </w:rPr>
            </w:pPr>
            <w:r>
              <w:rPr>
                <w:rFonts w:ascii="Tahoma"/>
                <w:i/>
                <w:spacing w:val="-60"/>
                <w:sz w:val="16"/>
              </w:rPr>
              <w:t>(766.772,07)</w:t>
            </w:r>
          </w:p>
        </w:tc>
      </w:tr>
      <w:tr>
        <w:trPr>
          <w:trHeight w:val="209"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59" w:lineRule="exact" w:before="30"/>
              <w:ind w:right="68"/>
              <w:jc w:val="right"/>
              <w:rPr>
                <w:b/>
                <w:sz w:val="15"/>
              </w:rPr>
            </w:pPr>
            <w:r>
              <w:rPr>
                <w:b/>
                <w:spacing w:val="-2"/>
                <w:w w:val="115"/>
                <w:sz w:val="15"/>
              </w:rPr>
              <w:t>19.477.622,28</w:t>
            </w: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59" w:lineRule="exact" w:before="30"/>
              <w:ind w:right="10"/>
              <w:jc w:val="right"/>
              <w:rPr>
                <w:b/>
                <w:sz w:val="15"/>
              </w:rPr>
            </w:pPr>
            <w:r>
              <w:rPr>
                <w:b/>
                <w:spacing w:val="-2"/>
                <w:w w:val="120"/>
                <w:sz w:val="15"/>
              </w:rPr>
              <w:t>(154.338,05)</w:t>
            </w:r>
          </w:p>
        </w:tc>
      </w:tr>
      <w:tr>
        <w:trPr>
          <w:trHeight w:val="208"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60" w:lineRule="exact" w:before="28"/>
              <w:ind w:right="8"/>
              <w:jc w:val="right"/>
              <w:rPr>
                <w:b/>
                <w:sz w:val="15"/>
              </w:rPr>
            </w:pPr>
            <w:r>
              <w:rPr>
                <w:b/>
                <w:spacing w:val="-2"/>
                <w:w w:val="120"/>
                <w:sz w:val="15"/>
              </w:rPr>
              <w:t>(2.881.503,56)</w:t>
            </w:r>
          </w:p>
        </w:tc>
        <w:tc>
          <w:tcPr>
            <w:tcW w:w="1457" w:type="dxa"/>
            <w:tcBorders>
              <w:top w:val="single" w:sz="8" w:space="0" w:color="000000"/>
              <w:left w:val="single" w:sz="8" w:space="0" w:color="000000"/>
              <w:bottom w:val="single" w:sz="8" w:space="0" w:color="000000"/>
              <w:right w:val="single" w:sz="8" w:space="0" w:color="000000"/>
            </w:tcBorders>
          </w:tcPr>
          <w:p>
            <w:pPr>
              <w:pStyle w:val="TableParagraph"/>
              <w:spacing w:line="160" w:lineRule="exact" w:before="28"/>
              <w:ind w:right="9"/>
              <w:jc w:val="right"/>
              <w:rPr>
                <w:b/>
                <w:sz w:val="15"/>
              </w:rPr>
            </w:pPr>
            <w:r>
              <w:rPr>
                <w:b/>
                <w:spacing w:val="-2"/>
                <w:w w:val="120"/>
                <w:sz w:val="15"/>
              </w:rPr>
              <w:t>(3.288.372,45)</w:t>
            </w:r>
          </w:p>
        </w:tc>
      </w:tr>
      <w:tr>
        <w:trPr>
          <w:trHeight w:val="455" w:hRule="atLeast"/>
        </w:trPr>
        <w:tc>
          <w:tcPr>
            <w:tcW w:w="5033" w:type="dxa"/>
            <w:vMerge/>
            <w:tcBorders>
              <w:top w:val="nil"/>
              <w:bottom w:val="single" w:sz="12" w:space="0" w:color="000000"/>
              <w:right w:val="single" w:sz="8" w:space="0" w:color="000000"/>
            </w:tcBorders>
          </w:tcPr>
          <w:p>
            <w:pPr>
              <w:rPr>
                <w:sz w:val="2"/>
                <w:szCs w:val="2"/>
              </w:rPr>
            </w:pPr>
          </w:p>
        </w:tc>
        <w:tc>
          <w:tcPr>
            <w:tcW w:w="540" w:type="dxa"/>
            <w:vMerge/>
            <w:tcBorders>
              <w:top w:val="nil"/>
              <w:left w:val="single" w:sz="8" w:space="0" w:color="000000"/>
              <w:bottom w:val="single" w:sz="12" w:space="0" w:color="000000"/>
              <w:right w:val="single" w:sz="24" w:space="0" w:color="008000"/>
            </w:tcBorders>
          </w:tcPr>
          <w:p>
            <w:pPr>
              <w:rPr>
                <w:sz w:val="2"/>
                <w:szCs w:val="2"/>
              </w:rPr>
            </w:pPr>
          </w:p>
        </w:tc>
        <w:tc>
          <w:tcPr>
            <w:tcW w:w="1457" w:type="dxa"/>
            <w:tcBorders>
              <w:top w:val="single" w:sz="8" w:space="0" w:color="000000"/>
              <w:left w:val="single" w:sz="8" w:space="0" w:color="000000"/>
              <w:bottom w:val="single" w:sz="12" w:space="0" w:color="000000"/>
              <w:right w:val="single" w:sz="8" w:space="0" w:color="000000"/>
            </w:tcBorders>
          </w:tcPr>
          <w:p>
            <w:pPr>
              <w:pStyle w:val="TableParagraph"/>
              <w:spacing w:before="18"/>
              <w:ind w:left="342"/>
              <w:rPr>
                <w:rFonts w:ascii="Tahoma"/>
                <w:sz w:val="15"/>
              </w:rPr>
            </w:pPr>
            <w:r>
              <w:rPr>
                <w:rFonts w:ascii="Tahoma"/>
                <w:spacing w:val="-2"/>
                <w:sz w:val="15"/>
              </w:rPr>
              <w:t>12.850.352,35</w:t>
            </w:r>
          </w:p>
          <w:p>
            <w:pPr>
              <w:pStyle w:val="TableParagraph"/>
              <w:spacing w:line="177" w:lineRule="exact" w:before="59"/>
              <w:ind w:left="429"/>
              <w:rPr>
                <w:rFonts w:ascii="Tahoma"/>
                <w:sz w:val="15"/>
              </w:rPr>
            </w:pPr>
            <w:r>
              <w:rPr>
                <w:rFonts w:ascii="Tahoma"/>
                <w:spacing w:val="-2"/>
                <w:sz w:val="15"/>
              </w:rPr>
              <w:t>9.968.848,79</w:t>
            </w:r>
          </w:p>
        </w:tc>
        <w:tc>
          <w:tcPr>
            <w:tcW w:w="1457" w:type="dxa"/>
            <w:tcBorders>
              <w:top w:val="single" w:sz="8" w:space="0" w:color="000000"/>
              <w:left w:val="single" w:sz="8" w:space="0" w:color="000000"/>
              <w:bottom w:val="single" w:sz="12" w:space="0" w:color="000000"/>
              <w:right w:val="single" w:sz="8" w:space="0" w:color="000000"/>
            </w:tcBorders>
          </w:tcPr>
          <w:p>
            <w:pPr>
              <w:pStyle w:val="TableParagraph"/>
              <w:spacing w:before="18"/>
              <w:ind w:left="339"/>
              <w:rPr>
                <w:rFonts w:ascii="Tahoma"/>
                <w:sz w:val="15"/>
              </w:rPr>
            </w:pPr>
            <w:r>
              <w:rPr>
                <w:rFonts w:ascii="Tahoma"/>
                <w:spacing w:val="-2"/>
                <w:sz w:val="15"/>
              </w:rPr>
              <w:t>16.138.724,80</w:t>
            </w:r>
          </w:p>
          <w:p>
            <w:pPr>
              <w:pStyle w:val="TableParagraph"/>
              <w:spacing w:line="177" w:lineRule="exact" w:before="59"/>
              <w:ind w:left="339"/>
              <w:rPr>
                <w:rFonts w:ascii="Tahoma"/>
                <w:sz w:val="15"/>
              </w:rPr>
            </w:pPr>
            <w:r>
              <w:rPr>
                <w:rFonts w:ascii="Tahoma"/>
                <w:spacing w:val="-2"/>
                <w:sz w:val="15"/>
              </w:rPr>
              <w:t>12.850.352,35</w:t>
            </w:r>
          </w:p>
        </w:tc>
      </w:tr>
    </w:tbl>
    <w:p>
      <w:pPr>
        <w:pStyle w:val="TableParagraph"/>
        <w:spacing w:after="0" w:line="177" w:lineRule="exact"/>
        <w:rPr>
          <w:rFonts w:ascii="Tahoma"/>
          <w:sz w:val="15"/>
        </w:rPr>
        <w:sectPr>
          <w:pgSz w:w="11910" w:h="16840"/>
          <w:pgMar w:header="286" w:footer="570" w:top="1920" w:bottom="760" w:left="360" w:right="36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82"/>
        <w:rPr>
          <w:sz w:val="32"/>
        </w:rPr>
      </w:pPr>
    </w:p>
    <w:p>
      <w:pPr>
        <w:spacing w:before="0"/>
        <w:ind w:left="0" w:right="0" w:firstLine="0"/>
        <w:jc w:val="center"/>
        <w:rPr>
          <w:sz w:val="32"/>
        </w:rPr>
      </w:pPr>
      <w:r>
        <w:rPr>
          <w:spacing w:val="-2"/>
          <w:sz w:val="32"/>
          <w:u w:val="single"/>
        </w:rPr>
        <w:t>MEMORIA</w:t>
      </w:r>
    </w:p>
    <w:p>
      <w:pPr>
        <w:pStyle w:val="BodyText"/>
        <w:spacing w:before="49"/>
        <w:rPr>
          <w:sz w:val="32"/>
        </w:rPr>
      </w:pPr>
    </w:p>
    <w:p>
      <w:pPr>
        <w:spacing w:before="0"/>
        <w:ind w:left="2" w:right="0" w:firstLine="0"/>
        <w:jc w:val="center"/>
        <w:rPr>
          <w:sz w:val="32"/>
        </w:rPr>
      </w:pPr>
      <w:r>
        <w:rPr>
          <w:spacing w:val="-6"/>
          <w:sz w:val="32"/>
          <w:u w:val="single"/>
        </w:rPr>
        <w:t>CORRESPONDIENTE</w:t>
      </w:r>
    </w:p>
    <w:p>
      <w:pPr>
        <w:pStyle w:val="BodyText"/>
        <w:spacing w:before="49"/>
        <w:rPr>
          <w:sz w:val="32"/>
        </w:rPr>
      </w:pPr>
    </w:p>
    <w:p>
      <w:pPr>
        <w:spacing w:before="0"/>
        <w:ind w:left="0" w:right="0" w:firstLine="0"/>
        <w:jc w:val="center"/>
        <w:rPr>
          <w:sz w:val="32"/>
        </w:rPr>
      </w:pPr>
      <w:r>
        <w:rPr>
          <w:spacing w:val="-4"/>
          <w:sz w:val="32"/>
          <w:u w:val="single"/>
        </w:rPr>
        <w:t>AL</w:t>
      </w:r>
      <w:r>
        <w:rPr>
          <w:spacing w:val="-12"/>
          <w:sz w:val="32"/>
          <w:u w:val="single"/>
        </w:rPr>
        <w:t> </w:t>
      </w:r>
      <w:r>
        <w:rPr>
          <w:spacing w:val="-4"/>
          <w:sz w:val="32"/>
          <w:u w:val="single"/>
        </w:rPr>
        <w:t>EJERCICIO</w:t>
      </w:r>
      <w:r>
        <w:rPr>
          <w:spacing w:val="-12"/>
          <w:sz w:val="32"/>
          <w:u w:val="single"/>
        </w:rPr>
        <w:t> </w:t>
      </w:r>
      <w:r>
        <w:rPr>
          <w:spacing w:val="-4"/>
          <w:sz w:val="32"/>
          <w:u w:val="single"/>
        </w:rPr>
        <w:t>ANUAL</w:t>
      </w:r>
      <w:r>
        <w:rPr>
          <w:spacing w:val="-8"/>
          <w:sz w:val="32"/>
          <w:u w:val="single"/>
        </w:rPr>
        <w:t> </w:t>
      </w:r>
      <w:r>
        <w:rPr>
          <w:spacing w:val="-4"/>
          <w:sz w:val="32"/>
          <w:u w:val="single"/>
        </w:rPr>
        <w:t>TERMINADO</w:t>
      </w:r>
    </w:p>
    <w:p>
      <w:pPr>
        <w:pStyle w:val="BodyText"/>
        <w:spacing w:before="49"/>
        <w:rPr>
          <w:sz w:val="32"/>
        </w:rPr>
      </w:pPr>
    </w:p>
    <w:p>
      <w:pPr>
        <w:spacing w:before="0"/>
        <w:ind w:left="0" w:right="0" w:firstLine="0"/>
        <w:jc w:val="center"/>
        <w:rPr>
          <w:sz w:val="32"/>
        </w:rPr>
      </w:pPr>
      <w:r>
        <w:rPr>
          <w:sz w:val="32"/>
        </w:rPr>
        <mc:AlternateContent>
          <mc:Choice Requires="wps">
            <w:drawing>
              <wp:anchor distT="0" distB="0" distL="0" distR="0" allowOverlap="1" layoutInCell="1" locked="0" behindDoc="0" simplePos="0" relativeHeight="15742464">
                <wp:simplePos x="0" y="0"/>
                <wp:positionH relativeFrom="page">
                  <wp:posOffset>6966436</wp:posOffset>
                </wp:positionH>
                <wp:positionV relativeFrom="paragraph">
                  <wp:posOffset>907173</wp:posOffset>
                </wp:positionV>
                <wp:extent cx="263525" cy="327596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1.430984pt;width:20.75pt;height:257.95pt;mso-position-horizontal-relative:page;mso-position-vertical-relative:paragraph;z-index:15742464" type="#_x0000_t202" id="docshape7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w w:val="90"/>
          <w:sz w:val="32"/>
          <w:u w:val="single"/>
        </w:rPr>
        <w:t>EL</w:t>
      </w:r>
      <w:r>
        <w:rPr>
          <w:spacing w:val="10"/>
          <w:sz w:val="32"/>
          <w:u w:val="single"/>
        </w:rPr>
        <w:t> </w:t>
      </w:r>
      <w:r>
        <w:rPr>
          <w:w w:val="90"/>
          <w:sz w:val="32"/>
          <w:u w:val="single"/>
        </w:rPr>
        <w:t>31</w:t>
      </w:r>
      <w:r>
        <w:rPr>
          <w:spacing w:val="10"/>
          <w:sz w:val="32"/>
          <w:u w:val="single"/>
        </w:rPr>
        <w:t> </w:t>
      </w:r>
      <w:r>
        <w:rPr>
          <w:w w:val="90"/>
          <w:sz w:val="32"/>
          <w:u w:val="single"/>
        </w:rPr>
        <w:t>DE</w:t>
      </w:r>
      <w:r>
        <w:rPr>
          <w:spacing w:val="12"/>
          <w:sz w:val="32"/>
          <w:u w:val="single"/>
        </w:rPr>
        <w:t> </w:t>
      </w:r>
      <w:r>
        <w:rPr>
          <w:w w:val="90"/>
          <w:sz w:val="32"/>
          <w:u w:val="single"/>
        </w:rPr>
        <w:t>DICIEMBRE</w:t>
      </w:r>
      <w:r>
        <w:rPr>
          <w:spacing w:val="10"/>
          <w:sz w:val="32"/>
          <w:u w:val="single"/>
        </w:rPr>
        <w:t> </w:t>
      </w:r>
      <w:r>
        <w:rPr>
          <w:w w:val="90"/>
          <w:sz w:val="32"/>
          <w:u w:val="single"/>
        </w:rPr>
        <w:t>DE</w:t>
      </w:r>
      <w:r>
        <w:rPr>
          <w:spacing w:val="8"/>
          <w:sz w:val="32"/>
          <w:u w:val="single"/>
        </w:rPr>
        <w:t> </w:t>
      </w:r>
      <w:r>
        <w:rPr>
          <w:spacing w:val="-4"/>
          <w:w w:val="90"/>
          <w:sz w:val="32"/>
          <w:u w:val="single"/>
        </w:rPr>
        <w:t>2025</w:t>
      </w:r>
    </w:p>
    <w:p>
      <w:pPr>
        <w:spacing w:after="0"/>
        <w:jc w:val="center"/>
        <w:rPr>
          <w:sz w:val="32"/>
        </w:rPr>
        <w:sectPr>
          <w:headerReference w:type="default" r:id="rId14"/>
          <w:footerReference w:type="default" r:id="rId15"/>
          <w:pgSz w:w="11910" w:h="16840"/>
          <w:pgMar w:header="286" w:footer="1060" w:top="1920" w:bottom="1260" w:left="360" w:right="360"/>
        </w:sectPr>
      </w:pPr>
    </w:p>
    <w:p>
      <w:pPr>
        <w:pStyle w:val="BodyText"/>
        <w:spacing w:before="199"/>
      </w:pPr>
    </w:p>
    <w:p>
      <w:pPr>
        <w:pStyle w:val="Heading2"/>
        <w:numPr>
          <w:ilvl w:val="0"/>
          <w:numId w:val="4"/>
        </w:numPr>
        <w:tabs>
          <w:tab w:pos="1701" w:val="left" w:leader="none"/>
        </w:tabs>
        <w:spacing w:line="240" w:lineRule="auto" w:before="0" w:after="0"/>
        <w:ind w:left="1701" w:right="0" w:hanging="360"/>
        <w:jc w:val="left"/>
        <w:rPr>
          <w:u w:val="none"/>
        </w:rPr>
      </w:pPr>
      <w:bookmarkStart w:name="2 Memoria Consejo Administración" w:id="4"/>
      <w:bookmarkEnd w:id="4"/>
      <w:r>
        <w:rPr>
          <w:b w:val="0"/>
          <w:u w:val="none"/>
        </w:rPr>
      </w:r>
      <w:r>
        <w:rPr>
          <w:spacing w:val="2"/>
          <w:u w:val="single"/>
        </w:rPr>
        <w:t> </w:t>
      </w:r>
      <w:r>
        <w:rPr>
          <w:u w:val="single"/>
        </w:rPr>
        <w:t>ACTIVIDAD</w:t>
      </w:r>
      <w:r>
        <w:rPr>
          <w:spacing w:val="-5"/>
          <w:u w:val="single"/>
        </w:rPr>
        <w:t> </w:t>
      </w:r>
      <w:r>
        <w:rPr>
          <w:u w:val="single"/>
        </w:rPr>
        <w:t>DE</w:t>
      </w:r>
      <w:r>
        <w:rPr>
          <w:spacing w:val="-5"/>
          <w:u w:val="single"/>
        </w:rPr>
        <w:t> </w:t>
      </w:r>
      <w:r>
        <w:rPr>
          <w:u w:val="single"/>
        </w:rPr>
        <w:t>LA</w:t>
      </w:r>
      <w:r>
        <w:rPr>
          <w:spacing w:val="-6"/>
          <w:u w:val="single"/>
        </w:rPr>
        <w:t> </w:t>
      </w:r>
      <w:r>
        <w:rPr>
          <w:spacing w:val="-2"/>
          <w:u w:val="single"/>
        </w:rPr>
        <w:t>EMPRESA</w:t>
      </w:r>
      <w:r>
        <w:rPr>
          <w:spacing w:val="-2"/>
          <w:u w:val="none"/>
        </w:rPr>
        <w:t>.</w:t>
      </w:r>
    </w:p>
    <w:p>
      <w:pPr>
        <w:pStyle w:val="BodyText"/>
        <w:spacing w:before="1"/>
        <w:rPr>
          <w:b/>
        </w:rPr>
      </w:pPr>
    </w:p>
    <w:p>
      <w:pPr>
        <w:pStyle w:val="ListParagraph"/>
        <w:numPr>
          <w:ilvl w:val="1"/>
          <w:numId w:val="4"/>
        </w:numPr>
        <w:tabs>
          <w:tab w:pos="2130" w:val="left" w:leader="none"/>
          <w:tab w:pos="2133" w:val="left" w:leader="none"/>
        </w:tabs>
        <w:spacing w:line="240" w:lineRule="auto" w:before="0" w:after="0"/>
        <w:ind w:left="2133" w:right="1333" w:hanging="432"/>
        <w:jc w:val="both"/>
        <w:rPr>
          <w:sz w:val="20"/>
        </w:rPr>
      </w:pPr>
      <w:r>
        <w:rPr>
          <w:sz w:val="20"/>
        </w:rPr>
        <w:t>La</w:t>
      </w:r>
      <w:r>
        <w:rPr>
          <w:spacing w:val="-7"/>
          <w:sz w:val="20"/>
        </w:rPr>
        <w:t> </w:t>
      </w:r>
      <w:r>
        <w:rPr>
          <w:sz w:val="20"/>
        </w:rPr>
        <w:t>Sociedad</w:t>
      </w:r>
      <w:r>
        <w:rPr>
          <w:spacing w:val="-9"/>
          <w:sz w:val="20"/>
        </w:rPr>
        <w:t> </w:t>
      </w:r>
      <w:r>
        <w:rPr>
          <w:sz w:val="20"/>
        </w:rPr>
        <w:t>se</w:t>
      </w:r>
      <w:r>
        <w:rPr>
          <w:spacing w:val="-9"/>
          <w:sz w:val="20"/>
        </w:rPr>
        <w:t> </w:t>
      </w:r>
      <w:r>
        <w:rPr>
          <w:sz w:val="20"/>
        </w:rPr>
        <w:t>constituyó</w:t>
      </w:r>
      <w:r>
        <w:rPr>
          <w:spacing w:val="-6"/>
          <w:sz w:val="20"/>
        </w:rPr>
        <w:t> </w:t>
      </w:r>
      <w:r>
        <w:rPr>
          <w:sz w:val="20"/>
        </w:rPr>
        <w:t>el</w:t>
      </w:r>
      <w:r>
        <w:rPr>
          <w:spacing w:val="-8"/>
          <w:sz w:val="20"/>
        </w:rPr>
        <w:t> </w:t>
      </w:r>
      <w:r>
        <w:rPr>
          <w:sz w:val="20"/>
        </w:rPr>
        <w:t>9</w:t>
      </w:r>
      <w:r>
        <w:rPr>
          <w:spacing w:val="-7"/>
          <w:sz w:val="20"/>
        </w:rPr>
        <w:t> </w:t>
      </w:r>
      <w:r>
        <w:rPr>
          <w:sz w:val="20"/>
        </w:rPr>
        <w:t>de</w:t>
      </w:r>
      <w:r>
        <w:rPr>
          <w:spacing w:val="-7"/>
          <w:sz w:val="20"/>
        </w:rPr>
        <w:t> </w:t>
      </w:r>
      <w:r>
        <w:rPr>
          <w:sz w:val="20"/>
        </w:rPr>
        <w:t>diciembre</w:t>
      </w:r>
      <w:r>
        <w:rPr>
          <w:spacing w:val="-9"/>
          <w:sz w:val="20"/>
        </w:rPr>
        <w:t> </w:t>
      </w:r>
      <w:r>
        <w:rPr>
          <w:sz w:val="20"/>
        </w:rPr>
        <w:t>de</w:t>
      </w:r>
      <w:r>
        <w:rPr>
          <w:spacing w:val="-7"/>
          <w:sz w:val="20"/>
        </w:rPr>
        <w:t> </w:t>
      </w:r>
      <w:r>
        <w:rPr>
          <w:sz w:val="20"/>
        </w:rPr>
        <w:t>1985</w:t>
      </w:r>
      <w:r>
        <w:rPr>
          <w:spacing w:val="-10"/>
          <w:sz w:val="20"/>
        </w:rPr>
        <w:t> </w:t>
      </w:r>
      <w:r>
        <w:rPr>
          <w:sz w:val="20"/>
        </w:rPr>
        <w:t>por</w:t>
      </w:r>
      <w:r>
        <w:rPr>
          <w:spacing w:val="-6"/>
          <w:sz w:val="20"/>
        </w:rPr>
        <w:t> </w:t>
      </w:r>
      <w:r>
        <w:rPr>
          <w:sz w:val="20"/>
        </w:rPr>
        <w:t>tiempo</w:t>
      </w:r>
      <w:r>
        <w:rPr>
          <w:spacing w:val="-7"/>
          <w:sz w:val="20"/>
        </w:rPr>
        <w:t> </w:t>
      </w:r>
      <w:r>
        <w:rPr>
          <w:sz w:val="20"/>
        </w:rPr>
        <w:t>indefinido</w:t>
      </w:r>
      <w:r>
        <w:rPr>
          <w:spacing w:val="-6"/>
          <w:sz w:val="20"/>
        </w:rPr>
        <w:t> </w:t>
      </w:r>
      <w:r>
        <w:rPr>
          <w:sz w:val="20"/>
        </w:rPr>
        <w:t>y</w:t>
      </w:r>
      <w:r>
        <w:rPr>
          <w:spacing w:val="-10"/>
          <w:sz w:val="20"/>
        </w:rPr>
        <w:t> </w:t>
      </w:r>
      <w:r>
        <w:rPr>
          <w:sz w:val="20"/>
        </w:rPr>
        <w:t>adaptó</w:t>
      </w:r>
      <w:r>
        <w:rPr>
          <w:spacing w:val="-7"/>
          <w:sz w:val="20"/>
        </w:rPr>
        <w:t> </w:t>
      </w:r>
      <w:r>
        <w:rPr>
          <w:sz w:val="20"/>
        </w:rPr>
        <w:t>sus estatutos</w:t>
      </w:r>
      <w:r>
        <w:rPr>
          <w:spacing w:val="-14"/>
          <w:sz w:val="20"/>
        </w:rPr>
        <w:t> </w:t>
      </w:r>
      <w:r>
        <w:rPr>
          <w:sz w:val="20"/>
        </w:rPr>
        <w:t>sociales</w:t>
      </w:r>
      <w:r>
        <w:rPr>
          <w:spacing w:val="-12"/>
          <w:sz w:val="20"/>
        </w:rPr>
        <w:t> </w:t>
      </w:r>
      <w:r>
        <w:rPr>
          <w:sz w:val="20"/>
        </w:rPr>
        <w:t>a</w:t>
      </w:r>
      <w:r>
        <w:rPr>
          <w:spacing w:val="-13"/>
          <w:sz w:val="20"/>
        </w:rPr>
        <w:t> </w:t>
      </w:r>
      <w:r>
        <w:rPr>
          <w:sz w:val="20"/>
        </w:rPr>
        <w:t>la</w:t>
      </w:r>
      <w:r>
        <w:rPr>
          <w:spacing w:val="-13"/>
          <w:sz w:val="20"/>
        </w:rPr>
        <w:t> </w:t>
      </w:r>
      <w:r>
        <w:rPr>
          <w:sz w:val="20"/>
        </w:rPr>
        <w:t>legislación</w:t>
      </w:r>
      <w:r>
        <w:rPr>
          <w:spacing w:val="-14"/>
          <w:sz w:val="20"/>
        </w:rPr>
        <w:t> </w:t>
      </w:r>
      <w:r>
        <w:rPr>
          <w:sz w:val="20"/>
        </w:rPr>
        <w:t>mercantil</w:t>
      </w:r>
      <w:r>
        <w:rPr>
          <w:spacing w:val="-14"/>
          <w:sz w:val="20"/>
        </w:rPr>
        <w:t> </w:t>
      </w:r>
      <w:r>
        <w:rPr>
          <w:sz w:val="20"/>
        </w:rPr>
        <w:t>vigente</w:t>
      </w:r>
      <w:r>
        <w:rPr>
          <w:spacing w:val="-13"/>
          <w:sz w:val="20"/>
        </w:rPr>
        <w:t> </w:t>
      </w:r>
      <w:r>
        <w:rPr>
          <w:sz w:val="20"/>
        </w:rPr>
        <w:t>mediante</w:t>
      </w:r>
      <w:r>
        <w:rPr>
          <w:spacing w:val="-13"/>
          <w:sz w:val="20"/>
        </w:rPr>
        <w:t> </w:t>
      </w:r>
      <w:r>
        <w:rPr>
          <w:sz w:val="20"/>
        </w:rPr>
        <w:t>escritura</w:t>
      </w:r>
      <w:r>
        <w:rPr>
          <w:spacing w:val="-13"/>
          <w:sz w:val="20"/>
        </w:rPr>
        <w:t> </w:t>
      </w:r>
      <w:r>
        <w:rPr>
          <w:sz w:val="20"/>
        </w:rPr>
        <w:t>otorgada</w:t>
      </w:r>
      <w:r>
        <w:rPr>
          <w:spacing w:val="-13"/>
          <w:sz w:val="20"/>
        </w:rPr>
        <w:t> </w:t>
      </w:r>
      <w:r>
        <w:rPr>
          <w:sz w:val="20"/>
        </w:rPr>
        <w:t>el</w:t>
      </w:r>
      <w:r>
        <w:rPr>
          <w:spacing w:val="-14"/>
          <w:sz w:val="20"/>
        </w:rPr>
        <w:t> </w:t>
      </w:r>
      <w:r>
        <w:rPr>
          <w:sz w:val="20"/>
        </w:rPr>
        <w:t>17</w:t>
      </w:r>
      <w:r>
        <w:rPr>
          <w:spacing w:val="-13"/>
          <w:sz w:val="20"/>
        </w:rPr>
        <w:t> </w:t>
      </w:r>
      <w:r>
        <w:rPr>
          <w:sz w:val="20"/>
        </w:rPr>
        <w:t>de </w:t>
      </w:r>
      <w:r>
        <w:rPr>
          <w:spacing w:val="-2"/>
          <w:sz w:val="20"/>
        </w:rPr>
        <w:t>marzo</w:t>
      </w:r>
      <w:r>
        <w:rPr>
          <w:spacing w:val="-6"/>
          <w:sz w:val="20"/>
        </w:rPr>
        <w:t> </w:t>
      </w:r>
      <w:r>
        <w:rPr>
          <w:spacing w:val="-2"/>
          <w:sz w:val="20"/>
        </w:rPr>
        <w:t>de</w:t>
      </w:r>
      <w:r>
        <w:rPr>
          <w:spacing w:val="-6"/>
          <w:sz w:val="20"/>
        </w:rPr>
        <w:t> </w:t>
      </w:r>
      <w:r>
        <w:rPr>
          <w:spacing w:val="-2"/>
          <w:sz w:val="20"/>
        </w:rPr>
        <w:t>1993,</w:t>
      </w:r>
      <w:r>
        <w:rPr>
          <w:spacing w:val="-6"/>
          <w:sz w:val="20"/>
        </w:rPr>
        <w:t> </w:t>
      </w:r>
      <w:r>
        <w:rPr>
          <w:spacing w:val="-2"/>
          <w:sz w:val="20"/>
        </w:rPr>
        <w:t>debidamente</w:t>
      </w:r>
      <w:r>
        <w:rPr>
          <w:spacing w:val="-6"/>
          <w:sz w:val="20"/>
        </w:rPr>
        <w:t> </w:t>
      </w:r>
      <w:r>
        <w:rPr>
          <w:spacing w:val="-2"/>
          <w:sz w:val="20"/>
        </w:rPr>
        <w:t>inscrita</w:t>
      </w:r>
      <w:r>
        <w:rPr>
          <w:spacing w:val="-6"/>
          <w:sz w:val="20"/>
        </w:rPr>
        <w:t> </w:t>
      </w:r>
      <w:r>
        <w:rPr>
          <w:spacing w:val="-2"/>
          <w:sz w:val="20"/>
        </w:rPr>
        <w:t>en</w:t>
      </w:r>
      <w:r>
        <w:rPr>
          <w:spacing w:val="-6"/>
          <w:sz w:val="20"/>
        </w:rPr>
        <w:t> </w:t>
      </w:r>
      <w:r>
        <w:rPr>
          <w:spacing w:val="-2"/>
          <w:sz w:val="20"/>
        </w:rPr>
        <w:t>el</w:t>
      </w:r>
      <w:r>
        <w:rPr>
          <w:spacing w:val="-5"/>
          <w:sz w:val="20"/>
        </w:rPr>
        <w:t> </w:t>
      </w:r>
      <w:r>
        <w:rPr>
          <w:spacing w:val="-2"/>
          <w:sz w:val="20"/>
        </w:rPr>
        <w:t>Registro</w:t>
      </w:r>
      <w:r>
        <w:rPr>
          <w:spacing w:val="-6"/>
          <w:sz w:val="20"/>
        </w:rPr>
        <w:t> </w:t>
      </w:r>
      <w:r>
        <w:rPr>
          <w:spacing w:val="-2"/>
          <w:sz w:val="20"/>
        </w:rPr>
        <w:t>Mercantil.</w:t>
      </w:r>
      <w:r>
        <w:rPr>
          <w:spacing w:val="-6"/>
          <w:sz w:val="20"/>
        </w:rPr>
        <w:t> </w:t>
      </w:r>
      <w:r>
        <w:rPr>
          <w:spacing w:val="-2"/>
          <w:sz w:val="20"/>
        </w:rPr>
        <w:t>El</w:t>
      </w:r>
      <w:r>
        <w:rPr>
          <w:spacing w:val="-5"/>
          <w:sz w:val="20"/>
        </w:rPr>
        <w:t> </w:t>
      </w:r>
      <w:r>
        <w:rPr>
          <w:spacing w:val="-2"/>
          <w:sz w:val="20"/>
        </w:rPr>
        <w:t>inicio</w:t>
      </w:r>
      <w:r>
        <w:rPr>
          <w:spacing w:val="-6"/>
          <w:sz w:val="20"/>
        </w:rPr>
        <w:t> </w:t>
      </w:r>
      <w:r>
        <w:rPr>
          <w:spacing w:val="-2"/>
          <w:sz w:val="20"/>
        </w:rPr>
        <w:t>de</w:t>
      </w:r>
      <w:r>
        <w:rPr>
          <w:spacing w:val="-6"/>
          <w:sz w:val="20"/>
        </w:rPr>
        <w:t> </w:t>
      </w:r>
      <w:r>
        <w:rPr>
          <w:spacing w:val="-2"/>
          <w:sz w:val="20"/>
        </w:rPr>
        <w:t>actividad</w:t>
      </w:r>
      <w:r>
        <w:rPr>
          <w:spacing w:val="-6"/>
          <w:sz w:val="20"/>
        </w:rPr>
        <w:t> </w:t>
      </w:r>
      <w:r>
        <w:rPr>
          <w:spacing w:val="-2"/>
          <w:sz w:val="20"/>
        </w:rPr>
        <w:t>fue</w:t>
      </w:r>
      <w:r>
        <w:rPr>
          <w:spacing w:val="-6"/>
          <w:sz w:val="20"/>
        </w:rPr>
        <w:t> </w:t>
      </w:r>
      <w:r>
        <w:rPr>
          <w:spacing w:val="-2"/>
          <w:sz w:val="20"/>
        </w:rPr>
        <w:t>el </w:t>
      </w:r>
      <w:r>
        <w:rPr>
          <w:sz w:val="20"/>
        </w:rPr>
        <w:t>1 de enero de 1986.</w:t>
      </w:r>
    </w:p>
    <w:p>
      <w:pPr>
        <w:pStyle w:val="ListParagraph"/>
        <w:numPr>
          <w:ilvl w:val="1"/>
          <w:numId w:val="4"/>
        </w:numPr>
        <w:tabs>
          <w:tab w:pos="2130" w:val="left" w:leader="none"/>
          <w:tab w:pos="2133" w:val="left" w:leader="none"/>
        </w:tabs>
        <w:spacing w:line="240" w:lineRule="auto" w:before="229" w:after="0"/>
        <w:ind w:left="2133" w:right="1335" w:hanging="432"/>
        <w:jc w:val="both"/>
        <w:rPr>
          <w:sz w:val="20"/>
        </w:rPr>
      </w:pPr>
      <w:r>
        <w:rPr>
          <w:sz w:val="20"/>
        </w:rPr>
        <w:t>La sede social está situada en Las Palmas de Gran Canaria, calle Arequipa, s/n, El Sebadal,</w:t>
      </w:r>
      <w:r>
        <w:rPr>
          <w:spacing w:val="-13"/>
          <w:sz w:val="20"/>
        </w:rPr>
        <w:t> </w:t>
      </w:r>
      <w:r>
        <w:rPr>
          <w:sz w:val="20"/>
        </w:rPr>
        <w:t>donde</w:t>
      </w:r>
      <w:r>
        <w:rPr>
          <w:spacing w:val="-11"/>
          <w:sz w:val="20"/>
        </w:rPr>
        <w:t> </w:t>
      </w:r>
      <w:r>
        <w:rPr>
          <w:sz w:val="20"/>
        </w:rPr>
        <w:t>se</w:t>
      </w:r>
      <w:r>
        <w:rPr>
          <w:spacing w:val="-13"/>
          <w:sz w:val="20"/>
        </w:rPr>
        <w:t> </w:t>
      </w:r>
      <w:r>
        <w:rPr>
          <w:sz w:val="20"/>
        </w:rPr>
        <w:t>encuentran</w:t>
      </w:r>
      <w:r>
        <w:rPr>
          <w:spacing w:val="-13"/>
          <w:sz w:val="20"/>
        </w:rPr>
        <w:t> </w:t>
      </w:r>
      <w:r>
        <w:rPr>
          <w:sz w:val="20"/>
        </w:rPr>
        <w:t>localizadas</w:t>
      </w:r>
      <w:r>
        <w:rPr>
          <w:spacing w:val="-10"/>
          <w:sz w:val="20"/>
        </w:rPr>
        <w:t> </w:t>
      </w:r>
      <w:r>
        <w:rPr>
          <w:sz w:val="20"/>
        </w:rPr>
        <w:t>las</w:t>
      </w:r>
      <w:r>
        <w:rPr>
          <w:spacing w:val="-10"/>
          <w:sz w:val="20"/>
        </w:rPr>
        <w:t> </w:t>
      </w:r>
      <w:r>
        <w:rPr>
          <w:sz w:val="20"/>
        </w:rPr>
        <w:t>cocheras,</w:t>
      </w:r>
      <w:r>
        <w:rPr>
          <w:spacing w:val="-14"/>
          <w:sz w:val="20"/>
        </w:rPr>
        <w:t> </w:t>
      </w:r>
      <w:r>
        <w:rPr>
          <w:sz w:val="20"/>
        </w:rPr>
        <w:t>talleres</w:t>
      </w:r>
      <w:r>
        <w:rPr>
          <w:spacing w:val="-8"/>
          <w:sz w:val="20"/>
        </w:rPr>
        <w:t> </w:t>
      </w:r>
      <w:r>
        <w:rPr>
          <w:sz w:val="20"/>
        </w:rPr>
        <w:t>y</w:t>
      </w:r>
      <w:r>
        <w:rPr>
          <w:spacing w:val="-14"/>
          <w:sz w:val="20"/>
        </w:rPr>
        <w:t> </w:t>
      </w:r>
      <w:r>
        <w:rPr>
          <w:sz w:val="20"/>
        </w:rPr>
        <w:t>oficinas.</w:t>
      </w:r>
    </w:p>
    <w:p>
      <w:pPr>
        <w:pStyle w:val="BodyText"/>
        <w:spacing w:before="2"/>
      </w:pPr>
    </w:p>
    <w:p>
      <w:pPr>
        <w:pStyle w:val="ListParagraph"/>
        <w:numPr>
          <w:ilvl w:val="1"/>
          <w:numId w:val="4"/>
        </w:numPr>
        <w:tabs>
          <w:tab w:pos="2130" w:val="left" w:leader="none"/>
          <w:tab w:pos="2133" w:val="left" w:leader="none"/>
        </w:tabs>
        <w:spacing w:line="240" w:lineRule="auto" w:before="0" w:after="0"/>
        <w:ind w:left="2133" w:right="1333" w:hanging="432"/>
        <w:jc w:val="both"/>
        <w:rPr>
          <w:sz w:val="20"/>
        </w:rPr>
      </w:pPr>
      <w:r>
        <w:rPr>
          <w:sz w:val="20"/>
        </w:rPr>
        <w:t>La actividad principal de la Sociedad, incluida en su objeto social, consiste en la explotación, organización y prestación del servicio público de transporte colectivo de viajeros en el término municipal de Las Palmas de Gran Canaria, en régimen de </w:t>
      </w:r>
      <w:r>
        <w:rPr>
          <w:spacing w:val="-2"/>
          <w:sz w:val="20"/>
        </w:rPr>
        <w:t>monopolio.</w:t>
      </w:r>
    </w:p>
    <w:p>
      <w:pPr>
        <w:pStyle w:val="ListParagraph"/>
        <w:numPr>
          <w:ilvl w:val="1"/>
          <w:numId w:val="4"/>
        </w:numPr>
        <w:tabs>
          <w:tab w:pos="2130" w:val="left" w:leader="none"/>
          <w:tab w:pos="2133" w:val="left" w:leader="none"/>
        </w:tabs>
        <w:spacing w:line="240" w:lineRule="auto" w:before="229" w:after="0"/>
        <w:ind w:left="2133" w:right="1332" w:hanging="432"/>
        <w:jc w:val="both"/>
        <w:rPr>
          <w:sz w:val="20"/>
        </w:rPr>
      </w:pPr>
      <w:r>
        <w:rPr>
          <w:sz w:val="20"/>
        </w:rPr>
        <w:t>La Sociedad Guaguas Municipales S.A.U es 100% dependiente del Excmo. Ayuntamiento de Las Palmas de Gran Canaria.</w:t>
      </w:r>
      <w:r>
        <w:rPr>
          <w:spacing w:val="40"/>
          <w:sz w:val="20"/>
        </w:rPr>
        <w:t> </w:t>
      </w:r>
      <w:r>
        <w:rPr>
          <w:sz w:val="20"/>
        </w:rPr>
        <w:t>En la Nota 9.3 se da el detalle del inventario</w:t>
      </w:r>
      <w:r>
        <w:rPr>
          <w:spacing w:val="-3"/>
          <w:sz w:val="20"/>
        </w:rPr>
        <w:t> </w:t>
      </w:r>
      <w:r>
        <w:rPr>
          <w:sz w:val="20"/>
        </w:rPr>
        <w:t>de</w:t>
      </w:r>
      <w:r>
        <w:rPr>
          <w:spacing w:val="-2"/>
          <w:sz w:val="20"/>
        </w:rPr>
        <w:t> </w:t>
      </w:r>
      <w:r>
        <w:rPr>
          <w:sz w:val="20"/>
        </w:rPr>
        <w:t>entidades dependientes del</w:t>
      </w:r>
      <w:r>
        <w:rPr>
          <w:spacing w:val="-1"/>
          <w:sz w:val="20"/>
        </w:rPr>
        <w:t> </w:t>
      </w:r>
      <w:r>
        <w:rPr>
          <w:sz w:val="20"/>
        </w:rPr>
        <w:t>Ayuntamiento</w:t>
      </w:r>
      <w:r>
        <w:rPr>
          <w:spacing w:val="-5"/>
          <w:sz w:val="20"/>
        </w:rPr>
        <w:t> </w:t>
      </w:r>
      <w:r>
        <w:rPr>
          <w:sz w:val="20"/>
        </w:rPr>
        <w:t>en</w:t>
      </w:r>
      <w:r>
        <w:rPr>
          <w:spacing w:val="-3"/>
          <w:sz w:val="20"/>
        </w:rPr>
        <w:t> </w:t>
      </w:r>
      <w:r>
        <w:rPr>
          <w:sz w:val="20"/>
        </w:rPr>
        <w:t>la</w:t>
      </w:r>
      <w:r>
        <w:rPr>
          <w:spacing w:val="-3"/>
          <w:sz w:val="20"/>
        </w:rPr>
        <w:t> </w:t>
      </w:r>
      <w:r>
        <w:rPr>
          <w:sz w:val="20"/>
        </w:rPr>
        <w:t>que</w:t>
      </w:r>
      <w:r>
        <w:rPr>
          <w:spacing w:val="-2"/>
          <w:sz w:val="20"/>
        </w:rPr>
        <w:t> </w:t>
      </w:r>
      <w:r>
        <w:rPr>
          <w:sz w:val="20"/>
        </w:rPr>
        <w:t>se</w:t>
      </w:r>
      <w:r>
        <w:rPr>
          <w:spacing w:val="-3"/>
          <w:sz w:val="20"/>
        </w:rPr>
        <w:t> </w:t>
      </w:r>
      <w:r>
        <w:rPr>
          <w:sz w:val="20"/>
        </w:rPr>
        <w:t>engloba</w:t>
      </w:r>
      <w:r>
        <w:rPr>
          <w:spacing w:val="-3"/>
          <w:sz w:val="20"/>
        </w:rPr>
        <w:t> </w:t>
      </w:r>
      <w:r>
        <w:rPr>
          <w:sz w:val="20"/>
        </w:rPr>
        <w:t>Guaguas Municipales, S.A.U.</w:t>
      </w:r>
    </w:p>
    <w:p>
      <w:pPr>
        <w:pStyle w:val="BodyText"/>
      </w:pPr>
    </w:p>
    <w:p>
      <w:pPr>
        <w:pStyle w:val="ListParagraph"/>
        <w:numPr>
          <w:ilvl w:val="1"/>
          <w:numId w:val="4"/>
        </w:numPr>
        <w:tabs>
          <w:tab w:pos="2130" w:val="left" w:leader="none"/>
          <w:tab w:pos="2133" w:val="left" w:leader="none"/>
        </w:tabs>
        <w:spacing w:line="240" w:lineRule="auto" w:before="0" w:after="0"/>
        <w:ind w:left="2133" w:right="1335" w:hanging="432"/>
        <w:jc w:val="both"/>
        <w:rPr>
          <w:sz w:val="20"/>
        </w:rPr>
      </w:pPr>
      <w:r>
        <w:rPr>
          <w:sz w:val="20"/>
        </w:rPr>
        <w:t>La</w:t>
      </w:r>
      <w:r>
        <w:rPr>
          <w:spacing w:val="-8"/>
          <w:sz w:val="20"/>
        </w:rPr>
        <w:t> </w:t>
      </w:r>
      <w:r>
        <w:rPr>
          <w:sz w:val="20"/>
        </w:rPr>
        <w:t>moneda</w:t>
      </w:r>
      <w:r>
        <w:rPr>
          <w:spacing w:val="-11"/>
          <w:sz w:val="20"/>
        </w:rPr>
        <w:t> </w:t>
      </w:r>
      <w:r>
        <w:rPr>
          <w:sz w:val="20"/>
        </w:rPr>
        <w:t>funcional</w:t>
      </w:r>
      <w:r>
        <w:rPr>
          <w:spacing w:val="-9"/>
          <w:sz w:val="20"/>
        </w:rPr>
        <w:t> </w:t>
      </w:r>
      <w:r>
        <w:rPr>
          <w:sz w:val="20"/>
        </w:rPr>
        <w:t>con</w:t>
      </w:r>
      <w:r>
        <w:rPr>
          <w:spacing w:val="-8"/>
          <w:sz w:val="20"/>
        </w:rPr>
        <w:t> </w:t>
      </w:r>
      <w:r>
        <w:rPr>
          <w:sz w:val="20"/>
        </w:rPr>
        <w:t>la</w:t>
      </w:r>
      <w:r>
        <w:rPr>
          <w:spacing w:val="-8"/>
          <w:sz w:val="20"/>
        </w:rPr>
        <w:t> </w:t>
      </w:r>
      <w:r>
        <w:rPr>
          <w:sz w:val="20"/>
        </w:rPr>
        <w:t>que</w:t>
      </w:r>
      <w:r>
        <w:rPr>
          <w:spacing w:val="-8"/>
          <w:sz w:val="20"/>
        </w:rPr>
        <w:t> </w:t>
      </w:r>
      <w:r>
        <w:rPr>
          <w:sz w:val="20"/>
        </w:rPr>
        <w:t>opera</w:t>
      </w:r>
      <w:r>
        <w:rPr>
          <w:spacing w:val="-8"/>
          <w:sz w:val="20"/>
        </w:rPr>
        <w:t> </w:t>
      </w:r>
      <w:r>
        <w:rPr>
          <w:sz w:val="20"/>
        </w:rPr>
        <w:t>la</w:t>
      </w:r>
      <w:r>
        <w:rPr>
          <w:spacing w:val="-6"/>
          <w:sz w:val="20"/>
        </w:rPr>
        <w:t> </w:t>
      </w:r>
      <w:r>
        <w:rPr>
          <w:sz w:val="20"/>
        </w:rPr>
        <w:t>empresa</w:t>
      </w:r>
      <w:r>
        <w:rPr>
          <w:spacing w:val="-8"/>
          <w:sz w:val="20"/>
        </w:rPr>
        <w:t> </w:t>
      </w:r>
      <w:r>
        <w:rPr>
          <w:sz w:val="20"/>
        </w:rPr>
        <w:t>es</w:t>
      </w:r>
      <w:r>
        <w:rPr>
          <w:spacing w:val="-6"/>
          <w:sz w:val="20"/>
        </w:rPr>
        <w:t> </w:t>
      </w:r>
      <w:r>
        <w:rPr>
          <w:sz w:val="20"/>
        </w:rPr>
        <w:t>el</w:t>
      </w:r>
      <w:r>
        <w:rPr>
          <w:spacing w:val="-9"/>
          <w:sz w:val="20"/>
        </w:rPr>
        <w:t> </w:t>
      </w:r>
      <w:r>
        <w:rPr>
          <w:sz w:val="20"/>
        </w:rPr>
        <w:t>euro.</w:t>
      </w:r>
      <w:r>
        <w:rPr>
          <w:spacing w:val="-8"/>
          <w:sz w:val="20"/>
        </w:rPr>
        <w:t> </w:t>
      </w:r>
      <w:r>
        <w:rPr>
          <w:sz w:val="20"/>
        </w:rPr>
        <w:t>Para</w:t>
      </w:r>
      <w:r>
        <w:rPr>
          <w:spacing w:val="-8"/>
          <w:sz w:val="20"/>
        </w:rPr>
        <w:t> </w:t>
      </w:r>
      <w:r>
        <w:rPr>
          <w:sz w:val="20"/>
        </w:rPr>
        <w:t>la</w:t>
      </w:r>
      <w:r>
        <w:rPr>
          <w:spacing w:val="-8"/>
          <w:sz w:val="20"/>
        </w:rPr>
        <w:t> </w:t>
      </w:r>
      <w:r>
        <w:rPr>
          <w:sz w:val="20"/>
        </w:rPr>
        <w:t>formulación</w:t>
      </w:r>
      <w:r>
        <w:rPr>
          <w:spacing w:val="-8"/>
          <w:sz w:val="20"/>
        </w:rPr>
        <w:t> </w:t>
      </w:r>
      <w:r>
        <w:rPr>
          <w:sz w:val="20"/>
        </w:rPr>
        <w:t>de</w:t>
      </w:r>
      <w:r>
        <w:rPr>
          <w:spacing w:val="-8"/>
          <w:sz w:val="20"/>
        </w:rPr>
        <w:t> </w:t>
      </w:r>
      <w:r>
        <w:rPr>
          <w:sz w:val="20"/>
        </w:rPr>
        <w:t>los </w:t>
      </w:r>
      <w:r>
        <w:rPr>
          <w:spacing w:val="-2"/>
          <w:sz w:val="20"/>
        </w:rPr>
        <w:t>estados</w:t>
      </w:r>
      <w:r>
        <w:rPr>
          <w:spacing w:val="-9"/>
          <w:sz w:val="20"/>
        </w:rPr>
        <w:t> </w:t>
      </w:r>
      <w:r>
        <w:rPr>
          <w:spacing w:val="-2"/>
          <w:sz w:val="20"/>
        </w:rPr>
        <w:t>financieros</w:t>
      </w:r>
      <w:r>
        <w:rPr>
          <w:spacing w:val="-4"/>
          <w:sz w:val="20"/>
        </w:rPr>
        <w:t> </w:t>
      </w:r>
      <w:r>
        <w:rPr>
          <w:spacing w:val="-2"/>
          <w:sz w:val="20"/>
        </w:rPr>
        <w:t>en</w:t>
      </w:r>
      <w:r>
        <w:rPr>
          <w:spacing w:val="-8"/>
          <w:sz w:val="20"/>
        </w:rPr>
        <w:t> </w:t>
      </w:r>
      <w:r>
        <w:rPr>
          <w:spacing w:val="-2"/>
          <w:sz w:val="20"/>
        </w:rPr>
        <w:t>euros</w:t>
      </w:r>
      <w:r>
        <w:rPr>
          <w:spacing w:val="-6"/>
          <w:sz w:val="20"/>
        </w:rPr>
        <w:t> </w:t>
      </w:r>
      <w:r>
        <w:rPr>
          <w:spacing w:val="-2"/>
          <w:sz w:val="20"/>
        </w:rPr>
        <w:t>se</w:t>
      </w:r>
      <w:r>
        <w:rPr>
          <w:spacing w:val="-8"/>
          <w:sz w:val="20"/>
        </w:rPr>
        <w:t> </w:t>
      </w:r>
      <w:r>
        <w:rPr>
          <w:spacing w:val="-2"/>
          <w:sz w:val="20"/>
        </w:rPr>
        <w:t>han</w:t>
      </w:r>
      <w:r>
        <w:rPr>
          <w:spacing w:val="-8"/>
          <w:sz w:val="20"/>
        </w:rPr>
        <w:t> </w:t>
      </w:r>
      <w:r>
        <w:rPr>
          <w:spacing w:val="-2"/>
          <w:sz w:val="20"/>
        </w:rPr>
        <w:t>seguido</w:t>
      </w:r>
      <w:r>
        <w:rPr>
          <w:spacing w:val="-6"/>
          <w:sz w:val="20"/>
        </w:rPr>
        <w:t> </w:t>
      </w:r>
      <w:r>
        <w:rPr>
          <w:spacing w:val="-2"/>
          <w:sz w:val="20"/>
        </w:rPr>
        <w:t>los</w:t>
      </w:r>
      <w:r>
        <w:rPr>
          <w:spacing w:val="-8"/>
          <w:sz w:val="20"/>
        </w:rPr>
        <w:t> </w:t>
      </w:r>
      <w:r>
        <w:rPr>
          <w:spacing w:val="-2"/>
          <w:sz w:val="20"/>
        </w:rPr>
        <w:t>criterios</w:t>
      </w:r>
      <w:r>
        <w:rPr>
          <w:spacing w:val="-6"/>
          <w:sz w:val="20"/>
        </w:rPr>
        <w:t> </w:t>
      </w:r>
      <w:r>
        <w:rPr>
          <w:spacing w:val="-2"/>
          <w:sz w:val="20"/>
        </w:rPr>
        <w:t>establecidos</w:t>
      </w:r>
      <w:r>
        <w:rPr>
          <w:spacing w:val="-4"/>
          <w:sz w:val="20"/>
        </w:rPr>
        <w:t> </w:t>
      </w:r>
      <w:r>
        <w:rPr>
          <w:spacing w:val="-2"/>
          <w:sz w:val="20"/>
        </w:rPr>
        <w:t>en</w:t>
      </w:r>
      <w:r>
        <w:rPr>
          <w:spacing w:val="-8"/>
          <w:sz w:val="20"/>
        </w:rPr>
        <w:t> </w:t>
      </w:r>
      <w:r>
        <w:rPr>
          <w:spacing w:val="-2"/>
          <w:sz w:val="20"/>
        </w:rPr>
        <w:t>el</w:t>
      </w:r>
      <w:r>
        <w:rPr>
          <w:spacing w:val="-7"/>
          <w:sz w:val="20"/>
        </w:rPr>
        <w:t> </w:t>
      </w:r>
      <w:r>
        <w:rPr>
          <w:spacing w:val="-2"/>
          <w:sz w:val="20"/>
        </w:rPr>
        <w:t>Plan</w:t>
      </w:r>
      <w:r>
        <w:rPr>
          <w:spacing w:val="-6"/>
          <w:sz w:val="20"/>
        </w:rPr>
        <w:t> </w:t>
      </w:r>
      <w:r>
        <w:rPr>
          <w:spacing w:val="-2"/>
          <w:sz w:val="20"/>
        </w:rPr>
        <w:t>General </w:t>
      </w:r>
      <w:r>
        <w:rPr>
          <w:sz w:val="20"/>
        </w:rPr>
        <w:t>Contable</w:t>
      </w:r>
      <w:r>
        <w:rPr>
          <w:spacing w:val="-7"/>
          <w:sz w:val="20"/>
        </w:rPr>
        <w:t> </w:t>
      </w:r>
      <w:r>
        <w:rPr>
          <w:sz w:val="20"/>
        </w:rPr>
        <w:t>tal</w:t>
      </w:r>
      <w:r>
        <w:rPr>
          <w:spacing w:val="-5"/>
          <w:sz w:val="20"/>
        </w:rPr>
        <w:t> </w:t>
      </w:r>
      <w:r>
        <w:rPr>
          <w:sz w:val="20"/>
        </w:rPr>
        <w:t>y</w:t>
      </w:r>
      <w:r>
        <w:rPr>
          <w:spacing w:val="-12"/>
          <w:sz w:val="20"/>
        </w:rPr>
        <w:t> </w:t>
      </w:r>
      <w:r>
        <w:rPr>
          <w:sz w:val="20"/>
        </w:rPr>
        <w:t>como</w:t>
      </w:r>
      <w:r>
        <w:rPr>
          <w:spacing w:val="-9"/>
          <w:sz w:val="20"/>
        </w:rPr>
        <w:t> </w:t>
      </w:r>
      <w:r>
        <w:rPr>
          <w:sz w:val="20"/>
        </w:rPr>
        <w:t>figura</w:t>
      </w:r>
      <w:r>
        <w:rPr>
          <w:spacing w:val="-9"/>
          <w:sz w:val="20"/>
        </w:rPr>
        <w:t> </w:t>
      </w:r>
      <w:r>
        <w:rPr>
          <w:sz w:val="20"/>
        </w:rPr>
        <w:t>en</w:t>
      </w:r>
      <w:r>
        <w:rPr>
          <w:spacing w:val="-7"/>
          <w:sz w:val="20"/>
        </w:rPr>
        <w:t> </w:t>
      </w:r>
      <w:r>
        <w:rPr>
          <w:sz w:val="20"/>
        </w:rPr>
        <w:t>el</w:t>
      </w:r>
      <w:r>
        <w:rPr>
          <w:spacing w:val="-9"/>
          <w:sz w:val="20"/>
        </w:rPr>
        <w:t> </w:t>
      </w:r>
      <w:r>
        <w:rPr>
          <w:sz w:val="20"/>
        </w:rPr>
        <w:t>apartado</w:t>
      </w:r>
      <w:r>
        <w:rPr>
          <w:spacing w:val="-7"/>
          <w:sz w:val="20"/>
        </w:rPr>
        <w:t> </w:t>
      </w:r>
      <w:r>
        <w:rPr>
          <w:sz w:val="20"/>
        </w:rPr>
        <w:t>4.</w:t>
      </w:r>
      <w:r>
        <w:rPr>
          <w:spacing w:val="-8"/>
          <w:sz w:val="20"/>
        </w:rPr>
        <w:t> </w:t>
      </w:r>
      <w:r>
        <w:rPr>
          <w:sz w:val="20"/>
        </w:rPr>
        <w:t>Normas</w:t>
      </w:r>
      <w:r>
        <w:rPr>
          <w:spacing w:val="-6"/>
          <w:sz w:val="20"/>
        </w:rPr>
        <w:t> </w:t>
      </w:r>
      <w:r>
        <w:rPr>
          <w:sz w:val="20"/>
        </w:rPr>
        <w:t>de</w:t>
      </w:r>
      <w:r>
        <w:rPr>
          <w:spacing w:val="-9"/>
          <w:sz w:val="20"/>
        </w:rPr>
        <w:t> </w:t>
      </w:r>
      <w:r>
        <w:rPr>
          <w:sz w:val="20"/>
        </w:rPr>
        <w:t>registro</w:t>
      </w:r>
      <w:r>
        <w:rPr>
          <w:spacing w:val="-9"/>
          <w:sz w:val="20"/>
        </w:rPr>
        <w:t> </w:t>
      </w:r>
      <w:r>
        <w:rPr>
          <w:sz w:val="20"/>
        </w:rPr>
        <w:t>y</w:t>
      </w:r>
      <w:r>
        <w:rPr>
          <w:spacing w:val="-11"/>
          <w:sz w:val="20"/>
        </w:rPr>
        <w:t> </w:t>
      </w:r>
      <w:r>
        <w:rPr>
          <w:sz w:val="20"/>
        </w:rPr>
        <w:t>valoración.</w:t>
      </w:r>
    </w:p>
    <w:p>
      <w:pPr>
        <w:pStyle w:val="Heading2"/>
        <w:numPr>
          <w:ilvl w:val="0"/>
          <w:numId w:val="4"/>
        </w:numPr>
        <w:tabs>
          <w:tab w:pos="1701" w:val="left" w:leader="none"/>
        </w:tabs>
        <w:spacing w:line="240" w:lineRule="auto" w:before="227" w:after="0"/>
        <w:ind w:left="1701" w:right="0" w:hanging="360"/>
        <w:jc w:val="left"/>
        <w:rPr>
          <w:u w:val="none"/>
        </w:rPr>
      </w:pPr>
      <w:r>
        <w:rPr>
          <w:u w:val="single"/>
        </w:rPr>
        <w:t>BASES</w:t>
      </w:r>
      <w:r>
        <w:rPr>
          <w:spacing w:val="-10"/>
          <w:u w:val="single"/>
        </w:rPr>
        <w:t> </w:t>
      </w:r>
      <w:r>
        <w:rPr>
          <w:u w:val="single"/>
        </w:rPr>
        <w:t>DE</w:t>
      </w:r>
      <w:r>
        <w:rPr>
          <w:spacing w:val="-7"/>
          <w:u w:val="single"/>
        </w:rPr>
        <w:t> </w:t>
      </w:r>
      <w:r>
        <w:rPr>
          <w:u w:val="single"/>
        </w:rPr>
        <w:t>PRESENTACIÓN</w:t>
      </w:r>
      <w:r>
        <w:rPr>
          <w:spacing w:val="-8"/>
          <w:u w:val="single"/>
        </w:rPr>
        <w:t> </w:t>
      </w:r>
      <w:r>
        <w:rPr>
          <w:u w:val="single"/>
        </w:rPr>
        <w:t>DE</w:t>
      </w:r>
      <w:r>
        <w:rPr>
          <w:spacing w:val="-9"/>
          <w:u w:val="single"/>
        </w:rPr>
        <w:t> </w:t>
      </w:r>
      <w:r>
        <w:rPr>
          <w:u w:val="single"/>
        </w:rPr>
        <w:t>LAS</w:t>
      </w:r>
      <w:r>
        <w:rPr>
          <w:spacing w:val="-8"/>
          <w:u w:val="single"/>
        </w:rPr>
        <w:t> </w:t>
      </w:r>
      <w:r>
        <w:rPr>
          <w:u w:val="single"/>
        </w:rPr>
        <w:t>CUENTAS</w:t>
      </w:r>
      <w:r>
        <w:rPr>
          <w:spacing w:val="-1"/>
          <w:u w:val="single"/>
        </w:rPr>
        <w:t> </w:t>
      </w:r>
      <w:r>
        <w:rPr>
          <w:spacing w:val="-2"/>
          <w:u w:val="single"/>
        </w:rPr>
        <w:t>ANUALES.</w:t>
      </w:r>
    </w:p>
    <w:p>
      <w:pPr>
        <w:pStyle w:val="BodyText"/>
        <w:spacing w:before="3"/>
        <w:rPr>
          <w:b/>
        </w:rPr>
      </w:pPr>
    </w:p>
    <w:p>
      <w:pPr>
        <w:pStyle w:val="BodyText"/>
        <w:ind w:left="1701" w:right="1308"/>
      </w:pPr>
      <w:r>
        <w:rPr/>
        <w:t>Estas</w:t>
      </w:r>
      <w:r>
        <w:rPr>
          <w:spacing w:val="39"/>
        </w:rPr>
        <w:t> </w:t>
      </w:r>
      <w:r>
        <w:rPr/>
        <w:t>cuentas</w:t>
      </w:r>
      <w:r>
        <w:rPr>
          <w:spacing w:val="40"/>
        </w:rPr>
        <w:t> </w:t>
      </w:r>
      <w:r>
        <w:rPr/>
        <w:t>anuales</w:t>
      </w:r>
      <w:r>
        <w:rPr>
          <w:spacing w:val="39"/>
        </w:rPr>
        <w:t> </w:t>
      </w:r>
      <w:r>
        <w:rPr/>
        <w:t>se</w:t>
      </w:r>
      <w:r>
        <w:rPr>
          <w:spacing w:val="38"/>
        </w:rPr>
        <w:t> </w:t>
      </w:r>
      <w:r>
        <w:rPr/>
        <w:t>presentan</w:t>
      </w:r>
      <w:r>
        <w:rPr>
          <w:spacing w:val="39"/>
        </w:rPr>
        <w:t> </w:t>
      </w:r>
      <w:r>
        <w:rPr/>
        <w:t>a</w:t>
      </w:r>
      <w:r>
        <w:rPr>
          <w:spacing w:val="39"/>
        </w:rPr>
        <w:t> </w:t>
      </w:r>
      <w:r>
        <w:rPr/>
        <w:t>la</w:t>
      </w:r>
      <w:r>
        <w:rPr>
          <w:spacing w:val="39"/>
        </w:rPr>
        <w:t> </w:t>
      </w:r>
      <w:r>
        <w:rPr/>
        <w:t>aprobación</w:t>
      </w:r>
      <w:r>
        <w:rPr>
          <w:spacing w:val="36"/>
        </w:rPr>
        <w:t> </w:t>
      </w:r>
      <w:r>
        <w:rPr/>
        <w:t>de</w:t>
      </w:r>
      <w:r>
        <w:rPr>
          <w:spacing w:val="36"/>
        </w:rPr>
        <w:t> </w:t>
      </w:r>
      <w:r>
        <w:rPr/>
        <w:t>la</w:t>
      </w:r>
      <w:r>
        <w:rPr>
          <w:spacing w:val="37"/>
        </w:rPr>
        <w:t> </w:t>
      </w:r>
      <w:r>
        <w:rPr/>
        <w:t>Junta</w:t>
      </w:r>
      <w:r>
        <w:rPr>
          <w:spacing w:val="39"/>
        </w:rPr>
        <w:t> </w:t>
      </w:r>
      <w:r>
        <w:rPr/>
        <w:t>General</w:t>
      </w:r>
      <w:r>
        <w:rPr>
          <w:spacing w:val="39"/>
        </w:rPr>
        <w:t> </w:t>
      </w:r>
      <w:r>
        <w:rPr/>
        <w:t>Ordinaria</w:t>
      </w:r>
      <w:r>
        <w:rPr>
          <w:spacing w:val="38"/>
        </w:rPr>
        <w:t> </w:t>
      </w:r>
      <w:r>
        <w:rPr/>
        <w:t>de </w:t>
      </w:r>
      <w:r>
        <w:rPr>
          <w:spacing w:val="-2"/>
        </w:rPr>
        <w:t>Accionistas.</w:t>
      </w:r>
    </w:p>
    <w:p>
      <w:pPr>
        <w:pStyle w:val="BodyText"/>
        <w:spacing w:before="1"/>
      </w:pPr>
    </w:p>
    <w:p>
      <w:pPr>
        <w:pStyle w:val="ListParagraph"/>
        <w:numPr>
          <w:ilvl w:val="1"/>
          <w:numId w:val="4"/>
        </w:numPr>
        <w:tabs>
          <w:tab w:pos="2131" w:val="left" w:leader="none"/>
        </w:tabs>
        <w:spacing w:line="240" w:lineRule="auto" w:before="0" w:after="0"/>
        <w:ind w:left="2131" w:right="0" w:hanging="430"/>
        <w:jc w:val="left"/>
        <w:rPr>
          <w:rFonts w:ascii="Tahoma"/>
          <w:sz w:val="18"/>
        </w:rPr>
      </w:pPr>
      <w:r>
        <w:rPr>
          <w:sz w:val="20"/>
          <w:u w:val="single"/>
        </w:rPr>
        <w:t>Imagen</w:t>
      </w:r>
      <w:r>
        <w:rPr>
          <w:spacing w:val="-9"/>
          <w:sz w:val="20"/>
          <w:u w:val="single"/>
        </w:rPr>
        <w:t> </w:t>
      </w:r>
      <w:r>
        <w:rPr>
          <w:spacing w:val="-2"/>
          <w:sz w:val="20"/>
          <w:u w:val="single"/>
        </w:rPr>
        <w:t>fiel.</w:t>
      </w:r>
    </w:p>
    <w:p>
      <w:pPr>
        <w:pStyle w:val="BodyText"/>
        <w:spacing w:before="229"/>
        <w:ind w:left="1891" w:right="1335"/>
        <w:jc w:val="both"/>
      </w:pPr>
      <w:r>
        <w:rPr/>
        <mc:AlternateContent>
          <mc:Choice Requires="wps">
            <w:drawing>
              <wp:anchor distT="0" distB="0" distL="0" distR="0" allowOverlap="1" layoutInCell="1" locked="0" behindDoc="0" simplePos="0" relativeHeight="15742976">
                <wp:simplePos x="0" y="0"/>
                <wp:positionH relativeFrom="page">
                  <wp:posOffset>6966436</wp:posOffset>
                </wp:positionH>
                <wp:positionV relativeFrom="paragraph">
                  <wp:posOffset>684964</wp:posOffset>
                </wp:positionV>
                <wp:extent cx="263525" cy="327025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63525" cy="327025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10"/>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11</w:t>
                            </w:r>
                            <w:r>
                              <w:rPr>
                                <w:spacing w:val="-7"/>
                                <w:sz w:val="12"/>
                              </w:rPr>
                              <w:t> </w:t>
                            </w:r>
                            <w:r>
                              <w:rPr>
                                <w:sz w:val="12"/>
                              </w:rPr>
                              <w:t>de</w:t>
                            </w:r>
                            <w:r>
                              <w:rPr>
                                <w:spacing w:val="-7"/>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3.934204pt;width:20.75pt;height:257.5pt;mso-position-horizontal-relative:page;mso-position-vertical-relative:paragraph;z-index:15742976" type="#_x0000_t202" id="docshape7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10"/>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11</w:t>
                      </w:r>
                      <w:r>
                        <w:rPr>
                          <w:spacing w:val="-7"/>
                          <w:sz w:val="12"/>
                        </w:rPr>
                        <w:t> </w:t>
                      </w:r>
                      <w:r>
                        <w:rPr>
                          <w:sz w:val="12"/>
                        </w:rPr>
                        <w:t>de</w:t>
                      </w:r>
                      <w:r>
                        <w:rPr>
                          <w:spacing w:val="-7"/>
                          <w:sz w:val="12"/>
                        </w:rPr>
                        <w:t> </w:t>
                      </w:r>
                      <w:r>
                        <w:rPr>
                          <w:spacing w:val="-5"/>
                          <w:sz w:val="12"/>
                        </w:rPr>
                        <w:t>68</w:t>
                      </w:r>
                    </w:p>
                  </w:txbxContent>
                </v:textbox>
                <w10:wrap type="none"/>
              </v:shape>
            </w:pict>
          </mc:Fallback>
        </mc:AlternateContent>
      </w:r>
      <w:r>
        <w:rPr/>
        <w:t>Las Cuentas Anuales</w:t>
      </w:r>
      <w:r>
        <w:rPr>
          <w:spacing w:val="40"/>
        </w:rPr>
        <w:t> </w:t>
      </w:r>
      <w:r>
        <w:rPr/>
        <w:t>del ejercicio 2025 adjuntas han sido formuladas por el Consejo de Administración a partir de los registros contables de la Sociedad a 31 de diciembre de 2025 y en ellas se han aplicado los principios contables y criterios de valoración recogidos en el Real Decreto 1514/2007, por el que se aprueba el Plan General de Contabilidad, y las modificaciones aplicadas a éste mediante Real Decreto 1159/2010, Real Decreto 1/2021, y el resto de disposiciones legales vigentes en materia contable, y muestran la imagen fiel del patrimonio, de la</w:t>
      </w:r>
      <w:r>
        <w:rPr>
          <w:spacing w:val="-1"/>
        </w:rPr>
        <w:t> </w:t>
      </w:r>
      <w:r>
        <w:rPr/>
        <w:t>situación financiera y</w:t>
      </w:r>
      <w:r>
        <w:rPr>
          <w:spacing w:val="-5"/>
        </w:rPr>
        <w:t> </w:t>
      </w:r>
      <w:r>
        <w:rPr/>
        <w:t>de</w:t>
      </w:r>
      <w:r>
        <w:rPr>
          <w:spacing w:val="-1"/>
        </w:rPr>
        <w:t> </w:t>
      </w:r>
      <w:r>
        <w:rPr/>
        <w:t>los resultados de</w:t>
      </w:r>
      <w:r>
        <w:rPr>
          <w:spacing w:val="-1"/>
        </w:rPr>
        <w:t> </w:t>
      </w:r>
      <w:r>
        <w:rPr/>
        <w:t>la Sociedad, así como la veracidad de los flujos incorporados en el estado de flujos de </w:t>
      </w:r>
      <w:r>
        <w:rPr>
          <w:spacing w:val="-2"/>
        </w:rPr>
        <w:t>efectivo.</w:t>
      </w:r>
    </w:p>
    <w:p>
      <w:pPr>
        <w:pStyle w:val="BodyText"/>
        <w:spacing w:before="229"/>
        <w:ind w:left="1891" w:right="1340"/>
        <w:jc w:val="both"/>
      </w:pPr>
      <w:r>
        <w:rPr/>
        <w:t>No existen razones excepcionales por las que, para mostrar la imagen fiel, no se hayan aplicado disposiciones legales en materia contable.</w:t>
      </w:r>
    </w:p>
    <w:p>
      <w:pPr>
        <w:pStyle w:val="BodyText"/>
        <w:spacing w:before="1"/>
      </w:pPr>
    </w:p>
    <w:p>
      <w:pPr>
        <w:pStyle w:val="BodyText"/>
        <w:ind w:left="1891" w:right="1340"/>
        <w:jc w:val="both"/>
      </w:pPr>
      <w:r>
        <w:rPr/>
        <w:t>Las Cuentas Anuales adjuntas se someterán a la aprobación por la Junta General Ordinaria de Accionistas, estimándose que serán aprobadas sin modificación alguna.</w:t>
      </w:r>
    </w:p>
    <w:p>
      <w:pPr>
        <w:pStyle w:val="BodyText"/>
        <w:spacing w:before="229"/>
        <w:ind w:left="1891" w:right="1338"/>
        <w:jc w:val="both"/>
      </w:pPr>
      <w:r>
        <w:rPr/>
        <w:t>Las Cuentas Anuales del ejercicio anterior, fueron aprobadas por la Junta General Ordinaria, el 25 de abril de 2025.</w:t>
      </w:r>
    </w:p>
    <w:p>
      <w:pPr>
        <w:pStyle w:val="BodyText"/>
        <w:spacing w:before="1"/>
      </w:pPr>
    </w:p>
    <w:p>
      <w:pPr>
        <w:pStyle w:val="ListParagraph"/>
        <w:numPr>
          <w:ilvl w:val="1"/>
          <w:numId w:val="4"/>
        </w:numPr>
        <w:tabs>
          <w:tab w:pos="2247" w:val="left" w:leader="none"/>
        </w:tabs>
        <w:spacing w:line="240" w:lineRule="auto" w:before="1" w:after="0"/>
        <w:ind w:left="2247" w:right="0" w:hanging="452"/>
        <w:jc w:val="left"/>
        <w:rPr>
          <w:rFonts w:ascii="Tahoma"/>
          <w:sz w:val="18"/>
        </w:rPr>
      </w:pPr>
      <w:r>
        <w:rPr>
          <w:sz w:val="20"/>
          <w:u w:val="single"/>
        </w:rPr>
        <w:t>Principios</w:t>
      </w:r>
      <w:r>
        <w:rPr>
          <w:spacing w:val="-10"/>
          <w:sz w:val="20"/>
          <w:u w:val="single"/>
        </w:rPr>
        <w:t> </w:t>
      </w:r>
      <w:r>
        <w:rPr>
          <w:sz w:val="20"/>
          <w:u w:val="single"/>
        </w:rPr>
        <w:t>contables</w:t>
      </w:r>
      <w:r>
        <w:rPr>
          <w:spacing w:val="-10"/>
          <w:sz w:val="20"/>
          <w:u w:val="single"/>
        </w:rPr>
        <w:t> </w:t>
      </w:r>
      <w:r>
        <w:rPr>
          <w:sz w:val="20"/>
          <w:u w:val="single"/>
        </w:rPr>
        <w:t>no</w:t>
      </w:r>
      <w:r>
        <w:rPr>
          <w:spacing w:val="-9"/>
          <w:sz w:val="20"/>
          <w:u w:val="single"/>
        </w:rPr>
        <w:t> </w:t>
      </w:r>
      <w:r>
        <w:rPr>
          <w:sz w:val="20"/>
          <w:u w:val="single"/>
        </w:rPr>
        <w:t>obligatorios</w:t>
      </w:r>
      <w:r>
        <w:rPr>
          <w:spacing w:val="-10"/>
          <w:sz w:val="20"/>
          <w:u w:val="single"/>
        </w:rPr>
        <w:t> </w:t>
      </w:r>
      <w:r>
        <w:rPr>
          <w:spacing w:val="-2"/>
          <w:sz w:val="20"/>
          <w:u w:val="single"/>
        </w:rPr>
        <w:t>aplicados.</w:t>
      </w:r>
    </w:p>
    <w:p>
      <w:pPr>
        <w:pStyle w:val="BodyText"/>
      </w:pPr>
    </w:p>
    <w:p>
      <w:pPr>
        <w:pStyle w:val="BodyText"/>
        <w:ind w:left="1891" w:right="1339"/>
        <w:jc w:val="both"/>
      </w:pPr>
      <w:r>
        <w:rPr/>
        <w:t>Las cuentas anuales se han formulado considerando los principios contables</w:t>
      </w:r>
      <w:r>
        <w:rPr>
          <w:spacing w:val="40"/>
        </w:rPr>
        <w:t> </w:t>
      </w:r>
      <w:r>
        <w:rPr/>
        <w:t>establecidos en el Real Decreto 1514/2007 de 16 de noviembre y no se han aplicado principios no obligatorios.</w:t>
      </w:r>
    </w:p>
    <w:p>
      <w:pPr>
        <w:pStyle w:val="BodyText"/>
        <w:spacing w:after="0"/>
        <w:jc w:val="both"/>
        <w:sectPr>
          <w:headerReference w:type="default" r:id="rId16"/>
          <w:footerReference w:type="default" r:id="rId17"/>
          <w:pgSz w:w="11910" w:h="16840"/>
          <w:pgMar w:header="286" w:footer="1060" w:top="1920" w:bottom="1260" w:left="360" w:right="360"/>
          <w:pgNumType w:start="11"/>
        </w:sectPr>
      </w:pPr>
    </w:p>
    <w:p>
      <w:pPr>
        <w:pStyle w:val="BodyText"/>
      </w:pPr>
    </w:p>
    <w:p>
      <w:pPr>
        <w:pStyle w:val="BodyText"/>
        <w:spacing w:before="199"/>
      </w:pPr>
    </w:p>
    <w:p>
      <w:pPr>
        <w:pStyle w:val="ListParagraph"/>
        <w:numPr>
          <w:ilvl w:val="1"/>
          <w:numId w:val="4"/>
        </w:numPr>
        <w:tabs>
          <w:tab w:pos="2247" w:val="left" w:leader="none"/>
        </w:tabs>
        <w:spacing w:line="240" w:lineRule="auto" w:before="0" w:after="0"/>
        <w:ind w:left="2247" w:right="0" w:hanging="452"/>
        <w:jc w:val="left"/>
        <w:rPr>
          <w:rFonts w:ascii="Tahoma" w:hAnsi="Tahoma"/>
          <w:sz w:val="18"/>
        </w:rPr>
      </w:pPr>
      <w:r>
        <w:rPr>
          <w:sz w:val="20"/>
          <w:u w:val="single"/>
        </w:rPr>
        <w:t>Aspectos</w:t>
      </w:r>
      <w:r>
        <w:rPr>
          <w:spacing w:val="-5"/>
          <w:sz w:val="20"/>
          <w:u w:val="single"/>
        </w:rPr>
        <w:t> </w:t>
      </w:r>
      <w:r>
        <w:rPr>
          <w:sz w:val="20"/>
          <w:u w:val="single"/>
        </w:rPr>
        <w:t>críticos</w:t>
      </w:r>
      <w:r>
        <w:rPr>
          <w:spacing w:val="-4"/>
          <w:sz w:val="20"/>
          <w:u w:val="single"/>
        </w:rPr>
        <w:t> </w:t>
      </w:r>
      <w:r>
        <w:rPr>
          <w:sz w:val="20"/>
          <w:u w:val="single"/>
        </w:rPr>
        <w:t>de</w:t>
      </w:r>
      <w:r>
        <w:rPr>
          <w:spacing w:val="-7"/>
          <w:sz w:val="20"/>
          <w:u w:val="single"/>
        </w:rPr>
        <w:t> </w:t>
      </w:r>
      <w:r>
        <w:rPr>
          <w:sz w:val="20"/>
          <w:u w:val="single"/>
        </w:rPr>
        <w:t>la</w:t>
      </w:r>
      <w:r>
        <w:rPr>
          <w:spacing w:val="-5"/>
          <w:sz w:val="20"/>
          <w:u w:val="single"/>
        </w:rPr>
        <w:t> </w:t>
      </w:r>
      <w:r>
        <w:rPr>
          <w:sz w:val="20"/>
          <w:u w:val="single"/>
        </w:rPr>
        <w:t>valoración</w:t>
      </w:r>
      <w:r>
        <w:rPr>
          <w:spacing w:val="-2"/>
          <w:sz w:val="20"/>
          <w:u w:val="single"/>
        </w:rPr>
        <w:t> </w:t>
      </w:r>
      <w:r>
        <w:rPr>
          <w:sz w:val="20"/>
          <w:u w:val="single"/>
        </w:rPr>
        <w:t>y</w:t>
      </w:r>
      <w:r>
        <w:rPr>
          <w:spacing w:val="-10"/>
          <w:sz w:val="20"/>
          <w:u w:val="single"/>
        </w:rPr>
        <w:t> </w:t>
      </w:r>
      <w:r>
        <w:rPr>
          <w:sz w:val="20"/>
          <w:u w:val="single"/>
        </w:rPr>
        <w:t>estimación</w:t>
      </w:r>
      <w:r>
        <w:rPr>
          <w:spacing w:val="-6"/>
          <w:sz w:val="20"/>
          <w:u w:val="single"/>
        </w:rPr>
        <w:t> </w:t>
      </w:r>
      <w:r>
        <w:rPr>
          <w:sz w:val="20"/>
          <w:u w:val="single"/>
        </w:rPr>
        <w:t>de</w:t>
      </w:r>
      <w:r>
        <w:rPr>
          <w:spacing w:val="-3"/>
          <w:sz w:val="20"/>
          <w:u w:val="single"/>
        </w:rPr>
        <w:t> </w:t>
      </w:r>
      <w:r>
        <w:rPr>
          <w:sz w:val="20"/>
          <w:u w:val="single"/>
        </w:rPr>
        <w:t>la</w:t>
      </w:r>
      <w:r>
        <w:rPr>
          <w:spacing w:val="-5"/>
          <w:sz w:val="20"/>
          <w:u w:val="single"/>
        </w:rPr>
        <w:t> </w:t>
      </w:r>
      <w:r>
        <w:rPr>
          <w:spacing w:val="-2"/>
          <w:sz w:val="20"/>
          <w:u w:val="single"/>
        </w:rPr>
        <w:t>incertidumbre.</w:t>
      </w:r>
    </w:p>
    <w:p>
      <w:pPr>
        <w:pStyle w:val="BodyText"/>
        <w:spacing w:before="1"/>
      </w:pPr>
    </w:p>
    <w:p>
      <w:pPr>
        <w:pStyle w:val="BodyText"/>
        <w:ind w:left="1795" w:right="1339"/>
        <w:jc w:val="both"/>
      </w:pPr>
      <w:r>
        <w:rPr/>
        <w:t>La Sociedad ha elaborado sus estados financieros bajo el principio de empresa en funcionamiento, sin que exista ningún riesgo importante que pueda suponer cambios significativos en el valor de los activos o pasivos en el ejercicio siguiente.</w:t>
      </w:r>
    </w:p>
    <w:p>
      <w:pPr>
        <w:pStyle w:val="BodyText"/>
        <w:spacing w:before="229"/>
        <w:ind w:left="1795" w:right="1339"/>
        <w:jc w:val="both"/>
      </w:pPr>
      <w:r>
        <w:rPr/>
        <w:t>La Sociedad financia los gastos corrientes de su actividad mediante subvenciones a la explotación concedidas por el Excelentísimo Ayuntamiento de Las Palmas de Gran Canaria, único accionista, con cargo a transferencias corrientes del presupuesto</w:t>
      </w:r>
      <w:r>
        <w:rPr>
          <w:spacing w:val="40"/>
        </w:rPr>
        <w:t> </w:t>
      </w:r>
      <w:r>
        <w:rPr/>
        <w:t>municipal. Por tanto, la facultad de la Sociedad para continuar su actividad, está condicionada a la recepción de dichas subvenciones. Basado en el éxito de esta medida, la Sociedad presenta sus cuentas anuales bajo el principio contable de empresa en </w:t>
      </w:r>
      <w:r>
        <w:rPr>
          <w:spacing w:val="-2"/>
        </w:rPr>
        <w:t>funcionamiento.</w:t>
      </w:r>
    </w:p>
    <w:p>
      <w:pPr>
        <w:pStyle w:val="BodyText"/>
        <w:spacing w:before="1"/>
      </w:pPr>
    </w:p>
    <w:p>
      <w:pPr>
        <w:pStyle w:val="BodyText"/>
        <w:ind w:left="1768" w:right="1337"/>
        <w:jc w:val="both"/>
      </w:pPr>
      <w:r>
        <w:rPr/>
        <w:t>La preparación de las cuentas anuales requiere que la Dirección realice estimaciones contables relevantes, juicios, estimaciones e hipótesis, que pudieran afectar a las políticas contables adoptadas y</w:t>
      </w:r>
      <w:r>
        <w:rPr>
          <w:spacing w:val="-5"/>
        </w:rPr>
        <w:t> </w:t>
      </w:r>
      <w:r>
        <w:rPr/>
        <w:t>al</w:t>
      </w:r>
      <w:r>
        <w:rPr>
          <w:spacing w:val="-1"/>
        </w:rPr>
        <w:t> </w:t>
      </w:r>
      <w:r>
        <w:rPr/>
        <w:t>importe</w:t>
      </w:r>
      <w:r>
        <w:rPr>
          <w:spacing w:val="-3"/>
        </w:rPr>
        <w:t> </w:t>
      </w:r>
      <w:r>
        <w:rPr/>
        <w:t>de</w:t>
      </w:r>
      <w:r>
        <w:rPr>
          <w:spacing w:val="-1"/>
        </w:rPr>
        <w:t> </w:t>
      </w:r>
      <w:r>
        <w:rPr/>
        <w:t>los activos,</w:t>
      </w:r>
      <w:r>
        <w:rPr>
          <w:spacing w:val="-1"/>
        </w:rPr>
        <w:t> </w:t>
      </w:r>
      <w:r>
        <w:rPr/>
        <w:t>pasivos,</w:t>
      </w:r>
      <w:r>
        <w:rPr>
          <w:spacing w:val="-1"/>
        </w:rPr>
        <w:t> </w:t>
      </w:r>
      <w:r>
        <w:rPr/>
        <w:t>ingresos, gastos y</w:t>
      </w:r>
      <w:r>
        <w:rPr>
          <w:spacing w:val="-6"/>
        </w:rPr>
        <w:t> </w:t>
      </w:r>
      <w:r>
        <w:rPr/>
        <w:t>desgloses con ellos relacionados.</w:t>
      </w:r>
    </w:p>
    <w:p>
      <w:pPr>
        <w:pStyle w:val="BodyText"/>
      </w:pPr>
    </w:p>
    <w:p>
      <w:pPr>
        <w:pStyle w:val="BodyText"/>
        <w:ind w:left="1768" w:right="1339"/>
        <w:jc w:val="both"/>
      </w:pPr>
      <w:r>
        <w:rPr/>
        <w:t>Las estimaciones y las hipótesis realizadas se basan, entre otros, en la experiencia histórica u otros hechos considerados razonables teniendo en cuenta las circunstancias a la fecha de cierre, el resultado de las cuales representa la base de juicio sobre el valor contable de los activos y pasivos no determinables de una cuantía de forma inmediata.</w:t>
      </w:r>
    </w:p>
    <w:p>
      <w:pPr>
        <w:pStyle w:val="BodyText"/>
      </w:pPr>
    </w:p>
    <w:p>
      <w:pPr>
        <w:pStyle w:val="BodyText"/>
        <w:ind w:left="1768" w:right="1336"/>
        <w:jc w:val="both"/>
      </w:pPr>
      <w:r>
        <w:rPr/>
        <w:t>Los resultados reales podrían manifestarse de forma diferente a la estimada. Estas estimaciones y juicios se evalúan continuamente. Algunas estimaciones contables se consideran significativas si la naturaleza de las estimaciones y supuestos es material y si</w:t>
      </w:r>
      <w:r>
        <w:rPr>
          <w:spacing w:val="40"/>
        </w:rPr>
        <w:t> </w:t>
      </w:r>
      <w:r>
        <w:rPr/>
        <w:t>el impacto sobre la posición financiera o el rendimiento operativo es material.</w:t>
      </w:r>
    </w:p>
    <w:p>
      <w:pPr>
        <w:pStyle w:val="BodyText"/>
        <w:spacing w:before="229"/>
        <w:ind w:left="1768" w:right="1334"/>
        <w:jc w:val="both"/>
      </w:pPr>
      <w:r>
        <w:rPr/>
        <mc:AlternateContent>
          <mc:Choice Requires="wps">
            <w:drawing>
              <wp:anchor distT="0" distB="0" distL="0" distR="0" allowOverlap="1" layoutInCell="1" locked="0" behindDoc="0" simplePos="0" relativeHeight="15743488">
                <wp:simplePos x="0" y="0"/>
                <wp:positionH relativeFrom="page">
                  <wp:posOffset>6966436</wp:posOffset>
                </wp:positionH>
                <wp:positionV relativeFrom="paragraph">
                  <wp:posOffset>826023</wp:posOffset>
                </wp:positionV>
                <wp:extent cx="263525" cy="327596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65.041183pt;width:20.75pt;height:257.95pt;mso-position-horizontal-relative:page;mso-position-vertical-relative:paragraph;z-index:15743488" type="#_x0000_t202" id="docshape7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Aunque estas estimaciones fueron realizadas por la Dirección de la Sociedad con la mejor información disponible al cierre de cada ejercicio, aplicando su mejor estimación y conocimiento del mercado, es posible que eventuales acontecimientos futuros obliguen a</w:t>
      </w:r>
      <w:r>
        <w:rPr>
          <w:spacing w:val="40"/>
        </w:rPr>
        <w:t> </w:t>
      </w:r>
      <w:r>
        <w:rPr/>
        <w:t>la Sociedad a modificarlas en los siguientes ejercicios. De acuerdo con la legislación vigente</w:t>
      </w:r>
      <w:r>
        <w:rPr>
          <w:spacing w:val="-4"/>
        </w:rPr>
        <w:t> </w:t>
      </w:r>
      <w:r>
        <w:rPr/>
        <w:t>se</w:t>
      </w:r>
      <w:r>
        <w:rPr>
          <w:spacing w:val="-4"/>
        </w:rPr>
        <w:t> </w:t>
      </w:r>
      <w:r>
        <w:rPr/>
        <w:t>reconocerá</w:t>
      </w:r>
      <w:r>
        <w:rPr>
          <w:spacing w:val="-4"/>
        </w:rPr>
        <w:t> </w:t>
      </w:r>
      <w:r>
        <w:rPr/>
        <w:t>prospectivamente</w:t>
      </w:r>
      <w:r>
        <w:rPr>
          <w:spacing w:val="-1"/>
        </w:rPr>
        <w:t> </w:t>
      </w:r>
      <w:r>
        <w:rPr/>
        <w:t>los</w:t>
      </w:r>
      <w:r>
        <w:rPr>
          <w:spacing w:val="-3"/>
        </w:rPr>
        <w:t> </w:t>
      </w:r>
      <w:r>
        <w:rPr/>
        <w:t>efectos del</w:t>
      </w:r>
      <w:r>
        <w:rPr>
          <w:spacing w:val="-4"/>
        </w:rPr>
        <w:t> </w:t>
      </w:r>
      <w:r>
        <w:rPr/>
        <w:t>cambio</w:t>
      </w:r>
      <w:r>
        <w:rPr>
          <w:spacing w:val="-3"/>
        </w:rPr>
        <w:t> </w:t>
      </w:r>
      <w:r>
        <w:rPr/>
        <w:t>de</w:t>
      </w:r>
      <w:r>
        <w:rPr>
          <w:spacing w:val="-1"/>
        </w:rPr>
        <w:t> </w:t>
      </w:r>
      <w:r>
        <w:rPr/>
        <w:t>estimación</w:t>
      </w:r>
      <w:r>
        <w:rPr>
          <w:spacing w:val="-3"/>
        </w:rPr>
        <w:t> </w:t>
      </w:r>
      <w:r>
        <w:rPr/>
        <w:t>en</w:t>
      </w:r>
      <w:r>
        <w:rPr>
          <w:spacing w:val="-3"/>
        </w:rPr>
        <w:t> </w:t>
      </w:r>
      <w:r>
        <w:rPr/>
        <w:t>la</w:t>
      </w:r>
      <w:r>
        <w:rPr>
          <w:spacing w:val="-4"/>
        </w:rPr>
        <w:t> </w:t>
      </w:r>
      <w:r>
        <w:rPr/>
        <w:t>cuenta de resultados.</w:t>
      </w:r>
    </w:p>
    <w:p>
      <w:pPr>
        <w:pStyle w:val="BodyText"/>
        <w:spacing w:before="1"/>
      </w:pPr>
    </w:p>
    <w:p>
      <w:pPr>
        <w:pStyle w:val="BodyText"/>
        <w:ind w:left="1768" w:right="1338"/>
        <w:jc w:val="both"/>
      </w:pPr>
      <w:r>
        <w:rPr/>
        <w:t>Se detallan a continuación las principales estimaciones y juicios realizados por la</w:t>
      </w:r>
      <w:r>
        <w:rPr>
          <w:spacing w:val="40"/>
        </w:rPr>
        <w:t> </w:t>
      </w:r>
      <w:r>
        <w:rPr>
          <w:spacing w:val="-2"/>
        </w:rPr>
        <w:t>Sociedad:</w:t>
      </w:r>
    </w:p>
    <w:p>
      <w:pPr>
        <w:pStyle w:val="BodyText"/>
        <w:spacing w:before="15"/>
      </w:pPr>
    </w:p>
    <w:p>
      <w:pPr>
        <w:pStyle w:val="ListParagraph"/>
        <w:numPr>
          <w:ilvl w:val="0"/>
          <w:numId w:val="5"/>
        </w:numPr>
        <w:tabs>
          <w:tab w:pos="2409" w:val="left" w:leader="none"/>
        </w:tabs>
        <w:spacing w:line="240" w:lineRule="auto" w:before="1" w:after="0"/>
        <w:ind w:left="2409" w:right="0" w:hanging="360"/>
        <w:jc w:val="left"/>
        <w:rPr>
          <w:sz w:val="20"/>
        </w:rPr>
      </w:pPr>
      <w:r>
        <w:rPr>
          <w:sz w:val="20"/>
        </w:rPr>
        <w:t>Vida</w:t>
      </w:r>
      <w:r>
        <w:rPr>
          <w:spacing w:val="-7"/>
          <w:sz w:val="20"/>
        </w:rPr>
        <w:t> </w:t>
      </w:r>
      <w:r>
        <w:rPr>
          <w:sz w:val="20"/>
        </w:rPr>
        <w:t>útil</w:t>
      </w:r>
      <w:r>
        <w:rPr>
          <w:spacing w:val="-7"/>
          <w:sz w:val="20"/>
        </w:rPr>
        <w:t> </w:t>
      </w:r>
      <w:r>
        <w:rPr>
          <w:sz w:val="20"/>
        </w:rPr>
        <w:t>de</w:t>
      </w:r>
      <w:r>
        <w:rPr>
          <w:spacing w:val="-6"/>
          <w:sz w:val="20"/>
        </w:rPr>
        <w:t> </w:t>
      </w:r>
      <w:r>
        <w:rPr>
          <w:sz w:val="20"/>
        </w:rPr>
        <w:t>los</w:t>
      </w:r>
      <w:r>
        <w:rPr>
          <w:spacing w:val="-2"/>
          <w:sz w:val="20"/>
        </w:rPr>
        <w:t> </w:t>
      </w:r>
      <w:r>
        <w:rPr>
          <w:sz w:val="20"/>
        </w:rPr>
        <w:t>activos</w:t>
      </w:r>
      <w:r>
        <w:rPr>
          <w:spacing w:val="-5"/>
          <w:sz w:val="20"/>
        </w:rPr>
        <w:t> </w:t>
      </w:r>
      <w:r>
        <w:rPr>
          <w:sz w:val="20"/>
        </w:rPr>
        <w:t>materiales</w:t>
      </w:r>
      <w:r>
        <w:rPr>
          <w:spacing w:val="-5"/>
          <w:sz w:val="20"/>
        </w:rPr>
        <w:t> </w:t>
      </w:r>
      <w:r>
        <w:rPr>
          <w:sz w:val="20"/>
        </w:rPr>
        <w:t>e</w:t>
      </w:r>
      <w:r>
        <w:rPr>
          <w:spacing w:val="-5"/>
          <w:sz w:val="20"/>
        </w:rPr>
        <w:t> </w:t>
      </w:r>
      <w:r>
        <w:rPr>
          <w:spacing w:val="-2"/>
          <w:sz w:val="20"/>
        </w:rPr>
        <w:t>intangibles.</w:t>
      </w:r>
    </w:p>
    <w:p>
      <w:pPr>
        <w:pStyle w:val="ListParagraph"/>
        <w:numPr>
          <w:ilvl w:val="0"/>
          <w:numId w:val="5"/>
        </w:numPr>
        <w:tabs>
          <w:tab w:pos="2409" w:val="left" w:leader="none"/>
        </w:tabs>
        <w:spacing w:line="240" w:lineRule="auto" w:before="11" w:after="0"/>
        <w:ind w:left="2409" w:right="1338" w:hanging="360"/>
        <w:jc w:val="left"/>
        <w:rPr>
          <w:sz w:val="20"/>
        </w:rPr>
      </w:pPr>
      <w:r>
        <w:rPr>
          <w:sz w:val="20"/>
        </w:rPr>
        <w:t>Las estimaciones realizadas para la determinación de los compromisos de pagos </w:t>
      </w:r>
      <w:r>
        <w:rPr>
          <w:spacing w:val="-2"/>
          <w:sz w:val="20"/>
        </w:rPr>
        <w:t>futuros.</w:t>
      </w:r>
    </w:p>
    <w:p>
      <w:pPr>
        <w:pStyle w:val="ListParagraph"/>
        <w:numPr>
          <w:ilvl w:val="0"/>
          <w:numId w:val="5"/>
        </w:numPr>
        <w:tabs>
          <w:tab w:pos="2409" w:val="left" w:leader="none"/>
        </w:tabs>
        <w:spacing w:line="240" w:lineRule="auto" w:before="12" w:after="0"/>
        <w:ind w:left="2409" w:right="1339" w:hanging="360"/>
        <w:jc w:val="left"/>
        <w:rPr>
          <w:sz w:val="20"/>
        </w:rPr>
      </w:pPr>
      <w:r>
        <w:rPr>
          <w:sz w:val="20"/>
        </w:rPr>
        <w:t>La</w:t>
      </w:r>
      <w:r>
        <w:rPr>
          <w:spacing w:val="69"/>
          <w:sz w:val="20"/>
        </w:rPr>
        <w:t> </w:t>
      </w:r>
      <w:r>
        <w:rPr>
          <w:sz w:val="20"/>
        </w:rPr>
        <w:t>probabilidad</w:t>
      </w:r>
      <w:r>
        <w:rPr>
          <w:spacing w:val="70"/>
          <w:sz w:val="20"/>
        </w:rPr>
        <w:t> </w:t>
      </w:r>
      <w:r>
        <w:rPr>
          <w:sz w:val="20"/>
        </w:rPr>
        <w:t>de</w:t>
      </w:r>
      <w:r>
        <w:rPr>
          <w:spacing w:val="70"/>
          <w:sz w:val="20"/>
        </w:rPr>
        <w:t> </w:t>
      </w:r>
      <w:r>
        <w:rPr>
          <w:sz w:val="20"/>
        </w:rPr>
        <w:t>ocurrencia</w:t>
      </w:r>
      <w:r>
        <w:rPr>
          <w:spacing w:val="72"/>
          <w:sz w:val="20"/>
        </w:rPr>
        <w:t> </w:t>
      </w:r>
      <w:r>
        <w:rPr>
          <w:sz w:val="20"/>
        </w:rPr>
        <w:t>y</w:t>
      </w:r>
      <w:r>
        <w:rPr>
          <w:spacing w:val="40"/>
          <w:sz w:val="20"/>
        </w:rPr>
        <w:t> </w:t>
      </w:r>
      <w:r>
        <w:rPr>
          <w:sz w:val="20"/>
        </w:rPr>
        <w:t>el</w:t>
      </w:r>
      <w:r>
        <w:rPr>
          <w:spacing w:val="67"/>
          <w:sz w:val="20"/>
        </w:rPr>
        <w:t> </w:t>
      </w:r>
      <w:r>
        <w:rPr>
          <w:sz w:val="20"/>
        </w:rPr>
        <w:t>importe</w:t>
      </w:r>
      <w:r>
        <w:rPr>
          <w:spacing w:val="67"/>
          <w:sz w:val="20"/>
        </w:rPr>
        <w:t> </w:t>
      </w:r>
      <w:r>
        <w:rPr>
          <w:sz w:val="20"/>
        </w:rPr>
        <w:t>de</w:t>
      </w:r>
      <w:r>
        <w:rPr>
          <w:spacing w:val="68"/>
          <w:sz w:val="20"/>
        </w:rPr>
        <w:t> </w:t>
      </w:r>
      <w:r>
        <w:rPr>
          <w:sz w:val="20"/>
        </w:rPr>
        <w:t>los</w:t>
      </w:r>
      <w:r>
        <w:rPr>
          <w:spacing w:val="67"/>
          <w:sz w:val="20"/>
        </w:rPr>
        <w:t> </w:t>
      </w:r>
      <w:r>
        <w:rPr>
          <w:sz w:val="20"/>
        </w:rPr>
        <w:t>pasivos</w:t>
      </w:r>
      <w:r>
        <w:rPr>
          <w:spacing w:val="71"/>
          <w:sz w:val="20"/>
        </w:rPr>
        <w:t> </w:t>
      </w:r>
      <w:r>
        <w:rPr>
          <w:sz w:val="20"/>
        </w:rPr>
        <w:t>indeterminados</w:t>
      </w:r>
      <w:r>
        <w:rPr>
          <w:spacing w:val="71"/>
          <w:sz w:val="20"/>
        </w:rPr>
        <w:t> </w:t>
      </w:r>
      <w:r>
        <w:rPr>
          <w:sz w:val="20"/>
        </w:rPr>
        <w:t>o </w:t>
      </w:r>
      <w:r>
        <w:rPr>
          <w:spacing w:val="-2"/>
          <w:sz w:val="20"/>
        </w:rPr>
        <w:t>contingentes.</w:t>
      </w:r>
    </w:p>
    <w:p>
      <w:pPr>
        <w:pStyle w:val="ListParagraph"/>
        <w:numPr>
          <w:ilvl w:val="0"/>
          <w:numId w:val="5"/>
        </w:numPr>
        <w:tabs>
          <w:tab w:pos="2409" w:val="left" w:leader="none"/>
        </w:tabs>
        <w:spacing w:line="240" w:lineRule="auto" w:before="15" w:after="0"/>
        <w:ind w:left="2409" w:right="0" w:hanging="360"/>
        <w:jc w:val="left"/>
        <w:rPr>
          <w:sz w:val="20"/>
        </w:rPr>
      </w:pPr>
      <w:r>
        <w:rPr>
          <w:sz w:val="20"/>
        </w:rPr>
        <w:t>Reclamaciones</w:t>
      </w:r>
      <w:r>
        <w:rPr>
          <w:spacing w:val="-10"/>
          <w:sz w:val="20"/>
        </w:rPr>
        <w:t> </w:t>
      </w:r>
      <w:r>
        <w:rPr>
          <w:sz w:val="20"/>
        </w:rPr>
        <w:t>por</w:t>
      </w:r>
      <w:r>
        <w:rPr>
          <w:spacing w:val="-10"/>
          <w:sz w:val="20"/>
        </w:rPr>
        <w:t> </w:t>
      </w:r>
      <w:r>
        <w:rPr>
          <w:spacing w:val="-2"/>
          <w:sz w:val="20"/>
        </w:rPr>
        <w:t>garantía.</w:t>
      </w:r>
    </w:p>
    <w:p>
      <w:pPr>
        <w:pStyle w:val="ListParagraph"/>
        <w:numPr>
          <w:ilvl w:val="0"/>
          <w:numId w:val="5"/>
        </w:numPr>
        <w:tabs>
          <w:tab w:pos="2409" w:val="left" w:leader="none"/>
        </w:tabs>
        <w:spacing w:line="240" w:lineRule="auto" w:before="11" w:after="0"/>
        <w:ind w:left="2409" w:right="0" w:hanging="360"/>
        <w:jc w:val="left"/>
        <w:rPr>
          <w:sz w:val="20"/>
        </w:rPr>
      </w:pPr>
      <w:r>
        <w:rPr>
          <w:sz w:val="20"/>
        </w:rPr>
        <w:t>Provisiones</w:t>
      </w:r>
      <w:r>
        <w:rPr>
          <w:spacing w:val="-7"/>
          <w:sz w:val="20"/>
        </w:rPr>
        <w:t> </w:t>
      </w:r>
      <w:r>
        <w:rPr>
          <w:sz w:val="20"/>
        </w:rPr>
        <w:t>por</w:t>
      </w:r>
      <w:r>
        <w:rPr>
          <w:spacing w:val="-7"/>
          <w:sz w:val="20"/>
        </w:rPr>
        <w:t> </w:t>
      </w:r>
      <w:r>
        <w:rPr>
          <w:spacing w:val="-2"/>
          <w:sz w:val="20"/>
        </w:rPr>
        <w:t>litigios.</w:t>
      </w:r>
    </w:p>
    <w:p>
      <w:pPr>
        <w:pStyle w:val="ListParagraph"/>
        <w:numPr>
          <w:ilvl w:val="0"/>
          <w:numId w:val="5"/>
        </w:numPr>
        <w:tabs>
          <w:tab w:pos="2409" w:val="left" w:leader="none"/>
        </w:tabs>
        <w:spacing w:line="240" w:lineRule="auto" w:before="14" w:after="0"/>
        <w:ind w:left="2409" w:right="0" w:hanging="360"/>
        <w:jc w:val="left"/>
        <w:rPr>
          <w:sz w:val="20"/>
        </w:rPr>
      </w:pPr>
      <w:r>
        <w:rPr>
          <w:sz w:val="20"/>
        </w:rPr>
        <w:t>Recuperabilidad</w:t>
      </w:r>
      <w:r>
        <w:rPr>
          <w:spacing w:val="-8"/>
          <w:sz w:val="20"/>
        </w:rPr>
        <w:t> </w:t>
      </w:r>
      <w:r>
        <w:rPr>
          <w:sz w:val="20"/>
        </w:rPr>
        <w:t>de</w:t>
      </w:r>
      <w:r>
        <w:rPr>
          <w:spacing w:val="-10"/>
          <w:sz w:val="20"/>
        </w:rPr>
        <w:t> </w:t>
      </w:r>
      <w:r>
        <w:rPr>
          <w:sz w:val="20"/>
        </w:rPr>
        <w:t>créditos</w:t>
      </w:r>
      <w:r>
        <w:rPr>
          <w:spacing w:val="-10"/>
          <w:sz w:val="20"/>
        </w:rPr>
        <w:t> </w:t>
      </w:r>
      <w:r>
        <w:rPr>
          <w:sz w:val="20"/>
        </w:rPr>
        <w:t>fiscales</w:t>
      </w:r>
      <w:r>
        <w:rPr>
          <w:spacing w:val="-9"/>
          <w:sz w:val="20"/>
        </w:rPr>
        <w:t> </w:t>
      </w:r>
      <w:r>
        <w:rPr>
          <w:spacing w:val="-2"/>
          <w:sz w:val="20"/>
        </w:rPr>
        <w:t>activados.</w:t>
      </w:r>
    </w:p>
    <w:p>
      <w:pPr>
        <w:pStyle w:val="ListParagraph"/>
        <w:numPr>
          <w:ilvl w:val="0"/>
          <w:numId w:val="5"/>
        </w:numPr>
        <w:tabs>
          <w:tab w:pos="2409" w:val="left" w:leader="none"/>
        </w:tabs>
        <w:spacing w:line="240" w:lineRule="auto" w:before="12" w:after="0"/>
        <w:ind w:left="2409" w:right="0" w:hanging="360"/>
        <w:jc w:val="left"/>
        <w:rPr>
          <w:sz w:val="20"/>
        </w:rPr>
      </w:pPr>
      <w:r>
        <w:rPr>
          <w:sz w:val="20"/>
        </w:rPr>
        <w:t>Deterioro</w:t>
      </w:r>
      <w:r>
        <w:rPr>
          <w:spacing w:val="-7"/>
          <w:sz w:val="20"/>
        </w:rPr>
        <w:t> </w:t>
      </w:r>
      <w:r>
        <w:rPr>
          <w:sz w:val="20"/>
        </w:rPr>
        <w:t>de</w:t>
      </w:r>
      <w:r>
        <w:rPr>
          <w:spacing w:val="-6"/>
          <w:sz w:val="20"/>
        </w:rPr>
        <w:t> </w:t>
      </w:r>
      <w:r>
        <w:rPr>
          <w:sz w:val="20"/>
        </w:rPr>
        <w:t>saldos</w:t>
      </w:r>
      <w:r>
        <w:rPr>
          <w:spacing w:val="-4"/>
          <w:sz w:val="20"/>
        </w:rPr>
        <w:t> </w:t>
      </w:r>
      <w:r>
        <w:rPr>
          <w:sz w:val="20"/>
        </w:rPr>
        <w:t>de</w:t>
      </w:r>
      <w:r>
        <w:rPr>
          <w:spacing w:val="-6"/>
          <w:sz w:val="20"/>
        </w:rPr>
        <w:t> </w:t>
      </w:r>
      <w:r>
        <w:rPr>
          <w:sz w:val="20"/>
        </w:rPr>
        <w:t>cuentas</w:t>
      </w:r>
      <w:r>
        <w:rPr>
          <w:spacing w:val="-3"/>
          <w:sz w:val="20"/>
        </w:rPr>
        <w:t> </w:t>
      </w:r>
      <w:r>
        <w:rPr>
          <w:sz w:val="20"/>
        </w:rPr>
        <w:t>a</w:t>
      </w:r>
      <w:r>
        <w:rPr>
          <w:spacing w:val="-7"/>
          <w:sz w:val="20"/>
        </w:rPr>
        <w:t> </w:t>
      </w:r>
      <w:r>
        <w:rPr>
          <w:sz w:val="20"/>
        </w:rPr>
        <w:t>cobrar</w:t>
      </w:r>
      <w:r>
        <w:rPr>
          <w:spacing w:val="-1"/>
          <w:sz w:val="20"/>
        </w:rPr>
        <w:t> </w:t>
      </w:r>
      <w:r>
        <w:rPr>
          <w:sz w:val="20"/>
        </w:rPr>
        <w:t>y</w:t>
      </w:r>
      <w:r>
        <w:rPr>
          <w:spacing w:val="-7"/>
          <w:sz w:val="20"/>
        </w:rPr>
        <w:t> </w:t>
      </w:r>
      <w:r>
        <w:rPr>
          <w:sz w:val="20"/>
        </w:rPr>
        <w:t>activos</w:t>
      </w:r>
      <w:r>
        <w:rPr>
          <w:spacing w:val="-4"/>
          <w:sz w:val="20"/>
        </w:rPr>
        <w:t> </w:t>
      </w:r>
      <w:r>
        <w:rPr>
          <w:spacing w:val="-2"/>
          <w:sz w:val="20"/>
        </w:rPr>
        <w:t>financieros.</w:t>
      </w:r>
    </w:p>
    <w:p>
      <w:pPr>
        <w:pStyle w:val="ListParagraph"/>
        <w:numPr>
          <w:ilvl w:val="0"/>
          <w:numId w:val="5"/>
        </w:numPr>
        <w:tabs>
          <w:tab w:pos="2409" w:val="left" w:leader="none"/>
        </w:tabs>
        <w:spacing w:line="240" w:lineRule="auto" w:before="14" w:after="0"/>
        <w:ind w:left="2409" w:right="0" w:hanging="360"/>
        <w:jc w:val="left"/>
        <w:rPr>
          <w:sz w:val="20"/>
        </w:rPr>
      </w:pPr>
      <w:r>
        <w:rPr>
          <w:sz w:val="20"/>
        </w:rPr>
        <w:t>Reconocimiento</w:t>
      </w:r>
      <w:r>
        <w:rPr>
          <w:spacing w:val="-11"/>
          <w:sz w:val="20"/>
        </w:rPr>
        <w:t> </w:t>
      </w:r>
      <w:r>
        <w:rPr>
          <w:sz w:val="20"/>
        </w:rPr>
        <w:t>de</w:t>
      </w:r>
      <w:r>
        <w:rPr>
          <w:spacing w:val="-9"/>
          <w:sz w:val="20"/>
        </w:rPr>
        <w:t> </w:t>
      </w:r>
      <w:r>
        <w:rPr>
          <w:spacing w:val="-2"/>
          <w:sz w:val="20"/>
        </w:rPr>
        <w:t>ingresos.</w:t>
      </w:r>
    </w:p>
    <w:p>
      <w:pPr>
        <w:pStyle w:val="ListParagraph"/>
        <w:numPr>
          <w:ilvl w:val="0"/>
          <w:numId w:val="5"/>
        </w:numPr>
        <w:tabs>
          <w:tab w:pos="2409" w:val="left" w:leader="none"/>
        </w:tabs>
        <w:spacing w:line="240" w:lineRule="auto" w:before="12" w:after="0"/>
        <w:ind w:left="2409" w:right="0" w:hanging="360"/>
        <w:jc w:val="left"/>
        <w:rPr>
          <w:sz w:val="20"/>
        </w:rPr>
      </w:pPr>
      <w:r>
        <w:rPr>
          <w:sz w:val="20"/>
        </w:rPr>
        <w:t>Deterioro</w:t>
      </w:r>
      <w:r>
        <w:rPr>
          <w:spacing w:val="-9"/>
          <w:sz w:val="20"/>
        </w:rPr>
        <w:t> </w:t>
      </w:r>
      <w:r>
        <w:rPr>
          <w:sz w:val="20"/>
        </w:rPr>
        <w:t>de</w:t>
      </w:r>
      <w:r>
        <w:rPr>
          <w:spacing w:val="-8"/>
          <w:sz w:val="20"/>
        </w:rPr>
        <w:t> </w:t>
      </w:r>
      <w:r>
        <w:rPr>
          <w:sz w:val="20"/>
        </w:rPr>
        <w:t>participaciones</w:t>
      </w:r>
      <w:r>
        <w:rPr>
          <w:spacing w:val="-6"/>
          <w:sz w:val="20"/>
        </w:rPr>
        <w:t> </w:t>
      </w:r>
      <w:r>
        <w:rPr>
          <w:sz w:val="20"/>
        </w:rPr>
        <w:t>en</w:t>
      </w:r>
      <w:r>
        <w:rPr>
          <w:spacing w:val="-7"/>
          <w:sz w:val="20"/>
        </w:rPr>
        <w:t> </w:t>
      </w:r>
      <w:r>
        <w:rPr>
          <w:sz w:val="20"/>
        </w:rPr>
        <w:t>otras</w:t>
      </w:r>
      <w:r>
        <w:rPr>
          <w:spacing w:val="-6"/>
          <w:sz w:val="20"/>
        </w:rPr>
        <w:t> </w:t>
      </w:r>
      <w:r>
        <w:rPr>
          <w:spacing w:val="-2"/>
          <w:sz w:val="20"/>
        </w:rPr>
        <w:t>empresas.</w:t>
      </w:r>
    </w:p>
    <w:p>
      <w:pPr>
        <w:pStyle w:val="ListParagraph"/>
        <w:spacing w:after="0" w:line="240" w:lineRule="auto"/>
        <w:jc w:val="left"/>
        <w:rPr>
          <w:sz w:val="20"/>
        </w:rPr>
        <w:sectPr>
          <w:pgSz w:w="11910" w:h="16840"/>
          <w:pgMar w:header="286" w:footer="1060" w:top="1920" w:bottom="1260" w:left="360" w:right="360"/>
        </w:sectPr>
      </w:pPr>
    </w:p>
    <w:p>
      <w:pPr>
        <w:pStyle w:val="BodyText"/>
      </w:pPr>
    </w:p>
    <w:p>
      <w:pPr>
        <w:pStyle w:val="BodyText"/>
        <w:spacing w:before="199"/>
      </w:pPr>
    </w:p>
    <w:p>
      <w:pPr>
        <w:pStyle w:val="ListParagraph"/>
        <w:numPr>
          <w:ilvl w:val="1"/>
          <w:numId w:val="4"/>
        </w:numPr>
        <w:tabs>
          <w:tab w:pos="2247" w:val="left" w:leader="none"/>
        </w:tabs>
        <w:spacing w:line="240" w:lineRule="auto" w:before="0" w:after="0"/>
        <w:ind w:left="2247" w:right="0" w:hanging="452"/>
        <w:jc w:val="left"/>
        <w:rPr>
          <w:rFonts w:ascii="Tahoma" w:hAnsi="Tahoma"/>
          <w:sz w:val="18"/>
        </w:rPr>
      </w:pPr>
      <w:r>
        <w:rPr>
          <w:sz w:val="20"/>
          <w:u w:val="single"/>
        </w:rPr>
        <w:t>Comparación</w:t>
      </w:r>
      <w:r>
        <w:rPr>
          <w:spacing w:val="-8"/>
          <w:sz w:val="20"/>
          <w:u w:val="single"/>
        </w:rPr>
        <w:t> </w:t>
      </w:r>
      <w:r>
        <w:rPr>
          <w:sz w:val="20"/>
          <w:u w:val="single"/>
        </w:rPr>
        <w:t>de</w:t>
      </w:r>
      <w:r>
        <w:rPr>
          <w:spacing w:val="-6"/>
          <w:sz w:val="20"/>
          <w:u w:val="single"/>
        </w:rPr>
        <w:t> </w:t>
      </w:r>
      <w:r>
        <w:rPr>
          <w:sz w:val="20"/>
          <w:u w:val="single"/>
        </w:rPr>
        <w:t>la</w:t>
      </w:r>
      <w:r>
        <w:rPr>
          <w:spacing w:val="-7"/>
          <w:sz w:val="20"/>
          <w:u w:val="single"/>
        </w:rPr>
        <w:t> </w:t>
      </w:r>
      <w:r>
        <w:rPr>
          <w:spacing w:val="-2"/>
          <w:sz w:val="20"/>
          <w:u w:val="single"/>
        </w:rPr>
        <w:t>información.</w:t>
      </w:r>
    </w:p>
    <w:p>
      <w:pPr>
        <w:pStyle w:val="BodyText"/>
        <w:spacing w:before="1"/>
      </w:pPr>
    </w:p>
    <w:p>
      <w:pPr>
        <w:pStyle w:val="BodyText"/>
        <w:ind w:left="1795" w:right="1334"/>
        <w:jc w:val="both"/>
      </w:pPr>
      <w:r>
        <w:rPr/>
        <w:t>Las cuentas anuales se presentan, a efectos comparativos, con cada una de las partidas del balance de situación, de la cuenta de pérdidas y</w:t>
      </w:r>
      <w:r>
        <w:rPr>
          <w:spacing w:val="-1"/>
        </w:rPr>
        <w:t> </w:t>
      </w:r>
      <w:r>
        <w:rPr/>
        <w:t>ganancias, del estado de cambios en el patrimonio neto y del estado de flujos de efectivo, además de las cifras del ejercicio 2025, las correspondientes al ejercicio anterior. Asimismo, la información contenida en esta memoria referida al ejercicio 2025 se presenta, a efectos comparativos con la información del ejercicio 2024.</w:t>
      </w:r>
    </w:p>
    <w:p>
      <w:pPr>
        <w:pStyle w:val="BodyText"/>
        <w:spacing w:before="1"/>
      </w:pPr>
    </w:p>
    <w:p>
      <w:pPr>
        <w:pStyle w:val="BodyText"/>
        <w:ind w:left="1795" w:right="1340"/>
        <w:jc w:val="both"/>
      </w:pPr>
      <w:r>
        <w:rPr/>
        <w:t>La Sociedad está obligada a auditar las cuentas anuales de los ejercicios 2025 y 2024. Ambos ejercicios se auditan.</w:t>
      </w:r>
    </w:p>
    <w:p>
      <w:pPr>
        <w:pStyle w:val="ListParagraph"/>
        <w:numPr>
          <w:ilvl w:val="1"/>
          <w:numId w:val="4"/>
        </w:numPr>
        <w:tabs>
          <w:tab w:pos="2247" w:val="left" w:leader="none"/>
        </w:tabs>
        <w:spacing w:line="240" w:lineRule="auto" w:before="229" w:after="0"/>
        <w:ind w:left="2247" w:right="0" w:hanging="452"/>
        <w:jc w:val="left"/>
        <w:rPr>
          <w:rFonts w:ascii="Tahoma" w:hAnsi="Tahoma"/>
          <w:sz w:val="18"/>
        </w:rPr>
      </w:pPr>
      <w:r>
        <w:rPr>
          <w:sz w:val="20"/>
          <w:u w:val="single"/>
        </w:rPr>
        <w:t>Agrupación</w:t>
      </w:r>
      <w:r>
        <w:rPr>
          <w:spacing w:val="-10"/>
          <w:sz w:val="20"/>
          <w:u w:val="single"/>
        </w:rPr>
        <w:t> </w:t>
      </w:r>
      <w:r>
        <w:rPr>
          <w:sz w:val="20"/>
          <w:u w:val="single"/>
        </w:rPr>
        <w:t>de</w:t>
      </w:r>
      <w:r>
        <w:rPr>
          <w:spacing w:val="-8"/>
          <w:sz w:val="20"/>
          <w:u w:val="single"/>
        </w:rPr>
        <w:t> </w:t>
      </w:r>
      <w:r>
        <w:rPr>
          <w:spacing w:val="-2"/>
          <w:sz w:val="20"/>
          <w:u w:val="single"/>
        </w:rPr>
        <w:t>partidas.</w:t>
      </w:r>
    </w:p>
    <w:p>
      <w:pPr>
        <w:pStyle w:val="BodyText"/>
      </w:pPr>
    </w:p>
    <w:p>
      <w:pPr>
        <w:pStyle w:val="BodyText"/>
        <w:ind w:left="1795" w:right="1338"/>
        <w:jc w:val="both"/>
      </w:pPr>
      <w:r>
        <w:rPr/>
        <w:t>Las cuentas anuales no tienen ninguna partida que haya sido objeto de agrupación en el balance, en la cuenta de pérdidas y ganancias, en el estado de cambios en el patrimonio neto o en el estado de flujos de efectivo.</w:t>
      </w:r>
    </w:p>
    <w:p>
      <w:pPr>
        <w:pStyle w:val="ListParagraph"/>
        <w:numPr>
          <w:ilvl w:val="1"/>
          <w:numId w:val="4"/>
        </w:numPr>
        <w:tabs>
          <w:tab w:pos="2247" w:val="left" w:leader="none"/>
        </w:tabs>
        <w:spacing w:line="240" w:lineRule="auto" w:before="230" w:after="0"/>
        <w:ind w:left="2247" w:right="0" w:hanging="452"/>
        <w:jc w:val="left"/>
        <w:rPr>
          <w:rFonts w:ascii="Tahoma"/>
          <w:sz w:val="18"/>
        </w:rPr>
      </w:pPr>
      <w:r>
        <w:rPr>
          <w:sz w:val="20"/>
          <w:u w:val="single"/>
        </w:rPr>
        <w:t>Elementos</w:t>
      </w:r>
      <w:r>
        <w:rPr>
          <w:spacing w:val="-9"/>
          <w:sz w:val="20"/>
          <w:u w:val="single"/>
        </w:rPr>
        <w:t> </w:t>
      </w:r>
      <w:r>
        <w:rPr>
          <w:sz w:val="20"/>
          <w:u w:val="single"/>
        </w:rPr>
        <w:t>recogidos</w:t>
      </w:r>
      <w:r>
        <w:rPr>
          <w:spacing w:val="-8"/>
          <w:sz w:val="20"/>
          <w:u w:val="single"/>
        </w:rPr>
        <w:t> </w:t>
      </w:r>
      <w:r>
        <w:rPr>
          <w:sz w:val="20"/>
          <w:u w:val="single"/>
        </w:rPr>
        <w:t>en</w:t>
      </w:r>
      <w:r>
        <w:rPr>
          <w:spacing w:val="-7"/>
          <w:sz w:val="20"/>
          <w:u w:val="single"/>
        </w:rPr>
        <w:t> </w:t>
      </w:r>
      <w:r>
        <w:rPr>
          <w:sz w:val="20"/>
          <w:u w:val="single"/>
        </w:rPr>
        <w:t>varias</w:t>
      </w:r>
      <w:r>
        <w:rPr>
          <w:spacing w:val="-8"/>
          <w:sz w:val="20"/>
          <w:u w:val="single"/>
        </w:rPr>
        <w:t> </w:t>
      </w:r>
      <w:r>
        <w:rPr>
          <w:spacing w:val="-2"/>
          <w:sz w:val="20"/>
          <w:u w:val="single"/>
        </w:rPr>
        <w:t>partidas.</w:t>
      </w:r>
    </w:p>
    <w:p>
      <w:pPr>
        <w:pStyle w:val="BodyText"/>
      </w:pPr>
    </w:p>
    <w:p>
      <w:pPr>
        <w:pStyle w:val="BodyText"/>
        <w:ind w:left="1795" w:right="1308"/>
      </w:pPr>
      <w:r>
        <w:rPr/>
        <w:t>No</w:t>
      </w:r>
      <w:r>
        <w:rPr>
          <w:spacing w:val="40"/>
        </w:rPr>
        <w:t> </w:t>
      </w:r>
      <w:r>
        <w:rPr/>
        <w:t>existen</w:t>
      </w:r>
      <w:r>
        <w:rPr>
          <w:spacing w:val="40"/>
        </w:rPr>
        <w:t> </w:t>
      </w:r>
      <w:r>
        <w:rPr/>
        <w:t>elementos</w:t>
      </w:r>
      <w:r>
        <w:rPr>
          <w:spacing w:val="40"/>
        </w:rPr>
        <w:t> </w:t>
      </w:r>
      <w:r>
        <w:rPr/>
        <w:t>patrimoniales</w:t>
      </w:r>
      <w:r>
        <w:rPr>
          <w:spacing w:val="40"/>
        </w:rPr>
        <w:t> </w:t>
      </w:r>
      <w:r>
        <w:rPr/>
        <w:t>que</w:t>
      </w:r>
      <w:r>
        <w:rPr>
          <w:spacing w:val="40"/>
        </w:rPr>
        <w:t> </w:t>
      </w:r>
      <w:r>
        <w:rPr/>
        <w:t>estén</w:t>
      </w:r>
      <w:r>
        <w:rPr>
          <w:spacing w:val="40"/>
        </w:rPr>
        <w:t> </w:t>
      </w:r>
      <w:r>
        <w:rPr/>
        <w:t>registrados</w:t>
      </w:r>
      <w:r>
        <w:rPr>
          <w:spacing w:val="40"/>
        </w:rPr>
        <w:t> </w:t>
      </w:r>
      <w:r>
        <w:rPr/>
        <w:t>en</w:t>
      </w:r>
      <w:r>
        <w:rPr>
          <w:spacing w:val="40"/>
        </w:rPr>
        <w:t> </w:t>
      </w:r>
      <w:r>
        <w:rPr/>
        <w:t>dos</w:t>
      </w:r>
      <w:r>
        <w:rPr>
          <w:spacing w:val="40"/>
        </w:rPr>
        <w:t> </w:t>
      </w:r>
      <w:r>
        <w:rPr/>
        <w:t>o</w:t>
      </w:r>
      <w:r>
        <w:rPr>
          <w:spacing w:val="40"/>
        </w:rPr>
        <w:t> </w:t>
      </w:r>
      <w:r>
        <w:rPr/>
        <w:t>más</w:t>
      </w:r>
      <w:r>
        <w:rPr>
          <w:spacing w:val="40"/>
        </w:rPr>
        <w:t> </w:t>
      </w:r>
      <w:r>
        <w:rPr/>
        <w:t>partidas</w:t>
      </w:r>
      <w:r>
        <w:rPr>
          <w:spacing w:val="40"/>
        </w:rPr>
        <w:t> </w:t>
      </w:r>
      <w:r>
        <w:rPr/>
        <w:t>del </w:t>
      </w:r>
      <w:r>
        <w:rPr>
          <w:spacing w:val="-2"/>
        </w:rPr>
        <w:t>balance.</w:t>
      </w:r>
    </w:p>
    <w:p>
      <w:pPr>
        <w:pStyle w:val="ListParagraph"/>
        <w:numPr>
          <w:ilvl w:val="1"/>
          <w:numId w:val="4"/>
        </w:numPr>
        <w:tabs>
          <w:tab w:pos="2247" w:val="left" w:leader="none"/>
        </w:tabs>
        <w:spacing w:line="240" w:lineRule="auto" w:before="229" w:after="0"/>
        <w:ind w:left="2247" w:right="0" w:hanging="452"/>
        <w:jc w:val="left"/>
        <w:rPr>
          <w:rFonts w:ascii="Tahoma"/>
          <w:sz w:val="18"/>
        </w:rPr>
      </w:pPr>
      <w:r>
        <w:rPr>
          <w:sz w:val="20"/>
          <w:u w:val="single"/>
        </w:rPr>
        <w:t>Cambios</w:t>
      </w:r>
      <w:r>
        <w:rPr>
          <w:spacing w:val="-8"/>
          <w:sz w:val="20"/>
          <w:u w:val="single"/>
        </w:rPr>
        <w:t> </w:t>
      </w:r>
      <w:r>
        <w:rPr>
          <w:sz w:val="20"/>
          <w:u w:val="single"/>
        </w:rPr>
        <w:t>en</w:t>
      </w:r>
      <w:r>
        <w:rPr>
          <w:spacing w:val="-9"/>
          <w:sz w:val="20"/>
          <w:u w:val="single"/>
        </w:rPr>
        <w:t> </w:t>
      </w:r>
      <w:r>
        <w:rPr>
          <w:sz w:val="20"/>
          <w:u w:val="single"/>
        </w:rPr>
        <w:t>criterios</w:t>
      </w:r>
      <w:r>
        <w:rPr>
          <w:spacing w:val="-9"/>
          <w:sz w:val="20"/>
          <w:u w:val="single"/>
        </w:rPr>
        <w:t> </w:t>
      </w:r>
      <w:r>
        <w:rPr>
          <w:spacing w:val="-2"/>
          <w:sz w:val="20"/>
          <w:u w:val="single"/>
        </w:rPr>
        <w:t>contables.</w:t>
      </w:r>
    </w:p>
    <w:p>
      <w:pPr>
        <w:pStyle w:val="BodyText"/>
        <w:spacing w:before="1"/>
      </w:pPr>
    </w:p>
    <w:p>
      <w:pPr>
        <w:pStyle w:val="BodyText"/>
        <w:ind w:left="1795" w:right="1308"/>
      </w:pPr>
      <w:r>
        <w:rPr/>
        <w:t>Durante</w:t>
      </w:r>
      <w:r>
        <w:rPr>
          <w:spacing w:val="40"/>
        </w:rPr>
        <w:t> </w:t>
      </w:r>
      <w:r>
        <w:rPr/>
        <w:t>el</w:t>
      </w:r>
      <w:r>
        <w:rPr>
          <w:spacing w:val="40"/>
        </w:rPr>
        <w:t> </w:t>
      </w:r>
      <w:r>
        <w:rPr/>
        <w:t>ejercicio</w:t>
      </w:r>
      <w:r>
        <w:rPr>
          <w:spacing w:val="40"/>
        </w:rPr>
        <w:t> </w:t>
      </w:r>
      <w:r>
        <w:rPr/>
        <w:t>2025</w:t>
      </w:r>
      <w:r>
        <w:rPr>
          <w:spacing w:val="40"/>
        </w:rPr>
        <w:t> </w:t>
      </w:r>
      <w:r>
        <w:rPr/>
        <w:t>no</w:t>
      </w:r>
      <w:r>
        <w:rPr>
          <w:spacing w:val="40"/>
        </w:rPr>
        <w:t> </w:t>
      </w:r>
      <w:r>
        <w:rPr/>
        <w:t>se</w:t>
      </w:r>
      <w:r>
        <w:rPr>
          <w:spacing w:val="40"/>
        </w:rPr>
        <w:t> </w:t>
      </w:r>
      <w:r>
        <w:rPr/>
        <w:t>ha</w:t>
      </w:r>
      <w:r>
        <w:rPr>
          <w:spacing w:val="40"/>
        </w:rPr>
        <w:t> </w:t>
      </w:r>
      <w:r>
        <w:rPr/>
        <w:t>producido</w:t>
      </w:r>
      <w:r>
        <w:rPr>
          <w:spacing w:val="40"/>
        </w:rPr>
        <w:t> </w:t>
      </w:r>
      <w:r>
        <w:rPr/>
        <w:t>ningún</w:t>
      </w:r>
      <w:r>
        <w:rPr>
          <w:spacing w:val="40"/>
        </w:rPr>
        <w:t> </w:t>
      </w:r>
      <w:r>
        <w:rPr/>
        <w:t>cambio</w:t>
      </w:r>
      <w:r>
        <w:rPr>
          <w:spacing w:val="40"/>
        </w:rPr>
        <w:t> </w:t>
      </w:r>
      <w:r>
        <w:rPr/>
        <w:t>significativo</w:t>
      </w:r>
      <w:r>
        <w:rPr>
          <w:spacing w:val="40"/>
        </w:rPr>
        <w:t> </w:t>
      </w:r>
      <w:r>
        <w:rPr/>
        <w:t>de</w:t>
      </w:r>
      <w:r>
        <w:rPr>
          <w:spacing w:val="40"/>
        </w:rPr>
        <w:t> </w:t>
      </w:r>
      <w:r>
        <w:rPr/>
        <w:t>criterio </w:t>
      </w:r>
      <w:r>
        <w:rPr>
          <w:spacing w:val="-2"/>
        </w:rPr>
        <w:t>contable.</w:t>
      </w:r>
    </w:p>
    <w:p>
      <w:pPr>
        <w:pStyle w:val="BodyText"/>
        <w:spacing w:before="1"/>
      </w:pPr>
    </w:p>
    <w:p>
      <w:pPr>
        <w:pStyle w:val="ListParagraph"/>
        <w:numPr>
          <w:ilvl w:val="1"/>
          <w:numId w:val="4"/>
        </w:numPr>
        <w:tabs>
          <w:tab w:pos="2247" w:val="left" w:leader="none"/>
        </w:tabs>
        <w:spacing w:line="240" w:lineRule="auto" w:before="0" w:after="0"/>
        <w:ind w:left="2247" w:right="0" w:hanging="452"/>
        <w:jc w:val="left"/>
        <w:rPr>
          <w:rFonts w:ascii="Tahoma" w:hAnsi="Tahoma"/>
          <w:sz w:val="18"/>
        </w:rPr>
      </w:pPr>
      <w:r>
        <w:rPr>
          <w:sz w:val="20"/>
          <w:u w:val="single"/>
        </w:rPr>
        <w:t>Corrección</w:t>
      </w:r>
      <w:r>
        <w:rPr>
          <w:spacing w:val="-9"/>
          <w:sz w:val="20"/>
          <w:u w:val="single"/>
        </w:rPr>
        <w:t> </w:t>
      </w:r>
      <w:r>
        <w:rPr>
          <w:sz w:val="20"/>
          <w:u w:val="single"/>
        </w:rPr>
        <w:t>de</w:t>
      </w:r>
      <w:r>
        <w:rPr>
          <w:spacing w:val="-8"/>
          <w:sz w:val="20"/>
          <w:u w:val="single"/>
        </w:rPr>
        <w:t> </w:t>
      </w:r>
      <w:r>
        <w:rPr>
          <w:spacing w:val="-2"/>
          <w:sz w:val="20"/>
          <w:u w:val="single"/>
        </w:rPr>
        <w:t>errores</w:t>
      </w:r>
    </w:p>
    <w:p>
      <w:pPr>
        <w:pStyle w:val="BodyText"/>
        <w:spacing w:before="229"/>
        <w:ind w:left="1795" w:right="1308"/>
      </w:pPr>
      <w:r>
        <w:rPr/>
        <w:t>Durante</w:t>
      </w:r>
      <w:r>
        <w:rPr>
          <w:spacing w:val="40"/>
        </w:rPr>
        <w:t> </w:t>
      </w:r>
      <w:r>
        <w:rPr/>
        <w:t>el</w:t>
      </w:r>
      <w:r>
        <w:rPr>
          <w:spacing w:val="40"/>
        </w:rPr>
        <w:t> </w:t>
      </w:r>
      <w:r>
        <w:rPr/>
        <w:t>ejercicio</w:t>
      </w:r>
      <w:r>
        <w:rPr>
          <w:spacing w:val="40"/>
        </w:rPr>
        <w:t> </w:t>
      </w:r>
      <w:r>
        <w:rPr/>
        <w:t>2025</w:t>
      </w:r>
      <w:r>
        <w:rPr>
          <w:spacing w:val="40"/>
        </w:rPr>
        <w:t> </w:t>
      </w:r>
      <w:r>
        <w:rPr/>
        <w:t>no</w:t>
      </w:r>
      <w:r>
        <w:rPr>
          <w:spacing w:val="40"/>
        </w:rPr>
        <w:t> </w:t>
      </w:r>
      <w:r>
        <w:rPr/>
        <w:t>se</w:t>
      </w:r>
      <w:r>
        <w:rPr>
          <w:spacing w:val="40"/>
        </w:rPr>
        <w:t> </w:t>
      </w:r>
      <w:r>
        <w:rPr/>
        <w:t>han</w:t>
      </w:r>
      <w:r>
        <w:rPr>
          <w:spacing w:val="40"/>
        </w:rPr>
        <w:t> </w:t>
      </w:r>
      <w:r>
        <w:rPr/>
        <w:t>realizado</w:t>
      </w:r>
      <w:r>
        <w:rPr>
          <w:spacing w:val="40"/>
        </w:rPr>
        <w:t> </w:t>
      </w:r>
      <w:r>
        <w:rPr/>
        <w:t>correcciones</w:t>
      </w:r>
      <w:r>
        <w:rPr>
          <w:spacing w:val="40"/>
        </w:rPr>
        <w:t> </w:t>
      </w:r>
      <w:r>
        <w:rPr/>
        <w:t>por</w:t>
      </w:r>
      <w:r>
        <w:rPr>
          <w:spacing w:val="40"/>
        </w:rPr>
        <w:t> </w:t>
      </w:r>
      <w:r>
        <w:rPr/>
        <w:t>errores</w:t>
      </w:r>
      <w:r>
        <w:rPr>
          <w:spacing w:val="40"/>
        </w:rPr>
        <w:t> </w:t>
      </w:r>
      <w:r>
        <w:rPr/>
        <w:t>derivados</w:t>
      </w:r>
      <w:r>
        <w:rPr>
          <w:spacing w:val="40"/>
        </w:rPr>
        <w:t> </w:t>
      </w:r>
      <w:r>
        <w:rPr/>
        <w:t>de saldos de gastos e ingresos de los ejercicios anteriores que fueran erróneos.</w:t>
      </w:r>
    </w:p>
    <w:p>
      <w:pPr>
        <w:pStyle w:val="BodyText"/>
        <w:spacing w:before="1"/>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rFonts w:ascii="Tahoma"/>
          <w:sz w:val="18"/>
        </w:rPr>
        <mc:AlternateContent>
          <mc:Choice Requires="wps">
            <w:drawing>
              <wp:anchor distT="0" distB="0" distL="0" distR="0" allowOverlap="1" layoutInCell="1" locked="0" behindDoc="0" simplePos="0" relativeHeight="15744000">
                <wp:simplePos x="0" y="0"/>
                <wp:positionH relativeFrom="page">
                  <wp:posOffset>6966436</wp:posOffset>
                </wp:positionH>
                <wp:positionV relativeFrom="paragraph">
                  <wp:posOffset>95162</wp:posOffset>
                </wp:positionV>
                <wp:extent cx="263525" cy="327596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493134pt;width:20.75pt;height:257.95pt;mso-position-horizontal-relative:page;mso-position-vertical-relative:paragraph;z-index:15744000" type="#_x0000_t202" id="docshape8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u w:val="single"/>
        </w:rPr>
        <w:t>Importancia</w:t>
      </w:r>
      <w:r>
        <w:rPr>
          <w:spacing w:val="-11"/>
          <w:sz w:val="20"/>
          <w:u w:val="single"/>
        </w:rPr>
        <w:t> </w:t>
      </w:r>
      <w:r>
        <w:rPr>
          <w:spacing w:val="-2"/>
          <w:sz w:val="20"/>
          <w:u w:val="single"/>
        </w:rPr>
        <w:t>Relativa</w:t>
      </w:r>
    </w:p>
    <w:p>
      <w:pPr>
        <w:pStyle w:val="BodyText"/>
        <w:spacing w:before="229"/>
        <w:ind w:left="1701" w:right="1340"/>
        <w:jc w:val="both"/>
      </w:pPr>
      <w:r>
        <w:rPr/>
        <w:t>Al determinar la información a desglosar en la presente memoria sobre las diferentes partidas de los estados financieros u otros asuntos, la Sociedad, de acuerdo con el Marco Conceptual del Plan General de Contabilidad, ha tenido en cuenta la importancia relativa</w:t>
      </w:r>
      <w:r>
        <w:rPr>
          <w:spacing w:val="40"/>
        </w:rPr>
        <w:t> </w:t>
      </w:r>
      <w:r>
        <w:rPr/>
        <w:t>en relación con las cuentas anuales del ejercicio 2025.</w:t>
      </w:r>
    </w:p>
    <w:p>
      <w:pPr>
        <w:pStyle w:val="BodyText"/>
        <w:spacing w:before="227"/>
      </w:pPr>
    </w:p>
    <w:p>
      <w:pPr>
        <w:pStyle w:val="Heading2"/>
        <w:numPr>
          <w:ilvl w:val="0"/>
          <w:numId w:val="4"/>
        </w:numPr>
        <w:tabs>
          <w:tab w:pos="1701" w:val="left" w:leader="none"/>
        </w:tabs>
        <w:spacing w:line="240" w:lineRule="auto" w:before="0" w:after="0"/>
        <w:ind w:left="1701" w:right="0" w:hanging="360"/>
        <w:jc w:val="left"/>
        <w:rPr>
          <w:u w:val="none"/>
        </w:rPr>
      </w:pPr>
      <w:r>
        <w:rPr>
          <w:u w:val="single"/>
        </w:rPr>
        <w:t>APLICACION</w:t>
      </w:r>
      <w:r>
        <w:rPr>
          <w:spacing w:val="-9"/>
          <w:u w:val="single"/>
        </w:rPr>
        <w:t> </w:t>
      </w:r>
      <w:r>
        <w:rPr>
          <w:u w:val="single"/>
        </w:rPr>
        <w:t>DE</w:t>
      </w:r>
      <w:r>
        <w:rPr>
          <w:spacing w:val="-8"/>
          <w:u w:val="single"/>
        </w:rPr>
        <w:t> </w:t>
      </w:r>
      <w:r>
        <w:rPr>
          <w:spacing w:val="-2"/>
          <w:u w:val="single"/>
        </w:rPr>
        <w:t>RESULTADOS.</w:t>
      </w:r>
    </w:p>
    <w:p>
      <w:pPr>
        <w:pStyle w:val="BodyText"/>
        <w:spacing w:before="3"/>
        <w:rPr>
          <w:b/>
        </w:rPr>
      </w:pPr>
    </w:p>
    <w:p>
      <w:pPr>
        <w:pStyle w:val="BodyText"/>
        <w:ind w:left="1701" w:right="1308"/>
      </w:pPr>
      <w:r>
        <w:rPr/>
        <w:t>La</w:t>
      </w:r>
      <w:r>
        <w:rPr>
          <w:spacing w:val="40"/>
        </w:rPr>
        <w:t> </w:t>
      </w:r>
      <w:r>
        <w:rPr/>
        <w:t>propuesta</w:t>
      </w:r>
      <w:r>
        <w:rPr>
          <w:spacing w:val="40"/>
        </w:rPr>
        <w:t> </w:t>
      </w:r>
      <w:r>
        <w:rPr/>
        <w:t>de</w:t>
      </w:r>
      <w:r>
        <w:rPr>
          <w:spacing w:val="40"/>
        </w:rPr>
        <w:t> </w:t>
      </w:r>
      <w:r>
        <w:rPr/>
        <w:t>distribución</w:t>
      </w:r>
      <w:r>
        <w:rPr>
          <w:spacing w:val="40"/>
        </w:rPr>
        <w:t> </w:t>
      </w:r>
      <w:r>
        <w:rPr/>
        <w:t>del</w:t>
      </w:r>
      <w:r>
        <w:rPr>
          <w:spacing w:val="40"/>
        </w:rPr>
        <w:t> </w:t>
      </w:r>
      <w:r>
        <w:rPr/>
        <w:t>resultado</w:t>
      </w:r>
      <w:r>
        <w:rPr>
          <w:spacing w:val="40"/>
        </w:rPr>
        <w:t> </w:t>
      </w:r>
      <w:r>
        <w:rPr/>
        <w:t>del</w:t>
      </w:r>
      <w:r>
        <w:rPr>
          <w:spacing w:val="40"/>
        </w:rPr>
        <w:t> </w:t>
      </w:r>
      <w:r>
        <w:rPr/>
        <w:t>ejercicio</w:t>
      </w:r>
      <w:r>
        <w:rPr>
          <w:spacing w:val="40"/>
        </w:rPr>
        <w:t> </w:t>
      </w:r>
      <w:r>
        <w:rPr/>
        <w:t>2025</w:t>
      </w:r>
      <w:r>
        <w:rPr>
          <w:spacing w:val="40"/>
        </w:rPr>
        <w:t> </w:t>
      </w:r>
      <w:r>
        <w:rPr/>
        <w:t>que</w:t>
      </w:r>
      <w:r>
        <w:rPr>
          <w:spacing w:val="40"/>
        </w:rPr>
        <w:t> </w:t>
      </w:r>
      <w:r>
        <w:rPr/>
        <w:t>los</w:t>
      </w:r>
      <w:r>
        <w:rPr>
          <w:spacing w:val="40"/>
        </w:rPr>
        <w:t> </w:t>
      </w:r>
      <w:r>
        <w:rPr/>
        <w:t>administradores formularán para su aprobación por el accionista es:</w:t>
      </w:r>
    </w:p>
    <w:p>
      <w:pPr>
        <w:pStyle w:val="BodyText"/>
        <w:spacing w:before="2"/>
      </w:pPr>
    </w:p>
    <w:tbl>
      <w:tblPr>
        <w:tblW w:w="0" w:type="auto"/>
        <w:jc w:val="left"/>
        <w:tblInd w:w="1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65"/>
        <w:gridCol w:w="2530"/>
      </w:tblGrid>
      <w:tr>
        <w:trPr>
          <w:trHeight w:val="232" w:hRule="atLeast"/>
        </w:trPr>
        <w:tc>
          <w:tcPr>
            <w:tcW w:w="5165" w:type="dxa"/>
            <w:tcBorders>
              <w:right w:val="nil"/>
            </w:tcBorders>
          </w:tcPr>
          <w:p>
            <w:pPr>
              <w:pStyle w:val="TableParagraph"/>
              <w:spacing w:line="212" w:lineRule="exact"/>
              <w:ind w:left="2399"/>
              <w:rPr>
                <w:b/>
                <w:sz w:val="20"/>
              </w:rPr>
            </w:pPr>
            <w:r>
              <w:rPr>
                <w:b/>
                <w:sz w:val="20"/>
              </w:rPr>
              <w:t>Base</w:t>
            </w:r>
            <w:r>
              <w:rPr>
                <w:b/>
                <w:spacing w:val="-6"/>
                <w:sz w:val="20"/>
              </w:rPr>
              <w:t> </w:t>
            </w:r>
            <w:r>
              <w:rPr>
                <w:b/>
                <w:sz w:val="20"/>
              </w:rPr>
              <w:t>de</w:t>
            </w:r>
            <w:r>
              <w:rPr>
                <w:b/>
                <w:spacing w:val="-6"/>
                <w:sz w:val="20"/>
              </w:rPr>
              <w:t> </w:t>
            </w:r>
            <w:r>
              <w:rPr>
                <w:b/>
                <w:spacing w:val="-2"/>
                <w:sz w:val="20"/>
              </w:rPr>
              <w:t>reparto</w:t>
            </w:r>
          </w:p>
        </w:tc>
        <w:tc>
          <w:tcPr>
            <w:tcW w:w="2530" w:type="dxa"/>
            <w:tcBorders>
              <w:left w:val="nil"/>
            </w:tcBorders>
          </w:tcPr>
          <w:p>
            <w:pPr>
              <w:pStyle w:val="TableParagraph"/>
              <w:spacing w:line="212" w:lineRule="exact"/>
              <w:ind w:left="1171"/>
              <w:jc w:val="center"/>
              <w:rPr>
                <w:b/>
                <w:sz w:val="20"/>
              </w:rPr>
            </w:pPr>
            <w:r>
              <w:rPr>
                <w:b/>
                <w:spacing w:val="-4"/>
                <w:sz w:val="20"/>
              </w:rPr>
              <w:t>2025</w:t>
            </w:r>
          </w:p>
        </w:tc>
      </w:tr>
      <w:tr>
        <w:trPr>
          <w:trHeight w:val="229" w:hRule="atLeast"/>
        </w:trPr>
        <w:tc>
          <w:tcPr>
            <w:tcW w:w="5165" w:type="dxa"/>
            <w:tcBorders>
              <w:right w:val="nil"/>
            </w:tcBorders>
          </w:tcPr>
          <w:p>
            <w:pPr>
              <w:pStyle w:val="TableParagraph"/>
              <w:spacing w:line="210" w:lineRule="exact"/>
              <w:ind w:left="69"/>
              <w:rPr>
                <w:sz w:val="20"/>
              </w:rPr>
            </w:pPr>
            <w:r>
              <w:rPr>
                <w:sz w:val="20"/>
              </w:rPr>
              <w:t>Saldo</w:t>
            </w:r>
            <w:r>
              <w:rPr>
                <w:spacing w:val="-4"/>
                <w:sz w:val="20"/>
              </w:rPr>
              <w:t> </w:t>
            </w:r>
            <w:r>
              <w:rPr>
                <w:sz w:val="20"/>
              </w:rPr>
              <w:t>de</w:t>
            </w:r>
            <w:r>
              <w:rPr>
                <w:spacing w:val="-5"/>
                <w:sz w:val="20"/>
              </w:rPr>
              <w:t> </w:t>
            </w:r>
            <w:r>
              <w:rPr>
                <w:sz w:val="20"/>
              </w:rPr>
              <w:t>la</w:t>
            </w:r>
            <w:r>
              <w:rPr>
                <w:spacing w:val="-7"/>
                <w:sz w:val="20"/>
              </w:rPr>
              <w:t> </w:t>
            </w:r>
            <w:r>
              <w:rPr>
                <w:sz w:val="20"/>
              </w:rPr>
              <w:t>cuenta</w:t>
            </w:r>
            <w:r>
              <w:rPr>
                <w:spacing w:val="-3"/>
                <w:sz w:val="20"/>
              </w:rPr>
              <w:t> </w:t>
            </w:r>
            <w:r>
              <w:rPr>
                <w:sz w:val="20"/>
              </w:rPr>
              <w:t>de</w:t>
            </w:r>
            <w:r>
              <w:rPr>
                <w:spacing w:val="-3"/>
                <w:sz w:val="20"/>
              </w:rPr>
              <w:t> </w:t>
            </w:r>
            <w:r>
              <w:rPr>
                <w:sz w:val="20"/>
              </w:rPr>
              <w:t>pérdidas</w:t>
            </w:r>
            <w:r>
              <w:rPr>
                <w:spacing w:val="-1"/>
                <w:sz w:val="20"/>
              </w:rPr>
              <w:t> </w:t>
            </w:r>
            <w:r>
              <w:rPr>
                <w:sz w:val="20"/>
              </w:rPr>
              <w:t>y</w:t>
            </w:r>
            <w:r>
              <w:rPr>
                <w:spacing w:val="-7"/>
                <w:sz w:val="20"/>
              </w:rPr>
              <w:t> </w:t>
            </w:r>
            <w:r>
              <w:rPr>
                <w:spacing w:val="-2"/>
                <w:sz w:val="20"/>
              </w:rPr>
              <w:t>ganancias</w:t>
            </w:r>
          </w:p>
        </w:tc>
        <w:tc>
          <w:tcPr>
            <w:tcW w:w="2530" w:type="dxa"/>
            <w:tcBorders>
              <w:left w:val="nil"/>
            </w:tcBorders>
          </w:tcPr>
          <w:p>
            <w:pPr>
              <w:pStyle w:val="TableParagraph"/>
              <w:spacing w:line="210" w:lineRule="exact"/>
              <w:ind w:left="1171" w:right="71"/>
              <w:jc w:val="center"/>
              <w:rPr>
                <w:sz w:val="20"/>
              </w:rPr>
            </w:pPr>
            <w:r>
              <w:rPr>
                <w:spacing w:val="-2"/>
                <w:sz w:val="20"/>
              </w:rPr>
              <w:t>6.269.808,27</w:t>
            </w:r>
          </w:p>
        </w:tc>
      </w:tr>
      <w:tr>
        <w:trPr>
          <w:trHeight w:val="229" w:hRule="atLeast"/>
        </w:trPr>
        <w:tc>
          <w:tcPr>
            <w:tcW w:w="5165" w:type="dxa"/>
            <w:tcBorders>
              <w:right w:val="nil"/>
            </w:tcBorders>
          </w:tcPr>
          <w:p>
            <w:pPr>
              <w:pStyle w:val="TableParagraph"/>
              <w:spacing w:line="210" w:lineRule="exact"/>
              <w:ind w:left="69"/>
              <w:rPr>
                <w:b/>
                <w:sz w:val="20"/>
              </w:rPr>
            </w:pPr>
            <w:r>
              <w:rPr>
                <w:b/>
                <w:spacing w:val="-2"/>
                <w:sz w:val="20"/>
              </w:rPr>
              <w:t>Total</w:t>
            </w:r>
          </w:p>
        </w:tc>
        <w:tc>
          <w:tcPr>
            <w:tcW w:w="2530" w:type="dxa"/>
            <w:tcBorders>
              <w:left w:val="nil"/>
            </w:tcBorders>
          </w:tcPr>
          <w:p>
            <w:pPr>
              <w:pStyle w:val="TableParagraph"/>
              <w:spacing w:line="210" w:lineRule="exact"/>
              <w:ind w:left="1171" w:right="71"/>
              <w:jc w:val="center"/>
              <w:rPr>
                <w:b/>
                <w:sz w:val="20"/>
              </w:rPr>
            </w:pPr>
            <w:r>
              <w:rPr>
                <w:b/>
                <w:spacing w:val="-2"/>
                <w:sz w:val="20"/>
              </w:rPr>
              <w:t>6.269.808,27</w:t>
            </w:r>
          </w:p>
        </w:tc>
      </w:tr>
    </w:tbl>
    <w:p>
      <w:pPr>
        <w:pStyle w:val="BodyText"/>
        <w:spacing w:after="1"/>
      </w:pPr>
    </w:p>
    <w:tbl>
      <w:tblPr>
        <w:tblW w:w="0" w:type="auto"/>
        <w:jc w:val="left"/>
        <w:tblInd w:w="1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93"/>
        <w:gridCol w:w="2732"/>
        <w:gridCol w:w="2722"/>
      </w:tblGrid>
      <w:tr>
        <w:trPr>
          <w:trHeight w:val="229" w:hRule="atLeast"/>
        </w:trPr>
        <w:tc>
          <w:tcPr>
            <w:tcW w:w="2293" w:type="dxa"/>
            <w:tcBorders>
              <w:right w:val="nil"/>
            </w:tcBorders>
          </w:tcPr>
          <w:p>
            <w:pPr>
              <w:pStyle w:val="TableParagraph"/>
              <w:rPr>
                <w:rFonts w:ascii="Times New Roman"/>
                <w:sz w:val="16"/>
              </w:rPr>
            </w:pPr>
          </w:p>
        </w:tc>
        <w:tc>
          <w:tcPr>
            <w:tcW w:w="2732" w:type="dxa"/>
            <w:tcBorders>
              <w:left w:val="nil"/>
              <w:right w:val="nil"/>
            </w:tcBorders>
          </w:tcPr>
          <w:p>
            <w:pPr>
              <w:pStyle w:val="TableParagraph"/>
              <w:spacing w:line="210" w:lineRule="exact"/>
              <w:ind w:left="349"/>
              <w:rPr>
                <w:b/>
                <w:sz w:val="20"/>
              </w:rPr>
            </w:pPr>
            <w:r>
              <w:rPr>
                <w:b/>
                <w:spacing w:val="-2"/>
                <w:sz w:val="20"/>
              </w:rPr>
              <w:t>Aplicación</w:t>
            </w:r>
          </w:p>
        </w:tc>
        <w:tc>
          <w:tcPr>
            <w:tcW w:w="2722" w:type="dxa"/>
            <w:tcBorders>
              <w:left w:val="nil"/>
            </w:tcBorders>
          </w:tcPr>
          <w:p>
            <w:pPr>
              <w:pStyle w:val="TableParagraph"/>
              <w:spacing w:line="210" w:lineRule="exact"/>
              <w:ind w:left="1776"/>
              <w:rPr>
                <w:b/>
                <w:sz w:val="20"/>
              </w:rPr>
            </w:pPr>
            <w:r>
              <w:rPr>
                <w:b/>
                <w:spacing w:val="-4"/>
                <w:sz w:val="20"/>
              </w:rPr>
              <w:t>2025</w:t>
            </w:r>
          </w:p>
        </w:tc>
      </w:tr>
      <w:tr>
        <w:trPr>
          <w:trHeight w:val="231" w:hRule="atLeast"/>
        </w:trPr>
        <w:tc>
          <w:tcPr>
            <w:tcW w:w="2293" w:type="dxa"/>
            <w:tcBorders>
              <w:bottom w:val="nil"/>
              <w:right w:val="nil"/>
            </w:tcBorders>
          </w:tcPr>
          <w:p>
            <w:pPr>
              <w:pStyle w:val="TableParagraph"/>
              <w:spacing w:line="212" w:lineRule="exact"/>
              <w:ind w:left="66"/>
              <w:rPr>
                <w:sz w:val="20"/>
              </w:rPr>
            </w:pPr>
            <w:r>
              <w:rPr>
                <w:sz w:val="20"/>
              </w:rPr>
              <w:t>A</w:t>
            </w:r>
            <w:r>
              <w:rPr>
                <w:spacing w:val="-6"/>
                <w:sz w:val="20"/>
              </w:rPr>
              <w:t> </w:t>
            </w:r>
            <w:r>
              <w:rPr>
                <w:sz w:val="20"/>
              </w:rPr>
              <w:t>Reserva</w:t>
            </w:r>
            <w:r>
              <w:rPr>
                <w:spacing w:val="-2"/>
                <w:sz w:val="20"/>
              </w:rPr>
              <w:t> </w:t>
            </w:r>
            <w:r>
              <w:rPr>
                <w:spacing w:val="-4"/>
                <w:sz w:val="20"/>
              </w:rPr>
              <w:t>Legal</w:t>
            </w:r>
          </w:p>
        </w:tc>
        <w:tc>
          <w:tcPr>
            <w:tcW w:w="5454" w:type="dxa"/>
            <w:gridSpan w:val="2"/>
            <w:tcBorders>
              <w:left w:val="nil"/>
              <w:bottom w:val="nil"/>
            </w:tcBorders>
          </w:tcPr>
          <w:p>
            <w:pPr>
              <w:pStyle w:val="TableParagraph"/>
              <w:spacing w:line="212" w:lineRule="exact"/>
              <w:ind w:right="150"/>
              <w:jc w:val="right"/>
              <w:rPr>
                <w:sz w:val="20"/>
              </w:rPr>
            </w:pPr>
            <w:r>
              <w:rPr>
                <w:spacing w:val="-2"/>
                <w:sz w:val="20"/>
              </w:rPr>
              <w:t>626.980,83</w:t>
            </w:r>
          </w:p>
        </w:tc>
      </w:tr>
      <w:tr>
        <w:trPr>
          <w:trHeight w:val="228" w:hRule="atLeast"/>
        </w:trPr>
        <w:tc>
          <w:tcPr>
            <w:tcW w:w="2293" w:type="dxa"/>
            <w:tcBorders>
              <w:top w:val="nil"/>
              <w:right w:val="nil"/>
            </w:tcBorders>
          </w:tcPr>
          <w:p>
            <w:pPr>
              <w:pStyle w:val="TableParagraph"/>
              <w:spacing w:line="208" w:lineRule="exact"/>
              <w:ind w:left="66"/>
              <w:rPr>
                <w:sz w:val="20"/>
              </w:rPr>
            </w:pPr>
            <w:r>
              <w:rPr>
                <w:sz w:val="20"/>
              </w:rPr>
              <w:t>A</w:t>
            </w:r>
            <w:r>
              <w:rPr>
                <w:spacing w:val="-6"/>
                <w:sz w:val="20"/>
              </w:rPr>
              <w:t> </w:t>
            </w:r>
            <w:r>
              <w:rPr>
                <w:sz w:val="20"/>
              </w:rPr>
              <w:t>Reserva</w:t>
            </w:r>
            <w:r>
              <w:rPr>
                <w:spacing w:val="-2"/>
                <w:sz w:val="20"/>
              </w:rPr>
              <w:t> Voluntaria</w:t>
            </w:r>
          </w:p>
        </w:tc>
        <w:tc>
          <w:tcPr>
            <w:tcW w:w="5454" w:type="dxa"/>
            <w:gridSpan w:val="2"/>
            <w:tcBorders>
              <w:top w:val="nil"/>
              <w:left w:val="nil"/>
            </w:tcBorders>
          </w:tcPr>
          <w:p>
            <w:pPr>
              <w:pStyle w:val="TableParagraph"/>
              <w:spacing w:line="208" w:lineRule="exact"/>
              <w:ind w:right="152"/>
              <w:jc w:val="right"/>
              <w:rPr>
                <w:sz w:val="20"/>
              </w:rPr>
            </w:pPr>
            <w:r>
              <w:rPr>
                <w:spacing w:val="-2"/>
                <w:sz w:val="20"/>
              </w:rPr>
              <w:t>5.642.827,44</w:t>
            </w:r>
          </w:p>
        </w:tc>
      </w:tr>
      <w:tr>
        <w:trPr>
          <w:trHeight w:val="232" w:hRule="atLeast"/>
        </w:trPr>
        <w:tc>
          <w:tcPr>
            <w:tcW w:w="2293" w:type="dxa"/>
            <w:tcBorders>
              <w:right w:val="nil"/>
            </w:tcBorders>
          </w:tcPr>
          <w:p>
            <w:pPr>
              <w:pStyle w:val="TableParagraph"/>
              <w:spacing w:line="212" w:lineRule="exact"/>
              <w:ind w:left="66"/>
              <w:rPr>
                <w:b/>
                <w:sz w:val="20"/>
              </w:rPr>
            </w:pPr>
            <w:r>
              <w:rPr>
                <w:b/>
                <w:spacing w:val="-2"/>
                <w:sz w:val="20"/>
              </w:rPr>
              <w:t>Total</w:t>
            </w:r>
          </w:p>
        </w:tc>
        <w:tc>
          <w:tcPr>
            <w:tcW w:w="5454" w:type="dxa"/>
            <w:gridSpan w:val="2"/>
            <w:tcBorders>
              <w:left w:val="nil"/>
            </w:tcBorders>
          </w:tcPr>
          <w:p>
            <w:pPr>
              <w:pStyle w:val="TableParagraph"/>
              <w:spacing w:line="212" w:lineRule="exact"/>
              <w:ind w:right="149"/>
              <w:jc w:val="right"/>
              <w:rPr>
                <w:b/>
                <w:sz w:val="20"/>
              </w:rPr>
            </w:pPr>
            <w:r>
              <w:rPr>
                <w:b/>
                <w:spacing w:val="-2"/>
                <w:sz w:val="20"/>
              </w:rPr>
              <w:t>6.269.808,27</w:t>
            </w:r>
          </w:p>
        </w:tc>
      </w:tr>
    </w:tbl>
    <w:p>
      <w:pPr>
        <w:pStyle w:val="TableParagraph"/>
        <w:spacing w:after="0" w:line="212" w:lineRule="exact"/>
        <w:jc w:val="right"/>
        <w:rPr>
          <w:b/>
          <w:sz w:val="20"/>
        </w:rPr>
        <w:sectPr>
          <w:pgSz w:w="11910" w:h="16840"/>
          <w:pgMar w:header="286" w:footer="1060" w:top="1920" w:bottom="1260" w:left="360" w:right="360"/>
        </w:sectPr>
      </w:pPr>
    </w:p>
    <w:p>
      <w:pPr>
        <w:pStyle w:val="BodyText"/>
        <w:spacing w:before="199"/>
      </w:pPr>
    </w:p>
    <w:p>
      <w:pPr>
        <w:pStyle w:val="Heading2"/>
        <w:numPr>
          <w:ilvl w:val="0"/>
          <w:numId w:val="4"/>
        </w:numPr>
        <w:tabs>
          <w:tab w:pos="1701" w:val="left" w:leader="none"/>
        </w:tabs>
        <w:spacing w:line="240" w:lineRule="auto" w:before="0" w:after="0"/>
        <w:ind w:left="1701" w:right="0" w:hanging="360"/>
        <w:jc w:val="left"/>
        <w:rPr>
          <w:u w:val="none"/>
        </w:rPr>
      </w:pPr>
      <w:r>
        <w:rPr>
          <w:u w:val="single"/>
        </w:rPr>
        <w:t>NORMAS</w:t>
      </w:r>
      <w:r>
        <w:rPr>
          <w:spacing w:val="-6"/>
          <w:u w:val="single"/>
        </w:rPr>
        <w:t> </w:t>
      </w:r>
      <w:r>
        <w:rPr>
          <w:u w:val="single"/>
        </w:rPr>
        <w:t>DE</w:t>
      </w:r>
      <w:r>
        <w:rPr>
          <w:spacing w:val="-6"/>
          <w:u w:val="single"/>
        </w:rPr>
        <w:t> </w:t>
      </w:r>
      <w:r>
        <w:rPr>
          <w:u w:val="single"/>
        </w:rPr>
        <w:t>REGISTRO</w:t>
      </w:r>
      <w:r>
        <w:rPr>
          <w:spacing w:val="-7"/>
          <w:u w:val="single"/>
        </w:rPr>
        <w:t> </w:t>
      </w:r>
      <w:r>
        <w:rPr>
          <w:u w:val="single"/>
        </w:rPr>
        <w:t>Y</w:t>
      </w:r>
      <w:r>
        <w:rPr>
          <w:spacing w:val="-6"/>
          <w:u w:val="single"/>
        </w:rPr>
        <w:t> </w:t>
      </w:r>
      <w:r>
        <w:rPr>
          <w:spacing w:val="-2"/>
          <w:u w:val="single"/>
        </w:rPr>
        <w:t>VALORACION.</w:t>
      </w:r>
    </w:p>
    <w:p>
      <w:pPr>
        <w:pStyle w:val="BodyText"/>
        <w:spacing w:before="1"/>
        <w:rPr>
          <w:b/>
        </w:rPr>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pacing w:val="-2"/>
          <w:sz w:val="20"/>
          <w:u w:val="single"/>
        </w:rPr>
        <w:t>Inmovilizado</w:t>
      </w:r>
      <w:r>
        <w:rPr>
          <w:spacing w:val="9"/>
          <w:sz w:val="20"/>
          <w:u w:val="single"/>
        </w:rPr>
        <w:t> </w:t>
      </w:r>
      <w:r>
        <w:rPr>
          <w:spacing w:val="-2"/>
          <w:sz w:val="20"/>
          <w:u w:val="single"/>
        </w:rPr>
        <w:t>intangible.</w:t>
      </w:r>
    </w:p>
    <w:p>
      <w:pPr>
        <w:pStyle w:val="BodyText"/>
      </w:pPr>
    </w:p>
    <w:p>
      <w:pPr>
        <w:pStyle w:val="BodyText"/>
        <w:spacing w:before="1"/>
        <w:ind w:left="1795" w:right="1339"/>
        <w:jc w:val="both"/>
      </w:pPr>
      <w:r>
        <w:rPr/>
        <w:t>El inmovilizado intangible se valora inicialmente por su coste, ya sea éste el precio de adquisición o el coste de producción.</w:t>
      </w:r>
    </w:p>
    <w:p>
      <w:pPr>
        <w:pStyle w:val="BodyText"/>
        <w:spacing w:before="228"/>
        <w:ind w:left="1795" w:right="1337"/>
        <w:jc w:val="both"/>
      </w:pPr>
      <w:r>
        <w:rPr/>
        <w:t>Después del reconocimiento inicial, el inmovilizado intangible se valora por su coste, menos la amortización acumulada y, en su caso, el importe acumulado de las</w:t>
      </w:r>
      <w:r>
        <w:rPr>
          <w:spacing w:val="40"/>
        </w:rPr>
        <w:t> </w:t>
      </w:r>
      <w:r>
        <w:rPr/>
        <w:t>correcciones por deterioro registradas.</w:t>
      </w:r>
    </w:p>
    <w:p>
      <w:pPr>
        <w:pStyle w:val="BodyText"/>
        <w:spacing w:before="2"/>
      </w:pPr>
    </w:p>
    <w:p>
      <w:pPr>
        <w:pStyle w:val="BodyText"/>
        <w:ind w:left="1795" w:right="1338"/>
        <w:jc w:val="both"/>
      </w:pPr>
      <w:r>
        <w:rPr/>
        <w:t>Los activos intangibles son activos de vida útil definida y, por lo tanto, se amortizan sistemáticamente en función de la vida útil estimada de los mismos y</w:t>
      </w:r>
      <w:r>
        <w:rPr>
          <w:spacing w:val="-3"/>
        </w:rPr>
        <w:t> </w:t>
      </w:r>
      <w:r>
        <w:rPr/>
        <w:t>de su valor residual. Los métodos y periodos de amortización aplicados son revisados en cada cierre de ejercicio y, si procede, ajustados de forma prospectiva. Al menos al cierre del ejercicio, se evalúa la existencia de indicios de deterioro, en cuyo caso se estiman los importes recuperables, efectuándose las correcciones valorativas que procedan.</w:t>
      </w:r>
    </w:p>
    <w:p>
      <w:pPr>
        <w:pStyle w:val="BodyText"/>
      </w:pPr>
    </w:p>
    <w:p>
      <w:pPr>
        <w:pStyle w:val="BodyText"/>
        <w:spacing w:before="229"/>
      </w:pPr>
    </w:p>
    <w:p>
      <w:pPr>
        <w:pStyle w:val="BodyText"/>
        <w:ind w:left="1795" w:right="1341"/>
        <w:jc w:val="both"/>
      </w:pPr>
      <w:r>
        <w:rPr/>
        <w:t>La amortización de los elementos del inmovilizado intangible se realiza de forma lineal durante su vida útil estimada, en función de los siguientes años de vida útil:</w:t>
      </w:r>
    </w:p>
    <w:p>
      <w:pPr>
        <w:pStyle w:val="BodyText"/>
        <w:spacing w:before="4"/>
      </w:pPr>
    </w:p>
    <w:tbl>
      <w:tblPr>
        <w:tblW w:w="0" w:type="auto"/>
        <w:jc w:val="left"/>
        <w:tblInd w:w="3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6"/>
        <w:gridCol w:w="1342"/>
        <w:gridCol w:w="1342"/>
      </w:tblGrid>
      <w:tr>
        <w:trPr>
          <w:trHeight w:val="241" w:hRule="atLeast"/>
        </w:trPr>
        <w:tc>
          <w:tcPr>
            <w:tcW w:w="2436" w:type="dxa"/>
          </w:tcPr>
          <w:p>
            <w:pPr>
              <w:pStyle w:val="TableParagraph"/>
              <w:spacing w:line="222" w:lineRule="exact"/>
              <w:ind w:left="69"/>
              <w:rPr>
                <w:b/>
                <w:sz w:val="20"/>
              </w:rPr>
            </w:pPr>
            <w:r>
              <w:rPr>
                <w:b/>
                <w:spacing w:val="-2"/>
                <w:sz w:val="20"/>
              </w:rPr>
              <w:t>Descripción</w:t>
            </w:r>
          </w:p>
        </w:tc>
        <w:tc>
          <w:tcPr>
            <w:tcW w:w="1342" w:type="dxa"/>
          </w:tcPr>
          <w:p>
            <w:pPr>
              <w:pStyle w:val="TableParagraph"/>
              <w:spacing w:line="222" w:lineRule="exact"/>
              <w:ind w:left="7" w:right="2"/>
              <w:jc w:val="center"/>
              <w:rPr>
                <w:b/>
                <w:sz w:val="20"/>
              </w:rPr>
            </w:pPr>
            <w:r>
              <w:rPr>
                <w:b/>
                <w:spacing w:val="-4"/>
                <w:sz w:val="20"/>
              </w:rPr>
              <w:t>Años</w:t>
            </w:r>
          </w:p>
        </w:tc>
        <w:tc>
          <w:tcPr>
            <w:tcW w:w="1342" w:type="dxa"/>
          </w:tcPr>
          <w:p>
            <w:pPr>
              <w:pStyle w:val="TableParagraph"/>
              <w:spacing w:line="222" w:lineRule="exact"/>
              <w:ind w:left="7" w:right="7"/>
              <w:jc w:val="center"/>
              <w:rPr>
                <w:b/>
                <w:sz w:val="20"/>
              </w:rPr>
            </w:pPr>
            <w:r>
              <w:rPr>
                <w:b/>
                <w:sz w:val="20"/>
              </w:rPr>
              <w:t>% </w:t>
            </w:r>
            <w:r>
              <w:rPr>
                <w:b/>
                <w:spacing w:val="-2"/>
                <w:sz w:val="20"/>
              </w:rPr>
              <w:t>Anual</w:t>
            </w:r>
          </w:p>
        </w:tc>
      </w:tr>
      <w:tr>
        <w:trPr>
          <w:trHeight w:val="242" w:hRule="atLeast"/>
        </w:trPr>
        <w:tc>
          <w:tcPr>
            <w:tcW w:w="2436" w:type="dxa"/>
          </w:tcPr>
          <w:p>
            <w:pPr>
              <w:pStyle w:val="TableParagraph"/>
              <w:spacing w:line="222" w:lineRule="exact"/>
              <w:ind w:left="69"/>
              <w:rPr>
                <w:sz w:val="20"/>
              </w:rPr>
            </w:pPr>
            <w:r>
              <w:rPr>
                <w:spacing w:val="-2"/>
                <w:sz w:val="20"/>
              </w:rPr>
              <w:t>Concesiones</w:t>
            </w:r>
          </w:p>
        </w:tc>
        <w:tc>
          <w:tcPr>
            <w:tcW w:w="1342" w:type="dxa"/>
          </w:tcPr>
          <w:p>
            <w:pPr>
              <w:pStyle w:val="TableParagraph"/>
              <w:spacing w:line="222" w:lineRule="exact"/>
              <w:ind w:left="7" w:right="4"/>
              <w:jc w:val="center"/>
              <w:rPr>
                <w:sz w:val="20"/>
              </w:rPr>
            </w:pPr>
            <w:r>
              <w:rPr>
                <w:spacing w:val="-5"/>
                <w:sz w:val="20"/>
              </w:rPr>
              <w:t>50</w:t>
            </w:r>
          </w:p>
        </w:tc>
        <w:tc>
          <w:tcPr>
            <w:tcW w:w="1342" w:type="dxa"/>
          </w:tcPr>
          <w:p>
            <w:pPr>
              <w:pStyle w:val="TableParagraph"/>
              <w:spacing w:line="222" w:lineRule="exact"/>
              <w:ind w:left="7" w:right="3"/>
              <w:jc w:val="center"/>
              <w:rPr>
                <w:sz w:val="20"/>
              </w:rPr>
            </w:pPr>
            <w:r>
              <w:rPr>
                <w:spacing w:val="-5"/>
                <w:sz w:val="20"/>
              </w:rPr>
              <w:t>2%</w:t>
            </w:r>
          </w:p>
        </w:tc>
      </w:tr>
      <w:tr>
        <w:trPr>
          <w:trHeight w:val="244" w:hRule="atLeast"/>
        </w:trPr>
        <w:tc>
          <w:tcPr>
            <w:tcW w:w="2436" w:type="dxa"/>
          </w:tcPr>
          <w:p>
            <w:pPr>
              <w:pStyle w:val="TableParagraph"/>
              <w:spacing w:line="224" w:lineRule="exact"/>
              <w:ind w:left="69"/>
              <w:rPr>
                <w:sz w:val="20"/>
              </w:rPr>
            </w:pPr>
            <w:r>
              <w:rPr>
                <w:spacing w:val="-2"/>
                <w:sz w:val="20"/>
              </w:rPr>
              <w:t>Aplicaciones</w:t>
            </w:r>
            <w:r>
              <w:rPr>
                <w:spacing w:val="8"/>
                <w:sz w:val="20"/>
              </w:rPr>
              <w:t> </w:t>
            </w:r>
            <w:r>
              <w:rPr>
                <w:spacing w:val="-2"/>
                <w:sz w:val="20"/>
              </w:rPr>
              <w:t>informáticas</w:t>
            </w:r>
          </w:p>
        </w:tc>
        <w:tc>
          <w:tcPr>
            <w:tcW w:w="1342" w:type="dxa"/>
          </w:tcPr>
          <w:p>
            <w:pPr>
              <w:pStyle w:val="TableParagraph"/>
              <w:spacing w:line="224" w:lineRule="exact"/>
              <w:ind w:left="7"/>
              <w:jc w:val="center"/>
              <w:rPr>
                <w:sz w:val="20"/>
              </w:rPr>
            </w:pPr>
            <w:r>
              <w:rPr>
                <w:spacing w:val="-10"/>
                <w:sz w:val="20"/>
              </w:rPr>
              <w:t>5</w:t>
            </w:r>
          </w:p>
        </w:tc>
        <w:tc>
          <w:tcPr>
            <w:tcW w:w="1342" w:type="dxa"/>
          </w:tcPr>
          <w:p>
            <w:pPr>
              <w:pStyle w:val="TableParagraph"/>
              <w:spacing w:line="224" w:lineRule="exact"/>
              <w:ind w:left="7" w:right="7"/>
              <w:jc w:val="center"/>
              <w:rPr>
                <w:sz w:val="20"/>
              </w:rPr>
            </w:pPr>
            <w:r>
              <w:rPr>
                <w:spacing w:val="-5"/>
                <w:sz w:val="20"/>
              </w:rPr>
              <w:t>20%</w:t>
            </w:r>
          </w:p>
        </w:tc>
      </w:tr>
    </w:tbl>
    <w:p>
      <w:pPr>
        <w:pStyle w:val="BodyText"/>
        <w:spacing w:before="228"/>
        <w:ind w:left="1795" w:right="1336"/>
        <w:jc w:val="both"/>
      </w:pPr>
      <w:r>
        <w:rPr/>
        <w:t>Cuando la vida útil de estos activos no pueda estimarse de manera fiable se amortizarán en un plazo de diez años, sin perjuicio de los plazos establecidos en las normas particulares sobre el inmovilizado intangible.</w:t>
      </w:r>
    </w:p>
    <w:p>
      <w:pPr>
        <w:pStyle w:val="BodyText"/>
        <w:spacing w:before="230"/>
        <w:ind w:left="1795" w:right="1337"/>
        <w:jc w:val="both"/>
      </w:pPr>
      <w:r>
        <w:rPr/>
        <mc:AlternateContent>
          <mc:Choice Requires="wps">
            <w:drawing>
              <wp:anchor distT="0" distB="0" distL="0" distR="0" allowOverlap="1" layoutInCell="1" locked="0" behindDoc="0" simplePos="0" relativeHeight="15744512">
                <wp:simplePos x="0" y="0"/>
                <wp:positionH relativeFrom="page">
                  <wp:posOffset>6966436</wp:posOffset>
                </wp:positionH>
                <wp:positionV relativeFrom="paragraph">
                  <wp:posOffset>629485</wp:posOffset>
                </wp:positionV>
                <wp:extent cx="263525" cy="327596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9.565792pt;width:20.75pt;height:257.95pt;mso-position-horizontal-relative:page;mso-position-vertical-relative:paragraph;z-index:15744512" type="#_x0000_t202" id="docshape8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Sociedad incluye en el coste del inmovilizado intangible que necesita un periodo de tiempo superior a un año para estar en condiciones de uso, explotación o venta, los</w:t>
      </w:r>
      <w:r>
        <w:rPr>
          <w:spacing w:val="40"/>
        </w:rPr>
        <w:t> </w:t>
      </w:r>
      <w:r>
        <w:rPr/>
        <w:t>gastos financieros relacionados con la financiación específica o genérica, directamente atribuible a la adquisición, construcción o producción.</w:t>
      </w:r>
    </w:p>
    <w:p>
      <w:pPr>
        <w:pStyle w:val="Heading4"/>
        <w:spacing w:before="229"/>
        <w:rPr>
          <w:i/>
          <w:u w:val="none"/>
        </w:rPr>
      </w:pPr>
      <w:r>
        <w:rPr>
          <w:i/>
          <w:spacing w:val="-2"/>
          <w:u w:val="single"/>
        </w:rPr>
        <w:t>Desarrollo.</w:t>
      </w:r>
    </w:p>
    <w:p>
      <w:pPr>
        <w:pStyle w:val="BodyText"/>
        <w:spacing w:before="1"/>
        <w:rPr>
          <w:b/>
          <w:i/>
        </w:rPr>
      </w:pPr>
    </w:p>
    <w:p>
      <w:pPr>
        <w:pStyle w:val="BodyText"/>
        <w:ind w:left="1795" w:right="1332"/>
        <w:jc w:val="both"/>
      </w:pPr>
      <w:r>
        <w:rPr>
          <w:spacing w:val="-2"/>
        </w:rPr>
        <w:t>Los</w:t>
      </w:r>
      <w:r>
        <w:rPr>
          <w:spacing w:val="-4"/>
        </w:rPr>
        <w:t> </w:t>
      </w:r>
      <w:r>
        <w:rPr>
          <w:spacing w:val="-2"/>
        </w:rPr>
        <w:t>administradores</w:t>
      </w:r>
      <w:r>
        <w:rPr>
          <w:spacing w:val="-4"/>
        </w:rPr>
        <w:t> </w:t>
      </w:r>
      <w:r>
        <w:rPr>
          <w:spacing w:val="-2"/>
        </w:rPr>
        <w:t>de</w:t>
      </w:r>
      <w:r>
        <w:rPr>
          <w:spacing w:val="-8"/>
        </w:rPr>
        <w:t> </w:t>
      </w:r>
      <w:r>
        <w:rPr>
          <w:spacing w:val="-2"/>
        </w:rPr>
        <w:t>la</w:t>
      </w:r>
      <w:r>
        <w:rPr>
          <w:spacing w:val="-8"/>
        </w:rPr>
        <w:t> </w:t>
      </w:r>
      <w:r>
        <w:rPr>
          <w:spacing w:val="-2"/>
        </w:rPr>
        <w:t>Sociedad</w:t>
      </w:r>
      <w:r>
        <w:rPr>
          <w:spacing w:val="-8"/>
        </w:rPr>
        <w:t> </w:t>
      </w:r>
      <w:r>
        <w:rPr>
          <w:spacing w:val="-2"/>
        </w:rPr>
        <w:t>decidieron</w:t>
      </w:r>
      <w:r>
        <w:rPr>
          <w:spacing w:val="-8"/>
        </w:rPr>
        <w:t> </w:t>
      </w:r>
      <w:r>
        <w:rPr>
          <w:spacing w:val="-2"/>
        </w:rPr>
        <w:t>en</w:t>
      </w:r>
      <w:r>
        <w:rPr>
          <w:spacing w:val="-8"/>
        </w:rPr>
        <w:t> </w:t>
      </w:r>
      <w:r>
        <w:rPr>
          <w:spacing w:val="-2"/>
        </w:rPr>
        <w:t>2012</w:t>
      </w:r>
      <w:r>
        <w:rPr>
          <w:spacing w:val="-4"/>
        </w:rPr>
        <w:t> </w:t>
      </w:r>
      <w:r>
        <w:rPr>
          <w:spacing w:val="-2"/>
        </w:rPr>
        <w:t>activar</w:t>
      </w:r>
      <w:r>
        <w:rPr>
          <w:spacing w:val="-7"/>
        </w:rPr>
        <w:t> </w:t>
      </w:r>
      <w:r>
        <w:rPr>
          <w:spacing w:val="-2"/>
        </w:rPr>
        <w:t>como</w:t>
      </w:r>
      <w:r>
        <w:rPr>
          <w:spacing w:val="-10"/>
        </w:rPr>
        <w:t> </w:t>
      </w:r>
      <w:r>
        <w:rPr>
          <w:spacing w:val="-2"/>
        </w:rPr>
        <w:t>“desarrollo”</w:t>
      </w:r>
      <w:r>
        <w:rPr>
          <w:spacing w:val="-7"/>
        </w:rPr>
        <w:t> </w:t>
      </w:r>
      <w:r>
        <w:rPr>
          <w:spacing w:val="-2"/>
        </w:rPr>
        <w:t>la</w:t>
      </w:r>
      <w:r>
        <w:rPr>
          <w:spacing w:val="-8"/>
        </w:rPr>
        <w:t> </w:t>
      </w:r>
      <w:r>
        <w:rPr>
          <w:spacing w:val="-2"/>
        </w:rPr>
        <w:t>inversión </w:t>
      </w:r>
      <w:r>
        <w:rPr/>
        <w:t>en</w:t>
      </w:r>
      <w:r>
        <w:rPr>
          <w:spacing w:val="-9"/>
        </w:rPr>
        <w:t> </w:t>
      </w:r>
      <w:r>
        <w:rPr/>
        <w:t>la</w:t>
      </w:r>
      <w:r>
        <w:rPr>
          <w:spacing w:val="-11"/>
        </w:rPr>
        <w:t> </w:t>
      </w:r>
      <w:r>
        <w:rPr/>
        <w:t>que</w:t>
      </w:r>
      <w:r>
        <w:rPr>
          <w:spacing w:val="-11"/>
        </w:rPr>
        <w:t> </w:t>
      </w:r>
      <w:r>
        <w:rPr/>
        <w:t>ha</w:t>
      </w:r>
      <w:r>
        <w:rPr>
          <w:spacing w:val="-11"/>
        </w:rPr>
        <w:t> </w:t>
      </w:r>
      <w:r>
        <w:rPr/>
        <w:t>incurrido</w:t>
      </w:r>
      <w:r>
        <w:rPr>
          <w:spacing w:val="-11"/>
        </w:rPr>
        <w:t> </w:t>
      </w:r>
      <w:r>
        <w:rPr/>
        <w:t>para</w:t>
      </w:r>
      <w:r>
        <w:rPr>
          <w:spacing w:val="-9"/>
        </w:rPr>
        <w:t> </w:t>
      </w:r>
      <w:r>
        <w:rPr/>
        <w:t>la</w:t>
      </w:r>
      <w:r>
        <w:rPr>
          <w:spacing w:val="-11"/>
        </w:rPr>
        <w:t> </w:t>
      </w:r>
      <w:r>
        <w:rPr/>
        <w:t>puesta</w:t>
      </w:r>
      <w:r>
        <w:rPr>
          <w:spacing w:val="-11"/>
        </w:rPr>
        <w:t> </w:t>
      </w:r>
      <w:r>
        <w:rPr/>
        <w:t>en</w:t>
      </w:r>
      <w:r>
        <w:rPr>
          <w:spacing w:val="-11"/>
        </w:rPr>
        <w:t> </w:t>
      </w:r>
      <w:r>
        <w:rPr/>
        <w:t>funcionamiento</w:t>
      </w:r>
      <w:r>
        <w:rPr>
          <w:spacing w:val="-13"/>
        </w:rPr>
        <w:t> </w:t>
      </w:r>
      <w:r>
        <w:rPr/>
        <w:t>de</w:t>
      </w:r>
      <w:r>
        <w:rPr>
          <w:spacing w:val="-11"/>
        </w:rPr>
        <w:t> </w:t>
      </w:r>
      <w:r>
        <w:rPr/>
        <w:t>la</w:t>
      </w:r>
      <w:r>
        <w:rPr>
          <w:spacing w:val="-9"/>
        </w:rPr>
        <w:t> </w:t>
      </w:r>
      <w:r>
        <w:rPr/>
        <w:t>nueva</w:t>
      </w:r>
      <w:r>
        <w:rPr>
          <w:spacing w:val="-9"/>
        </w:rPr>
        <w:t> </w:t>
      </w:r>
      <w:r>
        <w:rPr/>
        <w:t>red</w:t>
      </w:r>
      <w:r>
        <w:rPr>
          <w:spacing w:val="-9"/>
        </w:rPr>
        <w:t> </w:t>
      </w:r>
      <w:r>
        <w:rPr/>
        <w:t>de</w:t>
      </w:r>
      <w:r>
        <w:rPr>
          <w:spacing w:val="-11"/>
        </w:rPr>
        <w:t> </w:t>
      </w:r>
      <w:r>
        <w:rPr/>
        <w:t>líneas,</w:t>
      </w:r>
      <w:r>
        <w:rPr>
          <w:spacing w:val="-11"/>
        </w:rPr>
        <w:t> </w:t>
      </w:r>
      <w:r>
        <w:rPr/>
        <w:t>que</w:t>
      </w:r>
      <w:r>
        <w:rPr>
          <w:spacing w:val="-11"/>
        </w:rPr>
        <w:t> </w:t>
      </w:r>
      <w:r>
        <w:rPr/>
        <w:t>entró en</w:t>
      </w:r>
      <w:r>
        <w:rPr>
          <w:spacing w:val="-14"/>
        </w:rPr>
        <w:t> </w:t>
      </w:r>
      <w:r>
        <w:rPr/>
        <w:t>funcionamiento</w:t>
      </w:r>
      <w:r>
        <w:rPr>
          <w:spacing w:val="-14"/>
        </w:rPr>
        <w:t> </w:t>
      </w:r>
      <w:r>
        <w:rPr/>
        <w:t>el</w:t>
      </w:r>
      <w:r>
        <w:rPr>
          <w:spacing w:val="-13"/>
        </w:rPr>
        <w:t> </w:t>
      </w:r>
      <w:r>
        <w:rPr/>
        <w:t>4</w:t>
      </w:r>
      <w:r>
        <w:rPr>
          <w:spacing w:val="-14"/>
        </w:rPr>
        <w:t> </w:t>
      </w:r>
      <w:r>
        <w:rPr/>
        <w:t>de</w:t>
      </w:r>
      <w:r>
        <w:rPr>
          <w:spacing w:val="-13"/>
        </w:rPr>
        <w:t> </w:t>
      </w:r>
      <w:r>
        <w:rPr/>
        <w:t>marzo</w:t>
      </w:r>
      <w:r>
        <w:rPr>
          <w:spacing w:val="-13"/>
        </w:rPr>
        <w:t> </w:t>
      </w:r>
      <w:r>
        <w:rPr/>
        <w:t>de</w:t>
      </w:r>
      <w:r>
        <w:rPr>
          <w:spacing w:val="-14"/>
        </w:rPr>
        <w:t> </w:t>
      </w:r>
      <w:r>
        <w:rPr/>
        <w:t>2013.</w:t>
      </w:r>
      <w:r>
        <w:rPr>
          <w:spacing w:val="-13"/>
        </w:rPr>
        <w:t> </w:t>
      </w:r>
      <w:r>
        <w:rPr/>
        <w:t>Al</w:t>
      </w:r>
      <w:r>
        <w:rPr>
          <w:spacing w:val="-14"/>
        </w:rPr>
        <w:t> </w:t>
      </w:r>
      <w:r>
        <w:rPr/>
        <w:t>cierre</w:t>
      </w:r>
      <w:r>
        <w:rPr>
          <w:spacing w:val="-13"/>
        </w:rPr>
        <w:t> </w:t>
      </w:r>
      <w:r>
        <w:rPr/>
        <w:t>del</w:t>
      </w:r>
      <w:r>
        <w:rPr>
          <w:spacing w:val="-11"/>
        </w:rPr>
        <w:t> </w:t>
      </w:r>
      <w:r>
        <w:rPr/>
        <w:t>ejercicio</w:t>
      </w:r>
      <w:r>
        <w:rPr>
          <w:spacing w:val="-14"/>
        </w:rPr>
        <w:t> </w:t>
      </w:r>
      <w:r>
        <w:rPr/>
        <w:t>2023,</w:t>
      </w:r>
      <w:r>
        <w:rPr>
          <w:spacing w:val="-13"/>
        </w:rPr>
        <w:t> </w:t>
      </w:r>
      <w:r>
        <w:rPr/>
        <w:t>estando</w:t>
      </w:r>
      <w:r>
        <w:rPr>
          <w:spacing w:val="-11"/>
        </w:rPr>
        <w:t> </w:t>
      </w:r>
      <w:r>
        <w:rPr/>
        <w:t>ya</w:t>
      </w:r>
      <w:r>
        <w:rPr>
          <w:spacing w:val="-14"/>
        </w:rPr>
        <w:t> </w:t>
      </w:r>
      <w:r>
        <w:rPr/>
        <w:t>totalmente amortizado se dio de baja.</w:t>
      </w:r>
    </w:p>
    <w:p>
      <w:pPr>
        <w:pStyle w:val="BodyText"/>
      </w:pPr>
    </w:p>
    <w:p>
      <w:pPr>
        <w:pStyle w:val="Heading4"/>
        <w:rPr>
          <w:i/>
          <w:u w:val="none"/>
        </w:rPr>
      </w:pPr>
      <w:r>
        <w:rPr>
          <w:i/>
          <w:u w:val="single"/>
        </w:rPr>
        <w:t>Propiedad</w:t>
      </w:r>
      <w:r>
        <w:rPr>
          <w:i/>
          <w:spacing w:val="-14"/>
          <w:u w:val="single"/>
        </w:rPr>
        <w:t> </w:t>
      </w:r>
      <w:r>
        <w:rPr>
          <w:i/>
          <w:spacing w:val="-2"/>
          <w:u w:val="single"/>
        </w:rPr>
        <w:t>Industrial</w:t>
      </w:r>
    </w:p>
    <w:p>
      <w:pPr>
        <w:pStyle w:val="BodyText"/>
        <w:rPr>
          <w:b/>
          <w:i/>
        </w:rPr>
      </w:pPr>
    </w:p>
    <w:p>
      <w:pPr>
        <w:pStyle w:val="BodyText"/>
        <w:spacing w:before="1"/>
        <w:ind w:left="1768" w:right="1331"/>
        <w:jc w:val="both"/>
      </w:pPr>
      <w:r>
        <w:rPr>
          <w:spacing w:val="-2"/>
        </w:rPr>
        <w:t>La</w:t>
      </w:r>
      <w:r>
        <w:rPr>
          <w:spacing w:val="-6"/>
        </w:rPr>
        <w:t> </w:t>
      </w:r>
      <w:r>
        <w:rPr>
          <w:spacing w:val="-2"/>
        </w:rPr>
        <w:t>propiedad</w:t>
      </w:r>
      <w:r>
        <w:rPr>
          <w:spacing w:val="-6"/>
        </w:rPr>
        <w:t> </w:t>
      </w:r>
      <w:r>
        <w:rPr>
          <w:spacing w:val="-2"/>
        </w:rPr>
        <w:t>industrial</w:t>
      </w:r>
      <w:r>
        <w:rPr>
          <w:spacing w:val="-7"/>
        </w:rPr>
        <w:t> </w:t>
      </w:r>
      <w:r>
        <w:rPr>
          <w:spacing w:val="-2"/>
        </w:rPr>
        <w:t>se</w:t>
      </w:r>
      <w:r>
        <w:rPr>
          <w:spacing w:val="-6"/>
        </w:rPr>
        <w:t> </w:t>
      </w:r>
      <w:r>
        <w:rPr>
          <w:spacing w:val="-2"/>
        </w:rPr>
        <w:t>valora</w:t>
      </w:r>
      <w:r>
        <w:rPr>
          <w:spacing w:val="-6"/>
        </w:rPr>
        <w:t> </w:t>
      </w:r>
      <w:r>
        <w:rPr>
          <w:spacing w:val="-2"/>
        </w:rPr>
        <w:t>por</w:t>
      </w:r>
      <w:r>
        <w:rPr>
          <w:spacing w:val="-5"/>
        </w:rPr>
        <w:t> </w:t>
      </w:r>
      <w:r>
        <w:rPr>
          <w:spacing w:val="-2"/>
        </w:rPr>
        <w:t>los</w:t>
      </w:r>
      <w:r>
        <w:rPr>
          <w:spacing w:val="-5"/>
        </w:rPr>
        <w:t> </w:t>
      </w:r>
      <w:r>
        <w:rPr>
          <w:spacing w:val="-2"/>
        </w:rPr>
        <w:t>costes</w:t>
      </w:r>
      <w:r>
        <w:rPr>
          <w:spacing w:val="-4"/>
        </w:rPr>
        <w:t> </w:t>
      </w:r>
      <w:r>
        <w:rPr>
          <w:spacing w:val="-2"/>
        </w:rPr>
        <w:t>incurridos</w:t>
      </w:r>
      <w:r>
        <w:rPr>
          <w:spacing w:val="-3"/>
        </w:rPr>
        <w:t> </w:t>
      </w:r>
      <w:r>
        <w:rPr>
          <w:spacing w:val="-2"/>
        </w:rPr>
        <w:t>para</w:t>
      </w:r>
      <w:r>
        <w:rPr>
          <w:spacing w:val="-8"/>
        </w:rPr>
        <w:t> </w:t>
      </w:r>
      <w:r>
        <w:rPr>
          <w:spacing w:val="-2"/>
        </w:rPr>
        <w:t>la</w:t>
      </w:r>
      <w:r>
        <w:rPr>
          <w:spacing w:val="-6"/>
        </w:rPr>
        <w:t> </w:t>
      </w:r>
      <w:r>
        <w:rPr>
          <w:spacing w:val="-2"/>
        </w:rPr>
        <w:t>obtención</w:t>
      </w:r>
      <w:r>
        <w:rPr>
          <w:spacing w:val="-6"/>
        </w:rPr>
        <w:t> </w:t>
      </w:r>
      <w:r>
        <w:rPr>
          <w:spacing w:val="-2"/>
        </w:rPr>
        <w:t>de</w:t>
      </w:r>
      <w:r>
        <w:rPr>
          <w:spacing w:val="-6"/>
        </w:rPr>
        <w:t> </w:t>
      </w:r>
      <w:r>
        <w:rPr>
          <w:spacing w:val="-2"/>
        </w:rPr>
        <w:t>la</w:t>
      </w:r>
      <w:r>
        <w:rPr>
          <w:spacing w:val="-6"/>
        </w:rPr>
        <w:t> </w:t>
      </w:r>
      <w:r>
        <w:rPr>
          <w:spacing w:val="-2"/>
        </w:rPr>
        <w:t>propiedad</w:t>
      </w:r>
      <w:r>
        <w:rPr>
          <w:spacing w:val="-6"/>
        </w:rPr>
        <w:t> </w:t>
      </w:r>
      <w:r>
        <w:rPr>
          <w:spacing w:val="-2"/>
        </w:rPr>
        <w:t>o </w:t>
      </w:r>
      <w:r>
        <w:rPr/>
        <w:t>el derecho al uso o a la concesión del uso de las distintas manifestaciones de la misma, </w:t>
      </w:r>
      <w:r>
        <w:rPr>
          <w:spacing w:val="-2"/>
        </w:rPr>
        <w:t>siempre</w:t>
      </w:r>
      <w:r>
        <w:rPr>
          <w:spacing w:val="-12"/>
        </w:rPr>
        <w:t> </w:t>
      </w:r>
      <w:r>
        <w:rPr>
          <w:spacing w:val="-2"/>
        </w:rPr>
        <w:t>que,</w:t>
      </w:r>
      <w:r>
        <w:rPr>
          <w:spacing w:val="-11"/>
        </w:rPr>
        <w:t> </w:t>
      </w:r>
      <w:r>
        <w:rPr>
          <w:spacing w:val="-2"/>
        </w:rPr>
        <w:t>por</w:t>
      </w:r>
      <w:r>
        <w:rPr>
          <w:spacing w:val="-9"/>
        </w:rPr>
        <w:t> </w:t>
      </w:r>
      <w:r>
        <w:rPr>
          <w:spacing w:val="-2"/>
        </w:rPr>
        <w:t>las</w:t>
      </w:r>
      <w:r>
        <w:rPr>
          <w:spacing w:val="-11"/>
        </w:rPr>
        <w:t> </w:t>
      </w:r>
      <w:r>
        <w:rPr>
          <w:spacing w:val="-2"/>
        </w:rPr>
        <w:t>condiciones</w:t>
      </w:r>
      <w:r>
        <w:rPr>
          <w:spacing w:val="-9"/>
        </w:rPr>
        <w:t> </w:t>
      </w:r>
      <w:r>
        <w:rPr>
          <w:spacing w:val="-2"/>
        </w:rPr>
        <w:t>económicas</w:t>
      </w:r>
      <w:r>
        <w:rPr>
          <w:spacing w:val="-10"/>
        </w:rPr>
        <w:t> </w:t>
      </w:r>
      <w:r>
        <w:rPr>
          <w:spacing w:val="-2"/>
        </w:rPr>
        <w:t>que</w:t>
      </w:r>
      <w:r>
        <w:rPr>
          <w:spacing w:val="-10"/>
        </w:rPr>
        <w:t> </w:t>
      </w:r>
      <w:r>
        <w:rPr>
          <w:spacing w:val="-2"/>
        </w:rPr>
        <w:t>se</w:t>
      </w:r>
      <w:r>
        <w:rPr>
          <w:spacing w:val="-10"/>
        </w:rPr>
        <w:t> </w:t>
      </w:r>
      <w:r>
        <w:rPr>
          <w:spacing w:val="-2"/>
        </w:rPr>
        <w:t>derivan</w:t>
      </w:r>
      <w:r>
        <w:rPr>
          <w:spacing w:val="-10"/>
        </w:rPr>
        <w:t> </w:t>
      </w:r>
      <w:r>
        <w:rPr>
          <w:spacing w:val="-2"/>
        </w:rPr>
        <w:t>del</w:t>
      </w:r>
      <w:r>
        <w:rPr>
          <w:spacing w:val="-11"/>
        </w:rPr>
        <w:t> </w:t>
      </w:r>
      <w:r>
        <w:rPr>
          <w:spacing w:val="-2"/>
        </w:rPr>
        <w:t>contrato</w:t>
      </w:r>
      <w:r>
        <w:rPr>
          <w:spacing w:val="-9"/>
        </w:rPr>
        <w:t> </w:t>
      </w:r>
      <w:r>
        <w:rPr>
          <w:spacing w:val="-2"/>
        </w:rPr>
        <w:t>deben</w:t>
      </w:r>
      <w:r>
        <w:rPr>
          <w:spacing w:val="-10"/>
        </w:rPr>
        <w:t> </w:t>
      </w:r>
      <w:r>
        <w:rPr>
          <w:spacing w:val="-2"/>
        </w:rPr>
        <w:t>inventariarse por</w:t>
      </w:r>
      <w:r>
        <w:rPr>
          <w:spacing w:val="-10"/>
        </w:rPr>
        <w:t> </w:t>
      </w:r>
      <w:r>
        <w:rPr>
          <w:spacing w:val="-2"/>
        </w:rPr>
        <w:t>la</w:t>
      </w:r>
      <w:r>
        <w:rPr>
          <w:spacing w:val="-12"/>
        </w:rPr>
        <w:t> </w:t>
      </w:r>
      <w:r>
        <w:rPr>
          <w:spacing w:val="-2"/>
        </w:rPr>
        <w:t>empresa</w:t>
      </w:r>
      <w:r>
        <w:rPr>
          <w:spacing w:val="-12"/>
        </w:rPr>
        <w:t> </w:t>
      </w:r>
      <w:r>
        <w:rPr>
          <w:spacing w:val="-2"/>
        </w:rPr>
        <w:t>adquirente.</w:t>
      </w:r>
      <w:r>
        <w:rPr>
          <w:spacing w:val="-9"/>
        </w:rPr>
        <w:t> </w:t>
      </w:r>
      <w:r>
        <w:rPr>
          <w:spacing w:val="-2"/>
        </w:rPr>
        <w:t>Se</w:t>
      </w:r>
      <w:r>
        <w:rPr>
          <w:spacing w:val="-10"/>
        </w:rPr>
        <w:t> </w:t>
      </w:r>
      <w:r>
        <w:rPr>
          <w:spacing w:val="-2"/>
        </w:rPr>
        <w:t>incluyen,</w:t>
      </w:r>
      <w:r>
        <w:rPr>
          <w:spacing w:val="-11"/>
        </w:rPr>
        <w:t> </w:t>
      </w:r>
      <w:r>
        <w:rPr>
          <w:spacing w:val="-2"/>
        </w:rPr>
        <w:t>entre</w:t>
      </w:r>
      <w:r>
        <w:rPr>
          <w:spacing w:val="-12"/>
        </w:rPr>
        <w:t> </w:t>
      </w:r>
      <w:r>
        <w:rPr>
          <w:spacing w:val="-2"/>
        </w:rPr>
        <w:t>otras,</w:t>
      </w:r>
      <w:r>
        <w:rPr>
          <w:spacing w:val="-11"/>
        </w:rPr>
        <w:t> </w:t>
      </w:r>
      <w:r>
        <w:rPr>
          <w:spacing w:val="-2"/>
        </w:rPr>
        <w:t>las</w:t>
      </w:r>
      <w:r>
        <w:rPr>
          <w:spacing w:val="-9"/>
        </w:rPr>
        <w:t> </w:t>
      </w:r>
      <w:r>
        <w:rPr>
          <w:spacing w:val="-2"/>
        </w:rPr>
        <w:t>patentes</w:t>
      </w:r>
      <w:r>
        <w:rPr>
          <w:spacing w:val="-10"/>
        </w:rPr>
        <w:t> </w:t>
      </w:r>
      <w:r>
        <w:rPr>
          <w:spacing w:val="-2"/>
        </w:rPr>
        <w:t>de</w:t>
      </w:r>
      <w:r>
        <w:rPr>
          <w:spacing w:val="-10"/>
        </w:rPr>
        <w:t> </w:t>
      </w:r>
      <w:r>
        <w:rPr>
          <w:spacing w:val="-2"/>
        </w:rPr>
        <w:t>invención,</w:t>
      </w:r>
      <w:r>
        <w:rPr>
          <w:spacing w:val="-11"/>
        </w:rPr>
        <w:t> </w:t>
      </w:r>
      <w:r>
        <w:rPr>
          <w:spacing w:val="-2"/>
        </w:rPr>
        <w:t>los</w:t>
      </w:r>
      <w:r>
        <w:rPr>
          <w:spacing w:val="-10"/>
        </w:rPr>
        <w:t> </w:t>
      </w:r>
      <w:r>
        <w:rPr>
          <w:spacing w:val="-2"/>
        </w:rPr>
        <w:t>certificados </w:t>
      </w:r>
      <w:r>
        <w:rPr/>
        <w:t>de protección de modelos de utilidad, el diseño industrial y las patentes de producción. El importe recogido es de 3.000,00 euros.</w:t>
      </w:r>
    </w:p>
    <w:p>
      <w:pPr>
        <w:pStyle w:val="Heading4"/>
        <w:spacing w:before="228"/>
        <w:rPr>
          <w:i/>
          <w:u w:val="none"/>
        </w:rPr>
      </w:pPr>
      <w:r>
        <w:rPr>
          <w:i/>
          <w:spacing w:val="-2"/>
          <w:u w:val="single"/>
        </w:rPr>
        <w:t>Concesiones.</w:t>
      </w:r>
    </w:p>
    <w:p>
      <w:pPr>
        <w:pStyle w:val="BodyText"/>
        <w:rPr>
          <w:b/>
          <w:i/>
        </w:rPr>
      </w:pPr>
    </w:p>
    <w:p>
      <w:pPr>
        <w:pStyle w:val="BodyText"/>
        <w:spacing w:before="1"/>
        <w:ind w:left="1795" w:right="1308"/>
      </w:pPr>
      <w:r>
        <w:rPr/>
        <w:t>Con fecha 23 de enero de 2003 se firmó el contrato de “concesión administrativa” entre el Excmo.</w:t>
      </w:r>
      <w:r>
        <w:rPr>
          <w:spacing w:val="-14"/>
        </w:rPr>
        <w:t> </w:t>
      </w:r>
      <w:r>
        <w:rPr/>
        <w:t>Ayuntamiento</w:t>
      </w:r>
      <w:r>
        <w:rPr>
          <w:spacing w:val="-14"/>
        </w:rPr>
        <w:t> </w:t>
      </w:r>
      <w:r>
        <w:rPr/>
        <w:t>de</w:t>
      </w:r>
      <w:r>
        <w:rPr>
          <w:spacing w:val="-14"/>
        </w:rPr>
        <w:t> </w:t>
      </w:r>
      <w:r>
        <w:rPr/>
        <w:t>Las</w:t>
      </w:r>
      <w:r>
        <w:rPr>
          <w:spacing w:val="-12"/>
        </w:rPr>
        <w:t> </w:t>
      </w:r>
      <w:r>
        <w:rPr/>
        <w:t>Palmas</w:t>
      </w:r>
      <w:r>
        <w:rPr>
          <w:spacing w:val="-13"/>
        </w:rPr>
        <w:t> </w:t>
      </w:r>
      <w:r>
        <w:rPr/>
        <w:t>de</w:t>
      </w:r>
      <w:r>
        <w:rPr>
          <w:spacing w:val="-13"/>
        </w:rPr>
        <w:t> </w:t>
      </w:r>
      <w:r>
        <w:rPr/>
        <w:t>Gran</w:t>
      </w:r>
      <w:r>
        <w:rPr>
          <w:spacing w:val="-13"/>
        </w:rPr>
        <w:t> </w:t>
      </w:r>
      <w:r>
        <w:rPr/>
        <w:t>Canaria</w:t>
      </w:r>
      <w:r>
        <w:rPr>
          <w:spacing w:val="-12"/>
        </w:rPr>
        <w:t> </w:t>
      </w:r>
      <w:r>
        <w:rPr/>
        <w:t>y</w:t>
      </w:r>
      <w:r>
        <w:rPr>
          <w:spacing w:val="-14"/>
        </w:rPr>
        <w:t> </w:t>
      </w:r>
      <w:r>
        <w:rPr/>
        <w:t>Guaguas</w:t>
      </w:r>
      <w:r>
        <w:rPr>
          <w:spacing w:val="-12"/>
        </w:rPr>
        <w:t> </w:t>
      </w:r>
      <w:r>
        <w:rPr/>
        <w:t>Municipales,</w:t>
      </w:r>
      <w:r>
        <w:rPr>
          <w:spacing w:val="-13"/>
        </w:rPr>
        <w:t> </w:t>
      </w:r>
      <w:r>
        <w:rPr/>
        <w:t>S.A.,</w:t>
      </w:r>
      <w:r>
        <w:rPr>
          <w:spacing w:val="-13"/>
        </w:rPr>
        <w:t> </w:t>
      </w:r>
      <w:r>
        <w:rPr>
          <w:spacing w:val="-2"/>
        </w:rPr>
        <w:t>según</w:t>
      </w:r>
    </w:p>
    <w:p>
      <w:pPr>
        <w:pStyle w:val="BodyText"/>
        <w:spacing w:after="0"/>
        <w:sectPr>
          <w:pgSz w:w="11910" w:h="16840"/>
          <w:pgMar w:header="286" w:footer="1060" w:top="1920" w:bottom="1260" w:left="360" w:right="360"/>
        </w:sectPr>
      </w:pPr>
    </w:p>
    <w:p>
      <w:pPr>
        <w:pStyle w:val="BodyText"/>
        <w:spacing w:before="201"/>
      </w:pPr>
    </w:p>
    <w:p>
      <w:pPr>
        <w:pStyle w:val="BodyText"/>
        <w:ind w:left="1795" w:right="1331"/>
        <w:jc w:val="both"/>
      </w:pPr>
      <w:r>
        <w:rPr/>
        <w:t>el cual se cede a la Sociedad, por un plazo de cincuenta años, el terreno sobre el que se encuentran construidas las cocheras. Este derecho de</w:t>
      </w:r>
      <w:r>
        <w:rPr>
          <w:spacing w:val="-2"/>
        </w:rPr>
        <w:t> </w:t>
      </w:r>
      <w:r>
        <w:rPr/>
        <w:t>uso, concesión, se aportó</w:t>
      </w:r>
      <w:r>
        <w:rPr>
          <w:spacing w:val="-2"/>
        </w:rPr>
        <w:t> </w:t>
      </w:r>
      <w:r>
        <w:rPr/>
        <w:t>por parte del</w:t>
      </w:r>
      <w:r>
        <w:rPr>
          <w:spacing w:val="-9"/>
        </w:rPr>
        <w:t> </w:t>
      </w:r>
      <w:r>
        <w:rPr/>
        <w:t>Ayuntamiento</w:t>
      </w:r>
      <w:r>
        <w:rPr>
          <w:spacing w:val="-8"/>
        </w:rPr>
        <w:t> </w:t>
      </w:r>
      <w:r>
        <w:rPr/>
        <w:t>para</w:t>
      </w:r>
      <w:r>
        <w:rPr>
          <w:spacing w:val="-9"/>
        </w:rPr>
        <w:t> </w:t>
      </w:r>
      <w:r>
        <w:rPr/>
        <w:t>una</w:t>
      </w:r>
      <w:r>
        <w:rPr>
          <w:spacing w:val="-8"/>
        </w:rPr>
        <w:t> </w:t>
      </w:r>
      <w:r>
        <w:rPr/>
        <w:t>ampliación</w:t>
      </w:r>
      <w:r>
        <w:rPr>
          <w:spacing w:val="-8"/>
        </w:rPr>
        <w:t> </w:t>
      </w:r>
      <w:r>
        <w:rPr/>
        <w:t>de</w:t>
      </w:r>
      <w:r>
        <w:rPr>
          <w:spacing w:val="-8"/>
        </w:rPr>
        <w:t> </w:t>
      </w:r>
      <w:r>
        <w:rPr/>
        <w:t>capital</w:t>
      </w:r>
      <w:r>
        <w:rPr>
          <w:spacing w:val="-9"/>
        </w:rPr>
        <w:t> </w:t>
      </w:r>
      <w:r>
        <w:rPr/>
        <w:t>el</w:t>
      </w:r>
      <w:r>
        <w:rPr>
          <w:spacing w:val="-9"/>
        </w:rPr>
        <w:t> </w:t>
      </w:r>
      <w:r>
        <w:rPr/>
        <w:t>06</w:t>
      </w:r>
      <w:r>
        <w:rPr>
          <w:spacing w:val="-6"/>
        </w:rPr>
        <w:t> </w:t>
      </w:r>
      <w:r>
        <w:rPr/>
        <w:t>de</w:t>
      </w:r>
      <w:r>
        <w:rPr>
          <w:spacing w:val="-8"/>
        </w:rPr>
        <w:t> </w:t>
      </w:r>
      <w:r>
        <w:rPr/>
        <w:t>junio</w:t>
      </w:r>
      <w:r>
        <w:rPr>
          <w:spacing w:val="-9"/>
        </w:rPr>
        <w:t> </w:t>
      </w:r>
      <w:r>
        <w:rPr/>
        <w:t>de</w:t>
      </w:r>
      <w:r>
        <w:rPr>
          <w:spacing w:val="-8"/>
        </w:rPr>
        <w:t> </w:t>
      </w:r>
      <w:r>
        <w:rPr/>
        <w:t>2003.</w:t>
      </w:r>
      <w:r>
        <w:rPr>
          <w:spacing w:val="-8"/>
        </w:rPr>
        <w:t> </w:t>
      </w:r>
      <w:r>
        <w:rPr/>
        <w:t>La</w:t>
      </w:r>
      <w:r>
        <w:rPr>
          <w:spacing w:val="-8"/>
        </w:rPr>
        <w:t> </w:t>
      </w:r>
      <w:r>
        <w:rPr/>
        <w:t>valoración</w:t>
      </w:r>
      <w:r>
        <w:rPr>
          <w:spacing w:val="-8"/>
        </w:rPr>
        <w:t> </w:t>
      </w:r>
      <w:r>
        <w:rPr/>
        <w:t>dada </w:t>
      </w:r>
      <w:r>
        <w:rPr>
          <w:spacing w:val="-2"/>
        </w:rPr>
        <w:t>por</w:t>
      </w:r>
      <w:r>
        <w:rPr>
          <w:spacing w:val="-5"/>
        </w:rPr>
        <w:t> </w:t>
      </w:r>
      <w:r>
        <w:rPr>
          <w:spacing w:val="-2"/>
        </w:rPr>
        <w:t>Unidad</w:t>
      </w:r>
      <w:r>
        <w:rPr>
          <w:spacing w:val="-8"/>
        </w:rPr>
        <w:t> </w:t>
      </w:r>
      <w:r>
        <w:rPr>
          <w:spacing w:val="-2"/>
        </w:rPr>
        <w:t>de</w:t>
      </w:r>
      <w:r>
        <w:rPr>
          <w:spacing w:val="-8"/>
        </w:rPr>
        <w:t> </w:t>
      </w:r>
      <w:r>
        <w:rPr>
          <w:spacing w:val="-2"/>
        </w:rPr>
        <w:t>Gestión</w:t>
      </w:r>
      <w:r>
        <w:rPr>
          <w:spacing w:val="-8"/>
        </w:rPr>
        <w:t> </w:t>
      </w:r>
      <w:r>
        <w:rPr>
          <w:spacing w:val="-2"/>
        </w:rPr>
        <w:t>Urbanística</w:t>
      </w:r>
      <w:r>
        <w:rPr>
          <w:spacing w:val="-8"/>
        </w:rPr>
        <w:t> </w:t>
      </w:r>
      <w:r>
        <w:rPr>
          <w:spacing w:val="-2"/>
        </w:rPr>
        <w:t>del</w:t>
      </w:r>
      <w:r>
        <w:rPr>
          <w:spacing w:val="-9"/>
        </w:rPr>
        <w:t> </w:t>
      </w:r>
      <w:r>
        <w:rPr>
          <w:spacing w:val="-2"/>
        </w:rPr>
        <w:t>Área</w:t>
      </w:r>
      <w:r>
        <w:rPr>
          <w:spacing w:val="-8"/>
        </w:rPr>
        <w:t> </w:t>
      </w:r>
      <w:r>
        <w:rPr>
          <w:spacing w:val="-2"/>
        </w:rPr>
        <w:t>de</w:t>
      </w:r>
      <w:r>
        <w:rPr>
          <w:spacing w:val="-9"/>
        </w:rPr>
        <w:t> </w:t>
      </w:r>
      <w:r>
        <w:rPr>
          <w:spacing w:val="-2"/>
        </w:rPr>
        <w:t>Urbanismo</w:t>
      </w:r>
      <w:r>
        <w:rPr>
          <w:spacing w:val="-8"/>
        </w:rPr>
        <w:t> </w:t>
      </w:r>
      <w:r>
        <w:rPr>
          <w:spacing w:val="-2"/>
        </w:rPr>
        <w:t>e</w:t>
      </w:r>
      <w:r>
        <w:rPr>
          <w:spacing w:val="-8"/>
        </w:rPr>
        <w:t> </w:t>
      </w:r>
      <w:r>
        <w:rPr>
          <w:spacing w:val="-2"/>
        </w:rPr>
        <w:t>infraestructura</w:t>
      </w:r>
      <w:r>
        <w:rPr>
          <w:spacing w:val="-8"/>
        </w:rPr>
        <w:t> </w:t>
      </w:r>
      <w:r>
        <w:rPr>
          <w:spacing w:val="-2"/>
        </w:rPr>
        <w:t>del</w:t>
      </w:r>
      <w:r>
        <w:rPr>
          <w:spacing w:val="-9"/>
        </w:rPr>
        <w:t> </w:t>
      </w:r>
      <w:r>
        <w:rPr>
          <w:spacing w:val="-2"/>
        </w:rPr>
        <w:t>Ayuntamiento </w:t>
      </w:r>
      <w:r>
        <w:rPr/>
        <w:t>ascendió</w:t>
      </w:r>
      <w:r>
        <w:rPr>
          <w:spacing w:val="-9"/>
        </w:rPr>
        <w:t> </w:t>
      </w:r>
      <w:r>
        <w:rPr/>
        <w:t>a</w:t>
      </w:r>
      <w:r>
        <w:rPr>
          <w:spacing w:val="-9"/>
        </w:rPr>
        <w:t> </w:t>
      </w:r>
      <w:r>
        <w:rPr/>
        <w:t>6.019.857,42</w:t>
      </w:r>
      <w:r>
        <w:rPr>
          <w:spacing w:val="-9"/>
        </w:rPr>
        <w:t> </w:t>
      </w:r>
      <w:r>
        <w:rPr/>
        <w:t>euros</w:t>
      </w:r>
      <w:r>
        <w:rPr>
          <w:spacing w:val="-8"/>
        </w:rPr>
        <w:t> </w:t>
      </w:r>
      <w:r>
        <w:rPr/>
        <w:t>que</w:t>
      </w:r>
      <w:r>
        <w:rPr>
          <w:spacing w:val="-11"/>
        </w:rPr>
        <w:t> </w:t>
      </w:r>
      <w:r>
        <w:rPr/>
        <w:t>se</w:t>
      </w:r>
      <w:r>
        <w:rPr>
          <w:spacing w:val="-12"/>
        </w:rPr>
        <w:t> </w:t>
      </w:r>
      <w:r>
        <w:rPr/>
        <w:t>amortizan</w:t>
      </w:r>
      <w:r>
        <w:rPr>
          <w:spacing w:val="-9"/>
        </w:rPr>
        <w:t> </w:t>
      </w:r>
      <w:r>
        <w:rPr/>
        <w:t>linealmente</w:t>
      </w:r>
      <w:r>
        <w:rPr>
          <w:spacing w:val="-9"/>
        </w:rPr>
        <w:t> </w:t>
      </w:r>
      <w:r>
        <w:rPr/>
        <w:t>en</w:t>
      </w:r>
      <w:r>
        <w:rPr>
          <w:spacing w:val="-9"/>
        </w:rPr>
        <w:t> </w:t>
      </w:r>
      <w:r>
        <w:rPr/>
        <w:t>el</w:t>
      </w:r>
      <w:r>
        <w:rPr>
          <w:spacing w:val="-10"/>
        </w:rPr>
        <w:t> </w:t>
      </w:r>
      <w:r>
        <w:rPr/>
        <w:t>periodo</w:t>
      </w:r>
      <w:r>
        <w:rPr>
          <w:spacing w:val="-9"/>
        </w:rPr>
        <w:t> </w:t>
      </w:r>
      <w:r>
        <w:rPr/>
        <w:t>de</w:t>
      </w:r>
      <w:r>
        <w:rPr>
          <w:spacing w:val="-9"/>
        </w:rPr>
        <w:t> </w:t>
      </w:r>
      <w:r>
        <w:rPr/>
        <w:t>concesión</w:t>
      </w:r>
      <w:r>
        <w:rPr>
          <w:spacing w:val="-9"/>
        </w:rPr>
        <w:t> </w:t>
      </w:r>
      <w:r>
        <w:rPr/>
        <w:t>de 50 años.</w:t>
      </w:r>
    </w:p>
    <w:p>
      <w:pPr>
        <w:pStyle w:val="Heading4"/>
        <w:spacing w:before="228"/>
        <w:rPr>
          <w:i/>
          <w:u w:val="none"/>
        </w:rPr>
      </w:pPr>
      <w:r>
        <w:rPr>
          <w:i/>
          <w:spacing w:val="-2"/>
          <w:u w:val="single"/>
        </w:rPr>
        <w:t>Aplicaciones</w:t>
      </w:r>
      <w:r>
        <w:rPr>
          <w:i/>
          <w:spacing w:val="6"/>
          <w:u w:val="single"/>
        </w:rPr>
        <w:t> </w:t>
      </w:r>
      <w:r>
        <w:rPr>
          <w:i/>
          <w:spacing w:val="-2"/>
          <w:u w:val="single"/>
        </w:rPr>
        <w:t>Informáticas.</w:t>
      </w:r>
    </w:p>
    <w:p>
      <w:pPr>
        <w:pStyle w:val="BodyText"/>
        <w:spacing w:before="1"/>
        <w:rPr>
          <w:b/>
          <w:i/>
        </w:rPr>
      </w:pPr>
    </w:p>
    <w:p>
      <w:pPr>
        <w:pStyle w:val="BodyText"/>
        <w:ind w:left="1795" w:right="1333"/>
        <w:jc w:val="both"/>
      </w:pPr>
      <w:r>
        <w:rPr>
          <w:spacing w:val="-2"/>
        </w:rPr>
        <w:t>Se</w:t>
      </w:r>
      <w:r>
        <w:rPr>
          <w:spacing w:val="-10"/>
        </w:rPr>
        <w:t> </w:t>
      </w:r>
      <w:r>
        <w:rPr>
          <w:spacing w:val="-2"/>
        </w:rPr>
        <w:t>valoran</w:t>
      </w:r>
      <w:r>
        <w:rPr>
          <w:spacing w:val="-12"/>
        </w:rPr>
        <w:t> </w:t>
      </w:r>
      <w:r>
        <w:rPr>
          <w:spacing w:val="-2"/>
        </w:rPr>
        <w:t>al</w:t>
      </w:r>
      <w:r>
        <w:rPr>
          <w:spacing w:val="-12"/>
        </w:rPr>
        <w:t> </w:t>
      </w:r>
      <w:r>
        <w:rPr>
          <w:spacing w:val="-2"/>
        </w:rPr>
        <w:t>precio</w:t>
      </w:r>
      <w:r>
        <w:rPr>
          <w:spacing w:val="-12"/>
        </w:rPr>
        <w:t> </w:t>
      </w:r>
      <w:r>
        <w:rPr>
          <w:spacing w:val="-2"/>
        </w:rPr>
        <w:t>de</w:t>
      </w:r>
      <w:r>
        <w:rPr>
          <w:spacing w:val="-12"/>
        </w:rPr>
        <w:t> </w:t>
      </w:r>
      <w:r>
        <w:rPr>
          <w:spacing w:val="-2"/>
        </w:rPr>
        <w:t>adquisición,</w:t>
      </w:r>
      <w:r>
        <w:rPr>
          <w:spacing w:val="-11"/>
        </w:rPr>
        <w:t> </w:t>
      </w:r>
      <w:r>
        <w:rPr>
          <w:spacing w:val="-2"/>
        </w:rPr>
        <w:t>incluyéndose</w:t>
      </w:r>
      <w:r>
        <w:rPr>
          <w:spacing w:val="-10"/>
        </w:rPr>
        <w:t> </w:t>
      </w:r>
      <w:r>
        <w:rPr>
          <w:spacing w:val="-2"/>
        </w:rPr>
        <w:t>en</w:t>
      </w:r>
      <w:r>
        <w:rPr>
          <w:spacing w:val="-10"/>
        </w:rPr>
        <w:t> </w:t>
      </w:r>
      <w:r>
        <w:rPr>
          <w:spacing w:val="-2"/>
        </w:rPr>
        <w:t>este</w:t>
      </w:r>
      <w:r>
        <w:rPr>
          <w:spacing w:val="-10"/>
        </w:rPr>
        <w:t> </w:t>
      </w:r>
      <w:r>
        <w:rPr>
          <w:spacing w:val="-2"/>
        </w:rPr>
        <w:t>epígrafe</w:t>
      </w:r>
      <w:r>
        <w:rPr>
          <w:spacing w:val="-10"/>
        </w:rPr>
        <w:t> </w:t>
      </w:r>
      <w:r>
        <w:rPr>
          <w:spacing w:val="-2"/>
        </w:rPr>
        <w:t>los</w:t>
      </w:r>
      <w:r>
        <w:rPr>
          <w:spacing w:val="-9"/>
        </w:rPr>
        <w:t> </w:t>
      </w:r>
      <w:r>
        <w:rPr>
          <w:spacing w:val="-2"/>
        </w:rPr>
        <w:t>gastos</w:t>
      </w:r>
      <w:r>
        <w:rPr>
          <w:spacing w:val="-9"/>
        </w:rPr>
        <w:t> </w:t>
      </w:r>
      <w:r>
        <w:rPr>
          <w:spacing w:val="-2"/>
        </w:rPr>
        <w:t>de</w:t>
      </w:r>
      <w:r>
        <w:rPr>
          <w:spacing w:val="-10"/>
        </w:rPr>
        <w:t> </w:t>
      </w:r>
      <w:r>
        <w:rPr>
          <w:spacing w:val="-2"/>
        </w:rPr>
        <w:t>desarrollo</w:t>
      </w:r>
      <w:r>
        <w:rPr>
          <w:spacing w:val="-12"/>
        </w:rPr>
        <w:t> </w:t>
      </w:r>
      <w:r>
        <w:rPr>
          <w:spacing w:val="-2"/>
        </w:rPr>
        <w:t>de las</w:t>
      </w:r>
      <w:r>
        <w:rPr>
          <w:spacing w:val="-5"/>
        </w:rPr>
        <w:t> </w:t>
      </w:r>
      <w:r>
        <w:rPr>
          <w:spacing w:val="-2"/>
        </w:rPr>
        <w:t>páginas</w:t>
      </w:r>
      <w:r>
        <w:rPr>
          <w:spacing w:val="-5"/>
        </w:rPr>
        <w:t> </w:t>
      </w:r>
      <w:r>
        <w:rPr>
          <w:spacing w:val="-2"/>
        </w:rPr>
        <w:t>web</w:t>
      </w:r>
      <w:r>
        <w:rPr>
          <w:spacing w:val="-7"/>
        </w:rPr>
        <w:t> </w:t>
      </w:r>
      <w:r>
        <w:rPr>
          <w:spacing w:val="-2"/>
        </w:rPr>
        <w:t>(siempre</w:t>
      </w:r>
      <w:r>
        <w:rPr>
          <w:spacing w:val="-7"/>
        </w:rPr>
        <w:t> </w:t>
      </w:r>
      <w:r>
        <w:rPr>
          <w:spacing w:val="-2"/>
        </w:rPr>
        <w:t>que</w:t>
      </w:r>
      <w:r>
        <w:rPr>
          <w:spacing w:val="-5"/>
        </w:rPr>
        <w:t> </w:t>
      </w:r>
      <w:r>
        <w:rPr>
          <w:spacing w:val="-2"/>
        </w:rPr>
        <w:t>esté</w:t>
      </w:r>
      <w:r>
        <w:rPr>
          <w:spacing w:val="-7"/>
        </w:rPr>
        <w:t> </w:t>
      </w:r>
      <w:r>
        <w:rPr>
          <w:spacing w:val="-2"/>
        </w:rPr>
        <w:t>prevista</w:t>
      </w:r>
      <w:r>
        <w:rPr>
          <w:spacing w:val="-9"/>
        </w:rPr>
        <w:t> </w:t>
      </w:r>
      <w:r>
        <w:rPr>
          <w:spacing w:val="-2"/>
        </w:rPr>
        <w:t>su</w:t>
      </w:r>
      <w:r>
        <w:rPr>
          <w:spacing w:val="-7"/>
        </w:rPr>
        <w:t> </w:t>
      </w:r>
      <w:r>
        <w:rPr>
          <w:spacing w:val="-2"/>
        </w:rPr>
        <w:t>utilización</w:t>
      </w:r>
      <w:r>
        <w:rPr>
          <w:spacing w:val="-5"/>
        </w:rPr>
        <w:t> </w:t>
      </w:r>
      <w:r>
        <w:rPr>
          <w:spacing w:val="-2"/>
        </w:rPr>
        <w:t>durante</w:t>
      </w:r>
      <w:r>
        <w:rPr>
          <w:spacing w:val="-5"/>
        </w:rPr>
        <w:t> </w:t>
      </w:r>
      <w:r>
        <w:rPr>
          <w:spacing w:val="-2"/>
        </w:rPr>
        <w:t>varios</w:t>
      </w:r>
      <w:r>
        <w:rPr>
          <w:spacing w:val="-6"/>
        </w:rPr>
        <w:t> </w:t>
      </w:r>
      <w:r>
        <w:rPr>
          <w:spacing w:val="-2"/>
        </w:rPr>
        <w:t>años).</w:t>
      </w:r>
      <w:r>
        <w:rPr>
          <w:spacing w:val="-7"/>
        </w:rPr>
        <w:t> </w:t>
      </w:r>
      <w:r>
        <w:rPr>
          <w:spacing w:val="-2"/>
        </w:rPr>
        <w:t>La</w:t>
      </w:r>
      <w:r>
        <w:rPr>
          <w:spacing w:val="-7"/>
        </w:rPr>
        <w:t> </w:t>
      </w:r>
      <w:r>
        <w:rPr>
          <w:spacing w:val="-2"/>
        </w:rPr>
        <w:t>vida</w:t>
      </w:r>
      <w:r>
        <w:rPr>
          <w:spacing w:val="-7"/>
        </w:rPr>
        <w:t> </w:t>
      </w:r>
      <w:r>
        <w:rPr>
          <w:spacing w:val="-2"/>
        </w:rPr>
        <w:t>útil</w:t>
      </w:r>
      <w:r>
        <w:rPr>
          <w:spacing w:val="-8"/>
        </w:rPr>
        <w:t> </w:t>
      </w:r>
      <w:r>
        <w:rPr>
          <w:spacing w:val="-2"/>
        </w:rPr>
        <w:t>de </w:t>
      </w:r>
      <w:r>
        <w:rPr/>
        <w:t>estos elementos se estima en 5 años</w:t>
      </w:r>
    </w:p>
    <w:p>
      <w:pPr>
        <w:pStyle w:val="BodyText"/>
        <w:tabs>
          <w:tab w:pos="7639" w:val="left" w:leader="none"/>
        </w:tabs>
        <w:spacing w:before="230"/>
        <w:ind w:left="2757" w:right="3098"/>
        <w:jc w:val="both"/>
      </w:pPr>
      <w:r>
        <w:rPr/>
        <w:t>Software de equipos informáticos</w:t>
        <w:tab/>
        <w:t>20</w:t>
      </w:r>
      <w:r>
        <w:rPr>
          <w:spacing w:val="-14"/>
        </w:rPr>
        <w:t> </w:t>
      </w:r>
      <w:r>
        <w:rPr/>
        <w:t>% Software de equipos de seguimiento de vehículos</w:t>
        <w:tab/>
        <w:t>20</w:t>
      </w:r>
      <w:r>
        <w:rPr>
          <w:spacing w:val="-14"/>
        </w:rPr>
        <w:t> </w:t>
      </w:r>
      <w:r>
        <w:rPr/>
        <w:t>% </w:t>
      </w:r>
      <w:r>
        <w:rPr>
          <w:spacing w:val="-4"/>
        </w:rPr>
        <w:t>Software de</w:t>
      </w:r>
      <w:r>
        <w:rPr>
          <w:spacing w:val="-6"/>
        </w:rPr>
        <w:t> </w:t>
      </w:r>
      <w:r>
        <w:rPr>
          <w:spacing w:val="-4"/>
        </w:rPr>
        <w:t>máquinas</w:t>
      </w:r>
      <w:r>
        <w:rPr>
          <w:spacing w:val="-2"/>
        </w:rPr>
        <w:t> </w:t>
      </w:r>
      <w:r>
        <w:rPr>
          <w:spacing w:val="-4"/>
        </w:rPr>
        <w:t>canceladoras</w:t>
      </w:r>
      <w:r>
        <w:rPr>
          <w:spacing w:val="-3"/>
        </w:rPr>
        <w:t> </w:t>
      </w:r>
      <w:r>
        <w:rPr>
          <w:spacing w:val="-4"/>
        </w:rPr>
        <w:t>de</w:t>
      </w:r>
      <w:r>
        <w:rPr>
          <w:spacing w:val="-5"/>
        </w:rPr>
        <w:t> </w:t>
      </w:r>
      <w:r>
        <w:rPr>
          <w:spacing w:val="-4"/>
        </w:rPr>
        <w:t>billetes</w:t>
      </w:r>
      <w:r>
        <w:rPr/>
        <w:tab/>
        <w:t>20</w:t>
      </w:r>
      <w:r>
        <w:rPr>
          <w:spacing w:val="-12"/>
        </w:rPr>
        <w:t> </w:t>
      </w:r>
      <w:r>
        <w:rPr>
          <w:spacing w:val="-10"/>
        </w:rPr>
        <w:t>%</w:t>
      </w:r>
    </w:p>
    <w:p>
      <w:pPr>
        <w:pStyle w:val="BodyText"/>
        <w:spacing w:before="1"/>
      </w:pPr>
    </w:p>
    <w:p>
      <w:pPr>
        <w:pStyle w:val="BodyText"/>
        <w:ind w:left="1795" w:right="1332"/>
        <w:jc w:val="both"/>
      </w:pPr>
      <w:r>
        <w:rPr/>
        <w:t>Las reparaciones que no representan una ampliación de la vida útil y los costes de mantenimiento</w:t>
      </w:r>
      <w:r>
        <w:rPr>
          <w:spacing w:val="-10"/>
        </w:rPr>
        <w:t> </w:t>
      </w:r>
      <w:r>
        <w:rPr/>
        <w:t>son</w:t>
      </w:r>
      <w:r>
        <w:rPr>
          <w:spacing w:val="-9"/>
        </w:rPr>
        <w:t> </w:t>
      </w:r>
      <w:r>
        <w:rPr/>
        <w:t>cargados</w:t>
      </w:r>
      <w:r>
        <w:rPr>
          <w:spacing w:val="-7"/>
        </w:rPr>
        <w:t> </w:t>
      </w:r>
      <w:r>
        <w:rPr/>
        <w:t>en</w:t>
      </w:r>
      <w:r>
        <w:rPr>
          <w:spacing w:val="-9"/>
        </w:rPr>
        <w:t> </w:t>
      </w:r>
      <w:r>
        <w:rPr/>
        <w:t>la</w:t>
      </w:r>
      <w:r>
        <w:rPr>
          <w:spacing w:val="-10"/>
        </w:rPr>
        <w:t> </w:t>
      </w:r>
      <w:r>
        <w:rPr/>
        <w:t>cuenta</w:t>
      </w:r>
      <w:r>
        <w:rPr>
          <w:spacing w:val="-9"/>
        </w:rPr>
        <w:t> </w:t>
      </w:r>
      <w:r>
        <w:rPr/>
        <w:t>de</w:t>
      </w:r>
      <w:r>
        <w:rPr>
          <w:spacing w:val="-9"/>
        </w:rPr>
        <w:t> </w:t>
      </w:r>
      <w:r>
        <w:rPr/>
        <w:t>pérdidas</w:t>
      </w:r>
      <w:r>
        <w:rPr>
          <w:spacing w:val="-10"/>
        </w:rPr>
        <w:t> </w:t>
      </w:r>
      <w:r>
        <w:rPr/>
        <w:t>y</w:t>
      </w:r>
      <w:r>
        <w:rPr>
          <w:spacing w:val="-10"/>
        </w:rPr>
        <w:t> </w:t>
      </w:r>
      <w:r>
        <w:rPr/>
        <w:t>ganancias</w:t>
      </w:r>
      <w:r>
        <w:rPr>
          <w:spacing w:val="-7"/>
        </w:rPr>
        <w:t> </w:t>
      </w:r>
      <w:r>
        <w:rPr/>
        <w:t>en</w:t>
      </w:r>
      <w:r>
        <w:rPr>
          <w:spacing w:val="-9"/>
        </w:rPr>
        <w:t> </w:t>
      </w:r>
      <w:r>
        <w:rPr/>
        <w:t>el</w:t>
      </w:r>
      <w:r>
        <w:rPr>
          <w:spacing w:val="-9"/>
        </w:rPr>
        <w:t> </w:t>
      </w:r>
      <w:r>
        <w:rPr/>
        <w:t>ejercicio</w:t>
      </w:r>
      <w:r>
        <w:rPr>
          <w:spacing w:val="-10"/>
        </w:rPr>
        <w:t> </w:t>
      </w:r>
      <w:r>
        <w:rPr/>
        <w:t>en</w:t>
      </w:r>
      <w:r>
        <w:rPr>
          <w:spacing w:val="-9"/>
        </w:rPr>
        <w:t> </w:t>
      </w:r>
      <w:r>
        <w:rPr/>
        <w:t>que</w:t>
      </w:r>
      <w:r>
        <w:rPr>
          <w:spacing w:val="-9"/>
        </w:rPr>
        <w:t> </w:t>
      </w:r>
      <w:r>
        <w:rPr/>
        <w:t>se </w:t>
      </w:r>
      <w:r>
        <w:rPr>
          <w:spacing w:val="-2"/>
        </w:rPr>
        <w:t>producen.</w:t>
      </w:r>
    </w:p>
    <w:p>
      <w:pPr>
        <w:pStyle w:val="Heading4"/>
        <w:spacing w:before="229"/>
        <w:rPr>
          <w:i/>
          <w:u w:val="none"/>
        </w:rPr>
      </w:pPr>
      <w:r>
        <w:rPr>
          <w:i/>
          <w:u w:val="single"/>
        </w:rPr>
        <w:t>Otro</w:t>
      </w:r>
      <w:r>
        <w:rPr>
          <w:i/>
          <w:spacing w:val="-11"/>
          <w:u w:val="single"/>
        </w:rPr>
        <w:t> </w:t>
      </w:r>
      <w:r>
        <w:rPr>
          <w:i/>
          <w:u w:val="single"/>
        </w:rPr>
        <w:t>Inmovilizado</w:t>
      </w:r>
      <w:r>
        <w:rPr>
          <w:i/>
          <w:spacing w:val="-10"/>
          <w:u w:val="single"/>
        </w:rPr>
        <w:t> </w:t>
      </w:r>
      <w:r>
        <w:rPr>
          <w:i/>
          <w:spacing w:val="-2"/>
          <w:u w:val="single"/>
        </w:rPr>
        <w:t>intangible.</w:t>
      </w:r>
    </w:p>
    <w:p>
      <w:pPr>
        <w:pStyle w:val="BodyText"/>
        <w:spacing w:before="1"/>
        <w:rPr>
          <w:b/>
          <w:i/>
        </w:rPr>
      </w:pPr>
    </w:p>
    <w:p>
      <w:pPr>
        <w:pStyle w:val="BodyText"/>
        <w:ind w:left="1795" w:right="1333"/>
        <w:jc w:val="both"/>
      </w:pPr>
      <w:r>
        <w:rPr/>
        <w:t>Con</w:t>
      </w:r>
      <w:r>
        <w:rPr>
          <w:spacing w:val="-7"/>
        </w:rPr>
        <w:t> </w:t>
      </w:r>
      <w:r>
        <w:rPr/>
        <w:t>fecha</w:t>
      </w:r>
      <w:r>
        <w:rPr>
          <w:spacing w:val="-9"/>
        </w:rPr>
        <w:t> </w:t>
      </w:r>
      <w:r>
        <w:rPr/>
        <w:t>07</w:t>
      </w:r>
      <w:r>
        <w:rPr>
          <w:spacing w:val="-7"/>
        </w:rPr>
        <w:t> </w:t>
      </w:r>
      <w:r>
        <w:rPr/>
        <w:t>de</w:t>
      </w:r>
      <w:r>
        <w:rPr>
          <w:spacing w:val="-7"/>
        </w:rPr>
        <w:t> </w:t>
      </w:r>
      <w:r>
        <w:rPr/>
        <w:t>marzo</w:t>
      </w:r>
      <w:r>
        <w:rPr>
          <w:spacing w:val="-7"/>
        </w:rPr>
        <w:t> </w:t>
      </w:r>
      <w:r>
        <w:rPr/>
        <w:t>de</w:t>
      </w:r>
      <w:r>
        <w:rPr>
          <w:spacing w:val="-5"/>
        </w:rPr>
        <w:t> </w:t>
      </w:r>
      <w:r>
        <w:rPr/>
        <w:t>2019</w:t>
      </w:r>
      <w:r>
        <w:rPr>
          <w:spacing w:val="-9"/>
        </w:rPr>
        <w:t> </w:t>
      </w:r>
      <w:r>
        <w:rPr/>
        <w:t>se</w:t>
      </w:r>
      <w:r>
        <w:rPr>
          <w:spacing w:val="-7"/>
        </w:rPr>
        <w:t> </w:t>
      </w:r>
      <w:r>
        <w:rPr/>
        <w:t>le</w:t>
      </w:r>
      <w:r>
        <w:rPr>
          <w:spacing w:val="-4"/>
        </w:rPr>
        <w:t> </w:t>
      </w:r>
      <w:r>
        <w:rPr/>
        <w:t>otorga,</w:t>
      </w:r>
      <w:r>
        <w:rPr>
          <w:spacing w:val="-9"/>
        </w:rPr>
        <w:t> </w:t>
      </w:r>
      <w:r>
        <w:rPr/>
        <w:t>por</w:t>
      </w:r>
      <w:r>
        <w:rPr>
          <w:spacing w:val="-6"/>
        </w:rPr>
        <w:t> </w:t>
      </w:r>
      <w:r>
        <w:rPr/>
        <w:t>parte</w:t>
      </w:r>
      <w:r>
        <w:rPr>
          <w:spacing w:val="-5"/>
        </w:rPr>
        <w:t> </w:t>
      </w:r>
      <w:r>
        <w:rPr/>
        <w:t>del</w:t>
      </w:r>
      <w:r>
        <w:rPr>
          <w:spacing w:val="-6"/>
        </w:rPr>
        <w:t> </w:t>
      </w:r>
      <w:r>
        <w:rPr/>
        <w:t>Ayuntamiento</w:t>
      </w:r>
      <w:r>
        <w:rPr>
          <w:spacing w:val="-7"/>
        </w:rPr>
        <w:t> </w:t>
      </w:r>
      <w:r>
        <w:rPr/>
        <w:t>de</w:t>
      </w:r>
      <w:r>
        <w:rPr>
          <w:spacing w:val="-9"/>
        </w:rPr>
        <w:t> </w:t>
      </w:r>
      <w:r>
        <w:rPr/>
        <w:t>Las</w:t>
      </w:r>
      <w:r>
        <w:rPr>
          <w:spacing w:val="-5"/>
        </w:rPr>
        <w:t> </w:t>
      </w:r>
      <w:r>
        <w:rPr/>
        <w:t>Palmas</w:t>
      </w:r>
      <w:r>
        <w:rPr>
          <w:spacing w:val="-5"/>
        </w:rPr>
        <w:t> </w:t>
      </w:r>
      <w:r>
        <w:rPr/>
        <w:t>de </w:t>
      </w:r>
      <w:r>
        <w:rPr>
          <w:spacing w:val="-2"/>
        </w:rPr>
        <w:t>Gran</w:t>
      </w:r>
      <w:r>
        <w:rPr>
          <w:spacing w:val="-12"/>
        </w:rPr>
        <w:t> </w:t>
      </w:r>
      <w:r>
        <w:rPr>
          <w:spacing w:val="-2"/>
        </w:rPr>
        <w:t>Canaria,</w:t>
      </w:r>
      <w:r>
        <w:rPr>
          <w:spacing w:val="-11"/>
        </w:rPr>
        <w:t> </w:t>
      </w:r>
      <w:r>
        <w:rPr>
          <w:spacing w:val="-2"/>
        </w:rPr>
        <w:t>a</w:t>
      </w:r>
      <w:r>
        <w:rPr>
          <w:spacing w:val="-10"/>
        </w:rPr>
        <w:t> </w:t>
      </w:r>
      <w:r>
        <w:rPr>
          <w:spacing w:val="-2"/>
        </w:rPr>
        <w:t>la</w:t>
      </w:r>
      <w:r>
        <w:rPr>
          <w:spacing w:val="-10"/>
        </w:rPr>
        <w:t> </w:t>
      </w:r>
      <w:r>
        <w:rPr>
          <w:spacing w:val="-2"/>
        </w:rPr>
        <w:t>empresa</w:t>
      </w:r>
      <w:r>
        <w:rPr>
          <w:spacing w:val="-12"/>
        </w:rPr>
        <w:t> </w:t>
      </w:r>
      <w:r>
        <w:rPr>
          <w:spacing w:val="-2"/>
        </w:rPr>
        <w:t>Guaguas</w:t>
      </w:r>
      <w:r>
        <w:rPr>
          <w:spacing w:val="-9"/>
        </w:rPr>
        <w:t> </w:t>
      </w:r>
      <w:r>
        <w:rPr>
          <w:spacing w:val="-2"/>
        </w:rPr>
        <w:t>Municipales,</w:t>
      </w:r>
      <w:r>
        <w:rPr>
          <w:spacing w:val="-11"/>
        </w:rPr>
        <w:t> </w:t>
      </w:r>
      <w:r>
        <w:rPr>
          <w:spacing w:val="-2"/>
        </w:rPr>
        <w:t>S.A.U.</w:t>
      </w:r>
      <w:r>
        <w:rPr>
          <w:spacing w:val="-11"/>
        </w:rPr>
        <w:t> </w:t>
      </w:r>
      <w:r>
        <w:rPr>
          <w:spacing w:val="-2"/>
        </w:rPr>
        <w:t>la</w:t>
      </w:r>
      <w:r>
        <w:rPr>
          <w:spacing w:val="-12"/>
        </w:rPr>
        <w:t> </w:t>
      </w:r>
      <w:r>
        <w:rPr>
          <w:spacing w:val="-2"/>
        </w:rPr>
        <w:t>concesión</w:t>
      </w:r>
      <w:r>
        <w:rPr>
          <w:spacing w:val="-10"/>
        </w:rPr>
        <w:t> </w:t>
      </w:r>
      <w:r>
        <w:rPr>
          <w:spacing w:val="-2"/>
        </w:rPr>
        <w:t>de</w:t>
      </w:r>
      <w:r>
        <w:rPr>
          <w:spacing w:val="-10"/>
        </w:rPr>
        <w:t> </w:t>
      </w:r>
      <w:r>
        <w:rPr>
          <w:spacing w:val="-2"/>
        </w:rPr>
        <w:t>dominio</w:t>
      </w:r>
      <w:r>
        <w:rPr>
          <w:spacing w:val="-12"/>
        </w:rPr>
        <w:t> </w:t>
      </w:r>
      <w:r>
        <w:rPr>
          <w:spacing w:val="-2"/>
        </w:rPr>
        <w:t>público</w:t>
      </w:r>
      <w:r>
        <w:rPr>
          <w:spacing w:val="-10"/>
        </w:rPr>
        <w:t> </w:t>
      </w:r>
      <w:r>
        <w:rPr>
          <w:spacing w:val="-2"/>
        </w:rPr>
        <w:t>en </w:t>
      </w:r>
      <w:r>
        <w:rPr/>
        <w:t>relación</w:t>
      </w:r>
      <w:r>
        <w:rPr>
          <w:spacing w:val="-12"/>
        </w:rPr>
        <w:t> </w:t>
      </w:r>
      <w:r>
        <w:rPr/>
        <w:t>con</w:t>
      </w:r>
      <w:r>
        <w:rPr>
          <w:spacing w:val="-12"/>
        </w:rPr>
        <w:t> </w:t>
      </w:r>
      <w:r>
        <w:rPr/>
        <w:t>la</w:t>
      </w:r>
      <w:r>
        <w:rPr>
          <w:spacing w:val="-12"/>
        </w:rPr>
        <w:t> </w:t>
      </w:r>
      <w:r>
        <w:rPr/>
        <w:t>superficie</w:t>
      </w:r>
      <w:r>
        <w:rPr>
          <w:spacing w:val="-12"/>
        </w:rPr>
        <w:t> </w:t>
      </w:r>
      <w:r>
        <w:rPr/>
        <w:t>para</w:t>
      </w:r>
      <w:r>
        <w:rPr>
          <w:spacing w:val="-13"/>
        </w:rPr>
        <w:t> </w:t>
      </w:r>
      <w:r>
        <w:rPr/>
        <w:t>la</w:t>
      </w:r>
      <w:r>
        <w:rPr>
          <w:spacing w:val="-12"/>
        </w:rPr>
        <w:t> </w:t>
      </w:r>
      <w:r>
        <w:rPr/>
        <w:t>ejecución</w:t>
      </w:r>
      <w:r>
        <w:rPr>
          <w:spacing w:val="-12"/>
        </w:rPr>
        <w:t> </w:t>
      </w:r>
      <w:r>
        <w:rPr/>
        <w:t>e</w:t>
      </w:r>
      <w:r>
        <w:rPr>
          <w:spacing w:val="-12"/>
        </w:rPr>
        <w:t> </w:t>
      </w:r>
      <w:r>
        <w:rPr/>
        <w:t>implantación</w:t>
      </w:r>
      <w:r>
        <w:rPr>
          <w:spacing w:val="-12"/>
        </w:rPr>
        <w:t> </w:t>
      </w:r>
      <w:r>
        <w:rPr/>
        <w:t>del</w:t>
      </w:r>
      <w:r>
        <w:rPr>
          <w:spacing w:val="-13"/>
        </w:rPr>
        <w:t> </w:t>
      </w:r>
      <w:r>
        <w:rPr/>
        <w:t>proyecto</w:t>
      </w:r>
      <w:r>
        <w:rPr>
          <w:spacing w:val="-11"/>
        </w:rPr>
        <w:t> </w:t>
      </w:r>
      <w:r>
        <w:rPr/>
        <w:t>Bus</w:t>
      </w:r>
      <w:r>
        <w:rPr>
          <w:spacing w:val="-11"/>
        </w:rPr>
        <w:t> </w:t>
      </w:r>
      <w:r>
        <w:rPr/>
        <w:t>Rapid</w:t>
      </w:r>
      <w:r>
        <w:rPr>
          <w:spacing w:val="-12"/>
        </w:rPr>
        <w:t> </w:t>
      </w:r>
      <w:r>
        <w:rPr/>
        <w:t>Transit</w:t>
      </w:r>
      <w:r>
        <w:rPr>
          <w:spacing w:val="-12"/>
        </w:rPr>
        <w:t> </w:t>
      </w:r>
      <w:r>
        <w:rPr/>
        <w:t>en las</w:t>
      </w:r>
      <w:r>
        <w:rPr>
          <w:spacing w:val="-4"/>
        </w:rPr>
        <w:t> </w:t>
      </w:r>
      <w:r>
        <w:rPr/>
        <w:t>calles</w:t>
      </w:r>
      <w:r>
        <w:rPr>
          <w:spacing w:val="-4"/>
        </w:rPr>
        <w:t> </w:t>
      </w:r>
      <w:r>
        <w:rPr/>
        <w:t>Pio</w:t>
      </w:r>
      <w:r>
        <w:rPr>
          <w:spacing w:val="-6"/>
        </w:rPr>
        <w:t> </w:t>
      </w:r>
      <w:r>
        <w:rPr/>
        <w:t>XII,</w:t>
      </w:r>
      <w:r>
        <w:rPr>
          <w:spacing w:val="-6"/>
        </w:rPr>
        <w:t> </w:t>
      </w:r>
      <w:r>
        <w:rPr/>
        <w:t>Paseo</w:t>
      </w:r>
      <w:r>
        <w:rPr>
          <w:spacing w:val="-7"/>
        </w:rPr>
        <w:t> </w:t>
      </w:r>
      <w:r>
        <w:rPr/>
        <w:t>Blas</w:t>
      </w:r>
      <w:r>
        <w:rPr>
          <w:spacing w:val="-4"/>
        </w:rPr>
        <w:t> </w:t>
      </w:r>
      <w:r>
        <w:rPr/>
        <w:t>Cabrera</w:t>
      </w:r>
      <w:r>
        <w:rPr>
          <w:spacing w:val="-9"/>
        </w:rPr>
        <w:t> </w:t>
      </w:r>
      <w:r>
        <w:rPr/>
        <w:t>Felipe</w:t>
      </w:r>
      <w:r>
        <w:rPr>
          <w:spacing w:val="-4"/>
        </w:rPr>
        <w:t> </w:t>
      </w:r>
      <w:r>
        <w:rPr/>
        <w:t>y</w:t>
      </w:r>
      <w:r>
        <w:rPr>
          <w:spacing w:val="-9"/>
        </w:rPr>
        <w:t> </w:t>
      </w:r>
      <w:r>
        <w:rPr/>
        <w:t>Avenida</w:t>
      </w:r>
      <w:r>
        <w:rPr>
          <w:spacing w:val="-7"/>
        </w:rPr>
        <w:t> </w:t>
      </w:r>
      <w:r>
        <w:rPr/>
        <w:t>José</w:t>
      </w:r>
      <w:r>
        <w:rPr>
          <w:spacing w:val="-6"/>
        </w:rPr>
        <w:t> </w:t>
      </w:r>
      <w:r>
        <w:rPr/>
        <w:t>Mesa</w:t>
      </w:r>
      <w:r>
        <w:rPr>
          <w:spacing w:val="-7"/>
        </w:rPr>
        <w:t> </w:t>
      </w:r>
      <w:r>
        <w:rPr/>
        <w:t>y</w:t>
      </w:r>
      <w:r>
        <w:rPr>
          <w:spacing w:val="-9"/>
        </w:rPr>
        <w:t> </w:t>
      </w:r>
      <w:r>
        <w:rPr/>
        <w:t>López</w:t>
      </w:r>
      <w:r>
        <w:rPr>
          <w:spacing w:val="-6"/>
        </w:rPr>
        <w:t> </w:t>
      </w:r>
      <w:r>
        <w:rPr/>
        <w:t>por</w:t>
      </w:r>
      <w:r>
        <w:rPr>
          <w:spacing w:val="-4"/>
        </w:rPr>
        <w:t> </w:t>
      </w:r>
      <w:r>
        <w:rPr/>
        <w:t>un</w:t>
      </w:r>
      <w:r>
        <w:rPr>
          <w:spacing w:val="-6"/>
        </w:rPr>
        <w:t> </w:t>
      </w:r>
      <w:r>
        <w:rPr/>
        <w:t>plazo</w:t>
      </w:r>
      <w:r>
        <w:rPr>
          <w:spacing w:val="-6"/>
        </w:rPr>
        <w:t> </w:t>
      </w:r>
      <w:r>
        <w:rPr/>
        <w:t>de 75 años.</w:t>
      </w:r>
    </w:p>
    <w:p>
      <w:pPr>
        <w:pStyle w:val="BodyText"/>
      </w:pPr>
    </w:p>
    <w:p>
      <w:pPr>
        <w:pStyle w:val="BodyText"/>
        <w:ind w:left="1795" w:right="1332"/>
        <w:jc w:val="both"/>
      </w:pPr>
      <w:r>
        <w:rPr/>
        <w:t>La concesión del uso del dominio público anterior no queda excluida de la aplicación de la “OM</w:t>
      </w:r>
      <w:r>
        <w:rPr>
          <w:spacing w:val="-8"/>
        </w:rPr>
        <w:t> </w:t>
      </w:r>
      <w:r>
        <w:rPr/>
        <w:t>EHA/3362/2010</w:t>
      </w:r>
      <w:r>
        <w:rPr>
          <w:spacing w:val="-8"/>
        </w:rPr>
        <w:t> </w:t>
      </w:r>
      <w:r>
        <w:rPr/>
        <w:t>de</w:t>
      </w:r>
      <w:r>
        <w:rPr>
          <w:spacing w:val="-8"/>
        </w:rPr>
        <w:t> </w:t>
      </w:r>
      <w:r>
        <w:rPr/>
        <w:t>23</w:t>
      </w:r>
      <w:r>
        <w:rPr>
          <w:spacing w:val="-7"/>
        </w:rPr>
        <w:t> </w:t>
      </w:r>
      <w:r>
        <w:rPr/>
        <w:t>de</w:t>
      </w:r>
      <w:r>
        <w:rPr>
          <w:spacing w:val="-8"/>
        </w:rPr>
        <w:t> </w:t>
      </w:r>
      <w:r>
        <w:rPr/>
        <w:t>diciembre,</w:t>
      </w:r>
      <w:r>
        <w:rPr>
          <w:spacing w:val="-7"/>
        </w:rPr>
        <w:t> </w:t>
      </w:r>
      <w:r>
        <w:rPr/>
        <w:t>por</w:t>
      </w:r>
      <w:r>
        <w:rPr>
          <w:spacing w:val="-8"/>
        </w:rPr>
        <w:t> </w:t>
      </w:r>
      <w:r>
        <w:rPr/>
        <w:t>la</w:t>
      </w:r>
      <w:r>
        <w:rPr>
          <w:spacing w:val="-8"/>
        </w:rPr>
        <w:t> </w:t>
      </w:r>
      <w:r>
        <w:rPr/>
        <w:t>que</w:t>
      </w:r>
      <w:r>
        <w:rPr>
          <w:spacing w:val="-10"/>
        </w:rPr>
        <w:t> </w:t>
      </w:r>
      <w:r>
        <w:rPr/>
        <w:t>se</w:t>
      </w:r>
      <w:r>
        <w:rPr>
          <w:spacing w:val="-8"/>
        </w:rPr>
        <w:t> </w:t>
      </w:r>
      <w:r>
        <w:rPr/>
        <w:t>aprueban</w:t>
      </w:r>
      <w:r>
        <w:rPr>
          <w:spacing w:val="-8"/>
        </w:rPr>
        <w:t> </w:t>
      </w:r>
      <w:r>
        <w:rPr/>
        <w:t>las</w:t>
      </w:r>
      <w:r>
        <w:rPr>
          <w:spacing w:val="-8"/>
        </w:rPr>
        <w:t> </w:t>
      </w:r>
      <w:r>
        <w:rPr/>
        <w:t>normas</w:t>
      </w:r>
      <w:r>
        <w:rPr>
          <w:spacing w:val="-7"/>
        </w:rPr>
        <w:t> </w:t>
      </w:r>
      <w:r>
        <w:rPr/>
        <w:t>de</w:t>
      </w:r>
      <w:r>
        <w:rPr>
          <w:spacing w:val="-8"/>
        </w:rPr>
        <w:t> </w:t>
      </w:r>
      <w:r>
        <w:rPr/>
        <w:t>adaptación </w:t>
      </w:r>
      <w:r>
        <w:rPr>
          <w:spacing w:val="-2"/>
        </w:rPr>
        <w:t>del</w:t>
      </w:r>
      <w:r>
        <w:rPr>
          <w:spacing w:val="-11"/>
        </w:rPr>
        <w:t> </w:t>
      </w:r>
      <w:r>
        <w:rPr>
          <w:spacing w:val="-2"/>
        </w:rPr>
        <w:t>Plan</w:t>
      </w:r>
      <w:r>
        <w:rPr>
          <w:spacing w:val="-12"/>
        </w:rPr>
        <w:t> </w:t>
      </w:r>
      <w:r>
        <w:rPr>
          <w:spacing w:val="-2"/>
        </w:rPr>
        <w:t>General</w:t>
      </w:r>
      <w:r>
        <w:rPr>
          <w:spacing w:val="-12"/>
        </w:rPr>
        <w:t> </w:t>
      </w:r>
      <w:r>
        <w:rPr>
          <w:spacing w:val="-2"/>
        </w:rPr>
        <w:t>de</w:t>
      </w:r>
      <w:r>
        <w:rPr>
          <w:spacing w:val="-12"/>
        </w:rPr>
        <w:t> </w:t>
      </w:r>
      <w:r>
        <w:rPr>
          <w:spacing w:val="-2"/>
        </w:rPr>
        <w:t>Contabilidad</w:t>
      </w:r>
      <w:r>
        <w:rPr>
          <w:spacing w:val="-11"/>
        </w:rPr>
        <w:t> </w:t>
      </w:r>
      <w:r>
        <w:rPr>
          <w:spacing w:val="-2"/>
        </w:rPr>
        <w:t>a</w:t>
      </w:r>
      <w:r>
        <w:rPr>
          <w:spacing w:val="-12"/>
        </w:rPr>
        <w:t> </w:t>
      </w:r>
      <w:r>
        <w:rPr>
          <w:spacing w:val="-2"/>
        </w:rPr>
        <w:t>las</w:t>
      </w:r>
      <w:r>
        <w:rPr>
          <w:spacing w:val="-11"/>
        </w:rPr>
        <w:t> </w:t>
      </w:r>
      <w:r>
        <w:rPr>
          <w:spacing w:val="-2"/>
        </w:rPr>
        <w:t>empresas</w:t>
      </w:r>
      <w:r>
        <w:rPr>
          <w:spacing w:val="-12"/>
        </w:rPr>
        <w:t> </w:t>
      </w:r>
      <w:r>
        <w:rPr>
          <w:spacing w:val="-2"/>
        </w:rPr>
        <w:t>concesionarias</w:t>
      </w:r>
      <w:r>
        <w:rPr>
          <w:spacing w:val="-10"/>
        </w:rPr>
        <w:t> </w:t>
      </w:r>
      <w:r>
        <w:rPr>
          <w:spacing w:val="-2"/>
        </w:rPr>
        <w:t>de</w:t>
      </w:r>
      <w:r>
        <w:rPr>
          <w:spacing w:val="-11"/>
        </w:rPr>
        <w:t> </w:t>
      </w:r>
      <w:r>
        <w:rPr>
          <w:spacing w:val="-2"/>
        </w:rPr>
        <w:t>infraestructuras</w:t>
      </w:r>
      <w:r>
        <w:rPr>
          <w:spacing w:val="-12"/>
        </w:rPr>
        <w:t> </w:t>
      </w:r>
      <w:r>
        <w:rPr>
          <w:spacing w:val="-2"/>
        </w:rPr>
        <w:t>públicas” </w:t>
      </w:r>
      <w:r>
        <w:rPr/>
        <w:t>ya</w:t>
      </w:r>
      <w:r>
        <w:rPr>
          <w:spacing w:val="-7"/>
        </w:rPr>
        <w:t> </w:t>
      </w:r>
      <w:r>
        <w:rPr/>
        <w:t>que</w:t>
      </w:r>
      <w:r>
        <w:rPr>
          <w:spacing w:val="-10"/>
        </w:rPr>
        <w:t> </w:t>
      </w:r>
      <w:r>
        <w:rPr/>
        <w:t>reúne</w:t>
      </w:r>
      <w:r>
        <w:rPr>
          <w:spacing w:val="-8"/>
        </w:rPr>
        <w:t> </w:t>
      </w:r>
      <w:r>
        <w:rPr/>
        <w:t>los</w:t>
      </w:r>
      <w:r>
        <w:rPr>
          <w:spacing w:val="-9"/>
        </w:rPr>
        <w:t> </w:t>
      </w:r>
      <w:r>
        <w:rPr/>
        <w:t>requisitos</w:t>
      </w:r>
      <w:r>
        <w:rPr>
          <w:spacing w:val="-9"/>
        </w:rPr>
        <w:t> </w:t>
      </w:r>
      <w:r>
        <w:rPr/>
        <w:t>establecidos</w:t>
      </w:r>
      <w:r>
        <w:rPr>
          <w:spacing w:val="-7"/>
        </w:rPr>
        <w:t> </w:t>
      </w:r>
      <w:r>
        <w:rPr/>
        <w:t>en</w:t>
      </w:r>
      <w:r>
        <w:rPr>
          <w:spacing w:val="-8"/>
        </w:rPr>
        <w:t> </w:t>
      </w:r>
      <w:r>
        <w:rPr/>
        <w:t>la</w:t>
      </w:r>
      <w:r>
        <w:rPr>
          <w:spacing w:val="-8"/>
        </w:rPr>
        <w:t> </w:t>
      </w:r>
      <w:r>
        <w:rPr/>
        <w:t>Orden</w:t>
      </w:r>
      <w:r>
        <w:rPr>
          <w:spacing w:val="-10"/>
        </w:rPr>
        <w:t> </w:t>
      </w:r>
      <w:r>
        <w:rPr/>
        <w:t>para</w:t>
      </w:r>
      <w:r>
        <w:rPr>
          <w:spacing w:val="-8"/>
        </w:rPr>
        <w:t> </w:t>
      </w:r>
      <w:r>
        <w:rPr/>
        <w:t>su</w:t>
      </w:r>
      <w:r>
        <w:rPr>
          <w:spacing w:val="-8"/>
        </w:rPr>
        <w:t> </w:t>
      </w:r>
      <w:r>
        <w:rPr/>
        <w:t>aplicación:</w:t>
      </w:r>
    </w:p>
    <w:p>
      <w:pPr>
        <w:pStyle w:val="BodyText"/>
      </w:pPr>
    </w:p>
    <w:p>
      <w:pPr>
        <w:pStyle w:val="BodyText"/>
        <w:ind w:left="1795" w:right="1337"/>
        <w:jc w:val="both"/>
      </w:pPr>
      <w:r>
        <w:rPr/>
        <mc:AlternateContent>
          <mc:Choice Requires="wps">
            <w:drawing>
              <wp:anchor distT="0" distB="0" distL="0" distR="0" allowOverlap="1" layoutInCell="1" locked="0" behindDoc="0" simplePos="0" relativeHeight="15745024">
                <wp:simplePos x="0" y="0"/>
                <wp:positionH relativeFrom="page">
                  <wp:posOffset>6966436</wp:posOffset>
                </wp:positionH>
                <wp:positionV relativeFrom="paragraph">
                  <wp:posOffset>95175</wp:posOffset>
                </wp:positionV>
                <wp:extent cx="263525" cy="32759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494111pt;width:20.75pt;height:257.95pt;mso-position-horizontal-relative:page;mso-position-vertical-relative:paragraph;z-index:15745024" type="#_x0000_t202" id="docshape8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15</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-El Ayuntamiento de Las Palmas de Gran Canaria (concedente) controla o regula qué servicios</w:t>
      </w:r>
      <w:r>
        <w:rPr>
          <w:spacing w:val="-8"/>
        </w:rPr>
        <w:t> </w:t>
      </w:r>
      <w:r>
        <w:rPr/>
        <w:t>públicos</w:t>
      </w:r>
      <w:r>
        <w:rPr>
          <w:spacing w:val="-8"/>
        </w:rPr>
        <w:t> </w:t>
      </w:r>
      <w:r>
        <w:rPr/>
        <w:t>debe</w:t>
      </w:r>
      <w:r>
        <w:rPr>
          <w:spacing w:val="-9"/>
        </w:rPr>
        <w:t> </w:t>
      </w:r>
      <w:r>
        <w:rPr/>
        <w:t>prestar</w:t>
      </w:r>
      <w:r>
        <w:rPr>
          <w:spacing w:val="-8"/>
        </w:rPr>
        <w:t> </w:t>
      </w:r>
      <w:r>
        <w:rPr/>
        <w:t>Guaguas</w:t>
      </w:r>
      <w:r>
        <w:rPr>
          <w:spacing w:val="-8"/>
        </w:rPr>
        <w:t> </w:t>
      </w:r>
      <w:r>
        <w:rPr/>
        <w:t>Municipales,</w:t>
      </w:r>
      <w:r>
        <w:rPr>
          <w:spacing w:val="-10"/>
        </w:rPr>
        <w:t> </w:t>
      </w:r>
      <w:r>
        <w:rPr/>
        <w:t>S.A.U.</w:t>
      </w:r>
      <w:r>
        <w:rPr>
          <w:spacing w:val="-8"/>
        </w:rPr>
        <w:t> </w:t>
      </w:r>
      <w:r>
        <w:rPr/>
        <w:t>con</w:t>
      </w:r>
      <w:r>
        <w:rPr>
          <w:spacing w:val="-9"/>
        </w:rPr>
        <w:t> </w:t>
      </w:r>
      <w:r>
        <w:rPr/>
        <w:t>la</w:t>
      </w:r>
      <w:r>
        <w:rPr>
          <w:spacing w:val="-8"/>
        </w:rPr>
        <w:t> </w:t>
      </w:r>
      <w:r>
        <w:rPr/>
        <w:t>infraestructura,</w:t>
      </w:r>
      <w:r>
        <w:rPr>
          <w:spacing w:val="-8"/>
        </w:rPr>
        <w:t> </w:t>
      </w:r>
      <w:r>
        <w:rPr/>
        <w:t>a</w:t>
      </w:r>
      <w:r>
        <w:rPr>
          <w:spacing w:val="-9"/>
        </w:rPr>
        <w:t> </w:t>
      </w:r>
      <w:r>
        <w:rPr/>
        <w:t>quién debe prestarlos y a qué precio; y</w:t>
      </w:r>
    </w:p>
    <w:p>
      <w:pPr>
        <w:pStyle w:val="BodyText"/>
        <w:ind w:left="1795" w:right="1337"/>
        <w:jc w:val="both"/>
      </w:pPr>
      <w:r>
        <w:rPr/>
        <w:t>-Que la entidad concedente controla cualquier participación residual significativa en la infraestructura</w:t>
      </w:r>
      <w:r>
        <w:rPr>
          <w:spacing w:val="-1"/>
        </w:rPr>
        <w:t> </w:t>
      </w:r>
      <w:r>
        <w:rPr/>
        <w:t>al</w:t>
      </w:r>
      <w:r>
        <w:rPr>
          <w:spacing w:val="-6"/>
        </w:rPr>
        <w:t> </w:t>
      </w:r>
      <w:r>
        <w:rPr/>
        <w:t>final</w:t>
      </w:r>
      <w:r>
        <w:rPr>
          <w:spacing w:val="-1"/>
        </w:rPr>
        <w:t> </w:t>
      </w:r>
      <w:r>
        <w:rPr/>
        <w:t>del</w:t>
      </w:r>
      <w:r>
        <w:rPr>
          <w:spacing w:val="-1"/>
        </w:rPr>
        <w:t> </w:t>
      </w:r>
      <w:r>
        <w:rPr/>
        <w:t>plazo del</w:t>
      </w:r>
      <w:r>
        <w:rPr>
          <w:spacing w:val="-1"/>
        </w:rPr>
        <w:t> </w:t>
      </w:r>
      <w:r>
        <w:rPr/>
        <w:t>acuerdo.</w:t>
      </w:r>
    </w:p>
    <w:p>
      <w:pPr>
        <w:pStyle w:val="BodyText"/>
      </w:pPr>
    </w:p>
    <w:p>
      <w:pPr>
        <w:pStyle w:val="BodyText"/>
        <w:ind w:left="1795" w:right="1332"/>
        <w:jc w:val="both"/>
      </w:pPr>
      <w:r>
        <w:rPr/>
        <w:t>El</w:t>
      </w:r>
      <w:r>
        <w:rPr>
          <w:spacing w:val="-7"/>
        </w:rPr>
        <w:t> </w:t>
      </w:r>
      <w:r>
        <w:rPr/>
        <w:t>modelo</w:t>
      </w:r>
      <w:r>
        <w:rPr>
          <w:spacing w:val="-8"/>
        </w:rPr>
        <w:t> </w:t>
      </w:r>
      <w:r>
        <w:rPr/>
        <w:t>que</w:t>
      </w:r>
      <w:r>
        <w:rPr>
          <w:spacing w:val="-9"/>
        </w:rPr>
        <w:t> </w:t>
      </w:r>
      <w:r>
        <w:rPr/>
        <w:t>mejor</w:t>
      </w:r>
      <w:r>
        <w:rPr>
          <w:spacing w:val="-6"/>
        </w:rPr>
        <w:t> </w:t>
      </w:r>
      <w:r>
        <w:rPr/>
        <w:t>se</w:t>
      </w:r>
      <w:r>
        <w:rPr>
          <w:spacing w:val="-6"/>
        </w:rPr>
        <w:t> </w:t>
      </w:r>
      <w:r>
        <w:rPr/>
        <w:t>adapta</w:t>
      </w:r>
      <w:r>
        <w:rPr>
          <w:spacing w:val="-8"/>
        </w:rPr>
        <w:t> </w:t>
      </w:r>
      <w:r>
        <w:rPr/>
        <w:t>a</w:t>
      </w:r>
      <w:r>
        <w:rPr>
          <w:spacing w:val="-6"/>
        </w:rPr>
        <w:t> </w:t>
      </w:r>
      <w:r>
        <w:rPr/>
        <w:t>las</w:t>
      </w:r>
      <w:r>
        <w:rPr>
          <w:spacing w:val="-5"/>
        </w:rPr>
        <w:t> </w:t>
      </w:r>
      <w:r>
        <w:rPr/>
        <w:t>características</w:t>
      </w:r>
      <w:r>
        <w:rPr>
          <w:spacing w:val="-5"/>
        </w:rPr>
        <w:t> </w:t>
      </w:r>
      <w:r>
        <w:rPr/>
        <w:t>de</w:t>
      </w:r>
      <w:r>
        <w:rPr>
          <w:spacing w:val="-9"/>
        </w:rPr>
        <w:t> </w:t>
      </w:r>
      <w:r>
        <w:rPr/>
        <w:t>la</w:t>
      </w:r>
      <w:r>
        <w:rPr>
          <w:spacing w:val="-8"/>
        </w:rPr>
        <w:t> </w:t>
      </w:r>
      <w:r>
        <w:rPr/>
        <w:t>concesión</w:t>
      </w:r>
      <w:r>
        <w:rPr>
          <w:spacing w:val="-6"/>
        </w:rPr>
        <w:t> </w:t>
      </w:r>
      <w:r>
        <w:rPr/>
        <w:t>es</w:t>
      </w:r>
      <w:r>
        <w:rPr>
          <w:spacing w:val="-5"/>
        </w:rPr>
        <w:t> </w:t>
      </w:r>
      <w:r>
        <w:rPr/>
        <w:t>el</w:t>
      </w:r>
      <w:r>
        <w:rPr>
          <w:spacing w:val="-9"/>
        </w:rPr>
        <w:t> </w:t>
      </w:r>
      <w:r>
        <w:rPr/>
        <w:t>modelo</w:t>
      </w:r>
      <w:r>
        <w:rPr>
          <w:spacing w:val="-8"/>
        </w:rPr>
        <w:t> </w:t>
      </w:r>
      <w:r>
        <w:rPr/>
        <w:t>del</w:t>
      </w:r>
      <w:r>
        <w:rPr>
          <w:spacing w:val="-7"/>
        </w:rPr>
        <w:t> </w:t>
      </w:r>
      <w:r>
        <w:rPr/>
        <w:t>activo intangible, por el cual la sociedad reconoce un inmovilizado intangible (anticipo), por las construcciones</w:t>
      </w:r>
      <w:r>
        <w:rPr>
          <w:spacing w:val="-5"/>
        </w:rPr>
        <w:t> </w:t>
      </w:r>
      <w:r>
        <w:rPr/>
        <w:t>que</w:t>
      </w:r>
      <w:r>
        <w:rPr>
          <w:spacing w:val="-8"/>
        </w:rPr>
        <w:t> </w:t>
      </w:r>
      <w:r>
        <w:rPr/>
        <w:t>se</w:t>
      </w:r>
      <w:r>
        <w:rPr>
          <w:spacing w:val="-7"/>
        </w:rPr>
        <w:t> </w:t>
      </w:r>
      <w:r>
        <w:rPr/>
        <w:t>están</w:t>
      </w:r>
      <w:r>
        <w:rPr>
          <w:spacing w:val="-7"/>
        </w:rPr>
        <w:t> </w:t>
      </w:r>
      <w:r>
        <w:rPr/>
        <w:t>llevando</w:t>
      </w:r>
      <w:r>
        <w:rPr>
          <w:spacing w:val="-5"/>
        </w:rPr>
        <w:t> </w:t>
      </w:r>
      <w:r>
        <w:rPr/>
        <w:t>a</w:t>
      </w:r>
      <w:r>
        <w:rPr>
          <w:spacing w:val="-7"/>
        </w:rPr>
        <w:t> </w:t>
      </w:r>
      <w:r>
        <w:rPr/>
        <w:t>cabo</w:t>
      </w:r>
      <w:r>
        <w:rPr>
          <w:spacing w:val="-7"/>
        </w:rPr>
        <w:t> </w:t>
      </w:r>
      <w:r>
        <w:rPr/>
        <w:t>por</w:t>
      </w:r>
      <w:r>
        <w:rPr>
          <w:spacing w:val="-6"/>
        </w:rPr>
        <w:t> </w:t>
      </w:r>
      <w:r>
        <w:rPr/>
        <w:t>parte</w:t>
      </w:r>
      <w:r>
        <w:rPr>
          <w:spacing w:val="-7"/>
        </w:rPr>
        <w:t> </w:t>
      </w:r>
      <w:r>
        <w:rPr/>
        <w:t>de</w:t>
      </w:r>
      <w:r>
        <w:rPr>
          <w:spacing w:val="-7"/>
        </w:rPr>
        <w:t> </w:t>
      </w:r>
      <w:r>
        <w:rPr/>
        <w:t>otra</w:t>
      </w:r>
      <w:r>
        <w:rPr>
          <w:spacing w:val="-7"/>
        </w:rPr>
        <w:t> </w:t>
      </w:r>
      <w:r>
        <w:rPr/>
        <w:t>empresa</w:t>
      </w:r>
      <w:r>
        <w:rPr>
          <w:spacing w:val="-7"/>
        </w:rPr>
        <w:t> </w:t>
      </w:r>
      <w:r>
        <w:rPr/>
        <w:t>(GEURSA),</w:t>
      </w:r>
      <w:r>
        <w:rPr>
          <w:spacing w:val="-7"/>
        </w:rPr>
        <w:t> </w:t>
      </w:r>
      <w:r>
        <w:rPr/>
        <w:t>puesto que la contraprestación que va a recibir por las obras consiste en el derecho a cobrar las correspondientes</w:t>
      </w:r>
      <w:r>
        <w:rPr>
          <w:spacing w:val="-13"/>
        </w:rPr>
        <w:t> </w:t>
      </w:r>
      <w:r>
        <w:rPr/>
        <w:t>tarifas</w:t>
      </w:r>
      <w:r>
        <w:rPr>
          <w:spacing w:val="-11"/>
        </w:rPr>
        <w:t> </w:t>
      </w:r>
      <w:r>
        <w:rPr/>
        <w:t>en</w:t>
      </w:r>
      <w:r>
        <w:rPr>
          <w:spacing w:val="-14"/>
        </w:rPr>
        <w:t> </w:t>
      </w:r>
      <w:r>
        <w:rPr/>
        <w:t>función</w:t>
      </w:r>
      <w:r>
        <w:rPr>
          <w:spacing w:val="-12"/>
        </w:rPr>
        <w:t> </w:t>
      </w:r>
      <w:r>
        <w:rPr/>
        <w:t>del</w:t>
      </w:r>
      <w:r>
        <w:rPr>
          <w:spacing w:val="-14"/>
        </w:rPr>
        <w:t> </w:t>
      </w:r>
      <w:r>
        <w:rPr/>
        <w:t>grado</w:t>
      </w:r>
      <w:r>
        <w:rPr>
          <w:spacing w:val="-12"/>
        </w:rPr>
        <w:t> </w:t>
      </w:r>
      <w:r>
        <w:rPr/>
        <w:t>de</w:t>
      </w:r>
      <w:r>
        <w:rPr>
          <w:spacing w:val="-12"/>
        </w:rPr>
        <w:t> </w:t>
      </w:r>
      <w:r>
        <w:rPr/>
        <w:t>utilización</w:t>
      </w:r>
      <w:r>
        <w:rPr>
          <w:spacing w:val="-12"/>
        </w:rPr>
        <w:t> </w:t>
      </w:r>
      <w:r>
        <w:rPr/>
        <w:t>del</w:t>
      </w:r>
      <w:r>
        <w:rPr>
          <w:spacing w:val="-14"/>
        </w:rPr>
        <w:t> </w:t>
      </w:r>
      <w:r>
        <w:rPr/>
        <w:t>servicio</w:t>
      </w:r>
      <w:r>
        <w:rPr>
          <w:spacing w:val="-12"/>
        </w:rPr>
        <w:t> </w:t>
      </w:r>
      <w:r>
        <w:rPr/>
        <w:t>público.</w:t>
      </w:r>
    </w:p>
    <w:p>
      <w:pPr>
        <w:pStyle w:val="BodyText"/>
      </w:pPr>
    </w:p>
    <w:p>
      <w:pPr>
        <w:pStyle w:val="Heading4"/>
        <w:rPr>
          <w:i/>
          <w:u w:val="none"/>
        </w:rPr>
      </w:pPr>
      <w:r>
        <w:rPr>
          <w:i/>
          <w:u w:val="single"/>
        </w:rPr>
        <w:t>Deterioro</w:t>
      </w:r>
      <w:r>
        <w:rPr>
          <w:i/>
          <w:spacing w:val="-7"/>
          <w:u w:val="single"/>
        </w:rPr>
        <w:t> </w:t>
      </w:r>
      <w:r>
        <w:rPr>
          <w:i/>
          <w:u w:val="single"/>
        </w:rPr>
        <w:t>de</w:t>
      </w:r>
      <w:r>
        <w:rPr>
          <w:i/>
          <w:spacing w:val="-7"/>
          <w:u w:val="single"/>
        </w:rPr>
        <w:t> </w:t>
      </w:r>
      <w:r>
        <w:rPr>
          <w:i/>
          <w:u w:val="single"/>
        </w:rPr>
        <w:t>valor</w:t>
      </w:r>
      <w:r>
        <w:rPr>
          <w:i/>
          <w:spacing w:val="-7"/>
          <w:u w:val="single"/>
        </w:rPr>
        <w:t> </w:t>
      </w:r>
      <w:r>
        <w:rPr>
          <w:i/>
          <w:u w:val="single"/>
        </w:rPr>
        <w:t>de</w:t>
      </w:r>
      <w:r>
        <w:rPr>
          <w:i/>
          <w:spacing w:val="-7"/>
          <w:u w:val="single"/>
        </w:rPr>
        <w:t> </w:t>
      </w:r>
      <w:r>
        <w:rPr>
          <w:i/>
          <w:u w:val="single"/>
        </w:rPr>
        <w:t>inmovilizado</w:t>
      </w:r>
      <w:r>
        <w:rPr>
          <w:i/>
          <w:spacing w:val="-7"/>
          <w:u w:val="single"/>
        </w:rPr>
        <w:t> </w:t>
      </w:r>
      <w:r>
        <w:rPr>
          <w:i/>
          <w:spacing w:val="-2"/>
          <w:u w:val="single"/>
        </w:rPr>
        <w:t>intangible</w:t>
      </w:r>
    </w:p>
    <w:p>
      <w:pPr>
        <w:pStyle w:val="BodyText"/>
        <w:spacing w:before="229"/>
        <w:ind w:left="1795" w:right="1338"/>
        <w:jc w:val="both"/>
      </w:pPr>
      <w:r>
        <w:rPr/>
        <w:t>Al cierre del ejercicio o siempre que existan indicios de pérdidas de valor, la Sociedad revisa los importes en libros de</w:t>
      </w:r>
      <w:r>
        <w:rPr>
          <w:spacing w:val="80"/>
        </w:rPr>
        <w:t>  </w:t>
      </w:r>
      <w:r>
        <w:rPr/>
        <w:t>sus activos intangibles para determinar si existen indicios de que dichos activos hayan sufrido una pérdida por deterioro de valor. Si existe cualquier indicio, el importe recuperable del activo se calcula con el objeto de determinar</w:t>
      </w:r>
      <w:r>
        <w:rPr>
          <w:spacing w:val="40"/>
        </w:rPr>
        <w:t> </w:t>
      </w:r>
      <w:r>
        <w:rPr/>
        <w:t>el alcance de la pérdida por deterioro de valor. En caso de que el activo no genere flujos de efectivo por sí mismo que sean independientes de otros activos, la Sociedad calculará el</w:t>
      </w:r>
      <w:r>
        <w:rPr>
          <w:spacing w:val="-1"/>
        </w:rPr>
        <w:t> </w:t>
      </w:r>
      <w:r>
        <w:rPr/>
        <w:t>importe</w:t>
      </w:r>
      <w:r>
        <w:rPr>
          <w:spacing w:val="-3"/>
        </w:rPr>
        <w:t> </w:t>
      </w:r>
      <w:r>
        <w:rPr/>
        <w:t>recuperable</w:t>
      </w:r>
      <w:r>
        <w:rPr>
          <w:spacing w:val="-1"/>
        </w:rPr>
        <w:t> </w:t>
      </w:r>
      <w:r>
        <w:rPr/>
        <w:t>de</w:t>
      </w:r>
      <w:r>
        <w:rPr>
          <w:spacing w:val="-3"/>
        </w:rPr>
        <w:t> </w:t>
      </w:r>
      <w:r>
        <w:rPr/>
        <w:t>la</w:t>
      </w:r>
      <w:r>
        <w:rPr>
          <w:spacing w:val="-1"/>
        </w:rPr>
        <w:t> </w:t>
      </w:r>
      <w:r>
        <w:rPr/>
        <w:t>unidad generadora</w:t>
      </w:r>
      <w:r>
        <w:rPr>
          <w:spacing w:val="-1"/>
        </w:rPr>
        <w:t> </w:t>
      </w:r>
      <w:r>
        <w:rPr/>
        <w:t>de</w:t>
      </w:r>
      <w:r>
        <w:rPr>
          <w:spacing w:val="-1"/>
        </w:rPr>
        <w:t> </w:t>
      </w:r>
      <w:r>
        <w:rPr/>
        <w:t>efectivo</w:t>
      </w:r>
      <w:r>
        <w:rPr>
          <w:spacing w:val="-3"/>
        </w:rPr>
        <w:t> </w:t>
      </w:r>
      <w:r>
        <w:rPr/>
        <w:t>a</w:t>
      </w:r>
      <w:r>
        <w:rPr>
          <w:spacing w:val="-1"/>
        </w:rPr>
        <w:t> </w:t>
      </w:r>
      <w:r>
        <w:rPr/>
        <w:t>la</w:t>
      </w:r>
      <w:r>
        <w:rPr>
          <w:spacing w:val="-3"/>
        </w:rPr>
        <w:t> </w:t>
      </w:r>
      <w:r>
        <w:rPr/>
        <w:t>que</w:t>
      </w:r>
      <w:r>
        <w:rPr>
          <w:spacing w:val="-1"/>
        </w:rPr>
        <w:t> </w:t>
      </w:r>
      <w:r>
        <w:rPr/>
        <w:t>pertenece</w:t>
      </w:r>
      <w:r>
        <w:rPr>
          <w:spacing w:val="-3"/>
        </w:rPr>
        <w:t> </w:t>
      </w:r>
      <w:r>
        <w:rPr/>
        <w:t>el activo.</w:t>
      </w:r>
      <w:r>
        <w:rPr>
          <w:spacing w:val="-1"/>
        </w:rPr>
        <w:t> </w:t>
      </w:r>
      <w:r>
        <w:rPr/>
        <w:t>El</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795" w:right="1335"/>
        <w:jc w:val="both"/>
      </w:pPr>
      <w:r>
        <w:rPr/>
        <w:t>importe</w:t>
      </w:r>
      <w:r>
        <w:rPr>
          <w:spacing w:val="-4"/>
        </w:rPr>
        <w:t> </w:t>
      </w:r>
      <w:r>
        <w:rPr/>
        <w:t>recuperable es</w:t>
      </w:r>
      <w:r>
        <w:rPr>
          <w:spacing w:val="-2"/>
        </w:rPr>
        <w:t> </w:t>
      </w:r>
      <w:r>
        <w:rPr/>
        <w:t>el</w:t>
      </w:r>
      <w:r>
        <w:rPr>
          <w:spacing w:val="-4"/>
        </w:rPr>
        <w:t> </w:t>
      </w:r>
      <w:r>
        <w:rPr/>
        <w:t>valor</w:t>
      </w:r>
      <w:r>
        <w:rPr>
          <w:spacing w:val="-3"/>
        </w:rPr>
        <w:t> </w:t>
      </w:r>
      <w:r>
        <w:rPr/>
        <w:t>superior</w:t>
      </w:r>
      <w:r>
        <w:rPr>
          <w:spacing w:val="-3"/>
        </w:rPr>
        <w:t> </w:t>
      </w:r>
      <w:r>
        <w:rPr/>
        <w:t>entre</w:t>
      </w:r>
      <w:r>
        <w:rPr>
          <w:spacing w:val="-3"/>
        </w:rPr>
        <w:t> </w:t>
      </w:r>
      <w:r>
        <w:rPr/>
        <w:t>el</w:t>
      </w:r>
      <w:r>
        <w:rPr>
          <w:spacing w:val="-4"/>
        </w:rPr>
        <w:t> </w:t>
      </w:r>
      <w:r>
        <w:rPr/>
        <w:t>valor</w:t>
      </w:r>
      <w:r>
        <w:rPr>
          <w:spacing w:val="-1"/>
        </w:rPr>
        <w:t> </w:t>
      </w:r>
      <w:r>
        <w:rPr/>
        <w:t>razonable</w:t>
      </w:r>
      <w:r>
        <w:rPr>
          <w:spacing w:val="-3"/>
        </w:rPr>
        <w:t> </w:t>
      </w:r>
      <w:r>
        <w:rPr/>
        <w:t>menos</w:t>
      </w:r>
      <w:r>
        <w:rPr>
          <w:spacing w:val="-2"/>
        </w:rPr>
        <w:t> </w:t>
      </w:r>
      <w:r>
        <w:rPr/>
        <w:t>el</w:t>
      </w:r>
      <w:r>
        <w:rPr>
          <w:spacing w:val="-4"/>
        </w:rPr>
        <w:t> </w:t>
      </w:r>
      <w:r>
        <w:rPr/>
        <w:t>coste</w:t>
      </w:r>
      <w:r>
        <w:rPr>
          <w:spacing w:val="-2"/>
        </w:rPr>
        <w:t> </w:t>
      </w:r>
      <w:r>
        <w:rPr/>
        <w:t>de</w:t>
      </w:r>
      <w:r>
        <w:rPr>
          <w:spacing w:val="-4"/>
        </w:rPr>
        <w:t> </w:t>
      </w:r>
      <w:r>
        <w:rPr/>
        <w:t>venta y el valor en uso.</w:t>
      </w:r>
    </w:p>
    <w:p>
      <w:pPr>
        <w:pStyle w:val="BodyText"/>
        <w:spacing w:before="229"/>
        <w:ind w:left="1795" w:right="1339"/>
        <w:jc w:val="both"/>
      </w:pPr>
      <w:r>
        <w:rPr/>
        <w:t>Si se estima que el importe recuperable de un activo (o una unidad generadora de efectivo) es inferior a su importe en libros, el importe en libros del activo (unidad generadora de efectivo) se reduce a su importe recuperable. Para ello se reconoce el importe de la pérdida por deterioro de valor como gasto y se distribuye entre los activos que forman la unidad, reduciendo en primer lugar el fondo de comercio, si existiera, y, a continuación, el</w:t>
      </w:r>
      <w:r>
        <w:rPr>
          <w:spacing w:val="-4"/>
        </w:rPr>
        <w:t> </w:t>
      </w:r>
      <w:r>
        <w:rPr/>
        <w:t>resto</w:t>
      </w:r>
      <w:r>
        <w:rPr>
          <w:spacing w:val="-3"/>
        </w:rPr>
        <w:t> </w:t>
      </w:r>
      <w:r>
        <w:rPr/>
        <w:t>de los activos</w:t>
      </w:r>
      <w:r>
        <w:rPr>
          <w:spacing w:val="-2"/>
        </w:rPr>
        <w:t> </w:t>
      </w:r>
      <w:r>
        <w:rPr/>
        <w:t>de la</w:t>
      </w:r>
      <w:r>
        <w:rPr>
          <w:spacing w:val="-3"/>
        </w:rPr>
        <w:t> </w:t>
      </w:r>
      <w:r>
        <w:rPr/>
        <w:t>unidad prorrateados en función de</w:t>
      </w:r>
      <w:r>
        <w:rPr>
          <w:spacing w:val="-3"/>
        </w:rPr>
        <w:t> </w:t>
      </w:r>
      <w:r>
        <w:rPr/>
        <w:t>su importe</w:t>
      </w:r>
      <w:r>
        <w:rPr>
          <w:spacing w:val="-1"/>
        </w:rPr>
        <w:t> </w:t>
      </w:r>
      <w:r>
        <w:rPr/>
        <w:t>en </w:t>
      </w:r>
      <w:r>
        <w:rPr>
          <w:spacing w:val="-2"/>
        </w:rPr>
        <w:t>libros.</w:t>
      </w:r>
    </w:p>
    <w:p>
      <w:pPr>
        <w:pStyle w:val="BodyText"/>
        <w:spacing w:before="1"/>
      </w:pPr>
    </w:p>
    <w:p>
      <w:pPr>
        <w:pStyle w:val="BodyText"/>
        <w:ind w:left="1795" w:right="1334"/>
        <w:jc w:val="both"/>
      </w:pPr>
      <w:r>
        <w:rPr/>
        <w:t>Cuando una</w:t>
      </w:r>
      <w:r>
        <w:rPr>
          <w:spacing w:val="-1"/>
        </w:rPr>
        <w:t> </w:t>
      </w:r>
      <w:r>
        <w:rPr/>
        <w:t>pérdida</w:t>
      </w:r>
      <w:r>
        <w:rPr>
          <w:spacing w:val="-1"/>
        </w:rPr>
        <w:t> </w:t>
      </w:r>
      <w:r>
        <w:rPr/>
        <w:t>por deterioro de</w:t>
      </w:r>
      <w:r>
        <w:rPr>
          <w:spacing w:val="-1"/>
        </w:rPr>
        <w:t> </w:t>
      </w:r>
      <w:r>
        <w:rPr/>
        <w:t>valor revierte posteriormente, el importe</w:t>
      </w:r>
      <w:r>
        <w:rPr>
          <w:spacing w:val="-1"/>
        </w:rPr>
        <w:t> </w:t>
      </w:r>
      <w:r>
        <w:rPr/>
        <w:t>en libros del activo (unidad generadora de efectivo) se incrementa a la estimación revisada de su importe recuperable, pero de tal modo que el importe en libros incrementado no supere el importe en libros que se habría determinado de no haberse reconocido ninguna pérdida por</w:t>
      </w:r>
      <w:r>
        <w:rPr>
          <w:spacing w:val="-1"/>
        </w:rPr>
        <w:t> </w:t>
      </w:r>
      <w:r>
        <w:rPr/>
        <w:t>deterioro</w:t>
      </w:r>
      <w:r>
        <w:rPr>
          <w:spacing w:val="-2"/>
        </w:rPr>
        <w:t> </w:t>
      </w:r>
      <w:r>
        <w:rPr/>
        <w:t>de valor</w:t>
      </w:r>
      <w:r>
        <w:rPr>
          <w:spacing w:val="-1"/>
        </w:rPr>
        <w:t> </w:t>
      </w:r>
      <w:r>
        <w:rPr/>
        <w:t>para el</w:t>
      </w:r>
      <w:r>
        <w:rPr>
          <w:spacing w:val="-5"/>
        </w:rPr>
        <w:t> </w:t>
      </w:r>
      <w:r>
        <w:rPr/>
        <w:t>activo</w:t>
      </w:r>
      <w:r>
        <w:rPr>
          <w:spacing w:val="-2"/>
        </w:rPr>
        <w:t> </w:t>
      </w:r>
      <w:r>
        <w:rPr/>
        <w:t>(unidad generada de</w:t>
      </w:r>
      <w:r>
        <w:rPr>
          <w:spacing w:val="-2"/>
        </w:rPr>
        <w:t> </w:t>
      </w:r>
      <w:r>
        <w:rPr/>
        <w:t>efectivo)</w:t>
      </w:r>
      <w:r>
        <w:rPr>
          <w:spacing w:val="-1"/>
        </w:rPr>
        <w:t> </w:t>
      </w:r>
      <w:r>
        <w:rPr/>
        <w:t>en</w:t>
      </w:r>
      <w:r>
        <w:rPr>
          <w:spacing w:val="-2"/>
        </w:rPr>
        <w:t> </w:t>
      </w:r>
      <w:r>
        <w:rPr/>
        <w:t>ejercicios anteriores. Inmediatamente se reconoce una reversión de una pérdida por deterioro de valor como </w:t>
      </w:r>
      <w:r>
        <w:rPr>
          <w:spacing w:val="-2"/>
        </w:rPr>
        <w:t>ingreso.</w:t>
      </w:r>
    </w:p>
    <w:p>
      <w:pPr>
        <w:pStyle w:val="BodyText"/>
        <w:spacing w:before="229"/>
        <w:ind w:left="1795" w:right="1339"/>
        <w:jc w:val="both"/>
      </w:pPr>
      <w:r>
        <w:rPr/>
        <w:t>En el ejercicio 2025 la Sociedad no ha registrado pérdidas por deterioro del inmovilizado </w:t>
      </w:r>
      <w:r>
        <w:rPr>
          <w:spacing w:val="-2"/>
        </w:rPr>
        <w:t>intangible.</w:t>
      </w:r>
    </w:p>
    <w:p>
      <w:pPr>
        <w:pStyle w:val="BodyText"/>
        <w:spacing w:before="1"/>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pacing w:val="-2"/>
          <w:sz w:val="20"/>
          <w:u w:val="single"/>
        </w:rPr>
        <w:t>Inmovilizado</w:t>
      </w:r>
      <w:r>
        <w:rPr>
          <w:spacing w:val="6"/>
          <w:sz w:val="20"/>
          <w:u w:val="single"/>
        </w:rPr>
        <w:t> </w:t>
      </w:r>
      <w:r>
        <w:rPr>
          <w:spacing w:val="-2"/>
          <w:sz w:val="20"/>
          <w:u w:val="single"/>
        </w:rPr>
        <w:t>material</w:t>
      </w:r>
      <w:r>
        <w:rPr>
          <w:spacing w:val="-2"/>
          <w:sz w:val="20"/>
          <w:u w:val="none"/>
        </w:rPr>
        <w:t>.</w:t>
      </w:r>
    </w:p>
    <w:p>
      <w:pPr>
        <w:pStyle w:val="BodyText"/>
        <w:spacing w:before="228"/>
        <w:ind w:left="1795" w:right="1336"/>
        <w:jc w:val="both"/>
      </w:pPr>
      <w:r>
        <w:rPr/>
        <mc:AlternateContent>
          <mc:Choice Requires="wps">
            <w:drawing>
              <wp:anchor distT="0" distB="0" distL="0" distR="0" allowOverlap="1" layoutInCell="1" locked="0" behindDoc="0" simplePos="0" relativeHeight="15745536">
                <wp:simplePos x="0" y="0"/>
                <wp:positionH relativeFrom="page">
                  <wp:posOffset>6966436</wp:posOffset>
                </wp:positionH>
                <wp:positionV relativeFrom="paragraph">
                  <wp:posOffset>1701601</wp:posOffset>
                </wp:positionV>
                <wp:extent cx="263525" cy="327596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33.984344pt;width:20.75pt;height:257.95pt;mso-position-horizontal-relative:page;mso-position-vertical-relative:paragraph;z-index:15745536" type="#_x0000_t202" id="docshape8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16</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Se valora a su precio de adquisición o a su coste de producción que incluye, además del importe</w:t>
      </w:r>
      <w:r>
        <w:rPr>
          <w:spacing w:val="-1"/>
        </w:rPr>
        <w:t> </w:t>
      </w:r>
      <w:r>
        <w:rPr/>
        <w:t>facturado después de deducir cualquier descuento o</w:t>
      </w:r>
      <w:r>
        <w:rPr>
          <w:spacing w:val="-1"/>
        </w:rPr>
        <w:t> </w:t>
      </w:r>
      <w:r>
        <w:rPr/>
        <w:t>rebaja en el precio,</w:t>
      </w:r>
      <w:r>
        <w:rPr>
          <w:spacing w:val="-1"/>
        </w:rPr>
        <w:t> </w:t>
      </w:r>
      <w:r>
        <w:rPr/>
        <w:t>todos los gastos adicionales y directamente relacionados que se produzcan hasta su puesta en funcionamiento, como los gastos de explanación y derribo, transporte, seguros,</w:t>
      </w:r>
      <w:r>
        <w:rPr>
          <w:spacing w:val="40"/>
        </w:rPr>
        <w:t> </w:t>
      </w:r>
      <w:r>
        <w:rPr/>
        <w:t>instalación, montaje y otros similares. La Sociedad incluye en el coste del inmovilizado material que necesita un periodo de tiempo superior a un año para estar en condiciones</w:t>
      </w:r>
      <w:r>
        <w:rPr>
          <w:spacing w:val="40"/>
        </w:rPr>
        <w:t> </w:t>
      </w:r>
      <w:r>
        <w:rPr/>
        <w:t>de uso, explotación o venta, los gastos financieros relacionados con la financiación específica o genérica, directamente atribuible a la adquisición, construcción o producción. Forma parte, también, del valor del inmovilizado material, la estimación inicial del valor actual de las obligaciones asumidas derivadas del desmantelamiento o retiro y otras asociadas al activo, tales como costes de rehabilitación, cuando estas obligaciones dan lugar al registro de provisiones. Así como la mejor estimación del valor actual del importe contingente, no obstante, los pagos contingentes que dependan de magnitudes relacionadas con el desarrollo de la actividad se contabilizan como un gasto en la cuenta de pérdidas y ganancias a medida en que se incurran.</w:t>
      </w:r>
    </w:p>
    <w:p>
      <w:pPr>
        <w:pStyle w:val="BodyText"/>
        <w:spacing w:before="2"/>
      </w:pPr>
    </w:p>
    <w:p>
      <w:pPr>
        <w:pStyle w:val="BodyText"/>
        <w:ind w:left="1795" w:right="1338"/>
        <w:jc w:val="both"/>
      </w:pPr>
      <w:r>
        <w:rPr/>
        <w:t>Las cantidades entregadas a cuenta de adquisiciones futuras de bienes del inmovilizado material se registran en el activo y los ajustes que surjan por la actualización del valor del activo asociado al anticipo dan lugar al reconocimiento de ingresos financieros, conforme se devenguen. A tal efecto se utiliza el tipo de interés incremental del proveedor existente en el momento inicial, es decir, el tipo de interés al que el proveedor podría financiarse en condiciones equivalentes a las que resultan del importe recibido, que no será objeto de modificación en posteriores ejercicios. Cuando se trate de anticipos con vencimiento no superior a un año y cuyo efecto financiero no sea significativo, no será necesario llevar a cabo ningún tipo de actualización.</w:t>
      </w:r>
    </w:p>
    <w:p>
      <w:pPr>
        <w:pStyle w:val="BodyText"/>
        <w:spacing w:before="230"/>
        <w:ind w:left="1795" w:right="1339"/>
        <w:jc w:val="both"/>
      </w:pPr>
      <w:r>
        <w:rPr/>
        <w:t>La Sociedad no tiene compromisos de desmantelamiento, retiro o rehabilitación para sus bienes de activo. Por ello no se han contabilizado en los activos valores para la cobertura de tales obligaciones de futuro.</w:t>
      </w:r>
    </w:p>
    <w:p>
      <w:pPr>
        <w:pStyle w:val="BodyText"/>
        <w:spacing w:before="49"/>
      </w:pPr>
    </w:p>
    <w:p>
      <w:pPr>
        <w:pStyle w:val="BodyText"/>
        <w:ind w:left="1768" w:right="1339"/>
        <w:jc w:val="both"/>
      </w:pPr>
      <w:r>
        <w:rPr/>
        <w:t>El Consejo de Administración de la Sociedad considera que el valor contable de los</w:t>
      </w:r>
      <w:r>
        <w:rPr>
          <w:spacing w:val="80"/>
        </w:rPr>
        <w:t> </w:t>
      </w:r>
      <w:r>
        <w:rPr/>
        <w:t>activos no supera el valor recuperable de los mismos.</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BodyText"/>
        <w:ind w:left="1768" w:right="1334"/>
        <w:jc w:val="both"/>
      </w:pPr>
      <w:r>
        <w:rPr/>
        <w:t>Se registra la pérdida por deterioro del valor de un elemento del inmovilizado material cuando su valor neto contable supere a su importe recuperable, entendiendo éste como el mayor importe entre su valor razonable menos los costes de venta y su valor en uso.</w:t>
      </w:r>
    </w:p>
    <w:p>
      <w:pPr>
        <w:pStyle w:val="BodyText"/>
        <w:spacing w:before="2"/>
      </w:pPr>
    </w:p>
    <w:p>
      <w:pPr>
        <w:pStyle w:val="BodyText"/>
        <w:ind w:left="1768" w:right="1337"/>
        <w:jc w:val="both"/>
      </w:pPr>
      <w:r>
        <w:rPr/>
        <w:t>Los gastos realizados durante el ejercicio con motivo de las obras y trabajos efectuados por la Sociedad se cargarán en las cuentas de gastos que correspondan. Los costes de ampliación o mejora que dan lugar a un aumento de la capacidad productiva o a un alargamiento</w:t>
      </w:r>
      <w:r>
        <w:rPr>
          <w:spacing w:val="-1"/>
        </w:rPr>
        <w:t> </w:t>
      </w:r>
      <w:r>
        <w:rPr/>
        <w:t>de la vida útil de los bienes,</w:t>
      </w:r>
      <w:r>
        <w:rPr>
          <w:spacing w:val="-1"/>
        </w:rPr>
        <w:t> </w:t>
      </w:r>
      <w:r>
        <w:rPr/>
        <w:t>son incorporados al activo como</w:t>
      </w:r>
      <w:r>
        <w:rPr>
          <w:spacing w:val="-1"/>
        </w:rPr>
        <w:t> </w:t>
      </w:r>
      <w:r>
        <w:rPr/>
        <w:t>mayor valor del mismo. Las cuentas del inmovilizado material en curso se cargan por el importe de dichos gastos, con abono a la partida de ingresos que recoge los trabajos realizados por la Sociedad para sí misma.</w:t>
      </w:r>
    </w:p>
    <w:p>
      <w:pPr>
        <w:pStyle w:val="BodyText"/>
        <w:spacing w:before="229"/>
        <w:ind w:left="1768" w:right="1337"/>
        <w:jc w:val="both"/>
      </w:pPr>
      <w:r>
        <w:rPr/>
        <w:t>En los arrendamientos financieros se contabiliza el activo de acuerdo con su naturaleza, y un pasivo financiero por el mismo importe, que es el menor entre el valor razonable del activo arrendado y el valor actual al inicio del arrendamiento de los pagos mínimos </w:t>
      </w:r>
      <w:r>
        <w:rPr>
          <w:spacing w:val="-2"/>
        </w:rPr>
        <w:t>acordados.</w:t>
      </w:r>
    </w:p>
    <w:p>
      <w:pPr>
        <w:pStyle w:val="BodyText"/>
        <w:spacing w:before="229"/>
        <w:ind w:left="1768" w:right="1336"/>
        <w:jc w:val="both"/>
      </w:pPr>
      <w:r>
        <w:rP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p>
      <w:pPr>
        <w:pStyle w:val="BodyText"/>
        <w:spacing w:before="53"/>
      </w:pPr>
    </w:p>
    <w:tbl>
      <w:tblPr>
        <w:tblW w:w="0" w:type="auto"/>
        <w:jc w:val="left"/>
        <w:tblInd w:w="2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8"/>
        <w:gridCol w:w="1821"/>
      </w:tblGrid>
      <w:tr>
        <w:trPr>
          <w:trHeight w:val="230" w:hRule="atLeast"/>
        </w:trPr>
        <w:tc>
          <w:tcPr>
            <w:tcW w:w="3458" w:type="dxa"/>
          </w:tcPr>
          <w:p>
            <w:pPr>
              <w:pStyle w:val="TableParagraph"/>
              <w:spacing w:line="210" w:lineRule="exact"/>
              <w:ind w:left="69"/>
              <w:rPr>
                <w:b/>
                <w:sz w:val="20"/>
              </w:rPr>
            </w:pPr>
            <w:r>
              <w:rPr>
                <w:b/>
                <w:spacing w:val="-2"/>
                <w:sz w:val="20"/>
              </w:rPr>
              <w:t>Descripción</w:t>
            </w:r>
          </w:p>
        </w:tc>
        <w:tc>
          <w:tcPr>
            <w:tcW w:w="1821" w:type="dxa"/>
          </w:tcPr>
          <w:p>
            <w:pPr>
              <w:pStyle w:val="TableParagraph"/>
              <w:spacing w:line="210" w:lineRule="exact"/>
              <w:ind w:left="10" w:right="7"/>
              <w:jc w:val="center"/>
              <w:rPr>
                <w:b/>
                <w:sz w:val="20"/>
              </w:rPr>
            </w:pPr>
            <w:r>
              <w:rPr>
                <w:b/>
                <w:sz w:val="20"/>
              </w:rPr>
              <w:t>% </w:t>
            </w:r>
            <w:r>
              <w:rPr>
                <w:b/>
                <w:spacing w:val="-2"/>
                <w:sz w:val="20"/>
              </w:rPr>
              <w:t>Anual</w:t>
            </w:r>
          </w:p>
        </w:tc>
      </w:tr>
      <w:tr>
        <w:trPr>
          <w:trHeight w:val="230" w:hRule="atLeast"/>
        </w:trPr>
        <w:tc>
          <w:tcPr>
            <w:tcW w:w="3458" w:type="dxa"/>
          </w:tcPr>
          <w:p>
            <w:pPr>
              <w:pStyle w:val="TableParagraph"/>
              <w:spacing w:line="210" w:lineRule="exact"/>
              <w:ind w:left="69"/>
              <w:rPr>
                <w:sz w:val="20"/>
              </w:rPr>
            </w:pPr>
            <w:r>
              <w:rPr>
                <w:spacing w:val="-4"/>
                <w:sz w:val="20"/>
              </w:rPr>
              <w:t>Edificios</w:t>
            </w:r>
            <w:r>
              <w:rPr>
                <w:spacing w:val="-1"/>
                <w:sz w:val="20"/>
              </w:rPr>
              <w:t> </w:t>
            </w:r>
            <w:r>
              <w:rPr>
                <w:spacing w:val="-4"/>
                <w:sz w:val="20"/>
              </w:rPr>
              <w:t>y</w:t>
            </w:r>
            <w:r>
              <w:rPr>
                <w:spacing w:val="-8"/>
                <w:sz w:val="20"/>
              </w:rPr>
              <w:t> </w:t>
            </w:r>
            <w:r>
              <w:rPr>
                <w:spacing w:val="-4"/>
                <w:sz w:val="20"/>
              </w:rPr>
              <w:t>otras</w:t>
            </w:r>
            <w:r>
              <w:rPr>
                <w:sz w:val="20"/>
              </w:rPr>
              <w:t> </w:t>
            </w:r>
            <w:r>
              <w:rPr>
                <w:spacing w:val="-4"/>
                <w:sz w:val="20"/>
              </w:rPr>
              <w:t>construcciones</w:t>
            </w:r>
          </w:p>
        </w:tc>
        <w:tc>
          <w:tcPr>
            <w:tcW w:w="1821" w:type="dxa"/>
          </w:tcPr>
          <w:p>
            <w:pPr>
              <w:pStyle w:val="TableParagraph"/>
              <w:spacing w:line="210" w:lineRule="exact"/>
              <w:ind w:left="10"/>
              <w:jc w:val="center"/>
              <w:rPr>
                <w:sz w:val="20"/>
              </w:rPr>
            </w:pPr>
            <w:r>
              <w:rPr>
                <w:sz w:val="20"/>
              </w:rPr>
              <w:t>2</w:t>
            </w:r>
            <w:r>
              <w:rPr>
                <w:spacing w:val="-12"/>
                <w:sz w:val="20"/>
              </w:rPr>
              <w:t> </w:t>
            </w:r>
            <w:r>
              <w:rPr>
                <w:sz w:val="20"/>
              </w:rPr>
              <w:t>/</w:t>
            </w:r>
            <w:r>
              <w:rPr>
                <w:spacing w:val="-8"/>
                <w:sz w:val="20"/>
              </w:rPr>
              <w:t> </w:t>
            </w:r>
            <w:r>
              <w:rPr>
                <w:sz w:val="20"/>
              </w:rPr>
              <w:t>3</w:t>
            </w:r>
            <w:r>
              <w:rPr>
                <w:spacing w:val="-8"/>
                <w:sz w:val="20"/>
              </w:rPr>
              <w:t> </w:t>
            </w:r>
            <w:r>
              <w:rPr>
                <w:sz w:val="20"/>
              </w:rPr>
              <w:t>/</w:t>
            </w:r>
            <w:r>
              <w:rPr>
                <w:spacing w:val="-8"/>
                <w:sz w:val="20"/>
              </w:rPr>
              <w:t> </w:t>
            </w:r>
            <w:r>
              <w:rPr>
                <w:sz w:val="20"/>
              </w:rPr>
              <w:t>5</w:t>
            </w:r>
            <w:r>
              <w:rPr>
                <w:spacing w:val="-8"/>
                <w:sz w:val="20"/>
              </w:rPr>
              <w:t> </w:t>
            </w:r>
            <w:r>
              <w:rPr>
                <w:sz w:val="20"/>
              </w:rPr>
              <w:t>/</w:t>
            </w:r>
            <w:r>
              <w:rPr>
                <w:spacing w:val="-9"/>
                <w:sz w:val="20"/>
              </w:rPr>
              <w:t> </w:t>
            </w:r>
            <w:r>
              <w:rPr>
                <w:sz w:val="20"/>
              </w:rPr>
              <w:t>10/</w:t>
            </w:r>
            <w:r>
              <w:rPr>
                <w:spacing w:val="-8"/>
                <w:sz w:val="20"/>
              </w:rPr>
              <w:t> </w:t>
            </w:r>
            <w:r>
              <w:rPr>
                <w:sz w:val="20"/>
              </w:rPr>
              <w:t>20</w:t>
            </w:r>
            <w:r>
              <w:rPr>
                <w:spacing w:val="-9"/>
                <w:sz w:val="20"/>
              </w:rPr>
              <w:t> </w:t>
            </w:r>
            <w:r>
              <w:rPr>
                <w:spacing w:val="-10"/>
                <w:sz w:val="20"/>
              </w:rPr>
              <w:t>%</w:t>
            </w:r>
          </w:p>
        </w:tc>
      </w:tr>
      <w:tr>
        <w:trPr>
          <w:trHeight w:val="230" w:hRule="atLeast"/>
        </w:trPr>
        <w:tc>
          <w:tcPr>
            <w:tcW w:w="3458" w:type="dxa"/>
          </w:tcPr>
          <w:p>
            <w:pPr>
              <w:pStyle w:val="TableParagraph"/>
              <w:spacing w:line="210" w:lineRule="exact"/>
              <w:ind w:left="69"/>
              <w:rPr>
                <w:sz w:val="20"/>
              </w:rPr>
            </w:pPr>
            <w:r>
              <w:rPr>
                <w:spacing w:val="-5"/>
                <w:sz w:val="20"/>
              </w:rPr>
              <w:t>Instalaciones</w:t>
            </w:r>
            <w:r>
              <w:rPr>
                <w:spacing w:val="11"/>
                <w:sz w:val="20"/>
              </w:rPr>
              <w:t> </w:t>
            </w:r>
            <w:r>
              <w:rPr>
                <w:spacing w:val="-2"/>
                <w:sz w:val="20"/>
              </w:rPr>
              <w:t>técnicas</w:t>
            </w:r>
          </w:p>
        </w:tc>
        <w:tc>
          <w:tcPr>
            <w:tcW w:w="1821" w:type="dxa"/>
          </w:tcPr>
          <w:p>
            <w:pPr>
              <w:pStyle w:val="TableParagraph"/>
              <w:spacing w:line="210" w:lineRule="exact"/>
              <w:ind w:left="10" w:right="3"/>
              <w:jc w:val="center"/>
              <w:rPr>
                <w:sz w:val="20"/>
              </w:rPr>
            </w:pPr>
            <w:r>
              <w:rPr>
                <w:spacing w:val="-5"/>
                <w:sz w:val="20"/>
              </w:rPr>
              <w:t>10%</w:t>
            </w:r>
          </w:p>
        </w:tc>
      </w:tr>
      <w:tr>
        <w:trPr>
          <w:trHeight w:val="230" w:hRule="atLeast"/>
        </w:trPr>
        <w:tc>
          <w:tcPr>
            <w:tcW w:w="3458" w:type="dxa"/>
          </w:tcPr>
          <w:p>
            <w:pPr>
              <w:pStyle w:val="TableParagraph"/>
              <w:spacing w:line="210" w:lineRule="exact"/>
              <w:ind w:left="69"/>
              <w:rPr>
                <w:sz w:val="20"/>
              </w:rPr>
            </w:pPr>
            <w:r>
              <w:rPr>
                <w:spacing w:val="-5"/>
                <w:sz w:val="20"/>
              </w:rPr>
              <w:t>Maquinaria-</w:t>
            </w:r>
            <w:r>
              <w:rPr>
                <w:spacing w:val="4"/>
                <w:sz w:val="20"/>
              </w:rPr>
              <w:t> </w:t>
            </w:r>
            <w:r>
              <w:rPr>
                <w:spacing w:val="-2"/>
                <w:sz w:val="20"/>
              </w:rPr>
              <w:t>Utillaje</w:t>
            </w:r>
          </w:p>
        </w:tc>
        <w:tc>
          <w:tcPr>
            <w:tcW w:w="1821" w:type="dxa"/>
          </w:tcPr>
          <w:p>
            <w:pPr>
              <w:pStyle w:val="TableParagraph"/>
              <w:spacing w:line="210" w:lineRule="exact"/>
              <w:ind w:left="10" w:right="2"/>
              <w:jc w:val="center"/>
              <w:rPr>
                <w:sz w:val="20"/>
              </w:rPr>
            </w:pPr>
            <w:r>
              <w:rPr>
                <w:sz w:val="20"/>
              </w:rPr>
              <w:t>10</w:t>
            </w:r>
            <w:r>
              <w:rPr>
                <w:spacing w:val="-12"/>
                <w:sz w:val="20"/>
              </w:rPr>
              <w:t> </w:t>
            </w:r>
            <w:r>
              <w:rPr>
                <w:sz w:val="20"/>
              </w:rPr>
              <w:t>/</w:t>
            </w:r>
            <w:r>
              <w:rPr>
                <w:spacing w:val="-10"/>
                <w:sz w:val="20"/>
              </w:rPr>
              <w:t> </w:t>
            </w:r>
            <w:r>
              <w:rPr>
                <w:sz w:val="20"/>
              </w:rPr>
              <w:t>20</w:t>
            </w:r>
            <w:r>
              <w:rPr>
                <w:spacing w:val="-9"/>
                <w:sz w:val="20"/>
              </w:rPr>
              <w:t> </w:t>
            </w:r>
            <w:r>
              <w:rPr>
                <w:spacing w:val="-10"/>
                <w:sz w:val="20"/>
              </w:rPr>
              <w:t>%</w:t>
            </w:r>
          </w:p>
        </w:tc>
      </w:tr>
      <w:tr>
        <w:trPr>
          <w:trHeight w:val="230" w:hRule="atLeast"/>
        </w:trPr>
        <w:tc>
          <w:tcPr>
            <w:tcW w:w="3458" w:type="dxa"/>
          </w:tcPr>
          <w:p>
            <w:pPr>
              <w:pStyle w:val="TableParagraph"/>
              <w:spacing w:line="210" w:lineRule="exact"/>
              <w:ind w:left="69"/>
              <w:rPr>
                <w:sz w:val="20"/>
              </w:rPr>
            </w:pPr>
            <w:r>
              <w:rPr>
                <w:spacing w:val="-2"/>
                <w:sz w:val="20"/>
              </w:rPr>
              <w:t>Otras</w:t>
            </w:r>
            <w:r>
              <w:rPr>
                <w:spacing w:val="-12"/>
                <w:sz w:val="20"/>
              </w:rPr>
              <w:t> </w:t>
            </w:r>
            <w:r>
              <w:rPr>
                <w:spacing w:val="-2"/>
                <w:sz w:val="20"/>
              </w:rPr>
              <w:t>instalaciones</w:t>
            </w:r>
          </w:p>
        </w:tc>
        <w:tc>
          <w:tcPr>
            <w:tcW w:w="1821" w:type="dxa"/>
          </w:tcPr>
          <w:p>
            <w:pPr>
              <w:pStyle w:val="TableParagraph"/>
              <w:spacing w:line="210" w:lineRule="exact"/>
              <w:ind w:left="10" w:right="3"/>
              <w:jc w:val="center"/>
              <w:rPr>
                <w:sz w:val="20"/>
              </w:rPr>
            </w:pPr>
            <w:r>
              <w:rPr>
                <w:spacing w:val="-5"/>
                <w:sz w:val="20"/>
              </w:rPr>
              <w:t>10%</w:t>
            </w:r>
          </w:p>
        </w:tc>
      </w:tr>
      <w:tr>
        <w:trPr>
          <w:trHeight w:val="230" w:hRule="atLeast"/>
        </w:trPr>
        <w:tc>
          <w:tcPr>
            <w:tcW w:w="3458" w:type="dxa"/>
          </w:tcPr>
          <w:p>
            <w:pPr>
              <w:pStyle w:val="TableParagraph"/>
              <w:spacing w:line="210" w:lineRule="exact"/>
              <w:ind w:left="69"/>
              <w:rPr>
                <w:sz w:val="20"/>
              </w:rPr>
            </w:pPr>
            <w:r>
              <w:rPr>
                <w:spacing w:val="-4"/>
                <w:sz w:val="20"/>
              </w:rPr>
              <w:t>Mobiliario</w:t>
            </w:r>
            <w:r>
              <w:rPr>
                <w:spacing w:val="-3"/>
                <w:sz w:val="20"/>
              </w:rPr>
              <w:t> </w:t>
            </w:r>
            <w:r>
              <w:rPr>
                <w:spacing w:val="-4"/>
                <w:sz w:val="20"/>
              </w:rPr>
              <w:t>y</w:t>
            </w:r>
            <w:r>
              <w:rPr>
                <w:spacing w:val="-9"/>
                <w:sz w:val="20"/>
              </w:rPr>
              <w:t> </w:t>
            </w:r>
            <w:r>
              <w:rPr>
                <w:spacing w:val="-4"/>
                <w:sz w:val="20"/>
              </w:rPr>
              <w:t>enseres</w:t>
            </w:r>
          </w:p>
        </w:tc>
        <w:tc>
          <w:tcPr>
            <w:tcW w:w="1821" w:type="dxa"/>
          </w:tcPr>
          <w:p>
            <w:pPr>
              <w:pStyle w:val="TableParagraph"/>
              <w:spacing w:line="210" w:lineRule="exact"/>
              <w:ind w:left="10" w:right="1"/>
              <w:jc w:val="center"/>
              <w:rPr>
                <w:sz w:val="20"/>
              </w:rPr>
            </w:pPr>
            <w:r>
              <w:rPr>
                <w:sz w:val="20"/>
              </w:rPr>
              <w:t>10</w:t>
            </w:r>
            <w:r>
              <w:rPr>
                <w:spacing w:val="-12"/>
                <w:sz w:val="20"/>
              </w:rPr>
              <w:t> </w:t>
            </w:r>
            <w:r>
              <w:rPr>
                <w:sz w:val="20"/>
              </w:rPr>
              <w:t>/</w:t>
            </w:r>
            <w:r>
              <w:rPr>
                <w:spacing w:val="-10"/>
                <w:sz w:val="20"/>
              </w:rPr>
              <w:t> </w:t>
            </w:r>
            <w:r>
              <w:rPr>
                <w:sz w:val="20"/>
              </w:rPr>
              <w:t>20</w:t>
            </w:r>
            <w:r>
              <w:rPr>
                <w:spacing w:val="-9"/>
                <w:sz w:val="20"/>
              </w:rPr>
              <w:t> </w:t>
            </w:r>
            <w:r>
              <w:rPr>
                <w:spacing w:val="-10"/>
                <w:sz w:val="20"/>
              </w:rPr>
              <w:t>%</w:t>
            </w:r>
          </w:p>
        </w:tc>
      </w:tr>
      <w:tr>
        <w:trPr>
          <w:trHeight w:val="230" w:hRule="atLeast"/>
        </w:trPr>
        <w:tc>
          <w:tcPr>
            <w:tcW w:w="3458" w:type="dxa"/>
          </w:tcPr>
          <w:p>
            <w:pPr>
              <w:pStyle w:val="TableParagraph"/>
              <w:spacing w:line="210" w:lineRule="exact"/>
              <w:ind w:left="69"/>
              <w:rPr>
                <w:sz w:val="20"/>
              </w:rPr>
            </w:pPr>
            <w:r>
              <w:rPr>
                <w:spacing w:val="-4"/>
                <w:sz w:val="20"/>
              </w:rPr>
              <w:t>Equipos</w:t>
            </w:r>
            <w:r>
              <w:rPr>
                <w:spacing w:val="-3"/>
                <w:sz w:val="20"/>
              </w:rPr>
              <w:t> </w:t>
            </w:r>
            <w:r>
              <w:rPr>
                <w:spacing w:val="-4"/>
                <w:sz w:val="20"/>
              </w:rPr>
              <w:t>para procesos</w:t>
            </w:r>
            <w:r>
              <w:rPr>
                <w:spacing w:val="-3"/>
                <w:sz w:val="20"/>
              </w:rPr>
              <w:t> </w:t>
            </w:r>
            <w:r>
              <w:rPr>
                <w:spacing w:val="-4"/>
                <w:sz w:val="20"/>
              </w:rPr>
              <w:t>de</w:t>
            </w:r>
            <w:r>
              <w:rPr>
                <w:spacing w:val="-6"/>
                <w:sz w:val="20"/>
              </w:rPr>
              <w:t> </w:t>
            </w:r>
            <w:r>
              <w:rPr>
                <w:spacing w:val="-4"/>
                <w:sz w:val="20"/>
              </w:rPr>
              <w:t>información</w:t>
            </w:r>
          </w:p>
        </w:tc>
        <w:tc>
          <w:tcPr>
            <w:tcW w:w="1821" w:type="dxa"/>
          </w:tcPr>
          <w:p>
            <w:pPr>
              <w:pStyle w:val="TableParagraph"/>
              <w:spacing w:line="210" w:lineRule="exact"/>
              <w:ind w:left="10" w:right="2"/>
              <w:jc w:val="center"/>
              <w:rPr>
                <w:sz w:val="20"/>
              </w:rPr>
            </w:pPr>
            <w:r>
              <w:rPr>
                <w:sz w:val="20"/>
              </w:rPr>
              <w:t>10</w:t>
            </w:r>
            <w:r>
              <w:rPr>
                <w:spacing w:val="-12"/>
                <w:sz w:val="20"/>
              </w:rPr>
              <w:t> </w:t>
            </w:r>
            <w:r>
              <w:rPr>
                <w:sz w:val="20"/>
              </w:rPr>
              <w:t>/</w:t>
            </w:r>
            <w:r>
              <w:rPr>
                <w:spacing w:val="-10"/>
                <w:sz w:val="20"/>
              </w:rPr>
              <w:t> </w:t>
            </w:r>
            <w:r>
              <w:rPr>
                <w:sz w:val="20"/>
              </w:rPr>
              <w:t>20</w:t>
            </w:r>
            <w:r>
              <w:rPr>
                <w:spacing w:val="-9"/>
                <w:sz w:val="20"/>
              </w:rPr>
              <w:t> </w:t>
            </w:r>
            <w:r>
              <w:rPr>
                <w:spacing w:val="-10"/>
                <w:sz w:val="20"/>
              </w:rPr>
              <w:t>%</w:t>
            </w:r>
          </w:p>
        </w:tc>
      </w:tr>
      <w:tr>
        <w:trPr>
          <w:trHeight w:val="230" w:hRule="atLeast"/>
        </w:trPr>
        <w:tc>
          <w:tcPr>
            <w:tcW w:w="3458" w:type="dxa"/>
          </w:tcPr>
          <w:p>
            <w:pPr>
              <w:pStyle w:val="TableParagraph"/>
              <w:spacing w:line="210" w:lineRule="exact"/>
              <w:ind w:left="69"/>
              <w:rPr>
                <w:sz w:val="20"/>
              </w:rPr>
            </w:pPr>
            <w:r>
              <w:rPr>
                <w:spacing w:val="-4"/>
                <w:sz w:val="20"/>
              </w:rPr>
              <w:t>Elementos de</w:t>
            </w:r>
            <w:r>
              <w:rPr>
                <w:spacing w:val="-3"/>
                <w:sz w:val="20"/>
              </w:rPr>
              <w:t> </w:t>
            </w:r>
            <w:r>
              <w:rPr>
                <w:spacing w:val="-4"/>
                <w:sz w:val="20"/>
              </w:rPr>
              <w:t>transporte</w:t>
            </w:r>
          </w:p>
        </w:tc>
        <w:tc>
          <w:tcPr>
            <w:tcW w:w="1821" w:type="dxa"/>
          </w:tcPr>
          <w:p>
            <w:pPr>
              <w:pStyle w:val="TableParagraph"/>
              <w:spacing w:line="210" w:lineRule="exact"/>
              <w:ind w:left="10"/>
              <w:jc w:val="center"/>
              <w:rPr>
                <w:sz w:val="20"/>
              </w:rPr>
            </w:pPr>
            <w:r>
              <w:rPr>
                <w:sz w:val="20"/>
              </w:rPr>
              <w:t>5</w:t>
            </w:r>
            <w:r>
              <w:rPr>
                <w:spacing w:val="-8"/>
                <w:sz w:val="20"/>
              </w:rPr>
              <w:t> </w:t>
            </w:r>
            <w:r>
              <w:rPr>
                <w:sz w:val="20"/>
              </w:rPr>
              <w:t>/</w:t>
            </w:r>
            <w:r>
              <w:rPr>
                <w:spacing w:val="-9"/>
                <w:sz w:val="20"/>
              </w:rPr>
              <w:t> </w:t>
            </w:r>
            <w:r>
              <w:rPr>
                <w:sz w:val="20"/>
              </w:rPr>
              <w:t>10</w:t>
            </w:r>
            <w:r>
              <w:rPr>
                <w:spacing w:val="-8"/>
                <w:sz w:val="20"/>
              </w:rPr>
              <w:t> </w:t>
            </w:r>
            <w:r>
              <w:rPr>
                <w:sz w:val="20"/>
              </w:rPr>
              <w:t>/</w:t>
            </w:r>
            <w:r>
              <w:rPr>
                <w:spacing w:val="-9"/>
                <w:sz w:val="20"/>
              </w:rPr>
              <w:t> </w:t>
            </w:r>
            <w:r>
              <w:rPr>
                <w:sz w:val="20"/>
              </w:rPr>
              <w:t>20</w:t>
            </w:r>
            <w:r>
              <w:rPr>
                <w:spacing w:val="-8"/>
                <w:sz w:val="20"/>
              </w:rPr>
              <w:t> </w:t>
            </w:r>
            <w:r>
              <w:rPr>
                <w:spacing w:val="-10"/>
                <w:sz w:val="20"/>
              </w:rPr>
              <w:t>%</w:t>
            </w:r>
          </w:p>
        </w:tc>
      </w:tr>
      <w:tr>
        <w:trPr>
          <w:trHeight w:val="232" w:hRule="atLeast"/>
        </w:trPr>
        <w:tc>
          <w:tcPr>
            <w:tcW w:w="3458" w:type="dxa"/>
          </w:tcPr>
          <w:p>
            <w:pPr>
              <w:pStyle w:val="TableParagraph"/>
              <w:spacing w:line="212" w:lineRule="exact"/>
              <w:ind w:left="69"/>
              <w:rPr>
                <w:sz w:val="20"/>
              </w:rPr>
            </w:pPr>
            <w:r>
              <w:rPr>
                <w:spacing w:val="-4"/>
                <w:sz w:val="20"/>
              </w:rPr>
              <w:t>Otro inmovilizado</w:t>
            </w:r>
            <w:r>
              <w:rPr>
                <w:spacing w:val="-3"/>
                <w:sz w:val="20"/>
              </w:rPr>
              <w:t> </w:t>
            </w:r>
            <w:r>
              <w:rPr>
                <w:spacing w:val="-4"/>
                <w:sz w:val="20"/>
              </w:rPr>
              <w:t>material</w:t>
            </w:r>
          </w:p>
        </w:tc>
        <w:tc>
          <w:tcPr>
            <w:tcW w:w="1821" w:type="dxa"/>
          </w:tcPr>
          <w:p>
            <w:pPr>
              <w:pStyle w:val="TableParagraph"/>
              <w:spacing w:line="212" w:lineRule="exact"/>
              <w:ind w:left="10" w:right="1"/>
              <w:jc w:val="center"/>
              <w:rPr>
                <w:sz w:val="20"/>
              </w:rPr>
            </w:pPr>
            <w:r>
              <w:rPr>
                <w:sz w:val="20"/>
              </w:rPr>
              <w:t>10</w:t>
            </w:r>
            <w:r>
              <w:rPr>
                <w:spacing w:val="-12"/>
                <w:sz w:val="20"/>
              </w:rPr>
              <w:t> </w:t>
            </w:r>
            <w:r>
              <w:rPr>
                <w:sz w:val="20"/>
              </w:rPr>
              <w:t>/</w:t>
            </w:r>
            <w:r>
              <w:rPr>
                <w:spacing w:val="-10"/>
                <w:sz w:val="20"/>
              </w:rPr>
              <w:t> </w:t>
            </w:r>
            <w:r>
              <w:rPr>
                <w:sz w:val="20"/>
              </w:rPr>
              <w:t>20</w:t>
            </w:r>
            <w:r>
              <w:rPr>
                <w:spacing w:val="-9"/>
                <w:sz w:val="20"/>
              </w:rPr>
              <w:t> </w:t>
            </w:r>
            <w:r>
              <w:rPr>
                <w:spacing w:val="-10"/>
                <w:sz w:val="20"/>
              </w:rPr>
              <w:t>%</w:t>
            </w:r>
          </w:p>
        </w:tc>
      </w:tr>
    </w:tbl>
    <w:p>
      <w:pPr>
        <w:pStyle w:val="BodyText"/>
        <w:spacing w:before="48"/>
      </w:pPr>
    </w:p>
    <w:p>
      <w:pPr>
        <w:pStyle w:val="BodyText"/>
        <w:ind w:left="1768" w:right="1336"/>
        <w:jc w:val="both"/>
      </w:pPr>
      <w:r>
        <w:rPr/>
        <mc:AlternateContent>
          <mc:Choice Requires="wps">
            <w:drawing>
              <wp:anchor distT="0" distB="0" distL="0" distR="0" allowOverlap="1" layoutInCell="1" locked="0" behindDoc="0" simplePos="0" relativeHeight="15746048">
                <wp:simplePos x="0" y="0"/>
                <wp:positionH relativeFrom="page">
                  <wp:posOffset>6966436</wp:posOffset>
                </wp:positionH>
                <wp:positionV relativeFrom="paragraph">
                  <wp:posOffset>113205</wp:posOffset>
                </wp:positionV>
                <wp:extent cx="263525" cy="327596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8.913837pt;width:20.75pt;height:257.95pt;mso-position-horizontal-relative:page;mso-position-vertical-relative:paragraph;z-index:15746048" type="#_x0000_t202" id="docshape8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Sociedad evalúa al menos al cierre</w:t>
      </w:r>
      <w:r>
        <w:rPr>
          <w:spacing w:val="-1"/>
        </w:rPr>
        <w:t> </w:t>
      </w:r>
      <w:r>
        <w:rPr/>
        <w:t>de cada</w:t>
      </w:r>
      <w:r>
        <w:rPr>
          <w:spacing w:val="-1"/>
        </w:rPr>
        <w:t> </w:t>
      </w:r>
      <w:r>
        <w:rPr/>
        <w:t>ejercicio</w:t>
      </w:r>
      <w:r>
        <w:rPr>
          <w:spacing w:val="-1"/>
        </w:rPr>
        <w:t> </w:t>
      </w:r>
      <w:r>
        <w:rPr/>
        <w:t>si existen indicios de pérdidas por deterioro</w:t>
      </w:r>
      <w:r>
        <w:rPr>
          <w:spacing w:val="-2"/>
        </w:rPr>
        <w:t> </w:t>
      </w:r>
      <w:r>
        <w:rPr/>
        <w:t>de</w:t>
      </w:r>
      <w:r>
        <w:rPr>
          <w:spacing w:val="-1"/>
        </w:rPr>
        <w:t> </w:t>
      </w:r>
      <w:r>
        <w:rPr/>
        <w:t>valor de</w:t>
      </w:r>
      <w:r>
        <w:rPr>
          <w:spacing w:val="-2"/>
        </w:rPr>
        <w:t> </w:t>
      </w:r>
      <w:r>
        <w:rPr/>
        <w:t>su</w:t>
      </w:r>
      <w:r>
        <w:rPr>
          <w:spacing w:val="-2"/>
        </w:rPr>
        <w:t> </w:t>
      </w:r>
      <w:r>
        <w:rPr/>
        <w:t>inmovilizado</w:t>
      </w:r>
      <w:r>
        <w:rPr>
          <w:spacing w:val="-4"/>
        </w:rPr>
        <w:t> </w:t>
      </w:r>
      <w:r>
        <w:rPr/>
        <w:t>material,</w:t>
      </w:r>
      <w:r>
        <w:rPr>
          <w:spacing w:val="-4"/>
        </w:rPr>
        <w:t> </w:t>
      </w:r>
      <w:r>
        <w:rPr/>
        <w:t>que</w:t>
      </w:r>
      <w:r>
        <w:rPr>
          <w:spacing w:val="-2"/>
        </w:rPr>
        <w:t> </w:t>
      </w:r>
      <w:r>
        <w:rPr/>
        <w:t>reduzcan</w:t>
      </w:r>
      <w:r>
        <w:rPr>
          <w:spacing w:val="-3"/>
        </w:rPr>
        <w:t> </w:t>
      </w:r>
      <w:r>
        <w:rPr/>
        <w:t>el</w:t>
      </w:r>
      <w:r>
        <w:rPr>
          <w:spacing w:val="-3"/>
        </w:rPr>
        <w:t> </w:t>
      </w:r>
      <w:r>
        <w:rPr/>
        <w:t>valor</w:t>
      </w:r>
      <w:r>
        <w:rPr>
          <w:spacing w:val="-1"/>
        </w:rPr>
        <w:t> </w:t>
      </w:r>
      <w:r>
        <w:rPr/>
        <w:t>recuperable</w:t>
      </w:r>
      <w:r>
        <w:rPr>
          <w:spacing w:val="-4"/>
        </w:rPr>
        <w:t> </w:t>
      </w:r>
      <w:r>
        <w:rPr/>
        <w:t>de</w:t>
      </w:r>
      <w:r>
        <w:rPr>
          <w:spacing w:val="-1"/>
        </w:rPr>
        <w:t> </w:t>
      </w:r>
      <w:r>
        <w:rPr/>
        <w:t>dichos activos a</w:t>
      </w:r>
      <w:r>
        <w:rPr>
          <w:spacing w:val="-3"/>
        </w:rPr>
        <w:t> </w:t>
      </w:r>
      <w:r>
        <w:rPr/>
        <w:t>un importe</w:t>
      </w:r>
      <w:r>
        <w:rPr>
          <w:spacing w:val="-3"/>
        </w:rPr>
        <w:t> </w:t>
      </w:r>
      <w:r>
        <w:rPr/>
        <w:t>inferior al</w:t>
      </w:r>
      <w:r>
        <w:rPr>
          <w:spacing w:val="-1"/>
        </w:rPr>
        <w:t> </w:t>
      </w:r>
      <w:r>
        <w:rPr/>
        <w:t>de</w:t>
      </w:r>
      <w:r>
        <w:rPr>
          <w:spacing w:val="-3"/>
        </w:rPr>
        <w:t> </w:t>
      </w:r>
      <w:r>
        <w:rPr/>
        <w:t>su</w:t>
      </w:r>
      <w:r>
        <w:rPr>
          <w:spacing w:val="-1"/>
        </w:rPr>
        <w:t> </w:t>
      </w:r>
      <w:r>
        <w:rPr/>
        <w:t>valor en libros.</w:t>
      </w:r>
      <w:r>
        <w:rPr>
          <w:spacing w:val="-3"/>
        </w:rPr>
        <w:t> </w:t>
      </w:r>
      <w:r>
        <w:rPr/>
        <w:t>Si existe</w:t>
      </w:r>
      <w:r>
        <w:rPr>
          <w:spacing w:val="-3"/>
        </w:rPr>
        <w:t> </w:t>
      </w:r>
      <w:r>
        <w:rPr/>
        <w:t>cualquier indicio,</w:t>
      </w:r>
      <w:r>
        <w:rPr>
          <w:spacing w:val="-1"/>
        </w:rPr>
        <w:t> </w:t>
      </w:r>
      <w:r>
        <w:rPr/>
        <w:t>se estima</w:t>
      </w:r>
      <w:r>
        <w:rPr>
          <w:spacing w:val="-3"/>
        </w:rPr>
        <w:t> </w:t>
      </w:r>
      <w:r>
        <w:rPr/>
        <w:t>el valor recuperable del activo con el objeto de determinar el alcance de la eventual pérdida por deterioro de valor. En caso de que el activo no genere flujos de efectivo que sean independientes de otros activos o grupos de activos, la Sociedad calcula el valor recuperable de la unidad generadora de efectivo (UGE) a la que pertenece el activo.</w:t>
      </w:r>
    </w:p>
    <w:p>
      <w:pPr>
        <w:pStyle w:val="BodyText"/>
        <w:spacing w:before="228"/>
        <w:ind w:left="1768" w:right="1337"/>
        <w:jc w:val="both"/>
      </w:pPr>
      <w:r>
        <w:rPr/>
        <w:t>El valor recuperable de los activos es el mayor entre su valor razonable menos los costes de venta y</w:t>
      </w:r>
      <w:r>
        <w:rPr>
          <w:spacing w:val="-1"/>
        </w:rPr>
        <w:t> </w:t>
      </w:r>
      <w:r>
        <w:rPr/>
        <w:t>su valor en uso. La determinación del valor en uso se realiza en función de los flujos de efectivo futuros esperados que se derivarán de la utilización del activo, las expectativas sobre posibles variaciones en el importe o distribución temporal de los flujos, el</w:t>
      </w:r>
      <w:r>
        <w:rPr>
          <w:spacing w:val="-1"/>
        </w:rPr>
        <w:t> </w:t>
      </w:r>
      <w:r>
        <w:rPr/>
        <w:t>valor temporal</w:t>
      </w:r>
      <w:r>
        <w:rPr>
          <w:spacing w:val="-4"/>
        </w:rPr>
        <w:t> </w:t>
      </w:r>
      <w:r>
        <w:rPr/>
        <w:t>del</w:t>
      </w:r>
      <w:r>
        <w:rPr>
          <w:spacing w:val="-1"/>
        </w:rPr>
        <w:t> </w:t>
      </w:r>
      <w:r>
        <w:rPr/>
        <w:t>dinero,</w:t>
      </w:r>
      <w:r>
        <w:rPr>
          <w:spacing w:val="-1"/>
        </w:rPr>
        <w:t> </w:t>
      </w:r>
      <w:r>
        <w:rPr/>
        <w:t>el</w:t>
      </w:r>
      <w:r>
        <w:rPr>
          <w:spacing w:val="-1"/>
        </w:rPr>
        <w:t> </w:t>
      </w:r>
      <w:r>
        <w:rPr/>
        <w:t>precio</w:t>
      </w:r>
      <w:r>
        <w:rPr>
          <w:spacing w:val="-3"/>
        </w:rPr>
        <w:t> </w:t>
      </w:r>
      <w:r>
        <w:rPr/>
        <w:t>a</w:t>
      </w:r>
      <w:r>
        <w:rPr>
          <w:spacing w:val="-1"/>
        </w:rPr>
        <w:t> </w:t>
      </w:r>
      <w:r>
        <w:rPr/>
        <w:t>satisfacer por soportar la</w:t>
      </w:r>
      <w:r>
        <w:rPr>
          <w:spacing w:val="-3"/>
        </w:rPr>
        <w:t> </w:t>
      </w:r>
      <w:r>
        <w:rPr/>
        <w:t>incertidumbre</w:t>
      </w:r>
      <w:r>
        <w:rPr>
          <w:spacing w:val="-3"/>
        </w:rPr>
        <w:t> </w:t>
      </w:r>
      <w:r>
        <w:rPr/>
        <w:t>relacionada con</w:t>
      </w:r>
      <w:r>
        <w:rPr>
          <w:spacing w:val="-3"/>
        </w:rPr>
        <w:t> </w:t>
      </w:r>
      <w:r>
        <w:rPr/>
        <w:t>el</w:t>
      </w:r>
      <w:r>
        <w:rPr>
          <w:spacing w:val="-3"/>
        </w:rPr>
        <w:t> </w:t>
      </w:r>
      <w:r>
        <w:rPr/>
        <w:t>activo y</w:t>
      </w:r>
      <w:r>
        <w:rPr>
          <w:spacing w:val="-3"/>
        </w:rPr>
        <w:t> </w:t>
      </w:r>
      <w:r>
        <w:rPr/>
        <w:t>otros</w:t>
      </w:r>
      <w:r>
        <w:rPr>
          <w:spacing w:val="-2"/>
        </w:rPr>
        <w:t> </w:t>
      </w:r>
      <w:r>
        <w:rPr/>
        <w:t>factores que los partícipes del mercado</w:t>
      </w:r>
      <w:r>
        <w:rPr>
          <w:spacing w:val="-1"/>
        </w:rPr>
        <w:t> </w:t>
      </w:r>
      <w:r>
        <w:rPr/>
        <w:t>considerarían en</w:t>
      </w:r>
      <w:r>
        <w:rPr>
          <w:spacing w:val="-1"/>
        </w:rPr>
        <w:t> </w:t>
      </w:r>
      <w:r>
        <w:rPr/>
        <w:t>la</w:t>
      </w:r>
      <w:r>
        <w:rPr>
          <w:spacing w:val="-1"/>
        </w:rPr>
        <w:t> </w:t>
      </w:r>
      <w:r>
        <w:rPr/>
        <w:t>valoración de los flujos de efectivo futuros relacionados con el activo.</w:t>
      </w:r>
    </w:p>
    <w:p>
      <w:pPr>
        <w:pStyle w:val="BodyText"/>
        <w:spacing w:before="229"/>
        <w:ind w:left="1768" w:right="1337"/>
        <w:jc w:val="both"/>
      </w:pPr>
      <w:r>
        <w:rPr/>
        <w:t>En el caso de que el importe recuperable estimado sea inferior al valor neto en libros del activo, se registra la correspondiente pérdida por deterioro con cargo a la cuenta de pérdidas y ganancias, reduciendo el valor en libros del activo a su importe recuperable.</w:t>
      </w:r>
    </w:p>
    <w:p>
      <w:pPr>
        <w:pStyle w:val="BodyText"/>
        <w:spacing w:before="1"/>
      </w:pPr>
    </w:p>
    <w:p>
      <w:pPr>
        <w:pStyle w:val="BodyText"/>
        <w:ind w:left="1768" w:right="1336"/>
        <w:jc w:val="both"/>
      </w:pPr>
      <w:r>
        <w:rPr/>
        <w:t>Una vez reconocida la corrección valorativa por deterioro o su reversión, se ajustan las amortizaciones de los ejercicios siguientes considerando el nuevo valor contable.</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BodyText"/>
        <w:ind w:left="1768" w:right="1337"/>
        <w:jc w:val="both"/>
      </w:pPr>
      <w:r>
        <w:rPr/>
        <w:t>No obstante, lo anterior, si de las circunstancias específicas de los activos se pone de manifiesto</w:t>
      </w:r>
      <w:r>
        <w:rPr>
          <w:spacing w:val="-4"/>
        </w:rPr>
        <w:t> </w:t>
      </w:r>
      <w:r>
        <w:rPr/>
        <w:t>una</w:t>
      </w:r>
      <w:r>
        <w:rPr>
          <w:spacing w:val="-2"/>
        </w:rPr>
        <w:t> </w:t>
      </w:r>
      <w:r>
        <w:rPr/>
        <w:t>pérdida</w:t>
      </w:r>
      <w:r>
        <w:rPr>
          <w:spacing w:val="-4"/>
        </w:rPr>
        <w:t> </w:t>
      </w:r>
      <w:r>
        <w:rPr/>
        <w:t>de carácter</w:t>
      </w:r>
      <w:r>
        <w:rPr>
          <w:spacing w:val="-1"/>
        </w:rPr>
        <w:t> </w:t>
      </w:r>
      <w:r>
        <w:rPr/>
        <w:t>irreversible,</w:t>
      </w:r>
      <w:r>
        <w:rPr>
          <w:spacing w:val="-2"/>
        </w:rPr>
        <w:t> </w:t>
      </w:r>
      <w:r>
        <w:rPr/>
        <w:t>ésta</w:t>
      </w:r>
      <w:r>
        <w:rPr>
          <w:spacing w:val="-2"/>
        </w:rPr>
        <w:t> </w:t>
      </w:r>
      <w:r>
        <w:rPr/>
        <w:t>se</w:t>
      </w:r>
      <w:r>
        <w:rPr>
          <w:spacing w:val="-4"/>
        </w:rPr>
        <w:t> </w:t>
      </w:r>
      <w:r>
        <w:rPr/>
        <w:t>reconoce</w:t>
      </w:r>
      <w:r>
        <w:rPr>
          <w:spacing w:val="-4"/>
        </w:rPr>
        <w:t> </w:t>
      </w:r>
      <w:r>
        <w:rPr/>
        <w:t>directamente</w:t>
      </w:r>
      <w:r>
        <w:rPr>
          <w:spacing w:val="-2"/>
        </w:rPr>
        <w:t> </w:t>
      </w:r>
      <w:r>
        <w:rPr/>
        <w:t>en pérdidas procedentes del inmovilizado de la cuenta de pérdidas y ganancias.</w:t>
      </w:r>
    </w:p>
    <w:p>
      <w:pPr>
        <w:pStyle w:val="BodyText"/>
        <w:spacing w:before="2"/>
      </w:pPr>
    </w:p>
    <w:p>
      <w:pPr>
        <w:pStyle w:val="BodyText"/>
        <w:ind w:left="1768" w:right="1338"/>
        <w:jc w:val="both"/>
      </w:pPr>
      <w:r>
        <w:rPr/>
        <w:t>En el ejercicio 2023 la sociedad registró deterioro del inmovilizado material por los tres vehículos híbridos adquiridos en</w:t>
      </w:r>
      <w:r>
        <w:rPr>
          <w:spacing w:val="-4"/>
        </w:rPr>
        <w:t> </w:t>
      </w:r>
      <w:r>
        <w:rPr/>
        <w:t>el</w:t>
      </w:r>
      <w:r>
        <w:rPr>
          <w:spacing w:val="-5"/>
        </w:rPr>
        <w:t> </w:t>
      </w:r>
      <w:r>
        <w:rPr/>
        <w:t>año</w:t>
      </w:r>
      <w:r>
        <w:rPr>
          <w:spacing w:val="-2"/>
        </w:rPr>
        <w:t> </w:t>
      </w:r>
      <w:r>
        <w:rPr/>
        <w:t>2018</w:t>
      </w:r>
      <w:r>
        <w:rPr>
          <w:spacing w:val="-2"/>
        </w:rPr>
        <w:t> </w:t>
      </w:r>
      <w:r>
        <w:rPr/>
        <w:t>debido</w:t>
      </w:r>
      <w:r>
        <w:rPr>
          <w:spacing w:val="-2"/>
        </w:rPr>
        <w:t> </w:t>
      </w:r>
      <w:r>
        <w:rPr/>
        <w:t>a</w:t>
      </w:r>
      <w:r>
        <w:rPr>
          <w:spacing w:val="-2"/>
        </w:rPr>
        <w:t> </w:t>
      </w:r>
      <w:r>
        <w:rPr/>
        <w:t>su</w:t>
      </w:r>
      <w:r>
        <w:rPr>
          <w:spacing w:val="-2"/>
        </w:rPr>
        <w:t> </w:t>
      </w:r>
      <w:r>
        <w:rPr/>
        <w:t>alto</w:t>
      </w:r>
      <w:r>
        <w:rPr>
          <w:spacing w:val="-4"/>
        </w:rPr>
        <w:t> </w:t>
      </w:r>
      <w:r>
        <w:rPr/>
        <w:t>porcentaje</w:t>
      </w:r>
      <w:r>
        <w:rPr>
          <w:spacing w:val="-2"/>
        </w:rPr>
        <w:t> </w:t>
      </w:r>
      <w:r>
        <w:rPr/>
        <w:t>de</w:t>
      </w:r>
      <w:r>
        <w:rPr>
          <w:spacing w:val="-2"/>
        </w:rPr>
        <w:t> </w:t>
      </w:r>
      <w:r>
        <w:rPr/>
        <w:t>inmovilización, programándose su baja en julio 2024 con la llegada de nuevos vehículos. Finalmente</w:t>
      </w:r>
      <w:r>
        <w:rPr>
          <w:spacing w:val="40"/>
        </w:rPr>
        <w:t> </w:t>
      </w:r>
      <w:r>
        <w:rPr/>
        <w:t>estos vehículos se dieron de baja en diciembre de 2024.</w:t>
      </w:r>
    </w:p>
    <w:p>
      <w:pPr>
        <w:pStyle w:val="BodyText"/>
        <w:spacing w:before="50"/>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z w:val="20"/>
          <w:u w:val="single"/>
        </w:rPr>
        <w:t>Inversiones</w:t>
      </w:r>
      <w:r>
        <w:rPr>
          <w:spacing w:val="-13"/>
          <w:sz w:val="20"/>
          <w:u w:val="single"/>
        </w:rPr>
        <w:t> </w:t>
      </w:r>
      <w:r>
        <w:rPr>
          <w:spacing w:val="-2"/>
          <w:sz w:val="20"/>
          <w:u w:val="single"/>
        </w:rPr>
        <w:t>Inmobiliarias.</w:t>
      </w:r>
    </w:p>
    <w:p>
      <w:pPr>
        <w:pStyle w:val="BodyText"/>
        <w:spacing w:before="51"/>
      </w:pPr>
    </w:p>
    <w:p>
      <w:pPr>
        <w:pStyle w:val="BodyText"/>
        <w:ind w:left="1795" w:right="1336"/>
        <w:jc w:val="both"/>
      </w:pPr>
      <w:r>
        <w:rPr/>
        <w:t>La Sociedad clasifica como inversiones inmobiliarias aquellos activos no corrientes que sean inmuebles y que</w:t>
      </w:r>
      <w:r>
        <w:rPr>
          <w:spacing w:val="-2"/>
        </w:rPr>
        <w:t> </w:t>
      </w:r>
      <w:r>
        <w:rPr/>
        <w:t>posee para</w:t>
      </w:r>
      <w:r>
        <w:rPr>
          <w:spacing w:val="-2"/>
        </w:rPr>
        <w:t> </w:t>
      </w:r>
      <w:r>
        <w:rPr/>
        <w:t>obtener rentas, plusvalías o ambas,</w:t>
      </w:r>
      <w:r>
        <w:rPr>
          <w:spacing w:val="-2"/>
        </w:rPr>
        <w:t> </w:t>
      </w:r>
      <w:r>
        <w:rPr/>
        <w:t>en lugar de</w:t>
      </w:r>
      <w:r>
        <w:rPr>
          <w:spacing w:val="-2"/>
        </w:rPr>
        <w:t> </w:t>
      </w:r>
      <w:r>
        <w:rPr/>
        <w:t>para su uso</w:t>
      </w:r>
      <w:r>
        <w:rPr>
          <w:spacing w:val="-3"/>
        </w:rPr>
        <w:t> </w:t>
      </w:r>
      <w:r>
        <w:rPr/>
        <w:t>en</w:t>
      </w:r>
      <w:r>
        <w:rPr>
          <w:spacing w:val="-2"/>
        </w:rPr>
        <w:t> </w:t>
      </w:r>
      <w:r>
        <w:rPr/>
        <w:t>la</w:t>
      </w:r>
      <w:r>
        <w:rPr>
          <w:spacing w:val="-3"/>
        </w:rPr>
        <w:t> </w:t>
      </w:r>
      <w:r>
        <w:rPr/>
        <w:t>producción</w:t>
      </w:r>
      <w:r>
        <w:rPr>
          <w:spacing w:val="-3"/>
        </w:rPr>
        <w:t> </w:t>
      </w:r>
      <w:r>
        <w:rPr/>
        <w:t>o</w:t>
      </w:r>
      <w:r>
        <w:rPr>
          <w:spacing w:val="-2"/>
        </w:rPr>
        <w:t> </w:t>
      </w:r>
      <w:r>
        <w:rPr/>
        <w:t>suministros de</w:t>
      </w:r>
      <w:r>
        <w:rPr>
          <w:spacing w:val="-2"/>
        </w:rPr>
        <w:t> </w:t>
      </w:r>
      <w:r>
        <w:rPr/>
        <w:t>bienes o</w:t>
      </w:r>
      <w:r>
        <w:rPr>
          <w:spacing w:val="-3"/>
        </w:rPr>
        <w:t> </w:t>
      </w:r>
      <w:r>
        <w:rPr/>
        <w:t>servicios,</w:t>
      </w:r>
      <w:r>
        <w:rPr>
          <w:spacing w:val="-3"/>
        </w:rPr>
        <w:t> </w:t>
      </w:r>
      <w:r>
        <w:rPr/>
        <w:t>o</w:t>
      </w:r>
      <w:r>
        <w:rPr>
          <w:spacing w:val="-2"/>
        </w:rPr>
        <w:t> </w:t>
      </w:r>
      <w:r>
        <w:rPr/>
        <w:t>bien</w:t>
      </w:r>
      <w:r>
        <w:rPr>
          <w:spacing w:val="-2"/>
        </w:rPr>
        <w:t> </w:t>
      </w:r>
      <w:r>
        <w:rPr/>
        <w:t>para</w:t>
      </w:r>
      <w:r>
        <w:rPr>
          <w:spacing w:val="-2"/>
        </w:rPr>
        <w:t> </w:t>
      </w:r>
      <w:r>
        <w:rPr/>
        <w:t>fines administrativos, o su venta en</w:t>
      </w:r>
      <w:r>
        <w:rPr>
          <w:spacing w:val="-1"/>
        </w:rPr>
        <w:t> </w:t>
      </w:r>
      <w:r>
        <w:rPr/>
        <w:t>el curso ordinario</w:t>
      </w:r>
      <w:r>
        <w:rPr>
          <w:spacing w:val="-1"/>
        </w:rPr>
        <w:t> </w:t>
      </w:r>
      <w:r>
        <w:rPr/>
        <w:t>de</w:t>
      </w:r>
      <w:r>
        <w:rPr>
          <w:spacing w:val="-1"/>
        </w:rPr>
        <w:t> </w:t>
      </w:r>
      <w:r>
        <w:rPr/>
        <w:t>las operaciones. Así como</w:t>
      </w:r>
      <w:r>
        <w:rPr>
          <w:spacing w:val="-1"/>
        </w:rPr>
        <w:t> </w:t>
      </w:r>
      <w:r>
        <w:rPr/>
        <w:t>aquellos terrenos y edificios cuyos usos futuros no estén determinados en el momento de su incorporación al patrimonio de la Sociedad.</w:t>
      </w:r>
    </w:p>
    <w:p>
      <w:pPr>
        <w:pStyle w:val="BodyText"/>
        <w:spacing w:before="228"/>
        <w:ind w:left="1795" w:right="1340"/>
        <w:jc w:val="both"/>
      </w:pPr>
      <w:r>
        <w:rPr/>
        <w:t>Para la valoración de las inversiones inmobiliarias se utiliza los criterios del inmovilizado material para los terrenos y construcciones, siendo los siguientes:</w:t>
      </w:r>
    </w:p>
    <w:p>
      <w:pPr>
        <w:pStyle w:val="BodyText"/>
      </w:pPr>
    </w:p>
    <w:p>
      <w:pPr>
        <w:pStyle w:val="ListParagraph"/>
        <w:numPr>
          <w:ilvl w:val="2"/>
          <w:numId w:val="4"/>
        </w:numPr>
        <w:tabs>
          <w:tab w:pos="2613" w:val="left" w:leader="none"/>
        </w:tabs>
        <w:spacing w:line="240" w:lineRule="auto" w:before="0" w:after="0"/>
        <w:ind w:left="2613" w:right="1335" w:hanging="360"/>
        <w:jc w:val="both"/>
        <w:rPr>
          <w:sz w:val="20"/>
        </w:rPr>
      </w:pPr>
      <w:r>
        <w:rPr>
          <w:sz w:val="20"/>
        </w:rPr>
        <w:t>Los</w:t>
      </w:r>
      <w:r>
        <w:rPr>
          <w:spacing w:val="-3"/>
          <w:sz w:val="20"/>
        </w:rPr>
        <w:t> </w:t>
      </w:r>
      <w:r>
        <w:rPr>
          <w:sz w:val="20"/>
        </w:rPr>
        <w:t>solares</w:t>
      </w:r>
      <w:r>
        <w:rPr>
          <w:spacing w:val="-2"/>
          <w:sz w:val="20"/>
        </w:rPr>
        <w:t> </w:t>
      </w:r>
      <w:r>
        <w:rPr>
          <w:sz w:val="20"/>
        </w:rPr>
        <w:t>sin</w:t>
      </w:r>
      <w:r>
        <w:rPr>
          <w:spacing w:val="-3"/>
          <w:sz w:val="20"/>
        </w:rPr>
        <w:t> </w:t>
      </w:r>
      <w:r>
        <w:rPr>
          <w:sz w:val="20"/>
        </w:rPr>
        <w:t>edificar</w:t>
      </w:r>
      <w:r>
        <w:rPr>
          <w:spacing w:val="-2"/>
          <w:sz w:val="20"/>
        </w:rPr>
        <w:t> </w:t>
      </w:r>
      <w:r>
        <w:rPr>
          <w:sz w:val="20"/>
        </w:rPr>
        <w:t>se</w:t>
      </w:r>
      <w:r>
        <w:rPr>
          <w:spacing w:val="-1"/>
          <w:sz w:val="20"/>
        </w:rPr>
        <w:t> </w:t>
      </w:r>
      <w:r>
        <w:rPr>
          <w:sz w:val="20"/>
        </w:rPr>
        <w:t>valoran</w:t>
      </w:r>
      <w:r>
        <w:rPr>
          <w:spacing w:val="-3"/>
          <w:sz w:val="20"/>
        </w:rPr>
        <w:t> </w:t>
      </w:r>
      <w:r>
        <w:rPr>
          <w:sz w:val="20"/>
        </w:rPr>
        <w:t>por su</w:t>
      </w:r>
      <w:r>
        <w:rPr>
          <w:spacing w:val="-4"/>
          <w:sz w:val="20"/>
        </w:rPr>
        <w:t> </w:t>
      </w:r>
      <w:r>
        <w:rPr>
          <w:sz w:val="20"/>
        </w:rPr>
        <w:t>precio</w:t>
      </w:r>
      <w:r>
        <w:rPr>
          <w:spacing w:val="-3"/>
          <w:sz w:val="20"/>
        </w:rPr>
        <w:t> </w:t>
      </w:r>
      <w:r>
        <w:rPr>
          <w:sz w:val="20"/>
        </w:rPr>
        <w:t>de</w:t>
      </w:r>
      <w:r>
        <w:rPr>
          <w:spacing w:val="-1"/>
          <w:sz w:val="20"/>
        </w:rPr>
        <w:t> </w:t>
      </w:r>
      <w:r>
        <w:rPr>
          <w:sz w:val="20"/>
        </w:rPr>
        <w:t>adquisición</w:t>
      </w:r>
      <w:r>
        <w:rPr>
          <w:spacing w:val="-1"/>
          <w:sz w:val="20"/>
        </w:rPr>
        <w:t> </w:t>
      </w:r>
      <w:r>
        <w:rPr>
          <w:sz w:val="20"/>
        </w:rPr>
        <w:t>más</w:t>
      </w:r>
      <w:r>
        <w:rPr>
          <w:spacing w:val="-2"/>
          <w:sz w:val="20"/>
        </w:rPr>
        <w:t> </w:t>
      </w:r>
      <w:r>
        <w:rPr>
          <w:sz w:val="20"/>
        </w:rPr>
        <w:t>los</w:t>
      </w:r>
      <w:r>
        <w:rPr>
          <w:spacing w:val="-2"/>
          <w:sz w:val="20"/>
        </w:rPr>
        <w:t> </w:t>
      </w:r>
      <w:r>
        <w:rPr>
          <w:sz w:val="20"/>
        </w:rPr>
        <w:t>gastos de acondicionamiento, como</w:t>
      </w:r>
      <w:r>
        <w:rPr>
          <w:spacing w:val="-2"/>
          <w:sz w:val="20"/>
        </w:rPr>
        <w:t> </w:t>
      </w:r>
      <w:r>
        <w:rPr>
          <w:sz w:val="20"/>
        </w:rPr>
        <w:t>cierres, movimiento de tierras, obras de saneamiento y drenaje, los de derribo de construcciones cuando sea necesario para poder efectuar obras de nueva planta, los gastos de inspección y levantamiento de planos cuando se efectúan con carácter previo a su adquisición, así como, la estimación inicial del valor actual de las obligaciones presentes derivadas de los costes de rehabilitación del solar.</w:t>
      </w:r>
    </w:p>
    <w:p>
      <w:pPr>
        <w:pStyle w:val="BodyText"/>
      </w:pPr>
    </w:p>
    <w:p>
      <w:pPr>
        <w:pStyle w:val="ListParagraph"/>
        <w:numPr>
          <w:ilvl w:val="2"/>
          <w:numId w:val="4"/>
        </w:numPr>
        <w:tabs>
          <w:tab w:pos="2613" w:val="left" w:leader="none"/>
        </w:tabs>
        <w:spacing w:line="240" w:lineRule="auto" w:before="1" w:after="0"/>
        <w:ind w:left="2613" w:right="1339" w:hanging="360"/>
        <w:jc w:val="both"/>
        <w:rPr>
          <w:sz w:val="20"/>
        </w:rPr>
      </w:pPr>
      <w:r>
        <w:rPr>
          <w:sz w:val="20"/>
        </w:rPr>
        <mc:AlternateContent>
          <mc:Choice Requires="wps">
            <w:drawing>
              <wp:anchor distT="0" distB="0" distL="0" distR="0" allowOverlap="1" layoutInCell="1" locked="0" behindDoc="0" simplePos="0" relativeHeight="15746560">
                <wp:simplePos x="0" y="0"/>
                <wp:positionH relativeFrom="page">
                  <wp:posOffset>6966436</wp:posOffset>
                </wp:positionH>
                <wp:positionV relativeFrom="paragraph">
                  <wp:posOffset>606935</wp:posOffset>
                </wp:positionV>
                <wp:extent cx="263525" cy="327596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7.790203pt;width:20.75pt;height:257.95pt;mso-position-horizontal-relative:page;mso-position-vertical-relative:paragraph;z-index:15746560" type="#_x0000_t202" id="docshape8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18</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Las construcciones se valoran por su precio de adquisición o coste de</w:t>
      </w:r>
      <w:r>
        <w:rPr>
          <w:spacing w:val="40"/>
          <w:sz w:val="20"/>
        </w:rPr>
        <w:t> </w:t>
      </w:r>
      <w:r>
        <w:rPr>
          <w:sz w:val="20"/>
        </w:rPr>
        <w:t>producción incluidas aquellas instalaciones y elementos que tienen carácter de permanencia, por las tasas inherentes a la construcción y los honorarios facultativos de proyecto y dirección de obra.</w:t>
      </w:r>
    </w:p>
    <w:p>
      <w:pPr>
        <w:pStyle w:val="BodyText"/>
      </w:pPr>
    </w:p>
    <w:p>
      <w:pPr>
        <w:pStyle w:val="BodyText"/>
        <w:spacing w:before="46"/>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pacing w:val="-2"/>
          <w:sz w:val="20"/>
          <w:u w:val="single"/>
        </w:rPr>
        <w:t>Arrendamientos.</w:t>
      </w:r>
    </w:p>
    <w:p>
      <w:pPr>
        <w:pStyle w:val="BodyText"/>
        <w:spacing w:before="51"/>
      </w:pPr>
    </w:p>
    <w:p>
      <w:pPr>
        <w:pStyle w:val="BodyText"/>
        <w:ind w:left="1768" w:right="1336"/>
        <w:jc w:val="both"/>
      </w:pPr>
      <w:r>
        <w:rPr/>
        <w:t>Los activos arrendados a terceros bajo contratos de arrendamiento financiero se</w:t>
      </w:r>
      <w:r>
        <w:rPr>
          <w:spacing w:val="80"/>
        </w:rPr>
        <w:t> </w:t>
      </w:r>
      <w:r>
        <w:rPr/>
        <w:t>presentan de acuerdo con la naturaleza de los mismos, resultando de aplicación los principios contables que se desarrollan en los apartados de inmovilizado material e intangible. Los ingresos procedentes de los arrendamientos operativos, netos de los incentivos concedidos, se reconocen como ingresos de forma lineal a lo largo del plazo de arrendamiento, salvo que resulte más representativa otra base sistemática de reparto por reflejar más adecuadamente el patrón temporal de consumo de los beneficios derivados del uso del activo arrendado.</w:t>
      </w:r>
    </w:p>
    <w:p>
      <w:pPr>
        <w:pStyle w:val="BodyText"/>
        <w:spacing w:before="229"/>
        <w:ind w:left="1768" w:right="1337"/>
        <w:jc w:val="both"/>
      </w:pPr>
      <w:r>
        <w:rPr/>
        <w:t>La normativa vigente establece que el coste de los bienes arrendados se contabilizará en el balance de situación según la naturaleza del bien objeto del contrato y, simultáneamente, un pasivo por el mismo importe. Este importe será el menor entre el valor razonable del bien arrendado y el valor actual al inicio del arrendamiento de las cantidades mínimas acordadas, incluida la opción de compra, cuando no existan dudas razonables sobre su ejercicio. No se incluirán en su cálculo las cuotas de carácter contingente, el coste de los servicios y los impuestos repercutibles por el arrendador.</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768" w:right="1337"/>
        <w:jc w:val="both"/>
      </w:pPr>
      <w:r>
        <w:rPr/>
        <w:t>Los activos registrados por este tipo de operaciones se amortizan con criterios similares a los aplicados al conjunto de los activos materiales, atendiendo a su naturaleza.</w:t>
      </w:r>
    </w:p>
    <w:p>
      <w:pPr>
        <w:pStyle w:val="BodyText"/>
        <w:spacing w:before="229"/>
        <w:ind w:left="1768" w:right="1334"/>
        <w:jc w:val="both"/>
      </w:pPr>
      <w:r>
        <w:rPr/>
        <w:t>Los contratos de arrendamiento financiero han sido incorporados directamente como</w:t>
      </w:r>
      <w:r>
        <w:rPr>
          <w:spacing w:val="40"/>
        </w:rPr>
        <w:t> </w:t>
      </w:r>
      <w:r>
        <w:rPr/>
        <w:t>activo de la Sociedad y se hace figurar en el pasivo la deuda existente con el acreedor.</w:t>
      </w:r>
      <w:r>
        <w:rPr>
          <w:spacing w:val="40"/>
        </w:rPr>
        <w:t> </w:t>
      </w:r>
      <w:r>
        <w:rPr/>
        <w:t>Los intereses se incorporan</w:t>
      </w:r>
      <w:r>
        <w:rPr>
          <w:spacing w:val="-2"/>
        </w:rPr>
        <w:t> </w:t>
      </w:r>
      <w:r>
        <w:rPr/>
        <w:t>directamente</w:t>
      </w:r>
      <w:r>
        <w:rPr>
          <w:spacing w:val="-2"/>
        </w:rPr>
        <w:t> </w:t>
      </w:r>
      <w:r>
        <w:rPr/>
        <w:t>como</w:t>
      </w:r>
      <w:r>
        <w:rPr>
          <w:spacing w:val="-2"/>
        </w:rPr>
        <w:t> </w:t>
      </w:r>
      <w:r>
        <w:rPr/>
        <w:t>gastos a</w:t>
      </w:r>
      <w:r>
        <w:rPr>
          <w:spacing w:val="-2"/>
        </w:rPr>
        <w:t> </w:t>
      </w:r>
      <w:r>
        <w:rPr/>
        <w:t>medida</w:t>
      </w:r>
      <w:r>
        <w:rPr>
          <w:spacing w:val="-2"/>
        </w:rPr>
        <w:t> </w:t>
      </w:r>
      <w:r>
        <w:rPr/>
        <w:t>que</w:t>
      </w:r>
      <w:r>
        <w:rPr>
          <w:spacing w:val="-2"/>
        </w:rPr>
        <w:t> </w:t>
      </w:r>
      <w:r>
        <w:rPr/>
        <w:t>se van liquidando</w:t>
      </w:r>
      <w:r>
        <w:rPr>
          <w:spacing w:val="-2"/>
        </w:rPr>
        <w:t> </w:t>
      </w:r>
      <w:r>
        <w:rPr/>
        <w:t>las cuotas correspondientes.</w:t>
      </w:r>
    </w:p>
    <w:p>
      <w:pPr>
        <w:pStyle w:val="BodyText"/>
      </w:pPr>
    </w:p>
    <w:p>
      <w:pPr>
        <w:pStyle w:val="BodyText"/>
        <w:ind w:left="1768" w:right="1336"/>
        <w:jc w:val="both"/>
      </w:pPr>
      <w:r>
        <w:rPr/>
        <w:t>En las operaciones de arrendamiento operativo, la propiedad del bien arrendado y sustancialmente todos los riesgos y ventajas que recaen sobre el bien, permanecen en el </w:t>
      </w:r>
      <w:r>
        <w:rPr>
          <w:spacing w:val="-2"/>
        </w:rPr>
        <w:t>arrendador.</w:t>
      </w:r>
    </w:p>
    <w:p>
      <w:pPr>
        <w:pStyle w:val="BodyText"/>
        <w:spacing w:before="1"/>
      </w:pPr>
    </w:p>
    <w:p>
      <w:pPr>
        <w:pStyle w:val="BodyText"/>
        <w:spacing w:before="1"/>
        <w:ind w:left="1768" w:right="1337"/>
        <w:jc w:val="both"/>
      </w:pPr>
      <w:r>
        <w:rPr/>
        <w:t>Cuando la Sociedad actúa como arrendatario, los gastos del arrendamiento se cargan linealmente a la cuenta de pérdidas y ganancias en función de los acuerdos y de la vida</w:t>
      </w:r>
      <w:r>
        <w:rPr>
          <w:spacing w:val="40"/>
        </w:rPr>
        <w:t> </w:t>
      </w:r>
      <w:r>
        <w:rPr/>
        <w:t>del contrato.</w:t>
      </w:r>
    </w:p>
    <w:p>
      <w:pPr>
        <w:pStyle w:val="BodyText"/>
        <w:spacing w:before="229"/>
        <w:ind w:left="1768"/>
        <w:jc w:val="both"/>
      </w:pPr>
      <w:r>
        <w:rPr/>
        <w:t>Para</w:t>
      </w:r>
      <w:r>
        <w:rPr>
          <w:spacing w:val="-9"/>
        </w:rPr>
        <w:t> </w:t>
      </w:r>
      <w:r>
        <w:rPr/>
        <w:t>aquellos</w:t>
      </w:r>
      <w:r>
        <w:rPr>
          <w:spacing w:val="-8"/>
        </w:rPr>
        <w:t> </w:t>
      </w:r>
      <w:r>
        <w:rPr/>
        <w:t>inmovilizados</w:t>
      </w:r>
      <w:r>
        <w:rPr>
          <w:spacing w:val="-9"/>
        </w:rPr>
        <w:t> </w:t>
      </w:r>
      <w:r>
        <w:rPr/>
        <w:t>arrendados</w:t>
      </w:r>
      <w:r>
        <w:rPr>
          <w:spacing w:val="-8"/>
        </w:rPr>
        <w:t> </w:t>
      </w:r>
      <w:r>
        <w:rPr/>
        <w:t>a</w:t>
      </w:r>
      <w:r>
        <w:rPr>
          <w:spacing w:val="-6"/>
        </w:rPr>
        <w:t> </w:t>
      </w:r>
      <w:r>
        <w:rPr/>
        <w:t>la</w:t>
      </w:r>
      <w:r>
        <w:rPr>
          <w:spacing w:val="-8"/>
        </w:rPr>
        <w:t> </w:t>
      </w:r>
      <w:r>
        <w:rPr>
          <w:spacing w:val="-2"/>
        </w:rPr>
        <w:t>Sociedad.</w:t>
      </w:r>
    </w:p>
    <w:p>
      <w:pPr>
        <w:pStyle w:val="BodyText"/>
        <w:spacing w:before="228"/>
        <w:ind w:left="1768" w:right="1336"/>
        <w:jc w:val="both"/>
      </w:pPr>
      <w:r>
        <w:rPr/>
        <w:t>Los activos adquiridos mediante arrendamiento financiero se registran de acuerdo con su naturaleza, por el menor entre el valor razonable del activo y el valor actual al inicio del arrendamiento de</w:t>
      </w:r>
      <w:r>
        <w:rPr>
          <w:spacing w:val="-2"/>
        </w:rPr>
        <w:t> </w:t>
      </w:r>
      <w:r>
        <w:rPr/>
        <w:t>los pagos</w:t>
      </w:r>
      <w:r>
        <w:rPr>
          <w:spacing w:val="-3"/>
        </w:rPr>
        <w:t> </w:t>
      </w:r>
      <w:r>
        <w:rPr/>
        <w:t>mínimos acordados,</w:t>
      </w:r>
      <w:r>
        <w:rPr>
          <w:spacing w:val="-2"/>
        </w:rPr>
        <w:t> </w:t>
      </w:r>
      <w:r>
        <w:rPr/>
        <w:t>contabilizándose</w:t>
      </w:r>
      <w:r>
        <w:rPr>
          <w:spacing w:val="-2"/>
        </w:rPr>
        <w:t> </w:t>
      </w:r>
      <w:r>
        <w:rPr/>
        <w:t>un</w:t>
      </w:r>
      <w:r>
        <w:rPr>
          <w:spacing w:val="-4"/>
        </w:rPr>
        <w:t> </w:t>
      </w:r>
      <w:r>
        <w:rPr/>
        <w:t>pasivo</w:t>
      </w:r>
      <w:r>
        <w:rPr>
          <w:spacing w:val="-2"/>
        </w:rPr>
        <w:t> </w:t>
      </w:r>
      <w:r>
        <w:rPr/>
        <w:t>financiero</w:t>
      </w:r>
      <w:r>
        <w:rPr>
          <w:spacing w:val="-4"/>
        </w:rPr>
        <w:t> </w:t>
      </w:r>
      <w:r>
        <w:rPr/>
        <w:t>por el mismo importe. Los pagos por el arrendamiento se distribuyen entre los gastos financieros y la reducción del pasivo. A los activos se les aplican los mismos criterios de amortización, deterioro y baja que al resto de activos de su naturaleza.</w:t>
      </w:r>
    </w:p>
    <w:p>
      <w:pPr>
        <w:pStyle w:val="BodyText"/>
        <w:spacing w:before="1"/>
      </w:pPr>
    </w:p>
    <w:p>
      <w:pPr>
        <w:pStyle w:val="BodyText"/>
        <w:ind w:left="1768" w:right="1337"/>
        <w:jc w:val="both"/>
      </w:pPr>
      <w:r>
        <w:rPr/>
        <w:t>Los pagos por arrendamientos operativos se registran como gastos en la cuenta de pérdidas y ganancias cuando se devengan.</w:t>
      </w:r>
    </w:p>
    <w:p>
      <w:pPr>
        <w:pStyle w:val="BodyText"/>
        <w:spacing w:before="1"/>
      </w:pPr>
    </w:p>
    <w:p>
      <w:pPr>
        <w:pStyle w:val="BodyText"/>
        <w:ind w:left="1768"/>
        <w:jc w:val="both"/>
      </w:pPr>
      <w:r>
        <w:rPr/>
        <w:t>En</w:t>
      </w:r>
      <w:r>
        <w:rPr>
          <w:spacing w:val="-8"/>
        </w:rPr>
        <w:t> </w:t>
      </w:r>
      <w:r>
        <w:rPr/>
        <w:t>aquellos</w:t>
      </w:r>
      <w:r>
        <w:rPr>
          <w:spacing w:val="-7"/>
        </w:rPr>
        <w:t> </w:t>
      </w:r>
      <w:r>
        <w:rPr/>
        <w:t>inmovilizados</w:t>
      </w:r>
      <w:r>
        <w:rPr>
          <w:spacing w:val="-3"/>
        </w:rPr>
        <w:t> </w:t>
      </w:r>
      <w:r>
        <w:rPr/>
        <w:t>que</w:t>
      </w:r>
      <w:r>
        <w:rPr>
          <w:spacing w:val="-5"/>
        </w:rPr>
        <w:t> </w:t>
      </w:r>
      <w:r>
        <w:rPr/>
        <w:t>la</w:t>
      </w:r>
      <w:r>
        <w:rPr>
          <w:spacing w:val="-8"/>
        </w:rPr>
        <w:t> </w:t>
      </w:r>
      <w:r>
        <w:rPr/>
        <w:t>sociedad</w:t>
      </w:r>
      <w:r>
        <w:rPr>
          <w:spacing w:val="-9"/>
        </w:rPr>
        <w:t> </w:t>
      </w:r>
      <w:r>
        <w:rPr/>
        <w:t>arrienda</w:t>
      </w:r>
      <w:r>
        <w:rPr>
          <w:spacing w:val="-8"/>
        </w:rPr>
        <w:t> </w:t>
      </w:r>
      <w:r>
        <w:rPr/>
        <w:t>a</w:t>
      </w:r>
      <w:r>
        <w:rPr>
          <w:spacing w:val="-5"/>
        </w:rPr>
        <w:t> </w:t>
      </w:r>
      <w:r>
        <w:rPr>
          <w:spacing w:val="-2"/>
        </w:rPr>
        <w:t>terceros:</w:t>
      </w:r>
    </w:p>
    <w:p>
      <w:pPr>
        <w:pStyle w:val="BodyText"/>
        <w:spacing w:before="228"/>
        <w:ind w:left="1768" w:right="1336"/>
        <w:jc w:val="both"/>
      </w:pPr>
      <w:r>
        <w:rPr/>
        <mc:AlternateContent>
          <mc:Choice Requires="wps">
            <w:drawing>
              <wp:anchor distT="0" distB="0" distL="0" distR="0" allowOverlap="1" layoutInCell="1" locked="0" behindDoc="0" simplePos="0" relativeHeight="15747072">
                <wp:simplePos x="0" y="0"/>
                <wp:positionH relativeFrom="page">
                  <wp:posOffset>6966436</wp:posOffset>
                </wp:positionH>
                <wp:positionV relativeFrom="paragraph">
                  <wp:posOffset>825363</wp:posOffset>
                </wp:positionV>
                <wp:extent cx="263525" cy="327596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64.989227pt;width:20.75pt;height:257.95pt;mso-position-horizontal-relative:page;mso-position-vertical-relative:paragraph;z-index:15747072" type="#_x0000_t202" id="docshape8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19</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 ingresos derivados de los arrendamientos operativos se registran en la cuenta de pérdidas y ganancias cuando se devengan. Los costes directos imputables al contrato se incluyen como mayor valor del activo arrendado y se reconocen como gasto durante el plazo del contrato, aplicando el mismo criterio utilizado para el reconocimiento de los ingresos del arrendamiento.</w:t>
      </w:r>
    </w:p>
    <w:p>
      <w:pPr>
        <w:pStyle w:val="BodyText"/>
      </w:pPr>
    </w:p>
    <w:p>
      <w:pPr>
        <w:pStyle w:val="ListParagraph"/>
        <w:numPr>
          <w:ilvl w:val="1"/>
          <w:numId w:val="4"/>
        </w:numPr>
        <w:tabs>
          <w:tab w:pos="2247" w:val="left" w:leader="none"/>
        </w:tabs>
        <w:spacing w:line="240" w:lineRule="auto" w:before="1" w:after="0"/>
        <w:ind w:left="2247" w:right="0" w:hanging="452"/>
        <w:jc w:val="left"/>
        <w:rPr>
          <w:rFonts w:ascii="Tahoma"/>
          <w:sz w:val="18"/>
        </w:rPr>
      </w:pPr>
      <w:r>
        <w:rPr>
          <w:spacing w:val="-2"/>
          <w:sz w:val="20"/>
          <w:u w:val="single"/>
        </w:rPr>
        <w:t>Permutas.</w:t>
      </w:r>
    </w:p>
    <w:p>
      <w:pPr>
        <w:pStyle w:val="BodyText"/>
      </w:pPr>
    </w:p>
    <w:p>
      <w:pPr>
        <w:pStyle w:val="BodyText"/>
        <w:ind w:left="1768" w:right="1337"/>
        <w:jc w:val="both"/>
      </w:pPr>
      <w:r>
        <w:rPr/>
        <w:t>En las permutas de carácter comercial, se valora el inmovilizado material recibido por el valor razonable del activo entregado más las contrapartidas monetarias que se han entregado a cambio salvo que se tenga una evidencia más clara del valor razonable del activo recibido y con el límite de este último.</w:t>
      </w:r>
    </w:p>
    <w:p>
      <w:pPr>
        <w:pStyle w:val="BodyText"/>
      </w:pPr>
    </w:p>
    <w:p>
      <w:pPr>
        <w:pStyle w:val="BodyText"/>
        <w:ind w:left="1768"/>
        <w:jc w:val="both"/>
      </w:pPr>
      <w:r>
        <w:rPr/>
        <w:t>Se</w:t>
      </w:r>
      <w:r>
        <w:rPr>
          <w:spacing w:val="-7"/>
        </w:rPr>
        <w:t> </w:t>
      </w:r>
      <w:r>
        <w:rPr/>
        <w:t>ha</w:t>
      </w:r>
      <w:r>
        <w:rPr>
          <w:spacing w:val="-7"/>
        </w:rPr>
        <w:t> </w:t>
      </w:r>
      <w:r>
        <w:rPr/>
        <w:t>considerado</w:t>
      </w:r>
      <w:r>
        <w:rPr>
          <w:spacing w:val="-4"/>
        </w:rPr>
        <w:t> </w:t>
      </w:r>
      <w:r>
        <w:rPr/>
        <w:t>una</w:t>
      </w:r>
      <w:r>
        <w:rPr>
          <w:spacing w:val="-6"/>
        </w:rPr>
        <w:t> </w:t>
      </w:r>
      <w:r>
        <w:rPr/>
        <w:t>permuta</w:t>
      </w:r>
      <w:r>
        <w:rPr>
          <w:spacing w:val="-6"/>
        </w:rPr>
        <w:t> </w:t>
      </w:r>
      <w:r>
        <w:rPr/>
        <w:t>de</w:t>
      </w:r>
      <w:r>
        <w:rPr>
          <w:spacing w:val="-7"/>
        </w:rPr>
        <w:t> </w:t>
      </w:r>
      <w:r>
        <w:rPr/>
        <w:t>carácter</w:t>
      </w:r>
      <w:r>
        <w:rPr>
          <w:spacing w:val="-4"/>
        </w:rPr>
        <w:t> </w:t>
      </w:r>
      <w:r>
        <w:rPr/>
        <w:t>comercial</w:t>
      </w:r>
      <w:r>
        <w:rPr>
          <w:spacing w:val="-8"/>
        </w:rPr>
        <w:t> </w:t>
      </w:r>
      <w:r>
        <w:rPr>
          <w:spacing w:val="-2"/>
        </w:rPr>
        <w:t>cuando:</w:t>
      </w:r>
    </w:p>
    <w:p>
      <w:pPr>
        <w:pStyle w:val="BodyText"/>
        <w:spacing w:before="6"/>
      </w:pPr>
    </w:p>
    <w:p>
      <w:pPr>
        <w:pStyle w:val="ListParagraph"/>
        <w:numPr>
          <w:ilvl w:val="0"/>
          <w:numId w:val="6"/>
        </w:numPr>
        <w:tabs>
          <w:tab w:pos="2769" w:val="left" w:leader="none"/>
        </w:tabs>
        <w:spacing w:line="235" w:lineRule="auto" w:before="0" w:after="0"/>
        <w:ind w:left="2769" w:right="1339" w:hanging="360"/>
        <w:jc w:val="both"/>
        <w:rPr>
          <w:sz w:val="20"/>
        </w:rPr>
      </w:pPr>
      <w:r>
        <w:rPr>
          <w:sz w:val="20"/>
        </w:rPr>
        <w:t>El</w:t>
      </w:r>
      <w:r>
        <w:rPr>
          <w:spacing w:val="-4"/>
          <w:sz w:val="20"/>
        </w:rPr>
        <w:t> </w:t>
      </w:r>
      <w:r>
        <w:rPr>
          <w:sz w:val="20"/>
        </w:rPr>
        <w:t>riesgo,</w:t>
      </w:r>
      <w:r>
        <w:rPr>
          <w:spacing w:val="-3"/>
          <w:sz w:val="20"/>
        </w:rPr>
        <w:t> </w:t>
      </w:r>
      <w:r>
        <w:rPr>
          <w:sz w:val="20"/>
        </w:rPr>
        <w:t>calendario</w:t>
      </w:r>
      <w:r>
        <w:rPr>
          <w:spacing w:val="-3"/>
          <w:sz w:val="20"/>
        </w:rPr>
        <w:t> </w:t>
      </w:r>
      <w:r>
        <w:rPr>
          <w:sz w:val="20"/>
        </w:rPr>
        <w:t>e importe</w:t>
      </w:r>
      <w:r>
        <w:rPr>
          <w:spacing w:val="-3"/>
          <w:sz w:val="20"/>
        </w:rPr>
        <w:t> </w:t>
      </w:r>
      <w:r>
        <w:rPr>
          <w:sz w:val="20"/>
        </w:rPr>
        <w:t>de</w:t>
      </w:r>
      <w:r>
        <w:rPr>
          <w:spacing w:val="-2"/>
          <w:sz w:val="20"/>
        </w:rPr>
        <w:t> </w:t>
      </w:r>
      <w:r>
        <w:rPr>
          <w:sz w:val="20"/>
        </w:rPr>
        <w:t>los</w:t>
      </w:r>
      <w:r>
        <w:rPr>
          <w:spacing w:val="-2"/>
          <w:sz w:val="20"/>
        </w:rPr>
        <w:t> </w:t>
      </w:r>
      <w:r>
        <w:rPr>
          <w:sz w:val="20"/>
        </w:rPr>
        <w:t>flujos</w:t>
      </w:r>
      <w:r>
        <w:rPr>
          <w:spacing w:val="-1"/>
          <w:sz w:val="20"/>
        </w:rPr>
        <w:t> </w:t>
      </w:r>
      <w:r>
        <w:rPr>
          <w:sz w:val="20"/>
        </w:rPr>
        <w:t>de</w:t>
      </w:r>
      <w:r>
        <w:rPr>
          <w:spacing w:val="-4"/>
          <w:sz w:val="20"/>
        </w:rPr>
        <w:t> </w:t>
      </w:r>
      <w:r>
        <w:rPr>
          <w:sz w:val="20"/>
        </w:rPr>
        <w:t>efectivo</w:t>
      </w:r>
      <w:r>
        <w:rPr>
          <w:spacing w:val="-4"/>
          <w:sz w:val="20"/>
        </w:rPr>
        <w:t> </w:t>
      </w:r>
      <w:r>
        <w:rPr>
          <w:sz w:val="20"/>
        </w:rPr>
        <w:t>del</w:t>
      </w:r>
      <w:r>
        <w:rPr>
          <w:spacing w:val="-3"/>
          <w:sz w:val="20"/>
        </w:rPr>
        <w:t> </w:t>
      </w:r>
      <w:r>
        <w:rPr>
          <w:sz w:val="20"/>
        </w:rPr>
        <w:t>inmovilizado</w:t>
      </w:r>
      <w:r>
        <w:rPr>
          <w:spacing w:val="-4"/>
          <w:sz w:val="20"/>
        </w:rPr>
        <w:t> </w:t>
      </w:r>
      <w:r>
        <w:rPr>
          <w:sz w:val="20"/>
        </w:rPr>
        <w:t>recibido difiere de la configuración de los flujos de efectivo del activo entregado; o</w:t>
      </w:r>
    </w:p>
    <w:p>
      <w:pPr>
        <w:pStyle w:val="ListParagraph"/>
        <w:numPr>
          <w:ilvl w:val="0"/>
          <w:numId w:val="6"/>
        </w:numPr>
        <w:tabs>
          <w:tab w:pos="2769" w:val="left" w:leader="none"/>
        </w:tabs>
        <w:spacing w:line="237" w:lineRule="auto" w:before="125" w:after="0"/>
        <w:ind w:left="2769" w:right="1337" w:hanging="360"/>
        <w:jc w:val="both"/>
        <w:rPr>
          <w:sz w:val="20"/>
        </w:rPr>
      </w:pPr>
      <w:r>
        <w:rPr>
          <w:sz w:val="20"/>
        </w:rPr>
        <w:t>El valor actual de los flujos de efectivo después de impuestos de las</w:t>
      </w:r>
      <w:r>
        <w:rPr>
          <w:spacing w:val="40"/>
          <w:sz w:val="20"/>
        </w:rPr>
        <w:t> </w:t>
      </w:r>
      <w:r>
        <w:rPr>
          <w:sz w:val="20"/>
        </w:rPr>
        <w:t>actividades de la Sociedad afectadas por la permuta se ve modificado como consecuencia de la permuta.</w:t>
      </w:r>
    </w:p>
    <w:p>
      <w:pPr>
        <w:pStyle w:val="BodyText"/>
        <w:spacing w:before="122"/>
        <w:ind w:left="1768" w:right="1335"/>
        <w:jc w:val="both"/>
      </w:pPr>
      <w:r>
        <w:rPr/>
        <w:t>Cuando la permuta no tenga carácter comercial o cuando no pueda obtenerse una estimación fiable del valor razonable de los elementos que intervienen en la operación, el inmovilizado material recibido se valora por el valor contable del bien entregado más, en</w:t>
      </w:r>
      <w:r>
        <w:rPr>
          <w:spacing w:val="40"/>
        </w:rPr>
        <w:t> </w:t>
      </w:r>
      <w:r>
        <w:rPr/>
        <w:t>su caso, las contrapartidas monetarias que se hubieran entregado a cambio, con el límite, cuando esté disponible, del valor razonable del inmovilizado recibido si éste fuera menor.</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BodyText"/>
        <w:ind w:left="1768"/>
        <w:jc w:val="both"/>
      </w:pPr>
      <w:r>
        <w:rPr/>
        <w:t>No</w:t>
      </w:r>
      <w:r>
        <w:rPr>
          <w:spacing w:val="-7"/>
        </w:rPr>
        <w:t> </w:t>
      </w:r>
      <w:r>
        <w:rPr/>
        <w:t>se</w:t>
      </w:r>
      <w:r>
        <w:rPr>
          <w:spacing w:val="-7"/>
        </w:rPr>
        <w:t> </w:t>
      </w:r>
      <w:r>
        <w:rPr/>
        <w:t>ha</w:t>
      </w:r>
      <w:r>
        <w:rPr>
          <w:spacing w:val="-8"/>
        </w:rPr>
        <w:t> </w:t>
      </w:r>
      <w:r>
        <w:rPr/>
        <w:t>adquirido</w:t>
      </w:r>
      <w:r>
        <w:rPr>
          <w:spacing w:val="-6"/>
        </w:rPr>
        <w:t> </w:t>
      </w:r>
      <w:r>
        <w:rPr/>
        <w:t>en</w:t>
      </w:r>
      <w:r>
        <w:rPr>
          <w:spacing w:val="-3"/>
        </w:rPr>
        <w:t> </w:t>
      </w:r>
      <w:r>
        <w:rPr/>
        <w:t>el</w:t>
      </w:r>
      <w:r>
        <w:rPr>
          <w:spacing w:val="-4"/>
        </w:rPr>
        <w:t> </w:t>
      </w:r>
      <w:r>
        <w:rPr/>
        <w:t>ejercicio</w:t>
      </w:r>
      <w:r>
        <w:rPr>
          <w:spacing w:val="-6"/>
        </w:rPr>
        <w:t> </w:t>
      </w:r>
      <w:r>
        <w:rPr/>
        <w:t>2025</w:t>
      </w:r>
      <w:r>
        <w:rPr>
          <w:spacing w:val="-4"/>
        </w:rPr>
        <w:t> </w:t>
      </w:r>
      <w:r>
        <w:rPr/>
        <w:t>ningún</w:t>
      </w:r>
      <w:r>
        <w:rPr>
          <w:spacing w:val="-7"/>
        </w:rPr>
        <w:t> </w:t>
      </w:r>
      <w:r>
        <w:rPr/>
        <w:t>elemento</w:t>
      </w:r>
      <w:r>
        <w:rPr>
          <w:spacing w:val="-6"/>
        </w:rPr>
        <w:t> </w:t>
      </w:r>
      <w:r>
        <w:rPr/>
        <w:t>por</w:t>
      </w:r>
      <w:r>
        <w:rPr>
          <w:spacing w:val="-2"/>
        </w:rPr>
        <w:t> permuta.</w:t>
      </w:r>
    </w:p>
    <w:p>
      <w:pPr>
        <w:pStyle w:val="BodyText"/>
        <w:spacing w:before="1"/>
      </w:pPr>
    </w:p>
    <w:p>
      <w:pPr>
        <w:pStyle w:val="ListParagraph"/>
        <w:numPr>
          <w:ilvl w:val="1"/>
          <w:numId w:val="7"/>
        </w:numPr>
        <w:tabs>
          <w:tab w:pos="2097" w:val="left" w:leader="none"/>
        </w:tabs>
        <w:spacing w:line="240" w:lineRule="auto" w:before="0" w:after="0"/>
        <w:ind w:left="2097" w:right="0" w:hanging="329"/>
        <w:jc w:val="left"/>
        <w:rPr>
          <w:sz w:val="20"/>
        </w:rPr>
      </w:pPr>
      <w:r>
        <w:rPr>
          <w:sz w:val="20"/>
          <w:u w:val="single"/>
        </w:rPr>
        <w:t>Instrumentos</w:t>
      </w:r>
      <w:r>
        <w:rPr>
          <w:spacing w:val="-9"/>
          <w:sz w:val="20"/>
          <w:u w:val="single"/>
        </w:rPr>
        <w:t> </w:t>
      </w:r>
      <w:r>
        <w:rPr>
          <w:spacing w:val="-2"/>
          <w:sz w:val="20"/>
          <w:u w:val="single"/>
        </w:rPr>
        <w:t>financieros</w:t>
      </w:r>
      <w:r>
        <w:rPr>
          <w:spacing w:val="-2"/>
          <w:sz w:val="20"/>
          <w:u w:val="none"/>
        </w:rPr>
        <w:t>.</w:t>
      </w:r>
    </w:p>
    <w:p>
      <w:pPr>
        <w:pStyle w:val="BodyText"/>
        <w:spacing w:before="1"/>
      </w:pPr>
    </w:p>
    <w:p>
      <w:pPr>
        <w:pStyle w:val="BodyText"/>
        <w:ind w:left="1768" w:right="1337"/>
        <w:jc w:val="both"/>
      </w:pPr>
      <w:r>
        <w:rPr/>
        <w:t>La sociedad tiene registrados en el capítulo de instrumentos financieros, aquellos</w:t>
      </w:r>
      <w:r>
        <w:rPr>
          <w:spacing w:val="40"/>
        </w:rPr>
        <w:t> </w:t>
      </w:r>
      <w:r>
        <w:rPr/>
        <w:t>contratos que dan lugar a un activo financiero en una empresa y, simultáneamente, a un pasivo financiero o a un instrumento de patrimonio en otra empresa. Por tanto, la presente norma resulta de aplicación a los siguientes instrumentos financieros:</w:t>
      </w:r>
    </w:p>
    <w:p>
      <w:pPr>
        <w:pStyle w:val="BodyText"/>
        <w:spacing w:before="1"/>
      </w:pPr>
    </w:p>
    <w:p>
      <w:pPr>
        <w:pStyle w:val="ListParagraph"/>
        <w:numPr>
          <w:ilvl w:val="0"/>
          <w:numId w:val="8"/>
        </w:numPr>
        <w:tabs>
          <w:tab w:pos="2579" w:val="left" w:leader="none"/>
        </w:tabs>
        <w:spacing w:line="241" w:lineRule="exact" w:before="1" w:after="0"/>
        <w:ind w:left="2579" w:right="0" w:hanging="359"/>
        <w:jc w:val="left"/>
        <w:rPr>
          <w:sz w:val="20"/>
        </w:rPr>
      </w:pPr>
      <w:r>
        <w:rPr>
          <w:sz w:val="20"/>
        </w:rPr>
        <w:t>Activos</w:t>
      </w:r>
      <w:r>
        <w:rPr>
          <w:spacing w:val="-8"/>
          <w:sz w:val="20"/>
        </w:rPr>
        <w:t> </w:t>
      </w:r>
      <w:r>
        <w:rPr>
          <w:spacing w:val="-2"/>
          <w:sz w:val="20"/>
        </w:rPr>
        <w:t>financieros:</w:t>
      </w:r>
    </w:p>
    <w:p>
      <w:pPr>
        <w:pStyle w:val="ListParagraph"/>
        <w:numPr>
          <w:ilvl w:val="0"/>
          <w:numId w:val="9"/>
        </w:numPr>
        <w:tabs>
          <w:tab w:pos="2489" w:val="left" w:leader="none"/>
        </w:tabs>
        <w:spacing w:line="229" w:lineRule="exact" w:before="0" w:after="0"/>
        <w:ind w:left="2489" w:right="0" w:hanging="361"/>
        <w:jc w:val="left"/>
        <w:rPr>
          <w:sz w:val="20"/>
        </w:rPr>
      </w:pPr>
      <w:r>
        <w:rPr>
          <w:sz w:val="20"/>
        </w:rPr>
        <w:t>Efectivo</w:t>
      </w:r>
      <w:r>
        <w:rPr>
          <w:spacing w:val="-4"/>
          <w:sz w:val="20"/>
        </w:rPr>
        <w:t> </w:t>
      </w:r>
      <w:r>
        <w:rPr>
          <w:sz w:val="20"/>
        </w:rPr>
        <w:t>y</w:t>
      </w:r>
      <w:r>
        <w:rPr>
          <w:spacing w:val="-10"/>
          <w:sz w:val="20"/>
        </w:rPr>
        <w:t> </w:t>
      </w:r>
      <w:r>
        <w:rPr>
          <w:sz w:val="20"/>
        </w:rPr>
        <w:t>otros</w:t>
      </w:r>
      <w:r>
        <w:rPr>
          <w:spacing w:val="-6"/>
          <w:sz w:val="20"/>
        </w:rPr>
        <w:t> </w:t>
      </w:r>
      <w:r>
        <w:rPr>
          <w:sz w:val="20"/>
        </w:rPr>
        <w:t>activos</w:t>
      </w:r>
      <w:r>
        <w:rPr>
          <w:spacing w:val="-7"/>
          <w:sz w:val="20"/>
        </w:rPr>
        <w:t> </w:t>
      </w:r>
      <w:r>
        <w:rPr>
          <w:sz w:val="20"/>
        </w:rPr>
        <w:t>líquidos</w:t>
      </w:r>
      <w:r>
        <w:rPr>
          <w:spacing w:val="-6"/>
          <w:sz w:val="20"/>
        </w:rPr>
        <w:t> </w:t>
      </w:r>
      <w:r>
        <w:rPr>
          <w:spacing w:val="-2"/>
          <w:sz w:val="20"/>
        </w:rPr>
        <w:t>equivalentes.</w:t>
      </w:r>
    </w:p>
    <w:p>
      <w:pPr>
        <w:pStyle w:val="ListParagraph"/>
        <w:numPr>
          <w:ilvl w:val="0"/>
          <w:numId w:val="9"/>
        </w:numPr>
        <w:tabs>
          <w:tab w:pos="2489" w:val="left" w:leader="none"/>
        </w:tabs>
        <w:spacing w:line="240" w:lineRule="auto" w:before="0" w:after="0"/>
        <w:ind w:left="2489" w:right="0" w:hanging="361"/>
        <w:jc w:val="left"/>
        <w:rPr>
          <w:sz w:val="20"/>
        </w:rPr>
      </w:pPr>
      <w:r>
        <w:rPr>
          <w:sz w:val="20"/>
        </w:rPr>
        <w:t>Créditos</w:t>
      </w:r>
      <w:r>
        <w:rPr>
          <w:spacing w:val="-9"/>
          <w:sz w:val="20"/>
        </w:rPr>
        <w:t> </w:t>
      </w:r>
      <w:r>
        <w:rPr>
          <w:sz w:val="20"/>
        </w:rPr>
        <w:t>por</w:t>
      </w:r>
      <w:r>
        <w:rPr>
          <w:spacing w:val="-8"/>
          <w:sz w:val="20"/>
        </w:rPr>
        <w:t> </w:t>
      </w:r>
      <w:r>
        <w:rPr>
          <w:sz w:val="20"/>
        </w:rPr>
        <w:t>operaciones</w:t>
      </w:r>
      <w:r>
        <w:rPr>
          <w:spacing w:val="-7"/>
          <w:sz w:val="20"/>
        </w:rPr>
        <w:t> </w:t>
      </w:r>
      <w:r>
        <w:rPr>
          <w:sz w:val="20"/>
        </w:rPr>
        <w:t>comerciales:</w:t>
      </w:r>
      <w:r>
        <w:rPr>
          <w:spacing w:val="-10"/>
          <w:sz w:val="20"/>
        </w:rPr>
        <w:t> </w:t>
      </w:r>
      <w:r>
        <w:rPr>
          <w:sz w:val="20"/>
        </w:rPr>
        <w:t>clientes</w:t>
      </w:r>
      <w:r>
        <w:rPr>
          <w:spacing w:val="-4"/>
          <w:sz w:val="20"/>
        </w:rPr>
        <w:t> </w:t>
      </w:r>
      <w:r>
        <w:rPr>
          <w:sz w:val="20"/>
        </w:rPr>
        <w:t>y</w:t>
      </w:r>
      <w:r>
        <w:rPr>
          <w:spacing w:val="-12"/>
          <w:sz w:val="20"/>
        </w:rPr>
        <w:t> </w:t>
      </w:r>
      <w:r>
        <w:rPr>
          <w:sz w:val="20"/>
        </w:rPr>
        <w:t>deudores</w:t>
      </w:r>
      <w:r>
        <w:rPr>
          <w:spacing w:val="-8"/>
          <w:sz w:val="20"/>
        </w:rPr>
        <w:t> </w:t>
      </w:r>
      <w:r>
        <w:rPr>
          <w:spacing w:val="-2"/>
          <w:sz w:val="20"/>
        </w:rPr>
        <w:t>varios;</w:t>
      </w:r>
    </w:p>
    <w:p>
      <w:pPr>
        <w:pStyle w:val="ListParagraph"/>
        <w:numPr>
          <w:ilvl w:val="0"/>
          <w:numId w:val="9"/>
        </w:numPr>
        <w:tabs>
          <w:tab w:pos="2488" w:val="left" w:leader="none"/>
        </w:tabs>
        <w:spacing w:line="240" w:lineRule="auto" w:before="0" w:after="0"/>
        <w:ind w:left="2488" w:right="1339" w:hanging="360"/>
        <w:jc w:val="both"/>
        <w:rPr>
          <w:sz w:val="20"/>
        </w:rPr>
      </w:pPr>
      <w:r>
        <w:rPr>
          <w:sz w:val="20"/>
        </w:rPr>
        <w:t>Créditos a terceros: tales como los préstamos y créditos financieros concedidos, incluidos los surgidos de la venta de activos no corrientes;</w:t>
      </w:r>
    </w:p>
    <w:p>
      <w:pPr>
        <w:pStyle w:val="ListParagraph"/>
        <w:numPr>
          <w:ilvl w:val="0"/>
          <w:numId w:val="9"/>
        </w:numPr>
        <w:tabs>
          <w:tab w:pos="2488" w:val="left" w:leader="none"/>
        </w:tabs>
        <w:spacing w:line="240" w:lineRule="auto" w:before="0" w:after="0"/>
        <w:ind w:left="2488" w:right="1340" w:hanging="360"/>
        <w:jc w:val="both"/>
        <w:rPr>
          <w:sz w:val="20"/>
        </w:rPr>
      </w:pPr>
      <w:r>
        <w:rPr>
          <w:sz w:val="20"/>
        </w:rPr>
        <w:t>Valores representativos de deuda de otras empresas adquiridos: tales como las obligaciones, bonos y pagarés;</w:t>
      </w:r>
    </w:p>
    <w:p>
      <w:pPr>
        <w:pStyle w:val="ListParagraph"/>
        <w:numPr>
          <w:ilvl w:val="0"/>
          <w:numId w:val="9"/>
        </w:numPr>
        <w:tabs>
          <w:tab w:pos="2488" w:val="left" w:leader="none"/>
        </w:tabs>
        <w:spacing w:line="240" w:lineRule="auto" w:before="0" w:after="0"/>
        <w:ind w:left="2488" w:right="1335" w:hanging="360"/>
        <w:jc w:val="both"/>
        <w:rPr>
          <w:sz w:val="20"/>
        </w:rPr>
      </w:pPr>
      <w:r>
        <w:rPr>
          <w:sz w:val="20"/>
        </w:rPr>
        <w:t>Instrumentos de patrimonio de otras empresas adquiridos: acciones, participaciones en instituciones de inversión colectiva y otros instrumentos de </w:t>
      </w:r>
      <w:r>
        <w:rPr>
          <w:spacing w:val="-2"/>
          <w:sz w:val="20"/>
        </w:rPr>
        <w:t>patrimonio;</w:t>
      </w:r>
    </w:p>
    <w:p>
      <w:pPr>
        <w:pStyle w:val="ListParagraph"/>
        <w:numPr>
          <w:ilvl w:val="0"/>
          <w:numId w:val="9"/>
        </w:numPr>
        <w:tabs>
          <w:tab w:pos="2488" w:val="left" w:leader="none"/>
        </w:tabs>
        <w:spacing w:line="240" w:lineRule="auto" w:before="0" w:after="0"/>
        <w:ind w:left="2488" w:right="1337" w:hanging="360"/>
        <w:jc w:val="both"/>
        <w:rPr>
          <w:sz w:val="20"/>
        </w:rPr>
      </w:pPr>
      <w:r>
        <w:rPr>
          <w:sz w:val="20"/>
        </w:rPr>
        <w:t>Derivados con</w:t>
      </w:r>
      <w:r>
        <w:rPr>
          <w:spacing w:val="-3"/>
          <w:sz w:val="20"/>
        </w:rPr>
        <w:t> </w:t>
      </w:r>
      <w:r>
        <w:rPr>
          <w:sz w:val="20"/>
        </w:rPr>
        <w:t>valoración</w:t>
      </w:r>
      <w:r>
        <w:rPr>
          <w:spacing w:val="-3"/>
          <w:sz w:val="20"/>
        </w:rPr>
        <w:t> </w:t>
      </w:r>
      <w:r>
        <w:rPr>
          <w:sz w:val="20"/>
        </w:rPr>
        <w:t>favorable</w:t>
      </w:r>
      <w:r>
        <w:rPr>
          <w:spacing w:val="-3"/>
          <w:sz w:val="20"/>
        </w:rPr>
        <w:t> </w:t>
      </w:r>
      <w:r>
        <w:rPr>
          <w:sz w:val="20"/>
        </w:rPr>
        <w:t>para</w:t>
      </w:r>
      <w:r>
        <w:rPr>
          <w:spacing w:val="-1"/>
          <w:sz w:val="20"/>
        </w:rPr>
        <w:t> </w:t>
      </w:r>
      <w:r>
        <w:rPr>
          <w:sz w:val="20"/>
        </w:rPr>
        <w:t>la</w:t>
      </w:r>
      <w:r>
        <w:rPr>
          <w:spacing w:val="-3"/>
          <w:sz w:val="20"/>
        </w:rPr>
        <w:t> </w:t>
      </w:r>
      <w:r>
        <w:rPr>
          <w:sz w:val="20"/>
        </w:rPr>
        <w:t>empresa:</w:t>
      </w:r>
      <w:r>
        <w:rPr>
          <w:spacing w:val="-4"/>
          <w:sz w:val="20"/>
        </w:rPr>
        <w:t> </w:t>
      </w:r>
      <w:r>
        <w:rPr>
          <w:sz w:val="20"/>
        </w:rPr>
        <w:t>entre</w:t>
      </w:r>
      <w:r>
        <w:rPr>
          <w:spacing w:val="-3"/>
          <w:sz w:val="20"/>
        </w:rPr>
        <w:t> </w:t>
      </w:r>
      <w:r>
        <w:rPr>
          <w:sz w:val="20"/>
        </w:rPr>
        <w:t>ellos,</w:t>
      </w:r>
      <w:r>
        <w:rPr>
          <w:spacing w:val="-3"/>
          <w:sz w:val="20"/>
        </w:rPr>
        <w:t> </w:t>
      </w:r>
      <w:r>
        <w:rPr>
          <w:sz w:val="20"/>
        </w:rPr>
        <w:t>futuros,</w:t>
      </w:r>
      <w:r>
        <w:rPr>
          <w:spacing w:val="-3"/>
          <w:sz w:val="20"/>
        </w:rPr>
        <w:t> </w:t>
      </w:r>
      <w:r>
        <w:rPr>
          <w:sz w:val="20"/>
        </w:rPr>
        <w:t>opciones, permutas financieras y compraventa de moneda extranjera a plazo, y</w:t>
      </w:r>
    </w:p>
    <w:p>
      <w:pPr>
        <w:pStyle w:val="ListParagraph"/>
        <w:numPr>
          <w:ilvl w:val="0"/>
          <w:numId w:val="9"/>
        </w:numPr>
        <w:tabs>
          <w:tab w:pos="2488" w:val="left" w:leader="none"/>
        </w:tabs>
        <w:spacing w:line="240" w:lineRule="auto" w:before="0" w:after="0"/>
        <w:ind w:left="2488" w:right="1336" w:hanging="360"/>
        <w:jc w:val="both"/>
        <w:rPr>
          <w:sz w:val="20"/>
        </w:rPr>
      </w:pPr>
      <w:r>
        <w:rPr>
          <w:sz w:val="20"/>
        </w:rPr>
        <w:t>Otros activos financieros: tales como depósitos en entidades de crédito, anticipos</w:t>
      </w:r>
      <w:r>
        <w:rPr>
          <w:spacing w:val="40"/>
          <w:sz w:val="20"/>
        </w:rPr>
        <w:t> </w:t>
      </w:r>
      <w:r>
        <w:rPr>
          <w:sz w:val="20"/>
        </w:rPr>
        <w:t>y créditos al personal, fianzas y depósitos constituidos, dividendos a cobrar y desembolsos exigidos sobre instrumentos de patrimonio propio.</w:t>
      </w:r>
    </w:p>
    <w:p>
      <w:pPr>
        <w:pStyle w:val="BodyText"/>
      </w:pPr>
    </w:p>
    <w:p>
      <w:pPr>
        <w:pStyle w:val="ListParagraph"/>
        <w:numPr>
          <w:ilvl w:val="0"/>
          <w:numId w:val="8"/>
        </w:numPr>
        <w:tabs>
          <w:tab w:pos="2579" w:val="left" w:leader="none"/>
        </w:tabs>
        <w:spacing w:line="241" w:lineRule="exact" w:before="1" w:after="0"/>
        <w:ind w:left="2579" w:right="0" w:hanging="359"/>
        <w:jc w:val="left"/>
        <w:rPr>
          <w:sz w:val="20"/>
        </w:rPr>
      </w:pPr>
      <w:r>
        <w:rPr>
          <w:sz w:val="20"/>
        </w:rPr>
        <w:t>Pasivos</w:t>
      </w:r>
      <w:r>
        <w:rPr>
          <w:spacing w:val="-12"/>
          <w:sz w:val="20"/>
        </w:rPr>
        <w:t> </w:t>
      </w:r>
      <w:r>
        <w:rPr>
          <w:spacing w:val="-2"/>
          <w:sz w:val="20"/>
        </w:rPr>
        <w:t>financieros:</w:t>
      </w:r>
    </w:p>
    <w:p>
      <w:pPr>
        <w:pStyle w:val="ListParagraph"/>
        <w:numPr>
          <w:ilvl w:val="0"/>
          <w:numId w:val="9"/>
        </w:numPr>
        <w:tabs>
          <w:tab w:pos="2489" w:val="left" w:leader="none"/>
        </w:tabs>
        <w:spacing w:line="229" w:lineRule="exact" w:before="0" w:after="0"/>
        <w:ind w:left="2489" w:right="0" w:hanging="361"/>
        <w:jc w:val="left"/>
        <w:rPr>
          <w:sz w:val="20"/>
        </w:rPr>
      </w:pPr>
      <w:r>
        <w:rPr>
          <w:sz w:val="20"/>
        </w:rPr>
        <w:t>Débitos</w:t>
      </w:r>
      <w:r>
        <w:rPr>
          <w:spacing w:val="-10"/>
          <w:sz w:val="20"/>
        </w:rPr>
        <w:t> </w:t>
      </w:r>
      <w:r>
        <w:rPr>
          <w:sz w:val="20"/>
        </w:rPr>
        <w:t>por</w:t>
      </w:r>
      <w:r>
        <w:rPr>
          <w:spacing w:val="-7"/>
          <w:sz w:val="20"/>
        </w:rPr>
        <w:t> </w:t>
      </w:r>
      <w:r>
        <w:rPr>
          <w:sz w:val="20"/>
        </w:rPr>
        <w:t>operaciones</w:t>
      </w:r>
      <w:r>
        <w:rPr>
          <w:spacing w:val="-9"/>
          <w:sz w:val="20"/>
        </w:rPr>
        <w:t> </w:t>
      </w:r>
      <w:r>
        <w:rPr>
          <w:sz w:val="20"/>
        </w:rPr>
        <w:t>comerciales:</w:t>
      </w:r>
      <w:r>
        <w:rPr>
          <w:spacing w:val="-11"/>
          <w:sz w:val="20"/>
        </w:rPr>
        <w:t> </w:t>
      </w:r>
      <w:r>
        <w:rPr>
          <w:sz w:val="20"/>
        </w:rPr>
        <w:t>proveedores</w:t>
      </w:r>
      <w:r>
        <w:rPr>
          <w:spacing w:val="-7"/>
          <w:sz w:val="20"/>
        </w:rPr>
        <w:t> </w:t>
      </w:r>
      <w:r>
        <w:rPr>
          <w:sz w:val="20"/>
        </w:rPr>
        <w:t>y</w:t>
      </w:r>
      <w:r>
        <w:rPr>
          <w:spacing w:val="-12"/>
          <w:sz w:val="20"/>
        </w:rPr>
        <w:t> </w:t>
      </w:r>
      <w:r>
        <w:rPr>
          <w:sz w:val="20"/>
        </w:rPr>
        <w:t>acreedores</w:t>
      </w:r>
      <w:r>
        <w:rPr>
          <w:spacing w:val="-9"/>
          <w:sz w:val="20"/>
        </w:rPr>
        <w:t> </w:t>
      </w:r>
      <w:r>
        <w:rPr>
          <w:spacing w:val="-2"/>
          <w:sz w:val="20"/>
        </w:rPr>
        <w:t>varios;</w:t>
      </w:r>
    </w:p>
    <w:p>
      <w:pPr>
        <w:pStyle w:val="ListParagraph"/>
        <w:numPr>
          <w:ilvl w:val="0"/>
          <w:numId w:val="9"/>
        </w:numPr>
        <w:tabs>
          <w:tab w:pos="2489" w:val="left" w:leader="none"/>
        </w:tabs>
        <w:spacing w:line="240" w:lineRule="auto" w:before="0" w:after="0"/>
        <w:ind w:left="2489" w:right="0" w:hanging="361"/>
        <w:jc w:val="left"/>
        <w:rPr>
          <w:sz w:val="20"/>
        </w:rPr>
      </w:pPr>
      <w:r>
        <w:rPr>
          <w:sz w:val="20"/>
        </w:rPr>
        <w:t>Deudas</w:t>
      </w:r>
      <w:r>
        <w:rPr>
          <w:spacing w:val="-8"/>
          <w:sz w:val="20"/>
        </w:rPr>
        <w:t> </w:t>
      </w:r>
      <w:r>
        <w:rPr>
          <w:sz w:val="20"/>
        </w:rPr>
        <w:t>con</w:t>
      </w:r>
      <w:r>
        <w:rPr>
          <w:spacing w:val="-8"/>
          <w:sz w:val="20"/>
        </w:rPr>
        <w:t> </w:t>
      </w:r>
      <w:r>
        <w:rPr>
          <w:sz w:val="20"/>
        </w:rPr>
        <w:t>entidades</w:t>
      </w:r>
      <w:r>
        <w:rPr>
          <w:spacing w:val="-6"/>
          <w:sz w:val="20"/>
        </w:rPr>
        <w:t> </w:t>
      </w:r>
      <w:r>
        <w:rPr>
          <w:sz w:val="20"/>
        </w:rPr>
        <w:t>de</w:t>
      </w:r>
      <w:r>
        <w:rPr>
          <w:spacing w:val="-9"/>
          <w:sz w:val="20"/>
        </w:rPr>
        <w:t> </w:t>
      </w:r>
      <w:r>
        <w:rPr>
          <w:spacing w:val="-2"/>
          <w:sz w:val="20"/>
        </w:rPr>
        <w:t>crédito;</w:t>
      </w:r>
    </w:p>
    <w:p>
      <w:pPr>
        <w:pStyle w:val="ListParagraph"/>
        <w:numPr>
          <w:ilvl w:val="0"/>
          <w:numId w:val="9"/>
        </w:numPr>
        <w:tabs>
          <w:tab w:pos="2489" w:val="left" w:leader="none"/>
        </w:tabs>
        <w:spacing w:line="240" w:lineRule="auto" w:before="0" w:after="0"/>
        <w:ind w:left="2489" w:right="0" w:hanging="361"/>
        <w:jc w:val="left"/>
        <w:rPr>
          <w:sz w:val="20"/>
        </w:rPr>
      </w:pPr>
      <w:r>
        <w:rPr>
          <w:sz w:val="20"/>
        </w:rPr>
        <w:t>Obligaciones</w:t>
      </w:r>
      <w:r>
        <w:rPr>
          <w:spacing w:val="-2"/>
          <w:sz w:val="20"/>
        </w:rPr>
        <w:t> </w:t>
      </w:r>
      <w:r>
        <w:rPr>
          <w:sz w:val="20"/>
        </w:rPr>
        <w:t>y</w:t>
      </w:r>
      <w:r>
        <w:rPr>
          <w:spacing w:val="-12"/>
          <w:sz w:val="20"/>
        </w:rPr>
        <w:t> </w:t>
      </w:r>
      <w:r>
        <w:rPr>
          <w:sz w:val="20"/>
        </w:rPr>
        <w:t>otros</w:t>
      </w:r>
      <w:r>
        <w:rPr>
          <w:spacing w:val="-3"/>
          <w:sz w:val="20"/>
        </w:rPr>
        <w:t> </w:t>
      </w:r>
      <w:r>
        <w:rPr>
          <w:sz w:val="20"/>
        </w:rPr>
        <w:t>valores</w:t>
      </w:r>
      <w:r>
        <w:rPr>
          <w:spacing w:val="-6"/>
          <w:sz w:val="20"/>
        </w:rPr>
        <w:t> </w:t>
      </w:r>
      <w:r>
        <w:rPr>
          <w:sz w:val="20"/>
        </w:rPr>
        <w:t>negociables</w:t>
      </w:r>
      <w:r>
        <w:rPr>
          <w:spacing w:val="-6"/>
          <w:sz w:val="20"/>
        </w:rPr>
        <w:t> </w:t>
      </w:r>
      <w:r>
        <w:rPr>
          <w:sz w:val="20"/>
        </w:rPr>
        <w:t>emitidos:</w:t>
      </w:r>
      <w:r>
        <w:rPr>
          <w:spacing w:val="-7"/>
          <w:sz w:val="20"/>
        </w:rPr>
        <w:t> </w:t>
      </w:r>
      <w:r>
        <w:rPr>
          <w:sz w:val="20"/>
        </w:rPr>
        <w:t>tales</w:t>
      </w:r>
      <w:r>
        <w:rPr>
          <w:spacing w:val="-6"/>
          <w:sz w:val="20"/>
        </w:rPr>
        <w:t> </w:t>
      </w:r>
      <w:r>
        <w:rPr>
          <w:sz w:val="20"/>
        </w:rPr>
        <w:t>como</w:t>
      </w:r>
      <w:r>
        <w:rPr>
          <w:spacing w:val="-9"/>
          <w:sz w:val="20"/>
        </w:rPr>
        <w:t> </w:t>
      </w:r>
      <w:r>
        <w:rPr>
          <w:sz w:val="20"/>
        </w:rPr>
        <w:t>bonos</w:t>
      </w:r>
      <w:r>
        <w:rPr>
          <w:spacing w:val="-6"/>
          <w:sz w:val="20"/>
        </w:rPr>
        <w:t> </w:t>
      </w:r>
      <w:r>
        <w:rPr>
          <w:sz w:val="20"/>
        </w:rPr>
        <w:t>y</w:t>
      </w:r>
      <w:r>
        <w:rPr>
          <w:spacing w:val="-7"/>
          <w:sz w:val="20"/>
        </w:rPr>
        <w:t> </w:t>
      </w:r>
      <w:r>
        <w:rPr>
          <w:spacing w:val="-2"/>
          <w:sz w:val="20"/>
        </w:rPr>
        <w:t>pagarés;</w:t>
      </w:r>
    </w:p>
    <w:p>
      <w:pPr>
        <w:pStyle w:val="ListParagraph"/>
        <w:numPr>
          <w:ilvl w:val="0"/>
          <w:numId w:val="9"/>
        </w:numPr>
        <w:tabs>
          <w:tab w:pos="2488" w:val="left" w:leader="none"/>
        </w:tabs>
        <w:spacing w:line="240" w:lineRule="auto" w:before="1" w:after="0"/>
        <w:ind w:left="2488" w:right="1336" w:hanging="360"/>
        <w:jc w:val="left"/>
        <w:rPr>
          <w:sz w:val="20"/>
        </w:rPr>
      </w:pPr>
      <w:r>
        <w:rPr>
          <w:sz w:val="20"/>
        </w:rPr>
        <w:t>Derivados</w:t>
      </w:r>
      <w:r>
        <w:rPr>
          <w:spacing w:val="40"/>
          <w:sz w:val="20"/>
        </w:rPr>
        <w:t> </w:t>
      </w:r>
      <w:r>
        <w:rPr>
          <w:sz w:val="20"/>
        </w:rPr>
        <w:t>con</w:t>
      </w:r>
      <w:r>
        <w:rPr>
          <w:spacing w:val="40"/>
          <w:sz w:val="20"/>
        </w:rPr>
        <w:t> </w:t>
      </w:r>
      <w:r>
        <w:rPr>
          <w:sz w:val="20"/>
        </w:rPr>
        <w:t>valoración</w:t>
      </w:r>
      <w:r>
        <w:rPr>
          <w:spacing w:val="40"/>
          <w:sz w:val="20"/>
        </w:rPr>
        <w:t> </w:t>
      </w:r>
      <w:r>
        <w:rPr>
          <w:sz w:val="20"/>
        </w:rPr>
        <w:t>desfavorable</w:t>
      </w:r>
      <w:r>
        <w:rPr>
          <w:spacing w:val="40"/>
          <w:sz w:val="20"/>
        </w:rPr>
        <w:t> </w:t>
      </w:r>
      <w:r>
        <w:rPr>
          <w:sz w:val="20"/>
        </w:rPr>
        <w:t>para</w:t>
      </w:r>
      <w:r>
        <w:rPr>
          <w:spacing w:val="40"/>
          <w:sz w:val="20"/>
        </w:rPr>
        <w:t> </w:t>
      </w:r>
      <w:r>
        <w:rPr>
          <w:sz w:val="20"/>
        </w:rPr>
        <w:t>la</w:t>
      </w:r>
      <w:r>
        <w:rPr>
          <w:spacing w:val="40"/>
          <w:sz w:val="20"/>
        </w:rPr>
        <w:t> </w:t>
      </w:r>
      <w:r>
        <w:rPr>
          <w:sz w:val="20"/>
        </w:rPr>
        <w:t>empresa:</w:t>
      </w:r>
      <w:r>
        <w:rPr>
          <w:spacing w:val="40"/>
          <w:sz w:val="20"/>
        </w:rPr>
        <w:t> </w:t>
      </w:r>
      <w:r>
        <w:rPr>
          <w:sz w:val="20"/>
        </w:rPr>
        <w:t>entre</w:t>
      </w:r>
      <w:r>
        <w:rPr>
          <w:spacing w:val="40"/>
          <w:sz w:val="20"/>
        </w:rPr>
        <w:t> </w:t>
      </w:r>
      <w:r>
        <w:rPr>
          <w:sz w:val="20"/>
        </w:rPr>
        <w:t>ellos,</w:t>
      </w:r>
      <w:r>
        <w:rPr>
          <w:spacing w:val="40"/>
          <w:sz w:val="20"/>
        </w:rPr>
        <w:t> </w:t>
      </w:r>
      <w:r>
        <w:rPr>
          <w:sz w:val="20"/>
        </w:rPr>
        <w:t>futuros, opciones, permutas financieras y compraventa de moneda extranjera a plazo;</w:t>
      </w:r>
    </w:p>
    <w:p>
      <w:pPr>
        <w:pStyle w:val="ListParagraph"/>
        <w:numPr>
          <w:ilvl w:val="0"/>
          <w:numId w:val="9"/>
        </w:numPr>
        <w:tabs>
          <w:tab w:pos="2489" w:val="left" w:leader="none"/>
        </w:tabs>
        <w:spacing w:line="228" w:lineRule="exact" w:before="0" w:after="0"/>
        <w:ind w:left="2489" w:right="0" w:hanging="361"/>
        <w:jc w:val="left"/>
        <w:rPr>
          <w:sz w:val="20"/>
        </w:rPr>
      </w:pPr>
      <w:r>
        <w:rPr>
          <w:sz w:val="20"/>
        </w:rPr>
        <w:t>Deudas</w:t>
      </w:r>
      <w:r>
        <w:rPr>
          <w:spacing w:val="-11"/>
          <w:sz w:val="20"/>
        </w:rPr>
        <w:t> </w:t>
      </w:r>
      <w:r>
        <w:rPr>
          <w:sz w:val="20"/>
        </w:rPr>
        <w:t>con</w:t>
      </w:r>
      <w:r>
        <w:rPr>
          <w:spacing w:val="-11"/>
          <w:sz w:val="20"/>
        </w:rPr>
        <w:t> </w:t>
      </w:r>
      <w:r>
        <w:rPr>
          <w:sz w:val="20"/>
        </w:rPr>
        <w:t>características</w:t>
      </w:r>
      <w:r>
        <w:rPr>
          <w:spacing w:val="-7"/>
          <w:sz w:val="20"/>
        </w:rPr>
        <w:t> </w:t>
      </w:r>
      <w:r>
        <w:rPr>
          <w:sz w:val="20"/>
        </w:rPr>
        <w:t>especiales,</w:t>
      </w:r>
      <w:r>
        <w:rPr>
          <w:spacing w:val="-6"/>
          <w:sz w:val="20"/>
        </w:rPr>
        <w:t> </w:t>
      </w:r>
      <w:r>
        <w:rPr>
          <w:spacing w:val="-10"/>
          <w:sz w:val="20"/>
        </w:rPr>
        <w:t>y</w:t>
      </w:r>
    </w:p>
    <w:p>
      <w:pPr>
        <w:pStyle w:val="ListParagraph"/>
        <w:numPr>
          <w:ilvl w:val="0"/>
          <w:numId w:val="9"/>
        </w:numPr>
        <w:tabs>
          <w:tab w:pos="2488" w:val="left" w:leader="none"/>
        </w:tabs>
        <w:spacing w:line="240" w:lineRule="auto" w:before="0" w:after="0"/>
        <w:ind w:left="2488" w:right="1336" w:hanging="360"/>
        <w:jc w:val="both"/>
        <w:rPr>
          <w:sz w:val="20"/>
        </w:rPr>
      </w:pPr>
      <w:r>
        <w:rPr>
          <w:sz w:val="20"/>
        </w:rPr>
        <mc:AlternateContent>
          <mc:Choice Requires="wps">
            <w:drawing>
              <wp:anchor distT="0" distB="0" distL="0" distR="0" allowOverlap="1" layoutInCell="1" locked="0" behindDoc="0" simplePos="0" relativeHeight="15747584">
                <wp:simplePos x="0" y="0"/>
                <wp:positionH relativeFrom="page">
                  <wp:posOffset>6966436</wp:posOffset>
                </wp:positionH>
                <wp:positionV relativeFrom="paragraph">
                  <wp:posOffset>226341</wp:posOffset>
                </wp:positionV>
                <wp:extent cx="263525" cy="327596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7.822126pt;width:20.75pt;height:257.95pt;mso-position-horizontal-relative:page;mso-position-vertical-relative:paragraph;z-index:15747584" type="#_x0000_t202" id="docshape8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pPr>
        <w:pStyle w:val="BodyText"/>
        <w:spacing w:before="2"/>
      </w:pPr>
    </w:p>
    <w:p>
      <w:pPr>
        <w:pStyle w:val="ListParagraph"/>
        <w:numPr>
          <w:ilvl w:val="0"/>
          <w:numId w:val="8"/>
        </w:numPr>
        <w:tabs>
          <w:tab w:pos="2577" w:val="left" w:leader="none"/>
          <w:tab w:pos="2580" w:val="left" w:leader="none"/>
        </w:tabs>
        <w:spacing w:line="240" w:lineRule="auto" w:before="0" w:after="0"/>
        <w:ind w:left="2580" w:right="1339" w:hanging="360"/>
        <w:jc w:val="left"/>
        <w:rPr>
          <w:sz w:val="20"/>
        </w:rPr>
      </w:pPr>
      <w:r>
        <w:rPr>
          <w:sz w:val="20"/>
        </w:rPr>
        <w:t>Instrumentos</w:t>
      </w:r>
      <w:r>
        <w:rPr>
          <w:spacing w:val="40"/>
          <w:sz w:val="20"/>
        </w:rPr>
        <w:t> </w:t>
      </w:r>
      <w:r>
        <w:rPr>
          <w:sz w:val="20"/>
        </w:rPr>
        <w:t>de</w:t>
      </w:r>
      <w:r>
        <w:rPr>
          <w:spacing w:val="40"/>
          <w:sz w:val="20"/>
        </w:rPr>
        <w:t> </w:t>
      </w:r>
      <w:r>
        <w:rPr>
          <w:sz w:val="20"/>
        </w:rPr>
        <w:t>patrimonio</w:t>
      </w:r>
      <w:r>
        <w:rPr>
          <w:spacing w:val="40"/>
          <w:sz w:val="20"/>
        </w:rPr>
        <w:t> </w:t>
      </w:r>
      <w:r>
        <w:rPr>
          <w:sz w:val="20"/>
        </w:rPr>
        <w:t>propio:</w:t>
      </w:r>
      <w:r>
        <w:rPr>
          <w:spacing w:val="40"/>
          <w:sz w:val="20"/>
        </w:rPr>
        <w:t> </w:t>
      </w:r>
      <w:r>
        <w:rPr>
          <w:sz w:val="20"/>
        </w:rPr>
        <w:t>todos</w:t>
      </w:r>
      <w:r>
        <w:rPr>
          <w:spacing w:val="40"/>
          <w:sz w:val="20"/>
        </w:rPr>
        <w:t> </w:t>
      </w:r>
      <w:r>
        <w:rPr>
          <w:sz w:val="20"/>
        </w:rPr>
        <w:t>los</w:t>
      </w:r>
      <w:r>
        <w:rPr>
          <w:spacing w:val="40"/>
          <w:sz w:val="20"/>
        </w:rPr>
        <w:t> </w:t>
      </w:r>
      <w:r>
        <w:rPr>
          <w:sz w:val="20"/>
        </w:rPr>
        <w:t>instrumentos</w:t>
      </w:r>
      <w:r>
        <w:rPr>
          <w:spacing w:val="40"/>
          <w:sz w:val="20"/>
        </w:rPr>
        <w:t> </w:t>
      </w:r>
      <w:r>
        <w:rPr>
          <w:sz w:val="20"/>
        </w:rPr>
        <w:t>financieros</w:t>
      </w:r>
      <w:r>
        <w:rPr>
          <w:spacing w:val="40"/>
          <w:sz w:val="20"/>
        </w:rPr>
        <w:t> </w:t>
      </w:r>
      <w:r>
        <w:rPr>
          <w:sz w:val="20"/>
        </w:rPr>
        <w:t>que</w:t>
      </w:r>
      <w:r>
        <w:rPr>
          <w:spacing w:val="40"/>
          <w:sz w:val="20"/>
        </w:rPr>
        <w:t> </w:t>
      </w:r>
      <w:r>
        <w:rPr>
          <w:sz w:val="20"/>
        </w:rPr>
        <w:t>se incluyen dentro de los fondos propios, tal como las acciones ordinarias emitidas.</w:t>
      </w:r>
    </w:p>
    <w:p>
      <w:pPr>
        <w:pStyle w:val="BodyText"/>
        <w:spacing w:before="229"/>
      </w:pPr>
    </w:p>
    <w:p>
      <w:pPr>
        <w:pStyle w:val="ListParagraph"/>
        <w:numPr>
          <w:ilvl w:val="2"/>
          <w:numId w:val="7"/>
        </w:numPr>
        <w:tabs>
          <w:tab w:pos="2292" w:val="left" w:leader="none"/>
        </w:tabs>
        <w:spacing w:line="240" w:lineRule="auto" w:before="0" w:after="0"/>
        <w:ind w:left="2292" w:right="0" w:hanging="497"/>
        <w:jc w:val="left"/>
        <w:rPr>
          <w:sz w:val="20"/>
        </w:rPr>
      </w:pPr>
      <w:r>
        <w:rPr>
          <w:spacing w:val="-7"/>
          <w:sz w:val="20"/>
          <w:u w:val="single"/>
        </w:rPr>
        <w:t> </w:t>
      </w:r>
      <w:r>
        <w:rPr>
          <w:sz w:val="20"/>
          <w:u w:val="single"/>
        </w:rPr>
        <w:t>Inversiones</w:t>
      </w:r>
      <w:r>
        <w:rPr>
          <w:spacing w:val="-5"/>
          <w:sz w:val="20"/>
          <w:u w:val="single"/>
        </w:rPr>
        <w:t> </w:t>
      </w:r>
      <w:r>
        <w:rPr>
          <w:sz w:val="20"/>
          <w:u w:val="single"/>
        </w:rPr>
        <w:t>financieras</w:t>
      </w:r>
      <w:r>
        <w:rPr>
          <w:spacing w:val="-4"/>
          <w:sz w:val="20"/>
          <w:u w:val="single"/>
        </w:rPr>
        <w:t> </w:t>
      </w:r>
      <w:r>
        <w:rPr>
          <w:sz w:val="20"/>
          <w:u w:val="single"/>
        </w:rPr>
        <w:t>a</w:t>
      </w:r>
      <w:r>
        <w:rPr>
          <w:spacing w:val="-7"/>
          <w:sz w:val="20"/>
          <w:u w:val="single"/>
        </w:rPr>
        <w:t> </w:t>
      </w:r>
      <w:r>
        <w:rPr>
          <w:sz w:val="20"/>
          <w:u w:val="single"/>
        </w:rPr>
        <w:t>largo</w:t>
      </w:r>
      <w:r>
        <w:rPr>
          <w:spacing w:val="-3"/>
          <w:sz w:val="20"/>
          <w:u w:val="single"/>
        </w:rPr>
        <w:t> </w:t>
      </w:r>
      <w:r>
        <w:rPr>
          <w:sz w:val="20"/>
          <w:u w:val="single"/>
        </w:rPr>
        <w:t>y</w:t>
      </w:r>
      <w:r>
        <w:rPr>
          <w:spacing w:val="-9"/>
          <w:sz w:val="20"/>
          <w:u w:val="single"/>
        </w:rPr>
        <w:t> </w:t>
      </w:r>
      <w:r>
        <w:rPr>
          <w:sz w:val="20"/>
          <w:u w:val="single"/>
        </w:rPr>
        <w:t>corto</w:t>
      </w:r>
      <w:r>
        <w:rPr>
          <w:spacing w:val="-5"/>
          <w:sz w:val="20"/>
          <w:u w:val="single"/>
        </w:rPr>
        <w:t> </w:t>
      </w:r>
      <w:r>
        <w:rPr>
          <w:spacing w:val="-4"/>
          <w:sz w:val="20"/>
          <w:u w:val="single"/>
        </w:rPr>
        <w:t>plazo</w:t>
      </w:r>
    </w:p>
    <w:p>
      <w:pPr>
        <w:pStyle w:val="BodyText"/>
      </w:pPr>
    </w:p>
    <w:p>
      <w:pPr>
        <w:pStyle w:val="ListParagraph"/>
        <w:numPr>
          <w:ilvl w:val="3"/>
          <w:numId w:val="7"/>
        </w:numPr>
        <w:tabs>
          <w:tab w:pos="2760" w:val="left" w:leader="none"/>
        </w:tabs>
        <w:spacing w:line="240" w:lineRule="auto" w:before="1" w:after="0"/>
        <w:ind w:left="2760" w:right="1336" w:hanging="360"/>
        <w:jc w:val="both"/>
        <w:rPr>
          <w:sz w:val="20"/>
        </w:rPr>
      </w:pPr>
      <w:r>
        <w:rPr>
          <w:b/>
          <w:sz w:val="20"/>
        </w:rPr>
        <w:t>Activos Financieros a coste Amortizado. </w:t>
      </w:r>
      <w:r>
        <w:rPr>
          <w:sz w:val="20"/>
        </w:rPr>
        <w:t>Un activo financiero se incluye en esta categoría, incluso cuando esté admitido a negociación en un mercado organizado, si la empresa mantiene la inversión con el objetivo de percibir los flujos de efectivo derivados de la ejecución del contrato, y las condiciones contractuales del activo financiero dan lugar, en fechas especificadas, a flujos de</w:t>
      </w:r>
      <w:r>
        <w:rPr>
          <w:spacing w:val="-4"/>
          <w:sz w:val="20"/>
        </w:rPr>
        <w:t> </w:t>
      </w:r>
      <w:r>
        <w:rPr>
          <w:sz w:val="20"/>
        </w:rPr>
        <w:t>efectivo</w:t>
      </w:r>
      <w:r>
        <w:rPr>
          <w:spacing w:val="-3"/>
          <w:sz w:val="20"/>
        </w:rPr>
        <w:t> </w:t>
      </w:r>
      <w:r>
        <w:rPr>
          <w:sz w:val="20"/>
        </w:rPr>
        <w:t>que</w:t>
      </w:r>
      <w:r>
        <w:rPr>
          <w:spacing w:val="-5"/>
          <w:sz w:val="20"/>
        </w:rPr>
        <w:t> </w:t>
      </w:r>
      <w:r>
        <w:rPr>
          <w:sz w:val="20"/>
        </w:rPr>
        <w:t>son</w:t>
      </w:r>
      <w:r>
        <w:rPr>
          <w:spacing w:val="-1"/>
          <w:sz w:val="20"/>
        </w:rPr>
        <w:t> </w:t>
      </w:r>
      <w:r>
        <w:rPr>
          <w:sz w:val="20"/>
        </w:rPr>
        <w:t>únicamente</w:t>
      </w:r>
      <w:r>
        <w:rPr>
          <w:spacing w:val="-1"/>
          <w:sz w:val="20"/>
        </w:rPr>
        <w:t> </w:t>
      </w:r>
      <w:r>
        <w:rPr>
          <w:sz w:val="20"/>
        </w:rPr>
        <w:t>cobros</w:t>
      </w:r>
      <w:r>
        <w:rPr>
          <w:spacing w:val="-3"/>
          <w:sz w:val="20"/>
        </w:rPr>
        <w:t> </w:t>
      </w:r>
      <w:r>
        <w:rPr>
          <w:sz w:val="20"/>
        </w:rPr>
        <w:t>de</w:t>
      </w:r>
      <w:r>
        <w:rPr>
          <w:spacing w:val="-5"/>
          <w:sz w:val="20"/>
        </w:rPr>
        <w:t> </w:t>
      </w:r>
      <w:r>
        <w:rPr>
          <w:sz w:val="20"/>
        </w:rPr>
        <w:t>principal</w:t>
      </w:r>
      <w:r>
        <w:rPr>
          <w:spacing w:val="-2"/>
          <w:sz w:val="20"/>
        </w:rPr>
        <w:t> </w:t>
      </w:r>
      <w:r>
        <w:rPr>
          <w:sz w:val="20"/>
        </w:rPr>
        <w:t>e</w:t>
      </w:r>
      <w:r>
        <w:rPr>
          <w:spacing w:val="-3"/>
          <w:sz w:val="20"/>
        </w:rPr>
        <w:t> </w:t>
      </w:r>
      <w:r>
        <w:rPr>
          <w:sz w:val="20"/>
        </w:rPr>
        <w:t>intereses</w:t>
      </w:r>
      <w:r>
        <w:rPr>
          <w:spacing w:val="-2"/>
          <w:sz w:val="20"/>
        </w:rPr>
        <w:t> </w:t>
      </w:r>
      <w:r>
        <w:rPr>
          <w:sz w:val="20"/>
        </w:rPr>
        <w:t>sobre</w:t>
      </w:r>
      <w:r>
        <w:rPr>
          <w:spacing w:val="-4"/>
          <w:sz w:val="20"/>
        </w:rPr>
        <w:t> </w:t>
      </w:r>
      <w:r>
        <w:rPr>
          <w:sz w:val="20"/>
        </w:rPr>
        <w:t>el</w:t>
      </w:r>
      <w:r>
        <w:rPr>
          <w:spacing w:val="-4"/>
          <w:sz w:val="20"/>
        </w:rPr>
        <w:t> </w:t>
      </w:r>
      <w:r>
        <w:rPr>
          <w:sz w:val="20"/>
        </w:rPr>
        <w:t>importe del</w:t>
      </w:r>
      <w:r>
        <w:rPr>
          <w:spacing w:val="-3"/>
          <w:sz w:val="20"/>
        </w:rPr>
        <w:t> </w:t>
      </w:r>
      <w:r>
        <w:rPr>
          <w:sz w:val="20"/>
        </w:rPr>
        <w:t>principal</w:t>
      </w:r>
      <w:r>
        <w:rPr>
          <w:spacing w:val="-5"/>
          <w:sz w:val="20"/>
        </w:rPr>
        <w:t> </w:t>
      </w:r>
      <w:r>
        <w:rPr>
          <w:sz w:val="20"/>
        </w:rPr>
        <w:t>pendiente.</w:t>
      </w:r>
      <w:r>
        <w:rPr>
          <w:spacing w:val="-5"/>
          <w:sz w:val="20"/>
        </w:rPr>
        <w:t> </w:t>
      </w:r>
      <w:r>
        <w:rPr>
          <w:sz w:val="20"/>
        </w:rPr>
        <w:t>Los</w:t>
      </w:r>
      <w:r>
        <w:rPr>
          <w:spacing w:val="-3"/>
          <w:sz w:val="20"/>
        </w:rPr>
        <w:t> </w:t>
      </w:r>
      <w:r>
        <w:rPr>
          <w:sz w:val="20"/>
        </w:rPr>
        <w:t>flujos</w:t>
      </w:r>
      <w:r>
        <w:rPr>
          <w:spacing w:val="-3"/>
          <w:sz w:val="20"/>
        </w:rPr>
        <w:t> </w:t>
      </w:r>
      <w:r>
        <w:rPr>
          <w:sz w:val="20"/>
        </w:rPr>
        <w:t>de</w:t>
      </w:r>
      <w:r>
        <w:rPr>
          <w:spacing w:val="-2"/>
          <w:sz w:val="20"/>
        </w:rPr>
        <w:t> </w:t>
      </w:r>
      <w:r>
        <w:rPr>
          <w:sz w:val="20"/>
        </w:rPr>
        <w:t>efectivo</w:t>
      </w:r>
      <w:r>
        <w:rPr>
          <w:spacing w:val="-5"/>
          <w:sz w:val="20"/>
        </w:rPr>
        <w:t> </w:t>
      </w:r>
      <w:r>
        <w:rPr>
          <w:sz w:val="20"/>
        </w:rPr>
        <w:t>contractuales que</w:t>
      </w:r>
      <w:r>
        <w:rPr>
          <w:spacing w:val="-4"/>
          <w:sz w:val="20"/>
        </w:rPr>
        <w:t> </w:t>
      </w:r>
      <w:r>
        <w:rPr>
          <w:sz w:val="20"/>
        </w:rPr>
        <w:t>son</w:t>
      </w:r>
      <w:r>
        <w:rPr>
          <w:spacing w:val="-2"/>
          <w:sz w:val="20"/>
        </w:rPr>
        <w:t> </w:t>
      </w:r>
      <w:r>
        <w:rPr>
          <w:sz w:val="20"/>
        </w:rPr>
        <w:t>únicamente cobros de principal e interés sobre el importe del principal pendiente son inherentes a un acuerdo que tiene la naturaleza de préstamo ordinario o</w:t>
      </w:r>
      <w:r>
        <w:rPr>
          <w:spacing w:val="40"/>
          <w:sz w:val="20"/>
        </w:rPr>
        <w:t> </w:t>
      </w:r>
      <w:r>
        <w:rPr>
          <w:sz w:val="20"/>
        </w:rPr>
        <w:t>común, sin perjuicio de que la operación se acuerde a un tipo de interés cero o por debajo</w:t>
      </w:r>
      <w:r>
        <w:rPr>
          <w:spacing w:val="-3"/>
          <w:sz w:val="20"/>
        </w:rPr>
        <w:t> </w:t>
      </w:r>
      <w:r>
        <w:rPr>
          <w:sz w:val="20"/>
        </w:rPr>
        <w:t>de</w:t>
      </w:r>
      <w:r>
        <w:rPr>
          <w:spacing w:val="-3"/>
          <w:sz w:val="20"/>
        </w:rPr>
        <w:t> </w:t>
      </w:r>
      <w:r>
        <w:rPr>
          <w:sz w:val="20"/>
        </w:rPr>
        <w:t>mercado.</w:t>
      </w:r>
      <w:r>
        <w:rPr>
          <w:spacing w:val="-1"/>
          <w:sz w:val="20"/>
        </w:rPr>
        <w:t> </w:t>
      </w:r>
      <w:r>
        <w:rPr>
          <w:sz w:val="20"/>
        </w:rPr>
        <w:t>Con</w:t>
      </w:r>
      <w:r>
        <w:rPr>
          <w:spacing w:val="-3"/>
          <w:sz w:val="20"/>
        </w:rPr>
        <w:t> </w:t>
      </w:r>
      <w:r>
        <w:rPr>
          <w:sz w:val="20"/>
        </w:rPr>
        <w:t>carácter general,</w:t>
      </w:r>
      <w:r>
        <w:rPr>
          <w:spacing w:val="-1"/>
          <w:sz w:val="20"/>
        </w:rPr>
        <w:t> </w:t>
      </w:r>
      <w:r>
        <w:rPr>
          <w:sz w:val="20"/>
        </w:rPr>
        <w:t>se</w:t>
      </w:r>
      <w:r>
        <w:rPr>
          <w:spacing w:val="-1"/>
          <w:sz w:val="20"/>
        </w:rPr>
        <w:t> </w:t>
      </w:r>
      <w:r>
        <w:rPr>
          <w:sz w:val="20"/>
        </w:rPr>
        <w:t>incluyen</w:t>
      </w:r>
      <w:r>
        <w:rPr>
          <w:spacing w:val="-1"/>
          <w:sz w:val="20"/>
        </w:rPr>
        <w:t> </w:t>
      </w:r>
      <w:r>
        <w:rPr>
          <w:sz w:val="20"/>
        </w:rPr>
        <w:t>en esta</w:t>
      </w:r>
      <w:r>
        <w:rPr>
          <w:spacing w:val="-1"/>
          <w:sz w:val="20"/>
        </w:rPr>
        <w:t> </w:t>
      </w:r>
      <w:r>
        <w:rPr>
          <w:sz w:val="20"/>
        </w:rPr>
        <w:t>categoría los créditos</w:t>
      </w:r>
      <w:r>
        <w:rPr>
          <w:spacing w:val="40"/>
          <w:sz w:val="20"/>
        </w:rPr>
        <w:t> </w:t>
      </w:r>
      <w:r>
        <w:rPr>
          <w:sz w:val="20"/>
        </w:rPr>
        <w:t>por</w:t>
      </w:r>
      <w:r>
        <w:rPr>
          <w:spacing w:val="40"/>
          <w:sz w:val="20"/>
        </w:rPr>
        <w:t> </w:t>
      </w:r>
      <w:r>
        <w:rPr>
          <w:sz w:val="20"/>
        </w:rPr>
        <w:t>operaciones</w:t>
      </w:r>
      <w:r>
        <w:rPr>
          <w:spacing w:val="66"/>
          <w:sz w:val="20"/>
        </w:rPr>
        <w:t> </w:t>
      </w:r>
      <w:r>
        <w:rPr>
          <w:sz w:val="20"/>
        </w:rPr>
        <w:t>comerciales</w:t>
      </w:r>
      <w:r>
        <w:rPr>
          <w:spacing w:val="40"/>
          <w:sz w:val="20"/>
        </w:rPr>
        <w:t> </w:t>
      </w:r>
      <w:r>
        <w:rPr>
          <w:sz w:val="20"/>
        </w:rPr>
        <w:t>(aquellos</w:t>
      </w:r>
      <w:r>
        <w:rPr>
          <w:spacing w:val="40"/>
          <w:sz w:val="20"/>
        </w:rPr>
        <w:t> </w:t>
      </w:r>
      <w:r>
        <w:rPr>
          <w:sz w:val="20"/>
        </w:rPr>
        <w:t>activos</w:t>
      </w:r>
      <w:r>
        <w:rPr>
          <w:spacing w:val="40"/>
          <w:sz w:val="20"/>
        </w:rPr>
        <w:t> </w:t>
      </w:r>
      <w:r>
        <w:rPr>
          <w:sz w:val="20"/>
        </w:rPr>
        <w:t>financieros</w:t>
      </w:r>
      <w:r>
        <w:rPr>
          <w:spacing w:val="66"/>
          <w:sz w:val="20"/>
        </w:rPr>
        <w:t> </w:t>
      </w:r>
      <w:r>
        <w:rPr>
          <w:sz w:val="20"/>
        </w:rPr>
        <w:t>que</w:t>
      </w:r>
      <w:r>
        <w:rPr>
          <w:spacing w:val="40"/>
          <w:sz w:val="20"/>
        </w:rPr>
        <w:t> </w:t>
      </w:r>
      <w:r>
        <w:rPr>
          <w:sz w:val="20"/>
        </w:rPr>
        <w:t>se</w:t>
      </w:r>
    </w:p>
    <w:p>
      <w:pPr>
        <w:pStyle w:val="ListParagraph"/>
        <w:spacing w:after="0" w:line="240" w:lineRule="auto"/>
        <w:jc w:val="both"/>
        <w:rPr>
          <w:sz w:val="20"/>
        </w:rPr>
        <w:sectPr>
          <w:pgSz w:w="11910" w:h="16840"/>
          <w:pgMar w:header="286" w:footer="1060" w:top="1920" w:bottom="1260" w:left="360" w:right="360"/>
        </w:sectPr>
      </w:pPr>
    </w:p>
    <w:p>
      <w:pPr>
        <w:pStyle w:val="BodyText"/>
        <w:spacing w:before="201"/>
      </w:pPr>
    </w:p>
    <w:p>
      <w:pPr>
        <w:pStyle w:val="BodyText"/>
        <w:ind w:left="2760" w:right="1336"/>
        <w:jc w:val="both"/>
      </w:pPr>
      <w:r>
        <w:rPr/>
        <w:t>originan en la venta de bienes y la prestación de servicios por operaciones de tráfico de la empresa con cobro aplazado), y los créditos por operaciones no comerciales aquellos activos financieros que, no siendo instrumentos de patrimonio ni derivados, no tienen origen comercial y cuyos cobros son de cuantía determinada o determinable, que proceden de operaciones de</w:t>
      </w:r>
      <w:r>
        <w:rPr>
          <w:spacing w:val="40"/>
        </w:rPr>
        <w:t> </w:t>
      </w:r>
      <w:r>
        <w:rPr/>
        <w:t>préstamo o crédito concedidos por la empresa). Es decir, dentro de esta categoría estarían los préstamos y</w:t>
      </w:r>
      <w:r>
        <w:rPr>
          <w:spacing w:val="-5"/>
        </w:rPr>
        <w:t> </w:t>
      </w:r>
      <w:r>
        <w:rPr/>
        <w:t>cuentas a</w:t>
      </w:r>
      <w:r>
        <w:rPr>
          <w:spacing w:val="-1"/>
        </w:rPr>
        <w:t> </w:t>
      </w:r>
      <w:r>
        <w:rPr/>
        <w:t>cobrar, así</w:t>
      </w:r>
      <w:r>
        <w:rPr>
          <w:spacing w:val="-1"/>
        </w:rPr>
        <w:t> </w:t>
      </w:r>
      <w:r>
        <w:rPr/>
        <w:t>como</w:t>
      </w:r>
      <w:r>
        <w:rPr>
          <w:spacing w:val="-1"/>
        </w:rPr>
        <w:t> </w:t>
      </w:r>
      <w:r>
        <w:rPr/>
        <w:t>aquellos valores representativos de deuda, con una fecha de vencimiento fijada, cobros de cuantía determinada o determinable, que se negocien en un mercado activo y que la Sociedad tiene intención y capacidad de conservar hasta su</w:t>
      </w:r>
      <w:r>
        <w:rPr>
          <w:spacing w:val="80"/>
        </w:rPr>
        <w:t> </w:t>
      </w:r>
      <w:r>
        <w:rPr>
          <w:spacing w:val="-2"/>
        </w:rPr>
        <w:t>vencimiento.</w:t>
      </w:r>
    </w:p>
    <w:p>
      <w:pPr>
        <w:pStyle w:val="ListParagraph"/>
        <w:numPr>
          <w:ilvl w:val="4"/>
          <w:numId w:val="7"/>
        </w:numPr>
        <w:tabs>
          <w:tab w:pos="3477" w:val="left" w:leader="none"/>
        </w:tabs>
        <w:spacing w:line="240" w:lineRule="auto" w:before="121" w:after="0"/>
        <w:ind w:left="3477" w:right="1336" w:hanging="360"/>
        <w:jc w:val="both"/>
        <w:rPr>
          <w:sz w:val="20"/>
        </w:rPr>
      </w:pPr>
      <w:r>
        <w:rPr>
          <w:sz w:val="20"/>
        </w:rPr>
        <w:t>Valoración inicial: Inicialmente se valoran por su valor razonable, más los costes de transacción que les sean directamente atribuibles. No obstante, los créditos por operaciones comerciales con vencimiento no superior a un año y que no tienen un tipo de interés contractual explícito, así como los créditos al personal, los dividendos a cobrar y</w:t>
      </w:r>
      <w:r>
        <w:rPr>
          <w:spacing w:val="40"/>
          <w:sz w:val="20"/>
        </w:rPr>
        <w:t> </w:t>
      </w:r>
      <w:r>
        <w:rPr>
          <w:sz w:val="20"/>
        </w:rPr>
        <w:t>los desembolsos exigidos sobre instrumentos de patrimonio, cuyo importe se espera recibir en el corto plazo, se podrán valorar por su valor nominal</w:t>
      </w:r>
      <w:r>
        <w:rPr>
          <w:spacing w:val="-2"/>
          <w:sz w:val="20"/>
        </w:rPr>
        <w:t> </w:t>
      </w:r>
      <w:r>
        <w:rPr>
          <w:sz w:val="20"/>
        </w:rPr>
        <w:t>cuando el</w:t>
      </w:r>
      <w:r>
        <w:rPr>
          <w:spacing w:val="-1"/>
          <w:sz w:val="20"/>
        </w:rPr>
        <w:t> </w:t>
      </w:r>
      <w:r>
        <w:rPr>
          <w:sz w:val="20"/>
        </w:rPr>
        <w:t>efecto de no actualizar los flujos de efectivo no sea significativo.</w:t>
      </w:r>
    </w:p>
    <w:p>
      <w:pPr>
        <w:pStyle w:val="ListParagraph"/>
        <w:numPr>
          <w:ilvl w:val="4"/>
          <w:numId w:val="7"/>
        </w:numPr>
        <w:tabs>
          <w:tab w:pos="3477" w:val="left" w:leader="none"/>
        </w:tabs>
        <w:spacing w:line="237" w:lineRule="auto" w:before="120" w:after="0"/>
        <w:ind w:left="3477" w:right="1339" w:hanging="360"/>
        <w:jc w:val="both"/>
        <w:rPr>
          <w:sz w:val="20"/>
        </w:rPr>
      </w:pPr>
      <w:r>
        <w:rPr>
          <w:sz w:val="20"/>
        </w:rPr>
        <w:t>Valoración posterior: se hace a coste amortizado y los intereses devengados se contabilizan en la cuenta de pérdidas y ganancias, aplicando el método del tipo de interés efectivo.</w:t>
      </w:r>
    </w:p>
    <w:p>
      <w:pPr>
        <w:pStyle w:val="BodyText"/>
        <w:spacing w:before="123"/>
        <w:ind w:left="3465" w:right="1339"/>
        <w:jc w:val="both"/>
      </w:pPr>
      <w:r>
        <w:rPr/>
        <w:t>No obstante, los créditos con vencimiento no superior a un año que, de acuerdo con lo dispuesto en el apartado anterior, se valoren inicialmente por su valor nominal, continuarán valorándose por dicho importe, salvo que se hubieran deteriorado.</w:t>
      </w:r>
    </w:p>
    <w:p>
      <w:pPr>
        <w:pStyle w:val="BodyText"/>
        <w:spacing w:before="229"/>
        <w:ind w:left="3465" w:right="1338"/>
        <w:jc w:val="both"/>
      </w:pPr>
      <w:r>
        <w:rPr/>
        <w:t>Cuando los flujos de efectivo contractuales de un activo financiero se modifican debido a las dificultades financieras del emisor, la empresa analizará si procede contabilizar una pérdida por deterioro de valor.</w:t>
      </w:r>
    </w:p>
    <w:p>
      <w:pPr>
        <w:pStyle w:val="BodyText"/>
      </w:pPr>
    </w:p>
    <w:p>
      <w:pPr>
        <w:pStyle w:val="ListParagraph"/>
        <w:numPr>
          <w:ilvl w:val="4"/>
          <w:numId w:val="7"/>
        </w:numPr>
        <w:tabs>
          <w:tab w:pos="3477" w:val="left" w:leader="none"/>
        </w:tabs>
        <w:spacing w:line="240" w:lineRule="auto" w:before="1" w:after="0"/>
        <w:ind w:left="3477" w:right="1339" w:hanging="360"/>
        <w:jc w:val="both"/>
        <w:rPr>
          <w:sz w:val="20"/>
        </w:rPr>
      </w:pPr>
      <w:r>
        <w:rPr>
          <w:sz w:val="20"/>
        </w:rPr>
        <mc:AlternateContent>
          <mc:Choice Requires="wps">
            <w:drawing>
              <wp:anchor distT="0" distB="0" distL="0" distR="0" allowOverlap="1" layoutInCell="1" locked="0" behindDoc="0" simplePos="0" relativeHeight="15748096">
                <wp:simplePos x="0" y="0"/>
                <wp:positionH relativeFrom="page">
                  <wp:posOffset>6966436</wp:posOffset>
                </wp:positionH>
                <wp:positionV relativeFrom="paragraph">
                  <wp:posOffset>142147</wp:posOffset>
                </wp:positionV>
                <wp:extent cx="263525" cy="327596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1.192696pt;width:20.75pt;height:257.95pt;mso-position-horizontal-relative:page;mso-position-vertical-relative:paragraph;z-index:15748096" type="#_x0000_t202" id="docshape8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21</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Deterioro: La Sociedad registra los correspondientes deterioros por la diferencia existente entre el importe a recuperar de las cuentas por cobrar y el valor en libros por el que se encuentran registradas.</w:t>
      </w:r>
    </w:p>
    <w:p>
      <w:pPr>
        <w:pStyle w:val="BodyText"/>
        <w:spacing w:before="117"/>
        <w:ind w:left="3477" w:right="1336" w:firstLine="55"/>
        <w:jc w:val="both"/>
      </w:pPr>
      <w:r>
        <w:rPr/>
        <w:t>Al menos al cierre del ejercicio, se efectúan las correcciones valorativas necesarias siempre que existe evidencia objetiva de que el valor de un activo financiero incluido en esta categoría, o de un grupo de activos financieros con similares características de riesgo valorados colectivamente, se ha deteriorado como resultado de uno o más eventos que hayan ocurrido</w:t>
      </w:r>
      <w:r>
        <w:rPr>
          <w:spacing w:val="-4"/>
        </w:rPr>
        <w:t> </w:t>
      </w:r>
      <w:r>
        <w:rPr/>
        <w:t>después de su</w:t>
      </w:r>
      <w:r>
        <w:rPr>
          <w:spacing w:val="-2"/>
        </w:rPr>
        <w:t> </w:t>
      </w:r>
      <w:r>
        <w:rPr/>
        <w:t>reconocimiento</w:t>
      </w:r>
      <w:r>
        <w:rPr>
          <w:spacing w:val="-4"/>
        </w:rPr>
        <w:t> </w:t>
      </w:r>
      <w:r>
        <w:rPr/>
        <w:t>inicial y</w:t>
      </w:r>
      <w:r>
        <w:rPr>
          <w:spacing w:val="-4"/>
        </w:rPr>
        <w:t> </w:t>
      </w:r>
      <w:r>
        <w:rPr/>
        <w:t>que ocasionen una reducción o retraso en los flujos de efectivo estimados futuros, que pueden venir motivados por la insolvencia del deudor.</w:t>
      </w:r>
    </w:p>
    <w:p>
      <w:pPr>
        <w:pStyle w:val="BodyText"/>
        <w:spacing w:before="1"/>
      </w:pPr>
    </w:p>
    <w:p>
      <w:pPr>
        <w:pStyle w:val="BodyText"/>
        <w:ind w:left="3477" w:right="1336"/>
        <w:jc w:val="both"/>
      </w:pPr>
      <w:r>
        <w:rPr/>
        <w:t>La pérdida por deterioro del valor de estos activos financieros es la diferencia entre su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w:t>
      </w:r>
    </w:p>
    <w:p>
      <w:pPr>
        <w:pStyle w:val="BodyText"/>
        <w:spacing w:before="1"/>
      </w:pPr>
    </w:p>
    <w:p>
      <w:pPr>
        <w:pStyle w:val="BodyText"/>
        <w:ind w:left="3477" w:right="1339"/>
        <w:jc w:val="both"/>
      </w:pPr>
      <w:r>
        <w:rPr/>
        <w:t>Las correcciones de valor por deterioro, así como su reversión cuando el importe de dicha pérdida disminuyese por causas relacionadas con un</w:t>
      </w:r>
      <w:r>
        <w:rPr>
          <w:spacing w:val="71"/>
        </w:rPr>
        <w:t> </w:t>
      </w:r>
      <w:r>
        <w:rPr/>
        <w:t>evento</w:t>
      </w:r>
      <w:r>
        <w:rPr>
          <w:spacing w:val="71"/>
        </w:rPr>
        <w:t> </w:t>
      </w:r>
      <w:r>
        <w:rPr/>
        <w:t>posterior,</w:t>
      </w:r>
      <w:r>
        <w:rPr>
          <w:spacing w:val="71"/>
        </w:rPr>
        <w:t> </w:t>
      </w:r>
      <w:r>
        <w:rPr/>
        <w:t>se</w:t>
      </w:r>
      <w:r>
        <w:rPr>
          <w:spacing w:val="74"/>
        </w:rPr>
        <w:t> </w:t>
      </w:r>
      <w:r>
        <w:rPr/>
        <w:t>reconocen</w:t>
      </w:r>
      <w:r>
        <w:rPr>
          <w:spacing w:val="71"/>
        </w:rPr>
        <w:t> </w:t>
      </w:r>
      <w:r>
        <w:rPr/>
        <w:t>como</w:t>
      </w:r>
      <w:r>
        <w:rPr>
          <w:spacing w:val="72"/>
        </w:rPr>
        <w:t> </w:t>
      </w:r>
      <w:r>
        <w:rPr/>
        <w:t>un</w:t>
      </w:r>
      <w:r>
        <w:rPr>
          <w:spacing w:val="72"/>
        </w:rPr>
        <w:t> </w:t>
      </w:r>
      <w:r>
        <w:rPr/>
        <w:t>gasto</w:t>
      </w:r>
      <w:r>
        <w:rPr>
          <w:spacing w:val="72"/>
        </w:rPr>
        <w:t> </w:t>
      </w:r>
      <w:r>
        <w:rPr/>
        <w:t>o</w:t>
      </w:r>
      <w:r>
        <w:rPr>
          <w:spacing w:val="70"/>
        </w:rPr>
        <w:t> </w:t>
      </w:r>
      <w:r>
        <w:rPr/>
        <w:t>un</w:t>
      </w:r>
      <w:r>
        <w:rPr>
          <w:spacing w:val="72"/>
        </w:rPr>
        <w:t> </w:t>
      </w:r>
      <w:r>
        <w:rPr>
          <w:spacing w:val="-2"/>
        </w:rPr>
        <w:t>ingreso,</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3477" w:right="1338"/>
        <w:jc w:val="both"/>
      </w:pPr>
      <w:r>
        <w:rPr/>
        <w:t>respectivamente, en la cuenta de pérdidas y ganancias. La reversión del deterioro tiene como límite el valor en libros del activo que estaría reconocido en la fecha de reversión si no se hubiese registrado el deterioro del valor.</w:t>
      </w:r>
    </w:p>
    <w:p>
      <w:pPr>
        <w:pStyle w:val="BodyText"/>
        <w:spacing w:before="1"/>
      </w:pPr>
    </w:p>
    <w:p>
      <w:pPr>
        <w:pStyle w:val="ListParagraph"/>
        <w:numPr>
          <w:ilvl w:val="3"/>
          <w:numId w:val="7"/>
        </w:numPr>
        <w:tabs>
          <w:tab w:pos="2760" w:val="left" w:leader="none"/>
        </w:tabs>
        <w:spacing w:line="237" w:lineRule="auto" w:before="0" w:after="0"/>
        <w:ind w:left="2760" w:right="1337" w:hanging="360"/>
        <w:jc w:val="both"/>
        <w:rPr>
          <w:sz w:val="20"/>
        </w:rPr>
      </w:pPr>
      <w:r>
        <w:rPr>
          <w:b/>
          <w:sz w:val="20"/>
        </w:rPr>
        <w:t>Activos financieros a valor razonable con cambios en la cuenta de pérdidas y ganancias. </w:t>
      </w:r>
      <w:r>
        <w:rPr>
          <w:sz w:val="20"/>
        </w:rPr>
        <w:t>Se incluyen en esta categoría todos los activos financieros, salvo que proceda su clasificación en alguna de las restantes categorías. Se incluyen obligatoriamente en esta categoría los activos financieros mantenidos para negociar.</w:t>
      </w:r>
    </w:p>
    <w:p>
      <w:pPr>
        <w:pStyle w:val="BodyText"/>
        <w:spacing w:before="119"/>
        <w:ind w:left="2760" w:right="1339"/>
        <w:jc w:val="both"/>
      </w:pPr>
      <w:r>
        <w:rPr/>
        <w:t>Los instrumentos de patrimonio que no se mantienen para negociar, ni se valoran al coste, la empresa puede realizar la elección irrevocable en el momento de su reconocimiento inicial de presentar los cambios posteriores en el valor razonable directamente en el patrimonio neto.</w:t>
      </w:r>
    </w:p>
    <w:p>
      <w:pPr>
        <w:pStyle w:val="BodyText"/>
        <w:spacing w:before="229"/>
        <w:ind w:left="2760" w:right="1336"/>
        <w:jc w:val="both"/>
      </w:pPr>
      <w:r>
        <w:rPr/>
        <w:t>En todo caso, la empresa puede, en el momento del reconocimiento inicial, designar un activo financiero de forma irrevocable como medido al valor razonable con cambios en la cuenta de pérdidas y ganancias si haciéndolo elimina o reduce significativamente una incoherencia de valoración o asimetría</w:t>
      </w:r>
    </w:p>
    <w:p>
      <w:pPr>
        <w:pStyle w:val="BodyText"/>
        <w:spacing w:before="1"/>
      </w:pPr>
    </w:p>
    <w:p>
      <w:pPr>
        <w:pStyle w:val="ListParagraph"/>
        <w:numPr>
          <w:ilvl w:val="4"/>
          <w:numId w:val="7"/>
        </w:numPr>
        <w:tabs>
          <w:tab w:pos="3477" w:val="left" w:leader="none"/>
        </w:tabs>
        <w:spacing w:line="240" w:lineRule="auto" w:before="0" w:after="0"/>
        <w:ind w:left="3477" w:right="1340" w:hanging="360"/>
        <w:jc w:val="both"/>
        <w:rPr>
          <w:sz w:val="20"/>
        </w:rPr>
      </w:pPr>
      <w:r>
        <w:rPr>
          <w:sz w:val="20"/>
        </w:rPr>
        <w:t>Valoración inicial: Se valoran por su valor razonable. Los costes de transacción que les sean directamente atribuibles se reconocen en la cuenta de pérdidas y ganancias del ejercicio.</w:t>
      </w:r>
    </w:p>
    <w:p>
      <w:pPr>
        <w:pStyle w:val="ListParagraph"/>
        <w:numPr>
          <w:ilvl w:val="4"/>
          <w:numId w:val="7"/>
        </w:numPr>
        <w:tabs>
          <w:tab w:pos="3477" w:val="left" w:leader="none"/>
        </w:tabs>
        <w:spacing w:line="240" w:lineRule="auto" w:before="118" w:after="0"/>
        <w:ind w:left="3477" w:right="1338" w:hanging="360"/>
        <w:jc w:val="both"/>
        <w:rPr>
          <w:sz w:val="20"/>
        </w:rPr>
      </w:pPr>
      <w:r>
        <w:rPr>
          <w:sz w:val="20"/>
        </w:rPr>
        <w:t>Valoración posterior: Valor razonable con cambios en la cuenta de pérdidas y ganancias.</w:t>
      </w:r>
    </w:p>
    <w:p>
      <w:pPr>
        <w:pStyle w:val="ListParagraph"/>
        <w:numPr>
          <w:ilvl w:val="4"/>
          <w:numId w:val="7"/>
        </w:numPr>
        <w:tabs>
          <w:tab w:pos="3477" w:val="left" w:leader="none"/>
        </w:tabs>
        <w:spacing w:line="237" w:lineRule="auto" w:before="122" w:after="0"/>
        <w:ind w:left="3477" w:right="1336" w:hanging="360"/>
        <w:jc w:val="both"/>
        <w:rPr>
          <w:sz w:val="20"/>
        </w:rPr>
      </w:pPr>
      <w:r>
        <w:rPr>
          <w:sz w:val="20"/>
        </w:rPr>
        <w:t>Deterioro: No se deterioran puesto que están en todo momento valorados por su valor razonable, imputándose las variaciones de valor al resultado del ejercicio.</w:t>
      </w:r>
    </w:p>
    <w:p>
      <w:pPr>
        <w:pStyle w:val="BodyText"/>
        <w:spacing w:before="124"/>
      </w:pPr>
    </w:p>
    <w:p>
      <w:pPr>
        <w:pStyle w:val="ListParagraph"/>
        <w:numPr>
          <w:ilvl w:val="3"/>
          <w:numId w:val="7"/>
        </w:numPr>
        <w:tabs>
          <w:tab w:pos="2760" w:val="left" w:leader="none"/>
        </w:tabs>
        <w:spacing w:line="237" w:lineRule="auto" w:before="1" w:after="0"/>
        <w:ind w:left="2760" w:right="1335" w:hanging="360"/>
        <w:jc w:val="both"/>
        <w:rPr>
          <w:sz w:val="20"/>
        </w:rPr>
      </w:pPr>
      <w:r>
        <w:rPr>
          <w:sz w:val="20"/>
        </w:rPr>
        <mc:AlternateContent>
          <mc:Choice Requires="wps">
            <w:drawing>
              <wp:anchor distT="0" distB="0" distL="0" distR="0" allowOverlap="1" layoutInCell="1" locked="0" behindDoc="0" simplePos="0" relativeHeight="15748608">
                <wp:simplePos x="0" y="0"/>
                <wp:positionH relativeFrom="page">
                  <wp:posOffset>6966436</wp:posOffset>
                </wp:positionH>
                <wp:positionV relativeFrom="paragraph">
                  <wp:posOffset>492275</wp:posOffset>
                </wp:positionV>
                <wp:extent cx="263525" cy="327596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38.761837pt;width:20.75pt;height:257.95pt;mso-position-horizontal-relative:page;mso-position-vertical-relative:paragraph;z-index:15748608" type="#_x0000_t202" id="docshape8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b/>
          <w:sz w:val="20"/>
        </w:rPr>
        <w:t>Activos</w:t>
      </w:r>
      <w:r>
        <w:rPr>
          <w:b/>
          <w:spacing w:val="-3"/>
          <w:sz w:val="20"/>
        </w:rPr>
        <w:t> </w:t>
      </w:r>
      <w:r>
        <w:rPr>
          <w:b/>
          <w:sz w:val="20"/>
        </w:rPr>
        <w:t>financieros</w:t>
      </w:r>
      <w:r>
        <w:rPr>
          <w:b/>
          <w:spacing w:val="-2"/>
          <w:sz w:val="20"/>
        </w:rPr>
        <w:t> </w:t>
      </w:r>
      <w:r>
        <w:rPr>
          <w:b/>
          <w:sz w:val="20"/>
        </w:rPr>
        <w:t>a</w:t>
      </w:r>
      <w:r>
        <w:rPr>
          <w:b/>
          <w:spacing w:val="-4"/>
          <w:sz w:val="20"/>
        </w:rPr>
        <w:t> </w:t>
      </w:r>
      <w:r>
        <w:rPr>
          <w:b/>
          <w:sz w:val="20"/>
        </w:rPr>
        <w:t>coste.</w:t>
      </w:r>
      <w:r>
        <w:rPr>
          <w:b/>
          <w:spacing w:val="-3"/>
          <w:sz w:val="20"/>
        </w:rPr>
        <w:t> </w:t>
      </w:r>
      <w:r>
        <w:rPr>
          <w:sz w:val="20"/>
        </w:rPr>
        <w:t>Dentro</w:t>
      </w:r>
      <w:r>
        <w:rPr>
          <w:spacing w:val="-4"/>
          <w:sz w:val="20"/>
        </w:rPr>
        <w:t> </w:t>
      </w:r>
      <w:r>
        <w:rPr>
          <w:sz w:val="20"/>
        </w:rPr>
        <w:t>de</w:t>
      </w:r>
      <w:r>
        <w:rPr>
          <w:spacing w:val="-2"/>
          <w:sz w:val="20"/>
        </w:rPr>
        <w:t> </w:t>
      </w:r>
      <w:r>
        <w:rPr>
          <w:sz w:val="20"/>
        </w:rPr>
        <w:t>esta</w:t>
      </w:r>
      <w:r>
        <w:rPr>
          <w:spacing w:val="-3"/>
          <w:sz w:val="20"/>
        </w:rPr>
        <w:t> </w:t>
      </w:r>
      <w:r>
        <w:rPr>
          <w:sz w:val="20"/>
        </w:rPr>
        <w:t>categoría</w:t>
      </w:r>
      <w:r>
        <w:rPr>
          <w:spacing w:val="-4"/>
          <w:sz w:val="20"/>
        </w:rPr>
        <w:t> </w:t>
      </w:r>
      <w:r>
        <w:rPr>
          <w:sz w:val="20"/>
        </w:rPr>
        <w:t>se</w:t>
      </w:r>
      <w:r>
        <w:rPr>
          <w:spacing w:val="-2"/>
          <w:sz w:val="20"/>
        </w:rPr>
        <w:t> </w:t>
      </w:r>
      <w:r>
        <w:rPr>
          <w:sz w:val="20"/>
        </w:rPr>
        <w:t>incluyen,</w:t>
      </w:r>
      <w:r>
        <w:rPr>
          <w:spacing w:val="-1"/>
          <w:sz w:val="20"/>
        </w:rPr>
        <w:t> </w:t>
      </w:r>
      <w:r>
        <w:rPr>
          <w:sz w:val="20"/>
        </w:rPr>
        <w:t>entre</w:t>
      </w:r>
      <w:r>
        <w:rPr>
          <w:spacing w:val="-1"/>
          <w:sz w:val="20"/>
        </w:rPr>
        <w:t> </w:t>
      </w:r>
      <w:r>
        <w:rPr>
          <w:sz w:val="20"/>
        </w:rPr>
        <w:t>otras, las inversiones en el patrimonio de empresas del grupo, multigrupo y</w:t>
      </w:r>
      <w:r>
        <w:rPr>
          <w:spacing w:val="40"/>
          <w:sz w:val="20"/>
        </w:rPr>
        <w:t> </w:t>
      </w:r>
      <w:r>
        <w:rPr>
          <w:sz w:val="20"/>
        </w:rPr>
        <w:t>asociadas, así como las restantes inversiones en instrumentos de patrimonio cuyo valor razonable no puede determinarse por referencia a un precio</w:t>
      </w:r>
      <w:r>
        <w:rPr>
          <w:spacing w:val="80"/>
          <w:sz w:val="20"/>
        </w:rPr>
        <w:t> </w:t>
      </w:r>
      <w:r>
        <w:rPr>
          <w:sz w:val="20"/>
        </w:rPr>
        <w:t>cotizado en un mercado activo para un instrumento idéntico, o no puede obtenerse una estimación fiable del mismo.</w:t>
      </w:r>
    </w:p>
    <w:p>
      <w:pPr>
        <w:pStyle w:val="BodyText"/>
        <w:spacing w:before="120"/>
        <w:ind w:left="2760" w:right="1339"/>
        <w:jc w:val="both"/>
      </w:pPr>
      <w:r>
        <w:rPr/>
        <w:t>Se incluirán también en esta categoría los préstamos participativos cuyos intereses tengan carácter contingente y cualquier otro activo financiero que inicialmente procediese clasificar en la cartera de valor razonable con cambios en la cuenta de pérdidas y ganancias cuando no sea posible obtener una estimación fiable de su valor razonable.</w:t>
      </w:r>
    </w:p>
    <w:p>
      <w:pPr>
        <w:pStyle w:val="BodyText"/>
        <w:spacing w:before="3"/>
      </w:pPr>
    </w:p>
    <w:p>
      <w:pPr>
        <w:pStyle w:val="ListParagraph"/>
        <w:numPr>
          <w:ilvl w:val="4"/>
          <w:numId w:val="7"/>
        </w:numPr>
        <w:tabs>
          <w:tab w:pos="3477" w:val="left" w:leader="none"/>
        </w:tabs>
        <w:spacing w:line="237" w:lineRule="auto" w:before="0" w:after="0"/>
        <w:ind w:left="3477" w:right="1341" w:hanging="360"/>
        <w:jc w:val="both"/>
        <w:rPr>
          <w:sz w:val="20"/>
        </w:rPr>
      </w:pPr>
      <w:r>
        <w:rPr>
          <w:sz w:val="20"/>
        </w:rPr>
        <w:t>Valoración inicial: Se valoran al coste, que equivale al valor razonable de</w:t>
      </w:r>
      <w:r>
        <w:rPr>
          <w:spacing w:val="-3"/>
          <w:sz w:val="20"/>
        </w:rPr>
        <w:t> </w:t>
      </w:r>
      <w:r>
        <w:rPr>
          <w:sz w:val="20"/>
        </w:rPr>
        <w:t>la</w:t>
      </w:r>
      <w:r>
        <w:rPr>
          <w:spacing w:val="-5"/>
          <w:sz w:val="20"/>
        </w:rPr>
        <w:t> </w:t>
      </w:r>
      <w:r>
        <w:rPr>
          <w:sz w:val="20"/>
        </w:rPr>
        <w:t>contraprestación</w:t>
      </w:r>
      <w:r>
        <w:rPr>
          <w:spacing w:val="-3"/>
          <w:sz w:val="20"/>
        </w:rPr>
        <w:t> </w:t>
      </w:r>
      <w:r>
        <w:rPr>
          <w:sz w:val="20"/>
        </w:rPr>
        <w:t>entregada</w:t>
      </w:r>
      <w:r>
        <w:rPr>
          <w:spacing w:val="-5"/>
          <w:sz w:val="20"/>
        </w:rPr>
        <w:t> </w:t>
      </w:r>
      <w:r>
        <w:rPr>
          <w:sz w:val="20"/>
        </w:rPr>
        <w:t>más</w:t>
      </w:r>
      <w:r>
        <w:rPr>
          <w:spacing w:val="-3"/>
          <w:sz w:val="20"/>
        </w:rPr>
        <w:t> </w:t>
      </w:r>
      <w:r>
        <w:rPr>
          <w:sz w:val="20"/>
        </w:rPr>
        <w:t>los</w:t>
      </w:r>
      <w:r>
        <w:rPr>
          <w:spacing w:val="-1"/>
          <w:sz w:val="20"/>
        </w:rPr>
        <w:t> </w:t>
      </w:r>
      <w:r>
        <w:rPr>
          <w:sz w:val="20"/>
        </w:rPr>
        <w:t>costes</w:t>
      </w:r>
      <w:r>
        <w:rPr>
          <w:spacing w:val="-1"/>
          <w:sz w:val="20"/>
        </w:rPr>
        <w:t> </w:t>
      </w:r>
      <w:r>
        <w:rPr>
          <w:sz w:val="20"/>
        </w:rPr>
        <w:t>de</w:t>
      </w:r>
      <w:r>
        <w:rPr>
          <w:spacing w:val="-5"/>
          <w:sz w:val="20"/>
        </w:rPr>
        <w:t> </w:t>
      </w:r>
      <w:r>
        <w:rPr>
          <w:sz w:val="20"/>
        </w:rPr>
        <w:t>transacción</w:t>
      </w:r>
      <w:r>
        <w:rPr>
          <w:spacing w:val="-5"/>
          <w:sz w:val="20"/>
        </w:rPr>
        <w:t> </w:t>
      </w:r>
      <w:r>
        <w:rPr>
          <w:sz w:val="20"/>
        </w:rPr>
        <w:t>que</w:t>
      </w:r>
      <w:r>
        <w:rPr>
          <w:spacing w:val="-3"/>
          <w:sz w:val="20"/>
        </w:rPr>
        <w:t> </w:t>
      </w:r>
      <w:r>
        <w:rPr>
          <w:sz w:val="20"/>
        </w:rPr>
        <w:t>les sean directamente atribuibles.</w:t>
      </w:r>
    </w:p>
    <w:p>
      <w:pPr>
        <w:pStyle w:val="ListParagraph"/>
        <w:numPr>
          <w:ilvl w:val="4"/>
          <w:numId w:val="7"/>
        </w:numPr>
        <w:tabs>
          <w:tab w:pos="3477" w:val="left" w:leader="none"/>
        </w:tabs>
        <w:spacing w:line="237" w:lineRule="auto" w:before="126" w:after="0"/>
        <w:ind w:left="3477" w:right="1337" w:hanging="360"/>
        <w:jc w:val="both"/>
        <w:rPr>
          <w:sz w:val="20"/>
        </w:rPr>
      </w:pPr>
      <w:r>
        <w:rPr>
          <w:sz w:val="20"/>
        </w:rPr>
        <w:t>Valoración posterior: Los instrumentos de patrimonio incluidos en esta categoría se valoran por su coste, menos, en su caso, el importe acumulado de las correcciones valorativas por deterioro.</w:t>
      </w:r>
    </w:p>
    <w:p>
      <w:pPr>
        <w:pStyle w:val="ListParagraph"/>
        <w:numPr>
          <w:ilvl w:val="4"/>
          <w:numId w:val="7"/>
        </w:numPr>
        <w:tabs>
          <w:tab w:pos="3477" w:val="left" w:leader="none"/>
        </w:tabs>
        <w:spacing w:line="240" w:lineRule="auto" w:before="123" w:after="0"/>
        <w:ind w:left="3477" w:right="1338" w:hanging="360"/>
        <w:jc w:val="both"/>
        <w:rPr>
          <w:sz w:val="20"/>
        </w:rPr>
      </w:pPr>
      <w:r>
        <w:rPr>
          <w:sz w:val="20"/>
        </w:rPr>
        <w:t>Deterioro: Al menos al cierre del ejercicio, se efectúan las correcciones valorativas necesarias siempre que existe evidencia objetiva de que el valor en libros de una inversión no es recuperable. La Sociedad</w:t>
      </w:r>
      <w:r>
        <w:rPr>
          <w:spacing w:val="80"/>
          <w:sz w:val="20"/>
        </w:rPr>
        <w:t> </w:t>
      </w:r>
      <w:r>
        <w:rPr>
          <w:sz w:val="20"/>
        </w:rPr>
        <w:t>registra</w:t>
      </w:r>
      <w:r>
        <w:rPr>
          <w:spacing w:val="-5"/>
          <w:sz w:val="20"/>
        </w:rPr>
        <w:t> </w:t>
      </w:r>
      <w:r>
        <w:rPr>
          <w:sz w:val="20"/>
        </w:rPr>
        <w:t>los</w:t>
      </w:r>
      <w:r>
        <w:rPr>
          <w:spacing w:val="-4"/>
          <w:sz w:val="20"/>
        </w:rPr>
        <w:t> </w:t>
      </w:r>
      <w:r>
        <w:rPr>
          <w:sz w:val="20"/>
        </w:rPr>
        <w:t>correspondientes</w:t>
      </w:r>
      <w:r>
        <w:rPr>
          <w:spacing w:val="-1"/>
          <w:sz w:val="20"/>
        </w:rPr>
        <w:t> </w:t>
      </w:r>
      <w:r>
        <w:rPr>
          <w:sz w:val="20"/>
        </w:rPr>
        <w:t>deterioros</w:t>
      </w:r>
      <w:r>
        <w:rPr>
          <w:spacing w:val="-4"/>
          <w:sz w:val="20"/>
        </w:rPr>
        <w:t> </w:t>
      </w:r>
      <w:r>
        <w:rPr>
          <w:sz w:val="20"/>
        </w:rPr>
        <w:t>por</w:t>
      </w:r>
      <w:r>
        <w:rPr>
          <w:spacing w:val="-2"/>
          <w:sz w:val="20"/>
        </w:rPr>
        <w:t> </w:t>
      </w:r>
      <w:r>
        <w:rPr>
          <w:sz w:val="20"/>
        </w:rPr>
        <w:t>la</w:t>
      </w:r>
      <w:r>
        <w:rPr>
          <w:spacing w:val="-5"/>
          <w:sz w:val="20"/>
        </w:rPr>
        <w:t> </w:t>
      </w:r>
      <w:r>
        <w:rPr>
          <w:sz w:val="20"/>
        </w:rPr>
        <w:t>diferencia</w:t>
      </w:r>
      <w:r>
        <w:rPr>
          <w:spacing w:val="-5"/>
          <w:sz w:val="20"/>
        </w:rPr>
        <w:t> </w:t>
      </w:r>
      <w:r>
        <w:rPr>
          <w:sz w:val="20"/>
        </w:rPr>
        <w:t>existente</w:t>
      </w:r>
      <w:r>
        <w:rPr>
          <w:spacing w:val="-5"/>
          <w:sz w:val="20"/>
        </w:rPr>
        <w:t> </w:t>
      </w:r>
      <w:r>
        <w:rPr>
          <w:sz w:val="20"/>
        </w:rPr>
        <w:t>entre el</w:t>
      </w:r>
      <w:r>
        <w:rPr>
          <w:spacing w:val="40"/>
          <w:sz w:val="20"/>
        </w:rPr>
        <w:t> </w:t>
      </w:r>
      <w:r>
        <w:rPr>
          <w:sz w:val="20"/>
        </w:rPr>
        <w:t>valor</w:t>
      </w:r>
      <w:r>
        <w:rPr>
          <w:spacing w:val="40"/>
          <w:sz w:val="20"/>
        </w:rPr>
        <w:t> </w:t>
      </w:r>
      <w:r>
        <w:rPr>
          <w:sz w:val="20"/>
        </w:rPr>
        <w:t>en</w:t>
      </w:r>
      <w:r>
        <w:rPr>
          <w:spacing w:val="40"/>
          <w:sz w:val="20"/>
        </w:rPr>
        <w:t> </w:t>
      </w:r>
      <w:r>
        <w:rPr>
          <w:sz w:val="20"/>
        </w:rPr>
        <w:t>libros</w:t>
      </w:r>
      <w:r>
        <w:rPr>
          <w:spacing w:val="40"/>
          <w:sz w:val="20"/>
        </w:rPr>
        <w:t> </w:t>
      </w:r>
      <w:r>
        <w:rPr>
          <w:sz w:val="20"/>
        </w:rPr>
        <w:t>y</w:t>
      </w:r>
      <w:r>
        <w:rPr>
          <w:spacing w:val="40"/>
          <w:sz w:val="20"/>
        </w:rPr>
        <w:t> </w:t>
      </w:r>
      <w:r>
        <w:rPr>
          <w:sz w:val="20"/>
        </w:rPr>
        <w:t>el</w:t>
      </w:r>
      <w:r>
        <w:rPr>
          <w:spacing w:val="40"/>
          <w:sz w:val="20"/>
        </w:rPr>
        <w:t> </w:t>
      </w:r>
      <w:r>
        <w:rPr>
          <w:sz w:val="20"/>
        </w:rPr>
        <w:t>importe</w:t>
      </w:r>
      <w:r>
        <w:rPr>
          <w:spacing w:val="40"/>
          <w:sz w:val="20"/>
        </w:rPr>
        <w:t> </w:t>
      </w:r>
      <w:r>
        <w:rPr>
          <w:sz w:val="20"/>
        </w:rPr>
        <w:t>recuperable,</w:t>
      </w:r>
      <w:r>
        <w:rPr>
          <w:spacing w:val="40"/>
          <w:sz w:val="20"/>
        </w:rPr>
        <w:t> </w:t>
      </w:r>
      <w:r>
        <w:rPr>
          <w:sz w:val="20"/>
        </w:rPr>
        <w:t>entendido</w:t>
      </w:r>
      <w:r>
        <w:rPr>
          <w:spacing w:val="40"/>
          <w:sz w:val="20"/>
        </w:rPr>
        <w:t> </w:t>
      </w:r>
      <w:r>
        <w:rPr>
          <w:sz w:val="20"/>
        </w:rPr>
        <w:t>éste</w:t>
      </w:r>
      <w:r>
        <w:rPr>
          <w:spacing w:val="40"/>
          <w:sz w:val="20"/>
        </w:rPr>
        <w:t> </w:t>
      </w:r>
      <w:r>
        <w:rPr>
          <w:sz w:val="20"/>
        </w:rPr>
        <w:t>como</w:t>
      </w:r>
      <w:r>
        <w:rPr>
          <w:spacing w:val="40"/>
          <w:sz w:val="20"/>
        </w:rPr>
        <w:t> </w:t>
      </w:r>
      <w:r>
        <w:rPr>
          <w:sz w:val="20"/>
        </w:rPr>
        <w:t>el</w:t>
      </w:r>
    </w:p>
    <w:p>
      <w:pPr>
        <w:pStyle w:val="ListParagraph"/>
        <w:spacing w:after="0" w:line="240" w:lineRule="auto"/>
        <w:jc w:val="both"/>
        <w:rPr>
          <w:sz w:val="20"/>
        </w:rPr>
        <w:sectPr>
          <w:pgSz w:w="11910" w:h="16840"/>
          <w:pgMar w:header="286" w:footer="1060" w:top="1920" w:bottom="1260" w:left="360" w:right="360"/>
        </w:sectPr>
      </w:pPr>
    </w:p>
    <w:p>
      <w:pPr>
        <w:pStyle w:val="BodyText"/>
        <w:spacing w:before="201"/>
      </w:pPr>
    </w:p>
    <w:p>
      <w:pPr>
        <w:pStyle w:val="BodyText"/>
        <w:ind w:left="3477" w:right="1334"/>
        <w:jc w:val="both"/>
      </w:pPr>
      <w:r>
        <w:rPr/>
        <w:t>mayor importe entre su valor razonable menos los costes de venta y el valor actual de los flujos de efectivo futuros derivados de la inversión, que para el caso de instrumentos de patrimonio se calculan, bien mediante la estimación de los que se espera recibir como</w:t>
      </w:r>
      <w:r>
        <w:rPr>
          <w:spacing w:val="40"/>
        </w:rPr>
        <w:t> </w:t>
      </w:r>
      <w:r>
        <w:rPr/>
        <w:t>consecuencia del reparto de dividendos realizado por la empresa participada y de la enajenación o baja en cuentas de la inversión en la misma, bien mediante la estimación de su participación en los flujos de efectivo que se espera sean generados por la empresa participada, procedentes tanto de sus actividades ordinarias como de su enajenación o baja en cuentas.</w:t>
      </w:r>
    </w:p>
    <w:p>
      <w:pPr>
        <w:pStyle w:val="BodyText"/>
        <w:spacing w:before="120"/>
        <w:ind w:left="3477" w:right="1338"/>
        <w:jc w:val="both"/>
      </w:pPr>
      <w:r>
        <w:rPr/>
        <w:t>Salvo mejor evidencia del importe recuperable de las inversiones en instrumentos de patrimonio, la estimación de la pérdida por deterioro</w:t>
      </w:r>
      <w:r>
        <w:rPr>
          <w:spacing w:val="80"/>
        </w:rPr>
        <w:t> </w:t>
      </w:r>
      <w:r>
        <w:rPr/>
        <w:t>de esta clase de activos se calcula en</w:t>
      </w:r>
      <w:r>
        <w:rPr>
          <w:spacing w:val="-1"/>
        </w:rPr>
        <w:t> </w:t>
      </w:r>
      <w:r>
        <w:rPr/>
        <w:t>función</w:t>
      </w:r>
      <w:r>
        <w:rPr>
          <w:spacing w:val="-1"/>
        </w:rPr>
        <w:t> </w:t>
      </w:r>
      <w:r>
        <w:rPr/>
        <w:t>del patrimonio</w:t>
      </w:r>
      <w:r>
        <w:rPr>
          <w:spacing w:val="-1"/>
        </w:rPr>
        <w:t> </w:t>
      </w:r>
      <w:r>
        <w:rPr/>
        <w:t>neto de la entidad participada y de las plusvalías tácitas existentes en la fecha de la valoración, netas del efecto impositivo. En la determinación de ese valor, y siempre que la empresa participada haya invertido a su vez en otra, se tiene en cuenta el patrimonio neto incluido en las cuentas anuales consolidadas elaboradas aplicando los criterios del Código de Comercio y sus normas de desarrollo.</w:t>
      </w:r>
    </w:p>
    <w:p>
      <w:pPr>
        <w:pStyle w:val="BodyText"/>
        <w:spacing w:before="229"/>
        <w:ind w:left="3477" w:right="1338"/>
        <w:jc w:val="both"/>
      </w:pPr>
      <w:r>
        <w:rPr/>
        <w:t>El</w:t>
      </w:r>
      <w:r>
        <w:rPr>
          <w:spacing w:val="-1"/>
        </w:rPr>
        <w:t> </w:t>
      </w:r>
      <w:r>
        <w:rPr/>
        <w:t>reconocimiento</w:t>
      </w:r>
      <w:r>
        <w:rPr>
          <w:spacing w:val="-1"/>
        </w:rPr>
        <w:t> </w:t>
      </w:r>
      <w:r>
        <w:rPr/>
        <w:t>de</w:t>
      </w:r>
      <w:r>
        <w:rPr>
          <w:spacing w:val="-1"/>
        </w:rPr>
        <w:t> </w:t>
      </w:r>
      <w:r>
        <w:rPr/>
        <w:t>las correcciones valorativas por deterioro</w:t>
      </w:r>
      <w:r>
        <w:rPr>
          <w:spacing w:val="-1"/>
        </w:rPr>
        <w:t> </w:t>
      </w:r>
      <w:r>
        <w:rPr/>
        <w:t>de</w:t>
      </w:r>
      <w:r>
        <w:rPr>
          <w:spacing w:val="-3"/>
        </w:rPr>
        <w:t> </w:t>
      </w:r>
      <w:r>
        <w:rPr/>
        <w:t>valor y, en su caso, su reversión, se registran como un gasto o un ingreso, respectivamente, en la cuenta de pérdidas y ganancias. La reversión del deterioro tendrá como límite el valor en libros de la inversión que estaría reconocida en la fecha de reversión si no se hubiese registrado el deterioro del valor.</w:t>
      </w:r>
    </w:p>
    <w:p>
      <w:pPr>
        <w:pStyle w:val="ListParagraph"/>
        <w:numPr>
          <w:ilvl w:val="0"/>
          <w:numId w:val="10"/>
        </w:numPr>
        <w:tabs>
          <w:tab w:pos="3117" w:val="left" w:leader="none"/>
        </w:tabs>
        <w:spacing w:line="240" w:lineRule="auto" w:before="228" w:after="0"/>
        <w:ind w:left="3117" w:right="1338" w:hanging="360"/>
        <w:jc w:val="both"/>
        <w:rPr>
          <w:sz w:val="20"/>
        </w:rPr>
      </w:pPr>
      <w:r>
        <w:rPr>
          <w:sz w:val="20"/>
        </w:rPr>
        <mc:AlternateContent>
          <mc:Choice Requires="wps">
            <w:drawing>
              <wp:anchor distT="0" distB="0" distL="0" distR="0" allowOverlap="1" layoutInCell="1" locked="0" behindDoc="0" simplePos="0" relativeHeight="15749120">
                <wp:simplePos x="0" y="0"/>
                <wp:positionH relativeFrom="page">
                  <wp:posOffset>6966436</wp:posOffset>
                </wp:positionH>
                <wp:positionV relativeFrom="paragraph">
                  <wp:posOffset>1187935</wp:posOffset>
                </wp:positionV>
                <wp:extent cx="263525" cy="327596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93.538254pt;width:20.75pt;height:257.95pt;mso-position-horizontal-relative:page;mso-position-vertical-relative:paragraph;z-index:15749120" type="#_x0000_t202" id="docshape9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b/>
          <w:sz w:val="20"/>
        </w:rPr>
        <w:t>Activos financieros a valor razonable con cambios en el patrimonio neto. </w:t>
      </w:r>
      <w:r>
        <w:rPr>
          <w:sz w:val="20"/>
        </w:rPr>
        <w:t>Un activo financiero se incluye en esta categoría cuando las condiciones contractuales del activo financiero dan lugar, en fechas especificadas, a flujos de efectivo que son únicamente cobros de principal</w:t>
      </w:r>
      <w:r>
        <w:rPr>
          <w:spacing w:val="40"/>
          <w:sz w:val="20"/>
        </w:rPr>
        <w:t> </w:t>
      </w:r>
      <w:r>
        <w:rPr>
          <w:sz w:val="20"/>
        </w:rPr>
        <w:t>e intereses sobre el importe del principal pendiente, y no se mantiene para negociar ni proceda clasificarlo en la categoría de activos financieros a coste</w:t>
      </w:r>
      <w:r>
        <w:rPr>
          <w:spacing w:val="-5"/>
          <w:sz w:val="20"/>
        </w:rPr>
        <w:t> </w:t>
      </w:r>
      <w:r>
        <w:rPr>
          <w:sz w:val="20"/>
        </w:rPr>
        <w:t>amortizado.</w:t>
      </w:r>
      <w:r>
        <w:rPr>
          <w:spacing w:val="-5"/>
          <w:sz w:val="20"/>
        </w:rPr>
        <w:t> </w:t>
      </w:r>
      <w:r>
        <w:rPr>
          <w:sz w:val="20"/>
        </w:rPr>
        <w:t>También</w:t>
      </w:r>
      <w:r>
        <w:rPr>
          <w:spacing w:val="-5"/>
          <w:sz w:val="20"/>
        </w:rPr>
        <w:t> </w:t>
      </w:r>
      <w:r>
        <w:rPr>
          <w:sz w:val="20"/>
        </w:rPr>
        <w:t>se</w:t>
      </w:r>
      <w:r>
        <w:rPr>
          <w:spacing w:val="-6"/>
          <w:sz w:val="20"/>
        </w:rPr>
        <w:t> </w:t>
      </w:r>
      <w:r>
        <w:rPr>
          <w:sz w:val="20"/>
        </w:rPr>
        <w:t>incluyen</w:t>
      </w:r>
      <w:r>
        <w:rPr>
          <w:spacing w:val="-4"/>
          <w:sz w:val="20"/>
        </w:rPr>
        <w:t> </w:t>
      </w:r>
      <w:r>
        <w:rPr>
          <w:sz w:val="20"/>
        </w:rPr>
        <w:t>en</w:t>
      </w:r>
      <w:r>
        <w:rPr>
          <w:spacing w:val="-2"/>
          <w:sz w:val="20"/>
        </w:rPr>
        <w:t> </w:t>
      </w:r>
      <w:r>
        <w:rPr>
          <w:sz w:val="20"/>
        </w:rPr>
        <w:t>esta</w:t>
      </w:r>
      <w:r>
        <w:rPr>
          <w:spacing w:val="-6"/>
          <w:sz w:val="20"/>
        </w:rPr>
        <w:t> </w:t>
      </w:r>
      <w:r>
        <w:rPr>
          <w:sz w:val="20"/>
        </w:rPr>
        <w:t>categoría</w:t>
      </w:r>
      <w:r>
        <w:rPr>
          <w:spacing w:val="-6"/>
          <w:sz w:val="20"/>
        </w:rPr>
        <w:t> </w:t>
      </w:r>
      <w:r>
        <w:rPr>
          <w:sz w:val="20"/>
        </w:rPr>
        <w:t>las inversiones en instrumentos</w:t>
      </w:r>
      <w:r>
        <w:rPr>
          <w:spacing w:val="-1"/>
          <w:sz w:val="20"/>
        </w:rPr>
        <w:t> </w:t>
      </w:r>
      <w:r>
        <w:rPr>
          <w:sz w:val="20"/>
        </w:rPr>
        <w:t>de</w:t>
      </w:r>
      <w:r>
        <w:rPr>
          <w:spacing w:val="-3"/>
          <w:sz w:val="20"/>
        </w:rPr>
        <w:t> </w:t>
      </w:r>
      <w:r>
        <w:rPr>
          <w:sz w:val="20"/>
        </w:rPr>
        <w:t>patrimonio</w:t>
      </w:r>
      <w:r>
        <w:rPr>
          <w:spacing w:val="-1"/>
          <w:sz w:val="20"/>
        </w:rPr>
        <w:t> </w:t>
      </w:r>
      <w:r>
        <w:rPr>
          <w:sz w:val="20"/>
        </w:rPr>
        <w:t>para</w:t>
      </w:r>
      <w:r>
        <w:rPr>
          <w:spacing w:val="-3"/>
          <w:sz w:val="20"/>
        </w:rPr>
        <w:t> </w:t>
      </w:r>
      <w:r>
        <w:rPr>
          <w:sz w:val="20"/>
        </w:rPr>
        <w:t>las</w:t>
      </w:r>
      <w:r>
        <w:rPr>
          <w:spacing w:val="-3"/>
          <w:sz w:val="20"/>
        </w:rPr>
        <w:t> </w:t>
      </w:r>
      <w:r>
        <w:rPr>
          <w:sz w:val="20"/>
        </w:rPr>
        <w:t>que,</w:t>
      </w:r>
      <w:r>
        <w:rPr>
          <w:spacing w:val="-3"/>
          <w:sz w:val="20"/>
        </w:rPr>
        <w:t> </w:t>
      </w:r>
      <w:r>
        <w:rPr>
          <w:sz w:val="20"/>
        </w:rPr>
        <w:t>debiéndose</w:t>
      </w:r>
      <w:r>
        <w:rPr>
          <w:spacing w:val="-1"/>
          <w:sz w:val="20"/>
        </w:rPr>
        <w:t> </w:t>
      </w:r>
      <w:r>
        <w:rPr>
          <w:sz w:val="20"/>
        </w:rPr>
        <w:t>haberse</w:t>
      </w:r>
      <w:r>
        <w:rPr>
          <w:spacing w:val="-3"/>
          <w:sz w:val="20"/>
        </w:rPr>
        <w:t> </w:t>
      </w:r>
      <w:r>
        <w:rPr>
          <w:sz w:val="20"/>
        </w:rPr>
        <w:t>incluido</w:t>
      </w:r>
      <w:r>
        <w:rPr>
          <w:spacing w:val="-5"/>
          <w:sz w:val="20"/>
        </w:rPr>
        <w:t> </w:t>
      </w:r>
      <w:r>
        <w:rPr>
          <w:sz w:val="20"/>
        </w:rPr>
        <w:t>en</w:t>
      </w:r>
      <w:r>
        <w:rPr>
          <w:spacing w:val="-3"/>
          <w:sz w:val="20"/>
        </w:rPr>
        <w:t> </w:t>
      </w:r>
      <w:r>
        <w:rPr>
          <w:sz w:val="20"/>
        </w:rPr>
        <w:t>la categoría de activos financieros a</w:t>
      </w:r>
      <w:r>
        <w:rPr>
          <w:spacing w:val="-1"/>
          <w:sz w:val="20"/>
        </w:rPr>
        <w:t> </w:t>
      </w:r>
      <w:r>
        <w:rPr>
          <w:sz w:val="20"/>
        </w:rPr>
        <w:t>valor razonable</w:t>
      </w:r>
      <w:r>
        <w:rPr>
          <w:spacing w:val="-1"/>
          <w:sz w:val="20"/>
        </w:rPr>
        <w:t> </w:t>
      </w:r>
      <w:r>
        <w:rPr>
          <w:sz w:val="20"/>
        </w:rPr>
        <w:t>con cambios en pérdidas y ganancias, se ha ejercitado la opción irrevocable de clasificarlas en esta </w:t>
      </w:r>
      <w:r>
        <w:rPr>
          <w:spacing w:val="-2"/>
          <w:sz w:val="20"/>
        </w:rPr>
        <w:t>categoría.</w:t>
      </w:r>
    </w:p>
    <w:p>
      <w:pPr>
        <w:pStyle w:val="ListParagraph"/>
        <w:numPr>
          <w:ilvl w:val="1"/>
          <w:numId w:val="10"/>
        </w:numPr>
        <w:tabs>
          <w:tab w:pos="3477" w:val="left" w:leader="none"/>
        </w:tabs>
        <w:spacing w:line="240" w:lineRule="auto" w:before="123" w:after="0"/>
        <w:ind w:left="3477" w:right="1337" w:hanging="360"/>
        <w:jc w:val="both"/>
        <w:rPr>
          <w:sz w:val="20"/>
        </w:rPr>
      </w:pPr>
      <w:r>
        <w:rPr>
          <w:sz w:val="20"/>
        </w:rPr>
        <w:t>Valoración inicial: Valor razonable, que, salvo evidencia en contrario,</w:t>
      </w:r>
      <w:r>
        <w:rPr>
          <w:spacing w:val="80"/>
          <w:sz w:val="20"/>
        </w:rPr>
        <w:t> </w:t>
      </w:r>
      <w:r>
        <w:rPr>
          <w:sz w:val="20"/>
        </w:rPr>
        <w:t>es el precio de la transacción, que equivale al valor razonable de la contraprestación entregada, más los costes de transacción que les son directamente atribuibles</w:t>
      </w:r>
    </w:p>
    <w:p>
      <w:pPr>
        <w:pStyle w:val="ListParagraph"/>
        <w:numPr>
          <w:ilvl w:val="1"/>
          <w:numId w:val="10"/>
        </w:numPr>
        <w:tabs>
          <w:tab w:pos="3477" w:val="left" w:leader="none"/>
        </w:tabs>
        <w:spacing w:line="240" w:lineRule="auto" w:before="119" w:after="0"/>
        <w:ind w:left="3477" w:right="1337" w:hanging="360"/>
        <w:jc w:val="both"/>
        <w:rPr>
          <w:sz w:val="20"/>
        </w:rPr>
      </w:pPr>
      <w:r>
        <w:rPr>
          <w:sz w:val="20"/>
        </w:rPr>
        <w:t>Valoración posterior: Valor razonable, sin deducir los costes de transacción en que se pueda incurrir en su enajenación. Los cambios que se producen en el valor razonable se registran directamente en el patrimonio</w:t>
      </w:r>
      <w:r>
        <w:rPr>
          <w:spacing w:val="-3"/>
          <w:sz w:val="20"/>
        </w:rPr>
        <w:t> </w:t>
      </w:r>
      <w:r>
        <w:rPr>
          <w:sz w:val="20"/>
        </w:rPr>
        <w:t>neto, hasta</w:t>
      </w:r>
      <w:r>
        <w:rPr>
          <w:spacing w:val="-1"/>
          <w:sz w:val="20"/>
        </w:rPr>
        <w:t> </w:t>
      </w:r>
      <w:r>
        <w:rPr>
          <w:sz w:val="20"/>
        </w:rPr>
        <w:t>que el</w:t>
      </w:r>
      <w:r>
        <w:rPr>
          <w:spacing w:val="-4"/>
          <w:sz w:val="20"/>
        </w:rPr>
        <w:t> </w:t>
      </w:r>
      <w:r>
        <w:rPr>
          <w:sz w:val="20"/>
        </w:rPr>
        <w:t>activo</w:t>
      </w:r>
      <w:r>
        <w:rPr>
          <w:spacing w:val="-1"/>
          <w:sz w:val="20"/>
        </w:rPr>
        <w:t> </w:t>
      </w:r>
      <w:r>
        <w:rPr>
          <w:sz w:val="20"/>
        </w:rPr>
        <w:t>financiero</w:t>
      </w:r>
      <w:r>
        <w:rPr>
          <w:spacing w:val="-3"/>
          <w:sz w:val="20"/>
        </w:rPr>
        <w:t> </w:t>
      </w:r>
      <w:r>
        <w:rPr>
          <w:sz w:val="20"/>
        </w:rPr>
        <w:t>causa</w:t>
      </w:r>
      <w:r>
        <w:rPr>
          <w:spacing w:val="-3"/>
          <w:sz w:val="20"/>
        </w:rPr>
        <w:t> </w:t>
      </w:r>
      <w:r>
        <w:rPr>
          <w:sz w:val="20"/>
        </w:rPr>
        <w:t>baja</w:t>
      </w:r>
      <w:r>
        <w:rPr>
          <w:spacing w:val="-3"/>
          <w:sz w:val="20"/>
        </w:rPr>
        <w:t> </w:t>
      </w:r>
      <w:r>
        <w:rPr>
          <w:sz w:val="20"/>
        </w:rPr>
        <w:t>del balance</w:t>
      </w:r>
      <w:r>
        <w:rPr>
          <w:spacing w:val="-3"/>
          <w:sz w:val="20"/>
        </w:rPr>
        <w:t> </w:t>
      </w:r>
      <w:r>
        <w:rPr>
          <w:sz w:val="20"/>
        </w:rPr>
        <w:t>o se</w:t>
      </w:r>
      <w:r>
        <w:rPr>
          <w:spacing w:val="-1"/>
          <w:sz w:val="20"/>
        </w:rPr>
        <w:t> </w:t>
      </w:r>
      <w:r>
        <w:rPr>
          <w:sz w:val="20"/>
        </w:rPr>
        <w:t>deteriora, momento</w:t>
      </w:r>
      <w:r>
        <w:rPr>
          <w:spacing w:val="-1"/>
          <w:sz w:val="20"/>
        </w:rPr>
        <w:t> </w:t>
      </w:r>
      <w:r>
        <w:rPr>
          <w:sz w:val="20"/>
        </w:rPr>
        <w:t>en que el importe así reconocido, se</w:t>
      </w:r>
      <w:r>
        <w:rPr>
          <w:spacing w:val="-1"/>
          <w:sz w:val="20"/>
        </w:rPr>
        <w:t> </w:t>
      </w:r>
      <w:r>
        <w:rPr>
          <w:sz w:val="20"/>
        </w:rPr>
        <w:t>imputa a la cuenta de pérdidas y ganancias</w:t>
      </w:r>
    </w:p>
    <w:p>
      <w:pPr>
        <w:pStyle w:val="ListParagraph"/>
        <w:numPr>
          <w:ilvl w:val="1"/>
          <w:numId w:val="10"/>
        </w:numPr>
        <w:tabs>
          <w:tab w:pos="3477" w:val="left" w:leader="none"/>
        </w:tabs>
        <w:spacing w:line="240" w:lineRule="auto" w:before="117" w:after="0"/>
        <w:ind w:left="3477" w:right="1338" w:hanging="360"/>
        <w:jc w:val="both"/>
        <w:rPr>
          <w:sz w:val="20"/>
        </w:rPr>
      </w:pPr>
      <w:r>
        <w:rPr>
          <w:sz w:val="20"/>
        </w:rPr>
        <w:t>Deterioro: Al menos al cierre del ejercicio, se efectúan las correcciones valorativas necesarias siempre que existe evidencia objetiva de que el valor</w:t>
      </w:r>
      <w:r>
        <w:rPr>
          <w:spacing w:val="-4"/>
          <w:sz w:val="20"/>
        </w:rPr>
        <w:t> </w:t>
      </w:r>
      <w:r>
        <w:rPr>
          <w:sz w:val="20"/>
        </w:rPr>
        <w:t>de</w:t>
      </w:r>
      <w:r>
        <w:rPr>
          <w:spacing w:val="-3"/>
          <w:sz w:val="20"/>
        </w:rPr>
        <w:t> </w:t>
      </w:r>
      <w:r>
        <w:rPr>
          <w:sz w:val="20"/>
        </w:rPr>
        <w:t>un</w:t>
      </w:r>
      <w:r>
        <w:rPr>
          <w:spacing w:val="-1"/>
          <w:sz w:val="20"/>
        </w:rPr>
        <w:t> </w:t>
      </w:r>
      <w:r>
        <w:rPr>
          <w:sz w:val="20"/>
        </w:rPr>
        <w:t>activo</w:t>
      </w:r>
      <w:r>
        <w:rPr>
          <w:spacing w:val="-3"/>
          <w:sz w:val="20"/>
        </w:rPr>
        <w:t> </w:t>
      </w:r>
      <w:r>
        <w:rPr>
          <w:sz w:val="20"/>
        </w:rPr>
        <w:t>financiero</w:t>
      </w:r>
      <w:r>
        <w:rPr>
          <w:spacing w:val="-5"/>
          <w:sz w:val="20"/>
        </w:rPr>
        <w:t> </w:t>
      </w:r>
      <w:r>
        <w:rPr>
          <w:sz w:val="20"/>
        </w:rPr>
        <w:t>se</w:t>
      </w:r>
      <w:r>
        <w:rPr>
          <w:spacing w:val="-3"/>
          <w:sz w:val="20"/>
        </w:rPr>
        <w:t> </w:t>
      </w:r>
      <w:r>
        <w:rPr>
          <w:sz w:val="20"/>
        </w:rPr>
        <w:t>ha</w:t>
      </w:r>
      <w:r>
        <w:rPr>
          <w:spacing w:val="-3"/>
          <w:sz w:val="20"/>
        </w:rPr>
        <w:t> </w:t>
      </w:r>
      <w:r>
        <w:rPr>
          <w:sz w:val="20"/>
        </w:rPr>
        <w:t>deteriorado</w:t>
      </w:r>
      <w:r>
        <w:rPr>
          <w:spacing w:val="-1"/>
          <w:sz w:val="20"/>
        </w:rPr>
        <w:t> </w:t>
      </w:r>
      <w:r>
        <w:rPr>
          <w:sz w:val="20"/>
        </w:rPr>
        <w:t>como</w:t>
      </w:r>
      <w:r>
        <w:rPr>
          <w:spacing w:val="-5"/>
          <w:sz w:val="20"/>
        </w:rPr>
        <w:t> </w:t>
      </w:r>
      <w:r>
        <w:rPr>
          <w:sz w:val="20"/>
        </w:rPr>
        <w:t>resultado</w:t>
      </w:r>
      <w:r>
        <w:rPr>
          <w:spacing w:val="-1"/>
          <w:sz w:val="20"/>
        </w:rPr>
        <w:t> </w:t>
      </w:r>
      <w:r>
        <w:rPr>
          <w:sz w:val="20"/>
        </w:rPr>
        <w:t>de</w:t>
      </w:r>
      <w:r>
        <w:rPr>
          <w:spacing w:val="-1"/>
          <w:sz w:val="20"/>
        </w:rPr>
        <w:t> </w:t>
      </w:r>
      <w:r>
        <w:rPr>
          <w:sz w:val="20"/>
        </w:rPr>
        <w:t>uno</w:t>
      </w:r>
      <w:r>
        <w:rPr>
          <w:spacing w:val="-3"/>
          <w:sz w:val="20"/>
        </w:rPr>
        <w:t> </w:t>
      </w:r>
      <w:r>
        <w:rPr>
          <w:sz w:val="20"/>
        </w:rPr>
        <w:t>o más eventos que hayan ocurrido después de su reconocimiento inicial, y que ocasionen: - retraso en los flujos de efectivo estimados futuros; o</w:t>
      </w:r>
    </w:p>
    <w:p>
      <w:pPr>
        <w:pStyle w:val="BodyText"/>
        <w:spacing w:line="228" w:lineRule="exact"/>
        <w:ind w:left="3477"/>
        <w:jc w:val="both"/>
      </w:pPr>
      <w:r>
        <w:rPr/>
        <w:t>-</w:t>
      </w:r>
      <w:r>
        <w:rPr>
          <w:spacing w:val="13"/>
        </w:rPr>
        <w:t> </w:t>
      </w:r>
      <w:r>
        <w:rPr/>
        <w:t>la</w:t>
      </w:r>
      <w:r>
        <w:rPr>
          <w:spacing w:val="10"/>
        </w:rPr>
        <w:t> </w:t>
      </w:r>
      <w:r>
        <w:rPr/>
        <w:t>falta</w:t>
      </w:r>
      <w:r>
        <w:rPr>
          <w:spacing w:val="13"/>
        </w:rPr>
        <w:t> </w:t>
      </w:r>
      <w:r>
        <w:rPr/>
        <w:t>de</w:t>
      </w:r>
      <w:r>
        <w:rPr>
          <w:spacing w:val="12"/>
        </w:rPr>
        <w:t> </w:t>
      </w:r>
      <w:r>
        <w:rPr/>
        <w:t>recuperabilidad</w:t>
      </w:r>
      <w:r>
        <w:rPr>
          <w:spacing w:val="11"/>
        </w:rPr>
        <w:t> </w:t>
      </w:r>
      <w:r>
        <w:rPr/>
        <w:t>del</w:t>
      </w:r>
      <w:r>
        <w:rPr>
          <w:spacing w:val="14"/>
        </w:rPr>
        <w:t> </w:t>
      </w:r>
      <w:r>
        <w:rPr/>
        <w:t>valor</w:t>
      </w:r>
      <w:r>
        <w:rPr>
          <w:spacing w:val="15"/>
        </w:rPr>
        <w:t> </w:t>
      </w:r>
      <w:r>
        <w:rPr/>
        <w:t>en</w:t>
      </w:r>
      <w:r>
        <w:rPr>
          <w:spacing w:val="13"/>
        </w:rPr>
        <w:t> </w:t>
      </w:r>
      <w:r>
        <w:rPr/>
        <w:t>libros</w:t>
      </w:r>
      <w:r>
        <w:rPr>
          <w:spacing w:val="14"/>
        </w:rPr>
        <w:t> </w:t>
      </w:r>
      <w:r>
        <w:rPr/>
        <w:t>del</w:t>
      </w:r>
      <w:r>
        <w:rPr>
          <w:spacing w:val="12"/>
        </w:rPr>
        <w:t> </w:t>
      </w:r>
      <w:r>
        <w:rPr/>
        <w:t>activo,</w:t>
      </w:r>
      <w:r>
        <w:rPr>
          <w:spacing w:val="12"/>
        </w:rPr>
        <w:t> </w:t>
      </w:r>
      <w:r>
        <w:rPr>
          <w:spacing w:val="-2"/>
        </w:rPr>
        <w:t>evidenciada,</w:t>
      </w:r>
    </w:p>
    <w:p>
      <w:pPr>
        <w:pStyle w:val="BodyText"/>
        <w:spacing w:after="0" w:line="228" w:lineRule="exact"/>
        <w:jc w:val="both"/>
        <w:sectPr>
          <w:pgSz w:w="11910" w:h="16840"/>
          <w:pgMar w:header="286" w:footer="1060" w:top="1920" w:bottom="1260" w:left="360" w:right="360"/>
        </w:sectPr>
      </w:pPr>
    </w:p>
    <w:p>
      <w:pPr>
        <w:pStyle w:val="BodyText"/>
        <w:spacing w:before="201"/>
      </w:pPr>
    </w:p>
    <w:p>
      <w:pPr>
        <w:pStyle w:val="BodyText"/>
        <w:ind w:left="3477" w:right="1339"/>
        <w:jc w:val="both"/>
      </w:pPr>
      <w:r>
        <w:rPr/>
        <w:t>por ejemplo, por un descenso prolongado o significativo en su valor </w:t>
      </w:r>
      <w:r>
        <w:rPr>
          <w:spacing w:val="-2"/>
        </w:rPr>
        <w:t>razonable.</w:t>
      </w:r>
    </w:p>
    <w:p>
      <w:pPr>
        <w:pStyle w:val="BodyText"/>
        <w:spacing w:before="119"/>
        <w:ind w:left="3465" w:right="1335"/>
        <w:jc w:val="both"/>
      </w:pPr>
      <w:r>
        <w:rPr/>
        <w:t>La corrección valorativa por deterioro del valor de estos activos financieros es la diferencia entre su coste o coste amortizado menos,</w:t>
      </w:r>
      <w:r>
        <w:rPr>
          <w:spacing w:val="40"/>
        </w:rPr>
        <w:t> </w:t>
      </w:r>
      <w:r>
        <w:rPr/>
        <w:t>en su caso, cualquier corrección valorativa por deterioro previamente reconocida en la cuenta de pérdidas y ganancias y el valor razonable</w:t>
      </w:r>
      <w:r>
        <w:rPr>
          <w:spacing w:val="40"/>
        </w:rPr>
        <w:t> </w:t>
      </w:r>
      <w:r>
        <w:rPr/>
        <w:t>en el momento en que se efectúe la valoración. Las pérdidas acumuladas reconocidas en el patrimonio neto por disminución del</w:t>
      </w:r>
      <w:r>
        <w:rPr>
          <w:spacing w:val="40"/>
        </w:rPr>
        <w:t> </w:t>
      </w:r>
      <w:r>
        <w:rPr/>
        <w:t>valor razonable, siempre que exista una evidencia objetiva de deterioro en el valor del activo, se reconocen en la cuenta de pérdidas y </w:t>
      </w:r>
      <w:r>
        <w:rPr>
          <w:spacing w:val="-2"/>
        </w:rPr>
        <w:t>ganancias.</w:t>
      </w:r>
    </w:p>
    <w:p>
      <w:pPr>
        <w:pStyle w:val="BodyText"/>
        <w:spacing w:before="1"/>
      </w:pPr>
    </w:p>
    <w:p>
      <w:pPr>
        <w:pStyle w:val="BodyText"/>
        <w:spacing w:before="1"/>
        <w:ind w:left="3465" w:right="1336"/>
        <w:jc w:val="both"/>
      </w:pPr>
      <w:r>
        <w:rPr/>
        <w:t>Si en ejercicios posteriores se incrementa el valor razonable, la corrección valorativa reconocida en ejercicios anteriores revierte con abono a la cuenta de pérdidas y ganancias del ejercicio. No obstante, en el caso de que se incrementase el valor razonable correspondiente</w:t>
      </w:r>
      <w:r>
        <w:rPr>
          <w:spacing w:val="40"/>
        </w:rPr>
        <w:t> </w:t>
      </w:r>
      <w:r>
        <w:rPr/>
        <w:t>a un instrumento de patrimonio, la corrección valorativa reconocida en ejercicios anteriores no revertirá con abono a la cuenta de pérdidas y ganancias y se registra el incremento de valor razonable directamente contra el patrimonio neto.</w:t>
      </w:r>
    </w:p>
    <w:p>
      <w:pPr>
        <w:pStyle w:val="Heading3"/>
        <w:numPr>
          <w:ilvl w:val="3"/>
          <w:numId w:val="7"/>
        </w:numPr>
        <w:tabs>
          <w:tab w:pos="2759" w:val="left" w:leader="none"/>
        </w:tabs>
        <w:spacing w:line="240" w:lineRule="auto" w:before="228" w:after="0"/>
        <w:ind w:left="2759" w:right="0" w:hanging="359"/>
        <w:jc w:val="both"/>
      </w:pPr>
      <w:r>
        <w:rPr/>
        <w:t>Reclasificación</w:t>
      </w:r>
      <w:r>
        <w:rPr>
          <w:spacing w:val="-10"/>
        </w:rPr>
        <w:t> </w:t>
      </w:r>
      <w:r>
        <w:rPr/>
        <w:t>de</w:t>
      </w:r>
      <w:r>
        <w:rPr>
          <w:spacing w:val="-8"/>
        </w:rPr>
        <w:t> </w:t>
      </w:r>
      <w:r>
        <w:rPr/>
        <w:t>activos</w:t>
      </w:r>
      <w:r>
        <w:rPr>
          <w:spacing w:val="-10"/>
        </w:rPr>
        <w:t> </w:t>
      </w:r>
      <w:r>
        <w:rPr>
          <w:spacing w:val="-2"/>
        </w:rPr>
        <w:t>financieros</w:t>
      </w:r>
    </w:p>
    <w:p>
      <w:pPr>
        <w:pStyle w:val="BodyText"/>
        <w:spacing w:before="109"/>
        <w:ind w:left="2400" w:right="1336"/>
        <w:jc w:val="both"/>
      </w:pPr>
      <w:r>
        <w:rPr/>
        <w:t>Cuando la empresa cambie la forma en que gestiona sus activos financieros para generar flujos de efectivo, reclasificará todos los activos afectados de acuerdo con los criterios establecidos en los apartados anteriores de esta norma. La reclasificación de categoría no es un supuesto de baja de balance sino un cambio en el criterio de valoración.</w:t>
      </w:r>
    </w:p>
    <w:p>
      <w:pPr>
        <w:pStyle w:val="BodyText"/>
        <w:spacing w:line="230" w:lineRule="exact"/>
        <w:ind w:left="2400"/>
        <w:jc w:val="both"/>
      </w:pPr>
      <w:r>
        <w:rPr/>
        <w:t>Se</w:t>
      </w:r>
      <w:r>
        <w:rPr>
          <w:spacing w:val="-8"/>
        </w:rPr>
        <w:t> </w:t>
      </w:r>
      <w:r>
        <w:rPr/>
        <w:t>pueden</w:t>
      </w:r>
      <w:r>
        <w:rPr>
          <w:spacing w:val="-6"/>
        </w:rPr>
        <w:t> </w:t>
      </w:r>
      <w:r>
        <w:rPr/>
        <w:t>dar</w:t>
      </w:r>
      <w:r>
        <w:rPr>
          <w:spacing w:val="-6"/>
        </w:rPr>
        <w:t> </w:t>
      </w:r>
      <w:r>
        <w:rPr/>
        <w:t>las</w:t>
      </w:r>
      <w:r>
        <w:rPr>
          <w:spacing w:val="-5"/>
        </w:rPr>
        <w:t> </w:t>
      </w:r>
      <w:r>
        <w:rPr/>
        <w:t>siguientes</w:t>
      </w:r>
      <w:r>
        <w:rPr>
          <w:spacing w:val="-6"/>
        </w:rPr>
        <w:t> </w:t>
      </w:r>
      <w:r>
        <w:rPr>
          <w:spacing w:val="-2"/>
        </w:rPr>
        <w:t>reclasificaciones:</w:t>
      </w:r>
    </w:p>
    <w:p>
      <w:pPr>
        <w:pStyle w:val="BodyText"/>
        <w:spacing w:before="9"/>
      </w:pPr>
    </w:p>
    <w:p>
      <w:pPr>
        <w:pStyle w:val="ListParagraph"/>
        <w:numPr>
          <w:ilvl w:val="3"/>
          <w:numId w:val="7"/>
        </w:numPr>
        <w:tabs>
          <w:tab w:pos="2758" w:val="left" w:leader="none"/>
          <w:tab w:pos="2760" w:val="left" w:leader="none"/>
        </w:tabs>
        <w:spacing w:line="232" w:lineRule="auto" w:before="0" w:after="0"/>
        <w:ind w:left="2760" w:right="1335" w:hanging="360"/>
        <w:jc w:val="both"/>
        <w:rPr>
          <w:sz w:val="20"/>
        </w:rPr>
      </w:pPr>
      <w:r>
        <w:rPr>
          <w:sz w:val="20"/>
        </w:rPr>
        <w:t>Reclasificación de los activos financieros a coste amortizado a la categoría de activos financieros a valor razonable con cambios en la cuenta de pérdidas y ganancias y al contrario.</w:t>
      </w:r>
    </w:p>
    <w:p>
      <w:pPr>
        <w:pStyle w:val="ListParagraph"/>
        <w:numPr>
          <w:ilvl w:val="3"/>
          <w:numId w:val="7"/>
        </w:numPr>
        <w:tabs>
          <w:tab w:pos="2758" w:val="left" w:leader="none"/>
          <w:tab w:pos="2760" w:val="left" w:leader="none"/>
        </w:tabs>
        <w:spacing w:line="232" w:lineRule="auto" w:before="128" w:after="0"/>
        <w:ind w:left="2760" w:right="1338" w:hanging="360"/>
        <w:jc w:val="both"/>
        <w:rPr>
          <w:sz w:val="20"/>
        </w:rPr>
      </w:pPr>
      <w:r>
        <w:rPr>
          <w:sz w:val="20"/>
        </w:rPr>
        <mc:AlternateContent>
          <mc:Choice Requires="wps">
            <w:drawing>
              <wp:anchor distT="0" distB="0" distL="0" distR="0" allowOverlap="1" layoutInCell="1" locked="0" behindDoc="0" simplePos="0" relativeHeight="15749632">
                <wp:simplePos x="0" y="0"/>
                <wp:positionH relativeFrom="page">
                  <wp:posOffset>6966436</wp:posOffset>
                </wp:positionH>
                <wp:positionV relativeFrom="paragraph">
                  <wp:posOffset>232401</wp:posOffset>
                </wp:positionV>
                <wp:extent cx="263525" cy="327596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8.299355pt;width:20.75pt;height:257.95pt;mso-position-horizontal-relative:page;mso-position-vertical-relative:paragraph;z-index:15749632" type="#_x0000_t202" id="docshape9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Reclasificación de los activos financieros a coste amortizado a la categoría de activos financieros a valor razonable con cambios en el patrimonio neto y, al </w:t>
      </w:r>
      <w:r>
        <w:rPr>
          <w:spacing w:val="-2"/>
          <w:sz w:val="20"/>
        </w:rPr>
        <w:t>contrario.</w:t>
      </w:r>
    </w:p>
    <w:p>
      <w:pPr>
        <w:pStyle w:val="ListParagraph"/>
        <w:numPr>
          <w:ilvl w:val="3"/>
          <w:numId w:val="7"/>
        </w:numPr>
        <w:tabs>
          <w:tab w:pos="2758" w:val="left" w:leader="none"/>
          <w:tab w:pos="2760" w:val="left" w:leader="none"/>
        </w:tabs>
        <w:spacing w:line="232" w:lineRule="auto" w:before="131" w:after="0"/>
        <w:ind w:left="2760" w:right="1338" w:hanging="360"/>
        <w:jc w:val="both"/>
        <w:rPr>
          <w:sz w:val="20"/>
        </w:rPr>
      </w:pPr>
      <w:r>
        <w:rPr>
          <w:sz w:val="20"/>
        </w:rPr>
        <w:t>Reclasificación de los activos financieros a valor razonable con cambios en la cuenta de pérdidas y ganancias a la categoría de activos financieros a valor razonable con cambios en el patrimonio neto y, al contrario.</w:t>
      </w:r>
    </w:p>
    <w:p>
      <w:pPr>
        <w:pStyle w:val="ListParagraph"/>
        <w:numPr>
          <w:ilvl w:val="3"/>
          <w:numId w:val="7"/>
        </w:numPr>
        <w:tabs>
          <w:tab w:pos="2758" w:val="left" w:leader="none"/>
          <w:tab w:pos="2760" w:val="left" w:leader="none"/>
        </w:tabs>
        <w:spacing w:line="232" w:lineRule="auto" w:before="130" w:after="0"/>
        <w:ind w:left="2760" w:right="1336" w:hanging="360"/>
        <w:jc w:val="both"/>
        <w:rPr>
          <w:sz w:val="20"/>
        </w:rPr>
      </w:pPr>
      <w:r>
        <w:rPr>
          <w:sz w:val="20"/>
        </w:rPr>
        <w:t>Reclasificación de las inversiones en instrumentos de patrimonio valoradas a coste a la categoría de activos financieros a valor razonable con cambios en pérdidas y ganancias y al contrario.</w:t>
      </w:r>
    </w:p>
    <w:p>
      <w:pPr>
        <w:pStyle w:val="BodyText"/>
      </w:pPr>
    </w:p>
    <w:p>
      <w:pPr>
        <w:pStyle w:val="BodyText"/>
        <w:spacing w:before="13"/>
      </w:pPr>
    </w:p>
    <w:p>
      <w:pPr>
        <w:pStyle w:val="Heading3"/>
        <w:tabs>
          <w:tab w:pos="2409" w:val="left" w:leader="none"/>
        </w:tabs>
        <w:ind w:left="2049"/>
        <w:rPr>
          <w:rFonts w:ascii="Calibri"/>
        </w:rPr>
      </w:pPr>
      <w:r>
        <w:rPr>
          <w:b w:val="0"/>
          <w:spacing w:val="-10"/>
        </w:rPr>
        <w:t>-</w:t>
      </w:r>
      <w:r>
        <w:rPr>
          <w:b w:val="0"/>
        </w:rPr>
        <w:tab/>
      </w:r>
      <w:r>
        <w:rPr>
          <w:rFonts w:ascii="Calibri"/>
        </w:rPr>
        <w:t>Intereses</w:t>
      </w:r>
      <w:r>
        <w:rPr>
          <w:rFonts w:ascii="Calibri"/>
          <w:spacing w:val="-7"/>
        </w:rPr>
        <w:t> </w:t>
      </w:r>
      <w:r>
        <w:rPr>
          <w:rFonts w:ascii="Calibri"/>
        </w:rPr>
        <w:t>y</w:t>
      </w:r>
      <w:r>
        <w:rPr>
          <w:rFonts w:ascii="Calibri"/>
          <w:spacing w:val="-6"/>
        </w:rPr>
        <w:t> </w:t>
      </w:r>
      <w:r>
        <w:rPr>
          <w:rFonts w:ascii="Calibri"/>
        </w:rPr>
        <w:t>dividendos</w:t>
      </w:r>
      <w:r>
        <w:rPr>
          <w:rFonts w:ascii="Calibri"/>
          <w:spacing w:val="-6"/>
        </w:rPr>
        <w:t> </w:t>
      </w:r>
      <w:r>
        <w:rPr>
          <w:rFonts w:ascii="Calibri"/>
        </w:rPr>
        <w:t>recibidos</w:t>
      </w:r>
      <w:r>
        <w:rPr>
          <w:rFonts w:ascii="Calibri"/>
          <w:spacing w:val="-7"/>
        </w:rPr>
        <w:t> </w:t>
      </w:r>
      <w:r>
        <w:rPr>
          <w:rFonts w:ascii="Calibri"/>
        </w:rPr>
        <w:t>de</w:t>
      </w:r>
      <w:r>
        <w:rPr>
          <w:rFonts w:ascii="Calibri"/>
          <w:spacing w:val="-4"/>
        </w:rPr>
        <w:t> </w:t>
      </w:r>
      <w:r>
        <w:rPr>
          <w:rFonts w:ascii="Calibri"/>
        </w:rPr>
        <w:t>activos</w:t>
      </w:r>
      <w:r>
        <w:rPr>
          <w:rFonts w:ascii="Calibri"/>
          <w:spacing w:val="-7"/>
        </w:rPr>
        <w:t> </w:t>
      </w:r>
      <w:r>
        <w:rPr>
          <w:rFonts w:ascii="Calibri"/>
          <w:spacing w:val="-2"/>
        </w:rPr>
        <w:t>financieros</w:t>
      </w:r>
    </w:p>
    <w:p>
      <w:pPr>
        <w:pStyle w:val="BodyText"/>
        <w:spacing w:before="119"/>
        <w:ind w:left="2400" w:right="1333"/>
        <w:jc w:val="both"/>
      </w:pPr>
      <w:r>
        <w:rPr/>
        <w:t>Los intereses y dividendos de activos financieros devengados con posterioridad al momento de la adquisición se reconocen como ingresos en la cuenta de pérdidas y ganancias.</w:t>
      </w:r>
      <w:r>
        <w:rPr>
          <w:spacing w:val="-5"/>
        </w:rPr>
        <w:t> </w:t>
      </w:r>
      <w:r>
        <w:rPr/>
        <w:t>Los</w:t>
      </w:r>
      <w:r>
        <w:rPr>
          <w:spacing w:val="-1"/>
        </w:rPr>
        <w:t> </w:t>
      </w:r>
      <w:r>
        <w:rPr/>
        <w:t>intereses</w:t>
      </w:r>
      <w:r>
        <w:rPr>
          <w:spacing w:val="-1"/>
        </w:rPr>
        <w:t> </w:t>
      </w:r>
      <w:r>
        <w:rPr/>
        <w:t>de</w:t>
      </w:r>
      <w:r>
        <w:rPr>
          <w:spacing w:val="-1"/>
        </w:rPr>
        <w:t> </w:t>
      </w:r>
      <w:r>
        <w:rPr/>
        <w:t>los</w:t>
      </w:r>
      <w:r>
        <w:rPr>
          <w:spacing w:val="-1"/>
        </w:rPr>
        <w:t> </w:t>
      </w:r>
      <w:r>
        <w:rPr/>
        <w:t>activos</w:t>
      </w:r>
      <w:r>
        <w:rPr>
          <w:spacing w:val="-1"/>
        </w:rPr>
        <w:t> </w:t>
      </w:r>
      <w:r>
        <w:rPr/>
        <w:t>financieros</w:t>
      </w:r>
      <w:r>
        <w:rPr>
          <w:spacing w:val="-1"/>
        </w:rPr>
        <w:t> </w:t>
      </w:r>
      <w:r>
        <w:rPr/>
        <w:t>valorados</w:t>
      </w:r>
      <w:r>
        <w:rPr>
          <w:spacing w:val="-1"/>
        </w:rPr>
        <w:t> </w:t>
      </w:r>
      <w:r>
        <w:rPr/>
        <w:t>a</w:t>
      </w:r>
      <w:r>
        <w:rPr>
          <w:spacing w:val="-5"/>
        </w:rPr>
        <w:t> </w:t>
      </w:r>
      <w:r>
        <w:rPr/>
        <w:t>coste</w:t>
      </w:r>
      <w:r>
        <w:rPr>
          <w:spacing w:val="-5"/>
        </w:rPr>
        <w:t> </w:t>
      </w:r>
      <w:r>
        <w:rPr/>
        <w:t>amortizado</w:t>
      </w:r>
      <w:r>
        <w:rPr>
          <w:spacing w:val="-1"/>
        </w:rPr>
        <w:t> </w:t>
      </w:r>
      <w:r>
        <w:rPr/>
        <w:t>se reconocen por el método del tipo de interés efectivo y los ingresos por dividendos procedentes de inversiones en instrumentos de patrimonio se reconocen cuando han surgido los derechos para la Sociedad a su percepción.</w:t>
      </w:r>
    </w:p>
    <w:p>
      <w:pPr>
        <w:pStyle w:val="BodyText"/>
      </w:pPr>
    </w:p>
    <w:p>
      <w:pPr>
        <w:pStyle w:val="BodyText"/>
        <w:ind w:left="2400" w:right="1334"/>
        <w:jc w:val="both"/>
      </w:pPr>
      <w:r>
        <w:rPr/>
        <w:t>En la valoración inicial de los activos financieros se registran de forma independiente, atendiendo a su vencimiento, el importe de los intereses explícitos</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2400" w:right="1308"/>
      </w:pPr>
      <w:r>
        <w:rPr/>
        <w:t>devengados</w:t>
      </w:r>
      <w:r>
        <w:rPr>
          <w:spacing w:val="79"/>
        </w:rPr>
        <w:t> </w:t>
      </w:r>
      <w:r>
        <w:rPr/>
        <w:t>y</w:t>
      </w:r>
      <w:r>
        <w:rPr>
          <w:spacing w:val="69"/>
        </w:rPr>
        <w:t> </w:t>
      </w:r>
      <w:r>
        <w:rPr/>
        <w:t>no</w:t>
      </w:r>
      <w:r>
        <w:rPr>
          <w:spacing w:val="74"/>
        </w:rPr>
        <w:t> </w:t>
      </w:r>
      <w:r>
        <w:rPr/>
        <w:t>vencidos</w:t>
      </w:r>
      <w:r>
        <w:rPr>
          <w:spacing w:val="77"/>
        </w:rPr>
        <w:t> </w:t>
      </w:r>
      <w:r>
        <w:rPr/>
        <w:t>en</w:t>
      </w:r>
      <w:r>
        <w:rPr>
          <w:spacing w:val="74"/>
        </w:rPr>
        <w:t> </w:t>
      </w:r>
      <w:r>
        <w:rPr/>
        <w:t>dicho</w:t>
      </w:r>
      <w:r>
        <w:rPr>
          <w:spacing w:val="73"/>
        </w:rPr>
        <w:t> </w:t>
      </w:r>
      <w:r>
        <w:rPr/>
        <w:t>momento,</w:t>
      </w:r>
      <w:r>
        <w:rPr>
          <w:spacing w:val="75"/>
        </w:rPr>
        <w:t> </w:t>
      </w:r>
      <w:r>
        <w:rPr/>
        <w:t>así</w:t>
      </w:r>
      <w:r>
        <w:rPr>
          <w:spacing w:val="73"/>
        </w:rPr>
        <w:t> </w:t>
      </w:r>
      <w:r>
        <w:rPr/>
        <w:t>como</w:t>
      </w:r>
      <w:r>
        <w:rPr>
          <w:spacing w:val="75"/>
        </w:rPr>
        <w:t> </w:t>
      </w:r>
      <w:r>
        <w:rPr/>
        <w:t>el</w:t>
      </w:r>
      <w:r>
        <w:rPr>
          <w:spacing w:val="73"/>
        </w:rPr>
        <w:t> </w:t>
      </w:r>
      <w:r>
        <w:rPr/>
        <w:t>importe</w:t>
      </w:r>
      <w:r>
        <w:rPr>
          <w:spacing w:val="74"/>
        </w:rPr>
        <w:t> </w:t>
      </w:r>
      <w:r>
        <w:rPr/>
        <w:t>de</w:t>
      </w:r>
      <w:r>
        <w:rPr>
          <w:spacing w:val="73"/>
        </w:rPr>
        <w:t> </w:t>
      </w:r>
      <w:r>
        <w:rPr/>
        <w:t>los dividendos acordados por el órgano competente en el momento de la adquisición. Asimismo, si los dividendos distribuidos proceden inequívocamente de resultados generados con anterioridad a la fecha de adquisición porque se hayan distribuido importes</w:t>
      </w:r>
      <w:r>
        <w:rPr>
          <w:spacing w:val="80"/>
        </w:rPr>
        <w:t> </w:t>
      </w:r>
      <w:r>
        <w:rPr/>
        <w:t>superiores</w:t>
      </w:r>
      <w:r>
        <w:rPr>
          <w:spacing w:val="80"/>
        </w:rPr>
        <w:t> </w:t>
      </w:r>
      <w:r>
        <w:rPr/>
        <w:t>a</w:t>
      </w:r>
      <w:r>
        <w:rPr>
          <w:spacing w:val="79"/>
        </w:rPr>
        <w:t> </w:t>
      </w:r>
      <w:r>
        <w:rPr/>
        <w:t>los</w:t>
      </w:r>
      <w:r>
        <w:rPr>
          <w:spacing w:val="80"/>
        </w:rPr>
        <w:t> </w:t>
      </w:r>
      <w:r>
        <w:rPr/>
        <w:t>beneficios</w:t>
      </w:r>
      <w:r>
        <w:rPr>
          <w:spacing w:val="80"/>
        </w:rPr>
        <w:t> </w:t>
      </w:r>
      <w:r>
        <w:rPr/>
        <w:t>generados</w:t>
      </w:r>
      <w:r>
        <w:rPr>
          <w:spacing w:val="80"/>
        </w:rPr>
        <w:t> </w:t>
      </w:r>
      <w:r>
        <w:rPr/>
        <w:t>por</w:t>
      </w:r>
      <w:r>
        <w:rPr>
          <w:spacing w:val="80"/>
        </w:rPr>
        <w:t> </w:t>
      </w:r>
      <w:r>
        <w:rPr/>
        <w:t>la</w:t>
      </w:r>
      <w:r>
        <w:rPr>
          <w:spacing w:val="79"/>
        </w:rPr>
        <w:t> </w:t>
      </w:r>
      <w:r>
        <w:rPr/>
        <w:t>participada</w:t>
      </w:r>
      <w:r>
        <w:rPr>
          <w:spacing w:val="79"/>
        </w:rPr>
        <w:t> </w:t>
      </w:r>
      <w:r>
        <w:rPr/>
        <w:t>desde</w:t>
      </w:r>
      <w:r>
        <w:rPr>
          <w:spacing w:val="80"/>
        </w:rPr>
        <w:t> </w:t>
      </w:r>
      <w:r>
        <w:rPr/>
        <w:t>la adquisición,</w:t>
      </w:r>
      <w:r>
        <w:rPr>
          <w:spacing w:val="39"/>
        </w:rPr>
        <w:t> </w:t>
      </w:r>
      <w:r>
        <w:rPr/>
        <w:t>no</w:t>
      </w:r>
      <w:r>
        <w:rPr>
          <w:spacing w:val="40"/>
        </w:rPr>
        <w:t> </w:t>
      </w:r>
      <w:r>
        <w:rPr/>
        <w:t>se</w:t>
      </w:r>
      <w:r>
        <w:rPr>
          <w:spacing w:val="40"/>
        </w:rPr>
        <w:t> </w:t>
      </w:r>
      <w:r>
        <w:rPr/>
        <w:t>reconocen</w:t>
      </w:r>
      <w:r>
        <w:rPr>
          <w:spacing w:val="40"/>
        </w:rPr>
        <w:t> </w:t>
      </w:r>
      <w:r>
        <w:rPr/>
        <w:t>como</w:t>
      </w:r>
      <w:r>
        <w:rPr>
          <w:spacing w:val="40"/>
        </w:rPr>
        <w:t> </w:t>
      </w:r>
      <w:r>
        <w:rPr/>
        <w:t>ingresos,</w:t>
      </w:r>
      <w:r>
        <w:rPr>
          <w:spacing w:val="40"/>
        </w:rPr>
        <w:t> </w:t>
      </w:r>
      <w:r>
        <w:rPr/>
        <w:t>y</w:t>
      </w:r>
      <w:r>
        <w:rPr>
          <w:spacing w:val="33"/>
        </w:rPr>
        <w:t> </w:t>
      </w:r>
      <w:r>
        <w:rPr/>
        <w:t>minoran</w:t>
      </w:r>
      <w:r>
        <w:rPr>
          <w:spacing w:val="40"/>
        </w:rPr>
        <w:t> </w:t>
      </w:r>
      <w:r>
        <w:rPr/>
        <w:t>el</w:t>
      </w:r>
      <w:r>
        <w:rPr>
          <w:spacing w:val="39"/>
        </w:rPr>
        <w:t> </w:t>
      </w:r>
      <w:r>
        <w:rPr/>
        <w:t>valor</w:t>
      </w:r>
      <w:r>
        <w:rPr>
          <w:spacing w:val="40"/>
        </w:rPr>
        <w:t> </w:t>
      </w:r>
      <w:r>
        <w:rPr/>
        <w:t>contable</w:t>
      </w:r>
      <w:r>
        <w:rPr>
          <w:spacing w:val="38"/>
        </w:rPr>
        <w:t> </w:t>
      </w:r>
      <w:r>
        <w:rPr/>
        <w:t>de</w:t>
      </w:r>
      <w:r>
        <w:rPr>
          <w:spacing w:val="40"/>
        </w:rPr>
        <w:t> </w:t>
      </w:r>
      <w:r>
        <w:rPr/>
        <w:t>la </w:t>
      </w:r>
      <w:r>
        <w:rPr>
          <w:spacing w:val="-2"/>
        </w:rPr>
        <w:t>inversión.</w:t>
      </w:r>
    </w:p>
    <w:p>
      <w:pPr>
        <w:pStyle w:val="BodyText"/>
        <w:ind w:left="2400" w:right="1337"/>
        <w:jc w:val="both"/>
      </w:pPr>
      <w:r>
        <w:rPr/>
        <w:t>El juicio sobre si se han generado beneficios por la participada se realiza atendiendo exclusivamente a</w:t>
      </w:r>
      <w:r>
        <w:rPr>
          <w:spacing w:val="-4"/>
        </w:rPr>
        <w:t> </w:t>
      </w:r>
      <w:r>
        <w:rPr/>
        <w:t>los</w:t>
      </w:r>
      <w:r>
        <w:rPr>
          <w:spacing w:val="-2"/>
        </w:rPr>
        <w:t> </w:t>
      </w:r>
      <w:r>
        <w:rPr/>
        <w:t>beneficios</w:t>
      </w:r>
      <w:r>
        <w:rPr>
          <w:spacing w:val="-3"/>
        </w:rPr>
        <w:t> </w:t>
      </w:r>
      <w:r>
        <w:rPr/>
        <w:t>contabilizados en la</w:t>
      </w:r>
      <w:r>
        <w:rPr>
          <w:spacing w:val="-2"/>
        </w:rPr>
        <w:t> </w:t>
      </w:r>
      <w:r>
        <w:rPr/>
        <w:t>cuenta</w:t>
      </w:r>
      <w:r>
        <w:rPr>
          <w:spacing w:val="-4"/>
        </w:rPr>
        <w:t> </w:t>
      </w:r>
      <w:r>
        <w:rPr/>
        <w:t>de</w:t>
      </w:r>
      <w:r>
        <w:rPr>
          <w:spacing w:val="-4"/>
        </w:rPr>
        <w:t> </w:t>
      </w:r>
      <w:r>
        <w:rPr/>
        <w:t>pérdidas y</w:t>
      </w:r>
      <w:r>
        <w:rPr>
          <w:spacing w:val="-4"/>
        </w:rPr>
        <w:t> </w:t>
      </w:r>
      <w:r>
        <w:rPr/>
        <w:t>ganancias individual</w:t>
      </w:r>
      <w:r>
        <w:rPr>
          <w:spacing w:val="-3"/>
        </w:rPr>
        <w:t> </w:t>
      </w:r>
      <w:r>
        <w:rPr/>
        <w:t>desde</w:t>
      </w:r>
      <w:r>
        <w:rPr>
          <w:spacing w:val="-4"/>
        </w:rPr>
        <w:t> </w:t>
      </w:r>
      <w:r>
        <w:rPr/>
        <w:t>la</w:t>
      </w:r>
      <w:r>
        <w:rPr>
          <w:spacing w:val="-4"/>
        </w:rPr>
        <w:t> </w:t>
      </w:r>
      <w:r>
        <w:rPr/>
        <w:t>fecha</w:t>
      </w:r>
      <w:r>
        <w:rPr>
          <w:spacing w:val="-2"/>
        </w:rPr>
        <w:t> </w:t>
      </w:r>
      <w:r>
        <w:rPr/>
        <w:t>de</w:t>
      </w:r>
      <w:r>
        <w:rPr>
          <w:spacing w:val="-2"/>
        </w:rPr>
        <w:t> </w:t>
      </w:r>
      <w:r>
        <w:rPr/>
        <w:t>adquisición,</w:t>
      </w:r>
      <w:r>
        <w:rPr>
          <w:spacing w:val="-3"/>
        </w:rPr>
        <w:t> </w:t>
      </w:r>
      <w:r>
        <w:rPr/>
        <w:t>salvo</w:t>
      </w:r>
      <w:r>
        <w:rPr>
          <w:spacing w:val="-2"/>
        </w:rPr>
        <w:t> </w:t>
      </w:r>
      <w:r>
        <w:rPr/>
        <w:t>que de</w:t>
      </w:r>
      <w:r>
        <w:rPr>
          <w:spacing w:val="-3"/>
        </w:rPr>
        <w:t> </w:t>
      </w:r>
      <w:r>
        <w:rPr/>
        <w:t>forma</w:t>
      </w:r>
      <w:r>
        <w:rPr>
          <w:spacing w:val="-4"/>
        </w:rPr>
        <w:t> </w:t>
      </w:r>
      <w:r>
        <w:rPr/>
        <w:t>indubitada el reparto con cargo a dichos beneficios deba calificarse</w:t>
      </w:r>
      <w:r>
        <w:rPr>
          <w:spacing w:val="-2"/>
        </w:rPr>
        <w:t> </w:t>
      </w:r>
      <w:r>
        <w:rPr/>
        <w:t>como una recuperación de la inversión desde la perspectiva de la entidad que recibe el dividendo.</w:t>
      </w:r>
    </w:p>
    <w:p>
      <w:pPr>
        <w:pStyle w:val="Heading3"/>
        <w:tabs>
          <w:tab w:pos="2409" w:val="left" w:leader="none"/>
        </w:tabs>
        <w:spacing w:before="226"/>
        <w:ind w:left="2049"/>
      </w:pPr>
      <w:r>
        <w:rPr>
          <w:b w:val="0"/>
          <w:spacing w:val="-10"/>
        </w:rPr>
        <w:t>-</w:t>
      </w:r>
      <w:r>
        <w:rPr>
          <w:b w:val="0"/>
        </w:rPr>
        <w:tab/>
      </w:r>
      <w:r>
        <w:rPr/>
        <w:t>Baja</w:t>
      </w:r>
      <w:r>
        <w:rPr>
          <w:spacing w:val="-6"/>
        </w:rPr>
        <w:t> </w:t>
      </w:r>
      <w:r>
        <w:rPr/>
        <w:t>de</w:t>
      </w:r>
      <w:r>
        <w:rPr>
          <w:spacing w:val="-6"/>
        </w:rPr>
        <w:t> </w:t>
      </w:r>
      <w:r>
        <w:rPr/>
        <w:t>activos</w:t>
      </w:r>
      <w:r>
        <w:rPr>
          <w:spacing w:val="-6"/>
        </w:rPr>
        <w:t> </w:t>
      </w:r>
      <w:r>
        <w:rPr>
          <w:spacing w:val="-2"/>
        </w:rPr>
        <w:t>financieros</w:t>
      </w:r>
    </w:p>
    <w:p>
      <w:pPr>
        <w:pStyle w:val="BodyText"/>
        <w:spacing w:before="123"/>
        <w:ind w:left="2400" w:right="1338"/>
        <w:jc w:val="both"/>
      </w:pPr>
      <w:r>
        <w:rPr/>
        <w:t>La Sociedad da de baja los activos financieros cuando expiran o se han cedido los derechos sobre los flujos de efectivo del correspondiente activo financiero y</w:t>
      </w:r>
      <w:r>
        <w:rPr>
          <w:spacing w:val="-1"/>
        </w:rPr>
        <w:t> </w:t>
      </w:r>
      <w:r>
        <w:rPr/>
        <w:t>se han transferido sustancialmente los riesgos y beneficios inherentes a su propiedad. En el caso concreto de cuentas a cobrar se entiende que este hecho se produce en general si se han transmitido los riesgos de insolvencia y mora.</w:t>
      </w:r>
    </w:p>
    <w:p>
      <w:pPr>
        <w:pStyle w:val="BodyText"/>
      </w:pPr>
    </w:p>
    <w:p>
      <w:pPr>
        <w:pStyle w:val="BodyText"/>
        <w:ind w:left="2400" w:right="1337"/>
        <w:jc w:val="both"/>
      </w:pPr>
      <w:r>
        <w:rPr/>
        <w:t>Cuando el activo financiero se da de baja la diferencia entre la contraprestación recibida neta de los costes de transacción atribuibles y el valor en libros del activo, más cualquier importe acumulado que se haya reconocido directamente en el patrimonio neto, determina la ganancia o pérdida surgida al dar de baja dicho activo, que forma parte del resultado del ejercicio en que ésta se produce.</w:t>
      </w:r>
    </w:p>
    <w:p>
      <w:pPr>
        <w:pStyle w:val="BodyText"/>
      </w:pPr>
    </w:p>
    <w:p>
      <w:pPr>
        <w:pStyle w:val="BodyText"/>
        <w:ind w:left="2400" w:right="1335"/>
        <w:jc w:val="both"/>
      </w:pPr>
      <w:r>
        <w:rPr/>
        <w:t>Por el contrario, la Sociedad no da de baja los activos financieros, y reconoce un pasivo financiero por un importe igual a la contraprestación recibida, en las</w:t>
      </w:r>
      <w:r>
        <w:rPr>
          <w:spacing w:val="40"/>
        </w:rPr>
        <w:t> </w:t>
      </w:r>
      <w:r>
        <w:rPr/>
        <w:t>cesiones de</w:t>
      </w:r>
      <w:r>
        <w:rPr>
          <w:spacing w:val="-2"/>
        </w:rPr>
        <w:t> </w:t>
      </w:r>
      <w:r>
        <w:rPr/>
        <w:t>activos financieros en las que</w:t>
      </w:r>
      <w:r>
        <w:rPr>
          <w:spacing w:val="-2"/>
        </w:rPr>
        <w:t> </w:t>
      </w:r>
      <w:r>
        <w:rPr/>
        <w:t>se retenga sustancialmente</w:t>
      </w:r>
      <w:r>
        <w:rPr>
          <w:spacing w:val="-2"/>
        </w:rPr>
        <w:t> </w:t>
      </w:r>
      <w:r>
        <w:rPr/>
        <w:t>los</w:t>
      </w:r>
      <w:r>
        <w:rPr>
          <w:spacing w:val="-2"/>
        </w:rPr>
        <w:t> </w:t>
      </w:r>
      <w:r>
        <w:rPr/>
        <w:t>riesgos y beneficios inherentes a su propiedad.</w:t>
      </w:r>
    </w:p>
    <w:p>
      <w:pPr>
        <w:pStyle w:val="BodyText"/>
        <w:spacing w:before="2"/>
      </w:pPr>
    </w:p>
    <w:p>
      <w:pPr>
        <w:pStyle w:val="Heading3"/>
        <w:numPr>
          <w:ilvl w:val="0"/>
          <w:numId w:val="11"/>
        </w:numPr>
        <w:tabs>
          <w:tab w:pos="2409" w:val="left" w:leader="none"/>
        </w:tabs>
        <w:spacing w:line="240" w:lineRule="auto" w:before="0" w:after="0"/>
        <w:ind w:left="2409" w:right="0" w:hanging="360"/>
        <w:jc w:val="left"/>
        <w:rPr>
          <w:rFonts w:ascii="Calibri" w:hAnsi="Calibri"/>
        </w:rPr>
      </w:pPr>
      <w:r>
        <w:rPr>
          <w:rFonts w:ascii="Calibri" w:hAnsi="Calibri"/>
        </w:rPr>
        <w:t>Efectivo</w:t>
      </w:r>
      <w:r>
        <w:rPr>
          <w:rFonts w:ascii="Calibri" w:hAnsi="Calibri"/>
          <w:spacing w:val="-6"/>
        </w:rPr>
        <w:t> </w:t>
      </w:r>
      <w:r>
        <w:rPr>
          <w:rFonts w:ascii="Calibri" w:hAnsi="Calibri"/>
        </w:rPr>
        <w:t>y</w:t>
      </w:r>
      <w:r>
        <w:rPr>
          <w:rFonts w:ascii="Calibri" w:hAnsi="Calibri"/>
          <w:spacing w:val="-6"/>
        </w:rPr>
        <w:t> </w:t>
      </w:r>
      <w:r>
        <w:rPr>
          <w:rFonts w:ascii="Calibri" w:hAnsi="Calibri"/>
        </w:rPr>
        <w:t>otros</w:t>
      </w:r>
      <w:r>
        <w:rPr>
          <w:rFonts w:ascii="Calibri" w:hAnsi="Calibri"/>
          <w:spacing w:val="-7"/>
        </w:rPr>
        <w:t> </w:t>
      </w:r>
      <w:r>
        <w:rPr>
          <w:rFonts w:ascii="Calibri" w:hAnsi="Calibri"/>
        </w:rPr>
        <w:t>medios</w:t>
      </w:r>
      <w:r>
        <w:rPr>
          <w:rFonts w:ascii="Calibri" w:hAnsi="Calibri"/>
          <w:spacing w:val="-5"/>
        </w:rPr>
        <w:t> </w:t>
      </w:r>
      <w:r>
        <w:rPr>
          <w:rFonts w:ascii="Calibri" w:hAnsi="Calibri"/>
        </w:rPr>
        <w:t>líquidos</w:t>
      </w:r>
      <w:r>
        <w:rPr>
          <w:rFonts w:ascii="Calibri" w:hAnsi="Calibri"/>
          <w:spacing w:val="-6"/>
        </w:rPr>
        <w:t> </w:t>
      </w:r>
      <w:r>
        <w:rPr>
          <w:rFonts w:ascii="Calibri" w:hAnsi="Calibri"/>
          <w:spacing w:val="-2"/>
        </w:rPr>
        <w:t>equivalentes</w:t>
      </w:r>
    </w:p>
    <w:p>
      <w:pPr>
        <w:pStyle w:val="BodyText"/>
        <w:spacing w:before="119"/>
        <w:ind w:left="2409" w:right="1337"/>
        <w:jc w:val="both"/>
      </w:pPr>
      <w:r>
        <w:rPr/>
        <mc:AlternateContent>
          <mc:Choice Requires="wps">
            <w:drawing>
              <wp:anchor distT="0" distB="0" distL="0" distR="0" allowOverlap="1" layoutInCell="1" locked="0" behindDoc="0" simplePos="0" relativeHeight="15750144">
                <wp:simplePos x="0" y="0"/>
                <wp:positionH relativeFrom="page">
                  <wp:posOffset>6966436</wp:posOffset>
                </wp:positionH>
                <wp:positionV relativeFrom="paragraph">
                  <wp:posOffset>301448</wp:posOffset>
                </wp:positionV>
                <wp:extent cx="263525" cy="327596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23.736103pt;width:20.75pt;height:257.95pt;mso-position-horizontal-relative:page;mso-position-vertical-relative:paragraph;z-index:15750144" type="#_x0000_t202" id="docshape9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25</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Bajo este epígrafe del balance de situación adjunto se registra el efectivo en caja y bancos, depósitos a la vista y otras inversiones a corto plazo con vencimiento inferior a</w:t>
      </w:r>
      <w:r>
        <w:rPr>
          <w:spacing w:val="-2"/>
        </w:rPr>
        <w:t> </w:t>
      </w:r>
      <w:r>
        <w:rPr/>
        <w:t>tres meses de alta</w:t>
      </w:r>
      <w:r>
        <w:rPr>
          <w:spacing w:val="-2"/>
        </w:rPr>
        <w:t> </w:t>
      </w:r>
      <w:r>
        <w:rPr/>
        <w:t>liquidez que son rápidamente realizables en caja y</w:t>
      </w:r>
      <w:r>
        <w:rPr>
          <w:spacing w:val="-4"/>
        </w:rPr>
        <w:t> </w:t>
      </w:r>
      <w:r>
        <w:rPr/>
        <w:t>que no tienen riesgo de cambios en su valor.</w:t>
      </w:r>
    </w:p>
    <w:p>
      <w:pPr>
        <w:pStyle w:val="BodyText"/>
      </w:pPr>
    </w:p>
    <w:p>
      <w:pPr>
        <w:pStyle w:val="BodyText"/>
        <w:spacing w:before="7"/>
      </w:pPr>
    </w:p>
    <w:p>
      <w:pPr>
        <w:pStyle w:val="Heading3"/>
        <w:numPr>
          <w:ilvl w:val="0"/>
          <w:numId w:val="11"/>
        </w:numPr>
        <w:tabs>
          <w:tab w:pos="2409" w:val="left" w:leader="none"/>
        </w:tabs>
        <w:spacing w:line="240" w:lineRule="auto" w:before="0" w:after="0"/>
        <w:ind w:left="2409" w:right="0" w:hanging="360"/>
        <w:jc w:val="left"/>
      </w:pPr>
      <w:r>
        <w:rPr/>
        <w:t>Pasivos</w:t>
      </w:r>
      <w:r>
        <w:rPr>
          <w:spacing w:val="-12"/>
        </w:rPr>
        <w:t> </w:t>
      </w:r>
      <w:r>
        <w:rPr>
          <w:spacing w:val="-2"/>
        </w:rPr>
        <w:t>financieros</w:t>
      </w:r>
    </w:p>
    <w:p>
      <w:pPr>
        <w:pStyle w:val="BodyText"/>
        <w:spacing w:before="123"/>
        <w:ind w:left="2400" w:right="1339"/>
        <w:jc w:val="both"/>
      </w:pPr>
      <w:r>
        <w:rPr/>
        <w:t>Los pasivos financieros, a efectos de su valoración, se incluyen en alguna de las siguientes categorías:</w:t>
      </w:r>
    </w:p>
    <w:p>
      <w:pPr>
        <w:pStyle w:val="BodyText"/>
      </w:pPr>
    </w:p>
    <w:p>
      <w:pPr>
        <w:pStyle w:val="ListParagraph"/>
        <w:numPr>
          <w:ilvl w:val="1"/>
          <w:numId w:val="11"/>
        </w:numPr>
        <w:tabs>
          <w:tab w:pos="2760" w:val="left" w:leader="none"/>
        </w:tabs>
        <w:spacing w:line="237" w:lineRule="auto" w:before="0" w:after="0"/>
        <w:ind w:left="2760" w:right="1339" w:hanging="360"/>
        <w:jc w:val="both"/>
        <w:rPr>
          <w:sz w:val="20"/>
        </w:rPr>
      </w:pPr>
      <w:r>
        <w:rPr>
          <w:b/>
          <w:sz w:val="20"/>
        </w:rPr>
        <w:t>Pasivos Financieros a coste Amortizado</w:t>
      </w:r>
      <w:r>
        <w:rPr>
          <w:sz w:val="20"/>
        </w:rPr>
        <w:t>. Dentro de esta categoría se clasifican</w:t>
      </w:r>
      <w:r>
        <w:rPr>
          <w:spacing w:val="-1"/>
          <w:sz w:val="20"/>
        </w:rPr>
        <w:t> </w:t>
      </w:r>
      <w:r>
        <w:rPr>
          <w:sz w:val="20"/>
        </w:rPr>
        <w:t>todos los pasivos financieros excepto</w:t>
      </w:r>
      <w:r>
        <w:rPr>
          <w:spacing w:val="-3"/>
          <w:sz w:val="20"/>
        </w:rPr>
        <w:t> </w:t>
      </w:r>
      <w:r>
        <w:rPr>
          <w:sz w:val="20"/>
        </w:rPr>
        <w:t>cuando</w:t>
      </w:r>
      <w:r>
        <w:rPr>
          <w:spacing w:val="-1"/>
          <w:sz w:val="20"/>
        </w:rPr>
        <w:t> </w:t>
      </w:r>
      <w:r>
        <w:rPr>
          <w:sz w:val="20"/>
        </w:rPr>
        <w:t>deben</w:t>
      </w:r>
      <w:r>
        <w:rPr>
          <w:spacing w:val="-1"/>
          <w:sz w:val="20"/>
        </w:rPr>
        <w:t> </w:t>
      </w:r>
      <w:r>
        <w:rPr>
          <w:sz w:val="20"/>
        </w:rPr>
        <w:t>valorarse</w:t>
      </w:r>
      <w:r>
        <w:rPr>
          <w:spacing w:val="-1"/>
          <w:sz w:val="20"/>
        </w:rPr>
        <w:t> </w:t>
      </w:r>
      <w:r>
        <w:rPr>
          <w:sz w:val="20"/>
        </w:rPr>
        <w:t>a</w:t>
      </w:r>
      <w:r>
        <w:rPr>
          <w:spacing w:val="-1"/>
          <w:sz w:val="20"/>
        </w:rPr>
        <w:t> </w:t>
      </w:r>
      <w:r>
        <w:rPr>
          <w:sz w:val="20"/>
        </w:rPr>
        <w:t>valor razonable con cambios en la cuenta de pérdidas y ganancias. Con carácter general, se incluyen en esta categoría los débitos por operaciones comerciales y los débitos por operaciones no comerciales.</w:t>
      </w:r>
    </w:p>
    <w:p>
      <w:pPr>
        <w:pStyle w:val="BodyText"/>
        <w:spacing w:before="121"/>
        <w:ind w:left="2760" w:right="1333"/>
        <w:jc w:val="both"/>
      </w:pPr>
      <w:r>
        <w:rPr/>
        <w:t>Los préstamos participativos que tengan las características de un préstamo ordinario o común también se</w:t>
      </w:r>
      <w:r>
        <w:rPr>
          <w:spacing w:val="-1"/>
        </w:rPr>
        <w:t> </w:t>
      </w:r>
      <w:r>
        <w:rPr/>
        <w:t>incluirán en esta categoría</w:t>
      </w:r>
      <w:r>
        <w:rPr>
          <w:spacing w:val="-1"/>
        </w:rPr>
        <w:t> </w:t>
      </w:r>
      <w:r>
        <w:rPr/>
        <w:t>sin</w:t>
      </w:r>
      <w:r>
        <w:rPr>
          <w:spacing w:val="-1"/>
        </w:rPr>
        <w:t> </w:t>
      </w:r>
      <w:r>
        <w:rPr/>
        <w:t>perjuicio de que la operación se acuerde a un tipo de interés cero o por debajo de mercado.</w:t>
      </w:r>
    </w:p>
    <w:p>
      <w:pPr>
        <w:pStyle w:val="BodyText"/>
        <w:spacing w:before="2"/>
      </w:pPr>
    </w:p>
    <w:p>
      <w:pPr>
        <w:pStyle w:val="ListParagraph"/>
        <w:numPr>
          <w:ilvl w:val="2"/>
          <w:numId w:val="11"/>
        </w:numPr>
        <w:tabs>
          <w:tab w:pos="3477" w:val="left" w:leader="none"/>
        </w:tabs>
        <w:spacing w:line="237" w:lineRule="auto" w:before="0" w:after="0"/>
        <w:ind w:left="3477" w:right="1338" w:hanging="360"/>
        <w:jc w:val="both"/>
        <w:rPr>
          <w:sz w:val="20"/>
        </w:rPr>
      </w:pPr>
      <w:r>
        <w:rPr>
          <w:sz w:val="20"/>
        </w:rPr>
        <w:t>Valoración inicial: Inicialmente se valoran por su valor razonable, que, salvo evidencia en contrario, es el precio de la transacción, que equivale al valor razonable de la contraprestación recibida ajustado por</w:t>
      </w:r>
    </w:p>
    <w:p>
      <w:pPr>
        <w:pStyle w:val="ListParagraph"/>
        <w:spacing w:after="0" w:line="237" w:lineRule="auto"/>
        <w:jc w:val="both"/>
        <w:rPr>
          <w:sz w:val="20"/>
        </w:rPr>
        <w:sectPr>
          <w:pgSz w:w="11910" w:h="16840"/>
          <w:pgMar w:header="286" w:footer="1060" w:top="1920" w:bottom="1260" w:left="360" w:right="360"/>
        </w:sectPr>
      </w:pPr>
    </w:p>
    <w:p>
      <w:pPr>
        <w:pStyle w:val="BodyText"/>
        <w:spacing w:before="201"/>
      </w:pPr>
    </w:p>
    <w:p>
      <w:pPr>
        <w:pStyle w:val="BodyText"/>
        <w:ind w:left="3477" w:right="1336"/>
        <w:jc w:val="both"/>
      </w:pPr>
      <w:r>
        <w:rPr/>
        <w:t>los costes de transacción que le sean directamente atribuibles. No obstante, los débitos por operaciones comerciales con vencimiento no superior a un año y que no tengan un tipo de interés contractual, así como los desembolsos exigidos por terceros sobre participaciones, cuyo importe se espera pagar en el corto plazo, se pueden valorar por su</w:t>
      </w:r>
      <w:r>
        <w:rPr>
          <w:spacing w:val="-5"/>
        </w:rPr>
        <w:t> </w:t>
      </w:r>
      <w:r>
        <w:rPr/>
        <w:t>valor nominal,</w:t>
      </w:r>
      <w:r>
        <w:rPr>
          <w:spacing w:val="-4"/>
        </w:rPr>
        <w:t> </w:t>
      </w:r>
      <w:r>
        <w:rPr/>
        <w:t>cuando</w:t>
      </w:r>
      <w:r>
        <w:rPr>
          <w:spacing w:val="-5"/>
        </w:rPr>
        <w:t> </w:t>
      </w:r>
      <w:r>
        <w:rPr/>
        <w:t>el</w:t>
      </w:r>
      <w:r>
        <w:rPr>
          <w:spacing w:val="-4"/>
        </w:rPr>
        <w:t> </w:t>
      </w:r>
      <w:r>
        <w:rPr/>
        <w:t>efecto</w:t>
      </w:r>
      <w:r>
        <w:rPr>
          <w:spacing w:val="-5"/>
        </w:rPr>
        <w:t> </w:t>
      </w:r>
      <w:r>
        <w:rPr/>
        <w:t>de</w:t>
      </w:r>
      <w:r>
        <w:rPr>
          <w:spacing w:val="-3"/>
        </w:rPr>
        <w:t> </w:t>
      </w:r>
      <w:r>
        <w:rPr/>
        <w:t>no</w:t>
      </w:r>
      <w:r>
        <w:rPr>
          <w:spacing w:val="-1"/>
        </w:rPr>
        <w:t> </w:t>
      </w:r>
      <w:r>
        <w:rPr/>
        <w:t>actualizar los flujos</w:t>
      </w:r>
      <w:r>
        <w:rPr>
          <w:spacing w:val="-2"/>
        </w:rPr>
        <w:t> </w:t>
      </w:r>
      <w:r>
        <w:rPr/>
        <w:t>de</w:t>
      </w:r>
      <w:r>
        <w:rPr>
          <w:spacing w:val="-1"/>
        </w:rPr>
        <w:t> </w:t>
      </w:r>
      <w:r>
        <w:rPr/>
        <w:t>efectivo no sea significativo.</w:t>
      </w:r>
    </w:p>
    <w:p>
      <w:pPr>
        <w:pStyle w:val="ListParagraph"/>
        <w:numPr>
          <w:ilvl w:val="2"/>
          <w:numId w:val="11"/>
        </w:numPr>
        <w:tabs>
          <w:tab w:pos="3477" w:val="left" w:leader="none"/>
        </w:tabs>
        <w:spacing w:line="240" w:lineRule="auto" w:before="119" w:after="0"/>
        <w:ind w:left="3477" w:right="1339" w:hanging="360"/>
        <w:jc w:val="both"/>
        <w:rPr>
          <w:sz w:val="20"/>
        </w:rPr>
      </w:pPr>
      <w:r>
        <w:rPr>
          <w:sz w:val="20"/>
        </w:rPr>
        <w:t>Valoración posterior: se hace a coste amortizado. Los intereses devengados se contabilizan en la cuenta de pérdidas y ganancias, aplicando el método del tipo de interés efectivo. No obstante, los débitos con vencimiento no superior a un año que, de acuerdo con lo dispuesto en el apartado anterior, se valoren inicialmente por su valor nominal, continuarán valorándose por dicho importe.</w:t>
      </w:r>
    </w:p>
    <w:p>
      <w:pPr>
        <w:pStyle w:val="BodyText"/>
        <w:spacing w:before="123"/>
      </w:pPr>
    </w:p>
    <w:p>
      <w:pPr>
        <w:pStyle w:val="ListParagraph"/>
        <w:numPr>
          <w:ilvl w:val="1"/>
          <w:numId w:val="11"/>
        </w:numPr>
        <w:tabs>
          <w:tab w:pos="2760" w:val="left" w:leader="none"/>
        </w:tabs>
        <w:spacing w:line="235" w:lineRule="auto" w:before="0" w:after="0"/>
        <w:ind w:left="2760" w:right="1340" w:hanging="360"/>
        <w:jc w:val="both"/>
        <w:rPr>
          <w:sz w:val="20"/>
        </w:rPr>
      </w:pPr>
      <w:r>
        <w:rPr>
          <w:b/>
          <w:sz w:val="20"/>
        </w:rPr>
        <w:t>Pasivos Financieros a valor razonable con cambios en la cuenta de pérdidas y ganancias. </w:t>
      </w:r>
      <w:r>
        <w:rPr>
          <w:sz w:val="20"/>
        </w:rPr>
        <w:t>Dentro de esta categoría se clasifican los pasivos financieros que cumplan algunas de las siguientes condiciones:</w:t>
      </w:r>
    </w:p>
    <w:p>
      <w:pPr>
        <w:pStyle w:val="BodyText"/>
        <w:spacing w:before="115"/>
        <w:ind w:left="3892"/>
        <w:jc w:val="both"/>
      </w:pPr>
      <w:r>
        <w:rPr>
          <w:rFonts w:ascii="Calibri" w:hAnsi="Calibri"/>
        </w:rPr>
        <w:t></w:t>
      </w:r>
      <w:r>
        <w:rPr>
          <w:rFonts w:ascii="Calibri" w:hAnsi="Calibri"/>
          <w:spacing w:val="-4"/>
        </w:rPr>
        <w:t> </w:t>
      </w:r>
      <w:r>
        <w:rPr/>
        <w:t>Son</w:t>
      </w:r>
      <w:r>
        <w:rPr>
          <w:spacing w:val="-6"/>
        </w:rPr>
        <w:t> </w:t>
      </w:r>
      <w:r>
        <w:rPr/>
        <w:t>pasivos</w:t>
      </w:r>
      <w:r>
        <w:rPr>
          <w:spacing w:val="-8"/>
        </w:rPr>
        <w:t> </w:t>
      </w:r>
      <w:r>
        <w:rPr/>
        <w:t>que</w:t>
      </w:r>
      <w:r>
        <w:rPr>
          <w:spacing w:val="-9"/>
        </w:rPr>
        <w:t> </w:t>
      </w:r>
      <w:r>
        <w:rPr/>
        <w:t>se</w:t>
      </w:r>
      <w:r>
        <w:rPr>
          <w:spacing w:val="-9"/>
        </w:rPr>
        <w:t> </w:t>
      </w:r>
      <w:r>
        <w:rPr/>
        <w:t>mantienen</w:t>
      </w:r>
      <w:r>
        <w:rPr>
          <w:spacing w:val="-6"/>
        </w:rPr>
        <w:t> </w:t>
      </w:r>
      <w:r>
        <w:rPr/>
        <w:t>para</w:t>
      </w:r>
      <w:r>
        <w:rPr>
          <w:spacing w:val="-9"/>
        </w:rPr>
        <w:t> </w:t>
      </w:r>
      <w:r>
        <w:rPr>
          <w:spacing w:val="-2"/>
        </w:rPr>
        <w:t>negociar;</w:t>
      </w:r>
    </w:p>
    <w:p>
      <w:pPr>
        <w:pStyle w:val="BodyText"/>
        <w:spacing w:line="237" w:lineRule="auto" w:before="108"/>
        <w:ind w:left="4034" w:right="1336" w:hanging="142"/>
        <w:jc w:val="both"/>
      </w:pPr>
      <w:r>
        <w:rPr>
          <w:rFonts w:ascii="Calibri" w:hAnsi="Calibri"/>
        </w:rPr>
        <w:t></w:t>
      </w:r>
      <w:r>
        <w:rPr>
          <w:rFonts w:ascii="Calibri" w:hAnsi="Calibri"/>
          <w:spacing w:val="-2"/>
        </w:rPr>
        <w:t> </w:t>
      </w:r>
      <w:r>
        <w:rPr/>
        <w:t>Son</w:t>
      </w:r>
      <w:r>
        <w:rPr>
          <w:spacing w:val="-3"/>
        </w:rPr>
        <w:t> </w:t>
      </w:r>
      <w:r>
        <w:rPr/>
        <w:t>pasivos,</w:t>
      </w:r>
      <w:r>
        <w:rPr>
          <w:spacing w:val="-7"/>
        </w:rPr>
        <w:t> </w:t>
      </w:r>
      <w:r>
        <w:rPr/>
        <w:t>que,</w:t>
      </w:r>
      <w:r>
        <w:rPr>
          <w:spacing w:val="-3"/>
        </w:rPr>
        <w:t> </w:t>
      </w:r>
      <w:r>
        <w:rPr/>
        <w:t>desde</w:t>
      </w:r>
      <w:r>
        <w:rPr>
          <w:spacing w:val="-3"/>
        </w:rPr>
        <w:t> </w:t>
      </w:r>
      <w:r>
        <w:rPr/>
        <w:t>el</w:t>
      </w:r>
      <w:r>
        <w:rPr>
          <w:spacing w:val="-6"/>
        </w:rPr>
        <w:t> </w:t>
      </w:r>
      <w:r>
        <w:rPr/>
        <w:t>momento</w:t>
      </w:r>
      <w:r>
        <w:rPr>
          <w:spacing w:val="-7"/>
        </w:rPr>
        <w:t> </w:t>
      </w:r>
      <w:r>
        <w:rPr/>
        <w:t>del</w:t>
      </w:r>
      <w:r>
        <w:rPr>
          <w:spacing w:val="-8"/>
        </w:rPr>
        <w:t> </w:t>
      </w:r>
      <w:r>
        <w:rPr/>
        <w:t>reconocimiento</w:t>
      </w:r>
      <w:r>
        <w:rPr>
          <w:spacing w:val="-5"/>
        </w:rPr>
        <w:t> </w:t>
      </w:r>
      <w:r>
        <w:rPr/>
        <w:t>inicial, </w:t>
      </w:r>
      <w:r>
        <w:rPr>
          <w:spacing w:val="-75"/>
        </w:rPr>
        <w:t>y</w:t>
      </w:r>
      <w:r>
        <w:rPr/>
        <w:t> de forma irrevocable, han sido designados por la entidad para contabilizarlo al valor razonable con cambios en la cuenta de pérdidas y ganancias, siempre que dicha designación cumpla</w:t>
      </w:r>
      <w:r>
        <w:rPr>
          <w:spacing w:val="40"/>
        </w:rPr>
        <w:t> </w:t>
      </w:r>
      <w:r>
        <w:rPr/>
        <w:t>con el objetivo fijado en la normativa contable.</w:t>
      </w:r>
    </w:p>
    <w:p>
      <w:pPr>
        <w:pStyle w:val="BodyText"/>
        <w:spacing w:line="235" w:lineRule="auto" w:before="119"/>
        <w:ind w:left="4034" w:right="1339" w:hanging="142"/>
        <w:jc w:val="both"/>
      </w:pPr>
      <w:r>
        <w:rPr>
          <w:rFonts w:ascii="Calibri" w:hAnsi="Calibri"/>
        </w:rPr>
        <w:t></w:t>
      </w:r>
      <w:r>
        <w:rPr>
          <w:rFonts w:ascii="Calibri" w:hAnsi="Calibri"/>
          <w:spacing w:val="-4"/>
        </w:rPr>
        <w:t> </w:t>
      </w:r>
      <w:r>
        <w:rPr/>
        <w:t>Opcionalmente y de forma irrevocable, se pueden incluir en </w:t>
      </w:r>
      <w:r>
        <w:rPr/>
        <w:t>su integridad en esta categoría los pasivos financieros híbridos sujeto a los requisitos establecidos en el PGC.</w:t>
      </w:r>
    </w:p>
    <w:p>
      <w:pPr>
        <w:pStyle w:val="ListParagraph"/>
        <w:numPr>
          <w:ilvl w:val="2"/>
          <w:numId w:val="11"/>
        </w:numPr>
        <w:tabs>
          <w:tab w:pos="3477" w:val="left" w:leader="none"/>
        </w:tabs>
        <w:spacing w:line="240" w:lineRule="auto" w:before="121" w:after="0"/>
        <w:ind w:left="3477" w:right="1337" w:hanging="360"/>
        <w:jc w:val="both"/>
        <w:rPr>
          <w:sz w:val="20"/>
        </w:rPr>
      </w:pPr>
      <w:r>
        <w:rPr>
          <w:sz w:val="20"/>
        </w:rPr>
        <w:t>Valoración inicial: Valor razonable, que, salvo evidencia en contrario,</w:t>
      </w:r>
      <w:r>
        <w:rPr>
          <w:spacing w:val="80"/>
          <w:sz w:val="20"/>
        </w:rPr>
        <w:t> </w:t>
      </w:r>
      <w:r>
        <w:rPr>
          <w:sz w:val="20"/>
        </w:rPr>
        <w:t>es el precio de la transacción, que equivaldrá al valor razonable de la contraprestación recibida. Los costes de transacción que les sean directamente atribuibles se reconocen en la cuenta de pérdidas y ganancias del ejercicio.</w:t>
      </w:r>
    </w:p>
    <w:p>
      <w:pPr>
        <w:pStyle w:val="ListParagraph"/>
        <w:numPr>
          <w:ilvl w:val="2"/>
          <w:numId w:val="11"/>
        </w:numPr>
        <w:tabs>
          <w:tab w:pos="3477" w:val="left" w:leader="none"/>
        </w:tabs>
        <w:spacing w:line="235" w:lineRule="auto" w:before="123" w:after="0"/>
        <w:ind w:left="3477" w:right="1338" w:hanging="360"/>
        <w:jc w:val="both"/>
        <w:rPr>
          <w:sz w:val="20"/>
        </w:rPr>
      </w:pPr>
      <w:r>
        <w:rPr>
          <w:sz w:val="20"/>
        </w:rPr>
        <mc:AlternateContent>
          <mc:Choice Requires="wps">
            <w:drawing>
              <wp:anchor distT="0" distB="0" distL="0" distR="0" allowOverlap="1" layoutInCell="1" locked="0" behindDoc="0" simplePos="0" relativeHeight="15750656">
                <wp:simplePos x="0" y="0"/>
                <wp:positionH relativeFrom="page">
                  <wp:posOffset>6966436</wp:posOffset>
                </wp:positionH>
                <wp:positionV relativeFrom="paragraph">
                  <wp:posOffset>55859</wp:posOffset>
                </wp:positionV>
                <wp:extent cx="263525" cy="327596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398408pt;width:20.75pt;height:257.95pt;mso-position-horizontal-relative:page;mso-position-vertical-relative:paragraph;z-index:15750656" type="#_x0000_t202" id="docshape9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26</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Valoración posterior: Valor razonable con cambios en la cuenta de pérdidas y ganancias.</w:t>
      </w:r>
    </w:p>
    <w:p>
      <w:pPr>
        <w:pStyle w:val="BodyText"/>
        <w:spacing w:before="135"/>
      </w:pPr>
    </w:p>
    <w:p>
      <w:pPr>
        <w:pStyle w:val="Heading3"/>
        <w:numPr>
          <w:ilvl w:val="0"/>
          <w:numId w:val="11"/>
        </w:numPr>
        <w:tabs>
          <w:tab w:pos="2409" w:val="left" w:leader="none"/>
        </w:tabs>
        <w:spacing w:line="240" w:lineRule="auto" w:before="0" w:after="0"/>
        <w:ind w:left="2409" w:right="0" w:hanging="360"/>
        <w:jc w:val="left"/>
      </w:pPr>
      <w:r>
        <w:rPr/>
        <w:t>Baja</w:t>
      </w:r>
      <w:r>
        <w:rPr>
          <w:spacing w:val="-9"/>
        </w:rPr>
        <w:t> </w:t>
      </w:r>
      <w:r>
        <w:rPr/>
        <w:t>de</w:t>
      </w:r>
      <w:r>
        <w:rPr>
          <w:spacing w:val="-6"/>
        </w:rPr>
        <w:t> </w:t>
      </w:r>
      <w:r>
        <w:rPr/>
        <w:t>pasivos</w:t>
      </w:r>
      <w:r>
        <w:rPr>
          <w:spacing w:val="-6"/>
        </w:rPr>
        <w:t> </w:t>
      </w:r>
      <w:r>
        <w:rPr>
          <w:spacing w:val="-2"/>
        </w:rPr>
        <w:t>financieros</w:t>
      </w:r>
    </w:p>
    <w:p>
      <w:pPr>
        <w:pStyle w:val="BodyText"/>
        <w:spacing w:before="120"/>
        <w:ind w:left="2400" w:right="1337"/>
        <w:jc w:val="both"/>
      </w:pPr>
      <w:r>
        <w:rPr/>
        <w:t>La empresa dará de baja un pasivo financiero, o parte del mismo, cuando la obligación se haya extinguido; es decir, cuando haya sido satisfecha, cancelada o haya expirado.</w:t>
      </w:r>
    </w:p>
    <w:p>
      <w:pPr>
        <w:pStyle w:val="Heading3"/>
        <w:numPr>
          <w:ilvl w:val="0"/>
          <w:numId w:val="11"/>
        </w:numPr>
        <w:tabs>
          <w:tab w:pos="2409" w:val="left" w:leader="none"/>
        </w:tabs>
        <w:spacing w:line="240" w:lineRule="auto" w:before="230" w:after="0"/>
        <w:ind w:left="2409" w:right="0" w:hanging="360"/>
        <w:jc w:val="left"/>
      </w:pPr>
      <w:r>
        <w:rPr/>
        <w:t>Fianzas</w:t>
      </w:r>
      <w:r>
        <w:rPr>
          <w:spacing w:val="-10"/>
        </w:rPr>
        <w:t> </w:t>
      </w:r>
      <w:r>
        <w:rPr/>
        <w:t>entregadas</w:t>
      </w:r>
      <w:r>
        <w:rPr>
          <w:spacing w:val="-5"/>
        </w:rPr>
        <w:t> </w:t>
      </w:r>
      <w:r>
        <w:rPr/>
        <w:t>y</w:t>
      </w:r>
      <w:r>
        <w:rPr>
          <w:spacing w:val="-10"/>
        </w:rPr>
        <w:t> </w:t>
      </w:r>
      <w:r>
        <w:rPr>
          <w:spacing w:val="-2"/>
        </w:rPr>
        <w:t>recibidas</w:t>
      </w:r>
    </w:p>
    <w:p>
      <w:pPr>
        <w:pStyle w:val="BodyText"/>
        <w:spacing w:before="122"/>
        <w:ind w:left="2400" w:right="1336"/>
        <w:jc w:val="both"/>
      </w:pPr>
      <w:r>
        <w:rPr/>
        <w:t>Los depósitos o fianzas constituidas en garantía de determinadas obligaciones se valoran</w:t>
      </w:r>
      <w:r>
        <w:rPr>
          <w:spacing w:val="-3"/>
        </w:rPr>
        <w:t> </w:t>
      </w:r>
      <w:r>
        <w:rPr/>
        <w:t>por el</w:t>
      </w:r>
      <w:r>
        <w:rPr>
          <w:spacing w:val="-4"/>
        </w:rPr>
        <w:t> </w:t>
      </w:r>
      <w:r>
        <w:rPr/>
        <w:t>importe</w:t>
      </w:r>
      <w:r>
        <w:rPr>
          <w:spacing w:val="-3"/>
        </w:rPr>
        <w:t> </w:t>
      </w:r>
      <w:r>
        <w:rPr/>
        <w:t>efectivamente</w:t>
      </w:r>
      <w:r>
        <w:rPr>
          <w:spacing w:val="-3"/>
        </w:rPr>
        <w:t> </w:t>
      </w:r>
      <w:r>
        <w:rPr/>
        <w:t>satisfecho,</w:t>
      </w:r>
      <w:r>
        <w:rPr>
          <w:spacing w:val="-1"/>
        </w:rPr>
        <w:t> </w:t>
      </w:r>
      <w:r>
        <w:rPr/>
        <w:t>que</w:t>
      </w:r>
      <w:r>
        <w:rPr>
          <w:spacing w:val="-3"/>
        </w:rPr>
        <w:t> </w:t>
      </w:r>
      <w:r>
        <w:rPr/>
        <w:t>no</w:t>
      </w:r>
      <w:r>
        <w:rPr>
          <w:spacing w:val="-3"/>
        </w:rPr>
        <w:t> </w:t>
      </w:r>
      <w:r>
        <w:rPr/>
        <w:t>difiere</w:t>
      </w:r>
      <w:r>
        <w:rPr>
          <w:spacing w:val="-3"/>
        </w:rPr>
        <w:t> </w:t>
      </w:r>
      <w:r>
        <w:rPr/>
        <w:t>significativamente</w:t>
      </w:r>
      <w:r>
        <w:rPr>
          <w:spacing w:val="-3"/>
        </w:rPr>
        <w:t> </w:t>
      </w:r>
      <w:r>
        <w:rPr/>
        <w:t>de su valor razonable.</w:t>
      </w:r>
    </w:p>
    <w:p>
      <w:pPr>
        <w:pStyle w:val="BodyText"/>
      </w:pPr>
    </w:p>
    <w:p>
      <w:pPr>
        <w:pStyle w:val="BodyText"/>
        <w:ind w:left="2400" w:right="1336"/>
        <w:jc w:val="both"/>
      </w:pPr>
      <w:r>
        <w:rPr/>
        <w:t>En las fianzas entregadas o recibidas por arrendamientos operativos o por prestación de servicios, la diferencia entre su valor razonable y el importe desembolsado se</w:t>
      </w:r>
      <w:r>
        <w:rPr>
          <w:spacing w:val="-1"/>
        </w:rPr>
        <w:t> </w:t>
      </w:r>
      <w:r>
        <w:rPr/>
        <w:t>considera</w:t>
      </w:r>
      <w:r>
        <w:rPr>
          <w:spacing w:val="-1"/>
        </w:rPr>
        <w:t> </w:t>
      </w:r>
      <w:r>
        <w:rPr/>
        <w:t>como</w:t>
      </w:r>
      <w:r>
        <w:rPr>
          <w:spacing w:val="-1"/>
        </w:rPr>
        <w:t> </w:t>
      </w:r>
      <w:r>
        <w:rPr/>
        <w:t>un pago o cobro</w:t>
      </w:r>
      <w:r>
        <w:rPr>
          <w:spacing w:val="-1"/>
        </w:rPr>
        <w:t> </w:t>
      </w:r>
      <w:r>
        <w:rPr/>
        <w:t>anticipado por el arrendamiento o prestación del servicio, que se imputa a la cuenta de pérdidas y ganancias durante el periodo del arrendamiento o durante el periodo en el que se presta el servicio, de acuerdo con la norma sobre ingresos por ventas y prestación de </w:t>
      </w:r>
      <w:r>
        <w:rPr>
          <w:spacing w:val="-2"/>
        </w:rPr>
        <w:t>servicios.</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BodyText"/>
        <w:ind w:left="2400" w:right="1335"/>
        <w:jc w:val="both"/>
      </w:pPr>
      <w:r>
        <w:rPr/>
        <w:t>Al estimar el valor razonable de las fianzas, se toma como periodo remanente el plazo contractual mínimo comprometido durante el cual no se pueda devolver su importe, sin tomar en consideración el comportamiento estadístico de devolución.</w:t>
      </w:r>
    </w:p>
    <w:p>
      <w:pPr>
        <w:pStyle w:val="BodyText"/>
        <w:spacing w:before="2"/>
        <w:ind w:left="2400" w:right="1336"/>
        <w:jc w:val="both"/>
      </w:pPr>
      <w:r>
        <w:rPr/>
        <w:t>Cuando la fianza sea a corto plazo, no es necesario realizar el descuento de flujos de efectivo si su efecto no es significativo.</w:t>
      </w:r>
    </w:p>
    <w:p>
      <w:pPr>
        <w:pStyle w:val="Heading3"/>
        <w:numPr>
          <w:ilvl w:val="0"/>
          <w:numId w:val="11"/>
        </w:numPr>
        <w:tabs>
          <w:tab w:pos="2409" w:val="left" w:leader="none"/>
        </w:tabs>
        <w:spacing w:line="240" w:lineRule="auto" w:before="226" w:after="0"/>
        <w:ind w:left="2409" w:right="0" w:hanging="360"/>
        <w:jc w:val="left"/>
      </w:pPr>
      <w:r>
        <w:rPr/>
        <w:t>Valor</w:t>
      </w:r>
      <w:r>
        <w:rPr>
          <w:spacing w:val="-9"/>
        </w:rPr>
        <w:t> </w:t>
      </w:r>
      <w:r>
        <w:rPr>
          <w:spacing w:val="-2"/>
        </w:rPr>
        <w:t>razonable</w:t>
      </w:r>
    </w:p>
    <w:p>
      <w:pPr>
        <w:pStyle w:val="BodyText"/>
        <w:spacing w:before="123"/>
        <w:ind w:left="2400" w:right="1336"/>
        <w:jc w:val="both"/>
      </w:pPr>
      <w:r>
        <w:rPr/>
        <w:t>El valor razonable es el importe por el que puede ser intercambiado un activo o liquidado un pasivo, entre partes interesadas y debidamente informadas, que realicen una transacción en condiciones de independencia mutua.</w:t>
      </w:r>
    </w:p>
    <w:p>
      <w:pPr>
        <w:pStyle w:val="BodyText"/>
        <w:spacing w:before="1"/>
      </w:pPr>
    </w:p>
    <w:p>
      <w:pPr>
        <w:pStyle w:val="BodyText"/>
        <w:spacing w:before="1"/>
        <w:ind w:left="2400" w:right="1335"/>
        <w:jc w:val="both"/>
      </w:pPr>
      <w:r>
        <w:rPr/>
        <w:t>Con carácter general, en la valoración de instrumentos financieros valorados a</w:t>
      </w:r>
      <w:r>
        <w:rPr>
          <w:spacing w:val="40"/>
        </w:rPr>
        <w:t> </w:t>
      </w:r>
      <w:r>
        <w:rPr/>
        <w:t>valor razonable, la Sociedad calcula éste por referencia a un valor fiable de mercado,</w:t>
      </w:r>
      <w:r>
        <w:rPr>
          <w:spacing w:val="-1"/>
        </w:rPr>
        <w:t> </w:t>
      </w:r>
      <w:r>
        <w:rPr/>
        <w:t>constituyendo el precio</w:t>
      </w:r>
      <w:r>
        <w:rPr>
          <w:spacing w:val="-1"/>
        </w:rPr>
        <w:t> </w:t>
      </w:r>
      <w:r>
        <w:rPr/>
        <w:t>cotizado</w:t>
      </w:r>
      <w:r>
        <w:rPr>
          <w:spacing w:val="-3"/>
        </w:rPr>
        <w:t> </w:t>
      </w:r>
      <w:r>
        <w:rPr/>
        <w:t>en</w:t>
      </w:r>
      <w:r>
        <w:rPr>
          <w:spacing w:val="-1"/>
        </w:rPr>
        <w:t> </w:t>
      </w:r>
      <w:r>
        <w:rPr/>
        <w:t>un</w:t>
      </w:r>
      <w:r>
        <w:rPr>
          <w:spacing w:val="-1"/>
        </w:rPr>
        <w:t> </w:t>
      </w:r>
      <w:r>
        <w:rPr/>
        <w:t>mercado</w:t>
      </w:r>
      <w:r>
        <w:rPr>
          <w:spacing w:val="-1"/>
        </w:rPr>
        <w:t> </w:t>
      </w:r>
      <w:r>
        <w:rPr/>
        <w:t>activo la</w:t>
      </w:r>
      <w:r>
        <w:rPr>
          <w:spacing w:val="-1"/>
        </w:rPr>
        <w:t> </w:t>
      </w:r>
      <w:r>
        <w:rPr/>
        <w:t>mejor referencia de dicho valor razonable. Para aquellos instrumentos respecto de los cuales no exista un mercado activo, el valor razonable se obtiene, en su caso, mediante la aplicación de modelos y técnicas de valoración.</w:t>
      </w:r>
    </w:p>
    <w:p>
      <w:pPr>
        <w:pStyle w:val="BodyText"/>
        <w:spacing w:before="228"/>
        <w:ind w:left="2400" w:right="1339"/>
        <w:jc w:val="both"/>
      </w:pPr>
      <w:r>
        <w:rPr/>
        <w:t>Se asume que el valor en libros de los créditos y débitos por operaciones comerciales se aproxima a su valor razonable.</w:t>
      </w:r>
    </w:p>
    <w:p>
      <w:pPr>
        <w:pStyle w:val="Heading3"/>
        <w:numPr>
          <w:ilvl w:val="0"/>
          <w:numId w:val="11"/>
        </w:numPr>
        <w:tabs>
          <w:tab w:pos="2409" w:val="left" w:leader="none"/>
        </w:tabs>
        <w:spacing w:line="240" w:lineRule="auto" w:before="228" w:after="0"/>
        <w:ind w:left="2409" w:right="0" w:hanging="360"/>
        <w:jc w:val="left"/>
      </w:pPr>
      <w:r>
        <w:rPr/>
        <w:t>Instrumentos</w:t>
      </w:r>
      <w:r>
        <w:rPr>
          <w:spacing w:val="-11"/>
        </w:rPr>
        <w:t> </w:t>
      </w:r>
      <w:r>
        <w:rPr/>
        <w:t>financieros</w:t>
      </w:r>
      <w:r>
        <w:rPr>
          <w:spacing w:val="-8"/>
        </w:rPr>
        <w:t> </w:t>
      </w:r>
      <w:r>
        <w:rPr/>
        <w:t>derivados</w:t>
      </w:r>
      <w:r>
        <w:rPr>
          <w:spacing w:val="-7"/>
        </w:rPr>
        <w:t> </w:t>
      </w:r>
      <w:r>
        <w:rPr/>
        <w:t>y</w:t>
      </w:r>
      <w:r>
        <w:rPr>
          <w:spacing w:val="-10"/>
        </w:rPr>
        <w:t> </w:t>
      </w:r>
      <w:r>
        <w:rPr/>
        <w:t>contabilización</w:t>
      </w:r>
      <w:r>
        <w:rPr>
          <w:spacing w:val="-9"/>
        </w:rPr>
        <w:t> </w:t>
      </w:r>
      <w:r>
        <w:rPr/>
        <w:t>de</w:t>
      </w:r>
      <w:r>
        <w:rPr>
          <w:spacing w:val="-10"/>
        </w:rPr>
        <w:t> </w:t>
      </w:r>
      <w:r>
        <w:rPr>
          <w:spacing w:val="-2"/>
        </w:rPr>
        <w:t>coberturas</w:t>
      </w:r>
    </w:p>
    <w:p>
      <w:pPr>
        <w:pStyle w:val="BodyText"/>
        <w:spacing w:before="123"/>
        <w:ind w:left="2400"/>
        <w:jc w:val="both"/>
      </w:pPr>
      <w:r>
        <w:rPr/>
        <w:t>La</w:t>
      </w:r>
      <w:r>
        <w:rPr>
          <w:spacing w:val="-9"/>
        </w:rPr>
        <w:t> </w:t>
      </w:r>
      <w:r>
        <w:rPr/>
        <w:t>Sociedad</w:t>
      </w:r>
      <w:r>
        <w:rPr>
          <w:spacing w:val="-5"/>
        </w:rPr>
        <w:t> </w:t>
      </w:r>
      <w:r>
        <w:rPr/>
        <w:t>clasifica</w:t>
      </w:r>
      <w:r>
        <w:rPr>
          <w:spacing w:val="-9"/>
        </w:rPr>
        <w:t> </w:t>
      </w:r>
      <w:r>
        <w:rPr/>
        <w:t>en</w:t>
      </w:r>
      <w:r>
        <w:rPr>
          <w:spacing w:val="-9"/>
        </w:rPr>
        <w:t> </w:t>
      </w:r>
      <w:r>
        <w:rPr/>
        <w:t>las</w:t>
      </w:r>
      <w:r>
        <w:rPr>
          <w:spacing w:val="-8"/>
        </w:rPr>
        <w:t> </w:t>
      </w:r>
      <w:r>
        <w:rPr/>
        <w:t>siguientes</w:t>
      </w:r>
      <w:r>
        <w:rPr>
          <w:spacing w:val="-8"/>
        </w:rPr>
        <w:t> </w:t>
      </w:r>
      <w:r>
        <w:rPr/>
        <w:t>categorías</w:t>
      </w:r>
      <w:r>
        <w:rPr>
          <w:spacing w:val="-6"/>
        </w:rPr>
        <w:t> </w:t>
      </w:r>
      <w:r>
        <w:rPr/>
        <w:t>las</w:t>
      </w:r>
      <w:r>
        <w:rPr>
          <w:spacing w:val="-6"/>
        </w:rPr>
        <w:t> </w:t>
      </w:r>
      <w:r>
        <w:rPr/>
        <w:t>operaciones</w:t>
      </w:r>
      <w:r>
        <w:rPr>
          <w:spacing w:val="-4"/>
        </w:rPr>
        <w:t> </w:t>
      </w:r>
      <w:r>
        <w:rPr/>
        <w:t>de</w:t>
      </w:r>
      <w:r>
        <w:rPr>
          <w:spacing w:val="-9"/>
        </w:rPr>
        <w:t> </w:t>
      </w:r>
      <w:r>
        <w:rPr>
          <w:spacing w:val="-2"/>
        </w:rPr>
        <w:t>cobertura:</w:t>
      </w:r>
    </w:p>
    <w:p>
      <w:pPr>
        <w:pStyle w:val="ListParagraph"/>
        <w:numPr>
          <w:ilvl w:val="0"/>
          <w:numId w:val="12"/>
        </w:numPr>
        <w:tabs>
          <w:tab w:pos="2760" w:val="left" w:leader="none"/>
          <w:tab w:pos="2762" w:val="left" w:leader="none"/>
        </w:tabs>
        <w:spacing w:line="240" w:lineRule="auto" w:before="229" w:after="0"/>
        <w:ind w:left="2762" w:right="1337" w:hanging="360"/>
        <w:jc w:val="both"/>
        <w:rPr>
          <w:sz w:val="20"/>
        </w:rPr>
      </w:pPr>
      <w:r>
        <w:rPr>
          <w:sz w:val="20"/>
        </w:rPr>
        <w:t>Cobertura de valor razonable: cubre la exposición a los cambios en el valor razonable de activos o pasivos reconocidos o de compromisos en firme aún no reconocidos, o de una parte concreta de los mismos, atribuible a un riesgo concreto que pueda afectar a la cuenta de pérdidas y ganancias (por ejemplo,</w:t>
      </w:r>
      <w:r>
        <w:rPr>
          <w:spacing w:val="40"/>
          <w:sz w:val="20"/>
        </w:rPr>
        <w:t> </w:t>
      </w:r>
      <w:r>
        <w:rPr>
          <w:sz w:val="20"/>
        </w:rPr>
        <w:t>la contratación de una permuta financiera para cubrir el riesgo de una financiación a tipo de interés fijo).</w:t>
      </w:r>
    </w:p>
    <w:p>
      <w:pPr>
        <w:pStyle w:val="BodyText"/>
        <w:spacing w:before="120"/>
        <w:ind w:left="2757" w:right="1336"/>
        <w:jc w:val="both"/>
      </w:pPr>
      <w:r>
        <w:rPr/>
        <mc:AlternateContent>
          <mc:Choice Requires="wps">
            <w:drawing>
              <wp:anchor distT="0" distB="0" distL="0" distR="0" allowOverlap="1" layoutInCell="1" locked="0" behindDoc="0" simplePos="0" relativeHeight="15751168">
                <wp:simplePos x="0" y="0"/>
                <wp:positionH relativeFrom="page">
                  <wp:posOffset>6966436</wp:posOffset>
                </wp:positionH>
                <wp:positionV relativeFrom="paragraph">
                  <wp:posOffset>381510</wp:posOffset>
                </wp:positionV>
                <wp:extent cx="263525" cy="327596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30.040205pt;width:20.75pt;height:257.95pt;mso-position-horizontal-relative:page;mso-position-vertical-relative:paragraph;z-index:15751168" type="#_x0000_t202" id="docshape9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 cambios de valor del instrumento de cobertura y de la partida cubierta atribuibles al riesgo cubierto se reconocerán en la cuenta de pérdidas y </w:t>
      </w:r>
      <w:r>
        <w:rPr>
          <w:spacing w:val="-2"/>
        </w:rPr>
        <w:t>ganancias.</w:t>
      </w:r>
    </w:p>
    <w:p>
      <w:pPr>
        <w:pStyle w:val="BodyText"/>
        <w:spacing w:before="229"/>
        <w:ind w:left="2757" w:right="1339"/>
        <w:jc w:val="both"/>
      </w:pPr>
      <w:r>
        <w:rPr/>
        <w:t>Cuando la partida cubierta sea un compromiso en firme no reconocido o un componente de este, el cambio acumulado en el valor razonable de la partida cubierta con posterioridad a su designación se reconocerá como un activo o un pasivo, y la ganancia o pérdida correspondiente se reflejará en la cuenta de pérdidas y ganancias.</w:t>
      </w:r>
    </w:p>
    <w:p>
      <w:pPr>
        <w:pStyle w:val="BodyText"/>
      </w:pPr>
    </w:p>
    <w:p>
      <w:pPr>
        <w:pStyle w:val="BodyText"/>
        <w:ind w:left="2757" w:right="1336"/>
        <w:jc w:val="both"/>
      </w:pPr>
      <w:r>
        <w:rPr/>
        <w:t>Las modificaciones en el importe en libros de las partidas cubiertas que se valoren a coste amortizado implicarán la corrección, bien desde el momento de la modificación, bien (como tarde) desde que cese la contabilidad de coberturas, del tipo de interés efectivo del instrumento</w:t>
      </w:r>
    </w:p>
    <w:p>
      <w:pPr>
        <w:pStyle w:val="BodyText"/>
        <w:spacing w:before="2"/>
      </w:pPr>
    </w:p>
    <w:p>
      <w:pPr>
        <w:pStyle w:val="ListParagraph"/>
        <w:numPr>
          <w:ilvl w:val="0"/>
          <w:numId w:val="12"/>
        </w:numPr>
        <w:tabs>
          <w:tab w:pos="2760" w:val="left" w:leader="none"/>
          <w:tab w:pos="2762" w:val="left" w:leader="none"/>
        </w:tabs>
        <w:spacing w:line="240" w:lineRule="auto" w:before="0" w:after="0"/>
        <w:ind w:left="2762" w:right="1336" w:hanging="360"/>
        <w:jc w:val="both"/>
        <w:rPr>
          <w:sz w:val="20"/>
        </w:rPr>
      </w:pPr>
      <w:r>
        <w:rPr>
          <w:sz w:val="20"/>
        </w:rPr>
        <w:t>Cobertura de flujos de efectivo: cubre la exposición a la variación de los flujos de efectivo que se atribuya a un riesgo concreto asociado a la totalidad o a un componente de un activo o pasivo reconocido (tal como la contratación de una permuta financiera para cubrir el riesgo de una financiación a tipo de interés variable), o a una transacción prevista altamente probable (por ejemplo, la cobertura del riesgo de tipo de cambio relacionado con compras y ventas previstas de inmovilizados materiales, bienes y servicios en moneda</w:t>
      </w:r>
      <w:r>
        <w:rPr>
          <w:spacing w:val="40"/>
          <w:sz w:val="20"/>
        </w:rPr>
        <w:t> </w:t>
      </w:r>
      <w:r>
        <w:rPr>
          <w:sz w:val="20"/>
        </w:rPr>
        <w:t>extranjera), y que pueda afectar a la cuenta de pérdidas y ganancias. La cobertura</w:t>
      </w:r>
      <w:r>
        <w:rPr>
          <w:spacing w:val="18"/>
          <w:sz w:val="20"/>
        </w:rPr>
        <w:t> </w:t>
      </w:r>
      <w:r>
        <w:rPr>
          <w:sz w:val="20"/>
        </w:rPr>
        <w:t>del</w:t>
      </w:r>
      <w:r>
        <w:rPr>
          <w:spacing w:val="16"/>
          <w:sz w:val="20"/>
        </w:rPr>
        <w:t> </w:t>
      </w:r>
      <w:r>
        <w:rPr>
          <w:sz w:val="20"/>
        </w:rPr>
        <w:t>riesgo</w:t>
      </w:r>
      <w:r>
        <w:rPr>
          <w:spacing w:val="18"/>
          <w:sz w:val="20"/>
        </w:rPr>
        <w:t> </w:t>
      </w:r>
      <w:r>
        <w:rPr>
          <w:sz w:val="20"/>
        </w:rPr>
        <w:t>de</w:t>
      </w:r>
      <w:r>
        <w:rPr>
          <w:spacing w:val="18"/>
          <w:sz w:val="20"/>
        </w:rPr>
        <w:t> </w:t>
      </w:r>
      <w:r>
        <w:rPr>
          <w:sz w:val="20"/>
        </w:rPr>
        <w:t>tipo</w:t>
      </w:r>
      <w:r>
        <w:rPr>
          <w:spacing w:val="16"/>
          <w:sz w:val="20"/>
        </w:rPr>
        <w:t> </w:t>
      </w:r>
      <w:r>
        <w:rPr>
          <w:sz w:val="20"/>
        </w:rPr>
        <w:t>de</w:t>
      </w:r>
      <w:r>
        <w:rPr>
          <w:spacing w:val="18"/>
          <w:sz w:val="20"/>
        </w:rPr>
        <w:t> </w:t>
      </w:r>
      <w:r>
        <w:rPr>
          <w:sz w:val="20"/>
        </w:rPr>
        <w:t>cambio de</w:t>
      </w:r>
      <w:r>
        <w:rPr>
          <w:spacing w:val="18"/>
          <w:sz w:val="20"/>
        </w:rPr>
        <w:t> </w:t>
      </w:r>
      <w:r>
        <w:rPr>
          <w:sz w:val="20"/>
        </w:rPr>
        <w:t>un</w:t>
      </w:r>
      <w:r>
        <w:rPr>
          <w:spacing w:val="16"/>
          <w:sz w:val="20"/>
        </w:rPr>
        <w:t> </w:t>
      </w:r>
      <w:r>
        <w:rPr>
          <w:sz w:val="20"/>
        </w:rPr>
        <w:t>compromiso</w:t>
      </w:r>
      <w:r>
        <w:rPr>
          <w:spacing w:val="16"/>
          <w:sz w:val="20"/>
        </w:rPr>
        <w:t> </w:t>
      </w:r>
      <w:r>
        <w:rPr>
          <w:sz w:val="20"/>
        </w:rPr>
        <w:t>en</w:t>
      </w:r>
      <w:r>
        <w:rPr>
          <w:spacing w:val="16"/>
          <w:sz w:val="20"/>
        </w:rPr>
        <w:t> </w:t>
      </w:r>
      <w:r>
        <w:rPr>
          <w:sz w:val="20"/>
        </w:rPr>
        <w:t>firme puede</w:t>
      </w:r>
      <w:r>
        <w:rPr>
          <w:spacing w:val="18"/>
          <w:sz w:val="20"/>
        </w:rPr>
        <w:t> </w:t>
      </w:r>
      <w:r>
        <w:rPr>
          <w:sz w:val="20"/>
        </w:rPr>
        <w:t>ser</w:t>
      </w:r>
    </w:p>
    <w:p>
      <w:pPr>
        <w:pStyle w:val="ListParagraph"/>
        <w:spacing w:after="0" w:line="240" w:lineRule="auto"/>
        <w:jc w:val="both"/>
        <w:rPr>
          <w:sz w:val="20"/>
        </w:rPr>
        <w:sectPr>
          <w:pgSz w:w="11910" w:h="16840"/>
          <w:pgMar w:header="286" w:footer="1060" w:top="1920" w:bottom="1260" w:left="360" w:right="360"/>
        </w:sectPr>
      </w:pPr>
    </w:p>
    <w:p>
      <w:pPr>
        <w:pStyle w:val="BodyText"/>
        <w:spacing w:before="201"/>
      </w:pPr>
    </w:p>
    <w:p>
      <w:pPr>
        <w:pStyle w:val="BodyText"/>
        <w:ind w:left="2762" w:right="1339"/>
        <w:jc w:val="both"/>
      </w:pPr>
      <w:r>
        <w:rPr/>
        <w:t>contabilizada como una cobertura de flujos de efectivo o como una cobertura</w:t>
      </w:r>
      <w:r>
        <w:rPr>
          <w:spacing w:val="40"/>
        </w:rPr>
        <w:t> </w:t>
      </w:r>
      <w:r>
        <w:rPr/>
        <w:t>de valor razonable.</w:t>
      </w:r>
    </w:p>
    <w:p>
      <w:pPr>
        <w:pStyle w:val="BodyText"/>
        <w:spacing w:before="119"/>
        <w:ind w:left="2760" w:right="1336"/>
        <w:jc w:val="both"/>
      </w:pPr>
      <w:r>
        <w:rPr/>
        <w:t>La Sociedad está expuesta a las fluctuaciones que se produzcan en los tipos</w:t>
      </w:r>
      <w:r>
        <w:rPr>
          <w:spacing w:val="40"/>
        </w:rPr>
        <w:t> </w:t>
      </w:r>
      <w:r>
        <w:rPr/>
        <w:t>de cambio de los diferentes países donde opera. Con objeto de mitigar este riesgo, se sigue la práctica de formalizar, sobre la base de sus previsiones y presupuestos, contratos de cobertura de riesgo en la variación del tipo de cambio cuando las perspectivas de evolución del mercado así lo aconsejan.</w:t>
      </w:r>
    </w:p>
    <w:p>
      <w:pPr>
        <w:pStyle w:val="BodyText"/>
        <w:ind w:left="2760" w:right="1339"/>
        <w:jc w:val="both"/>
      </w:pPr>
      <w:r>
        <w:rPr/>
        <w:t>Del mismo modo, mantiene una exposición al tipo de cambio por las</w:t>
      </w:r>
      <w:r>
        <w:rPr>
          <w:spacing w:val="40"/>
        </w:rPr>
        <w:t> </w:t>
      </w:r>
      <w:r>
        <w:rPr/>
        <w:t>variaciones potenciales que se puedan producir en las diferentes divisas en</w:t>
      </w:r>
      <w:r>
        <w:rPr>
          <w:spacing w:val="40"/>
        </w:rPr>
        <w:t> </w:t>
      </w:r>
      <w:r>
        <w:rPr/>
        <w:t>que mantiene la deuda con entidades financieras, por lo que realiza coberturas de este tipo de operaciones cuando las perspectivas de evolución del mercado así lo aconsejan.</w:t>
      </w:r>
    </w:p>
    <w:p>
      <w:pPr>
        <w:pStyle w:val="BodyText"/>
        <w:spacing w:before="230"/>
        <w:ind w:left="2760" w:right="1340"/>
        <w:jc w:val="both"/>
      </w:pPr>
      <w:r>
        <w:rPr/>
        <w:t>Por otro lado, se encuentra expuesta a las variaciones en las curvas de tipo de interés al mantener toda su deuda con entidades financieras a interés variable. En este sentido la Sociedad formaliza</w:t>
      </w:r>
      <w:r>
        <w:rPr>
          <w:spacing w:val="-1"/>
        </w:rPr>
        <w:t> </w:t>
      </w:r>
      <w:r>
        <w:rPr/>
        <w:t>contratos de</w:t>
      </w:r>
      <w:r>
        <w:rPr>
          <w:spacing w:val="-1"/>
        </w:rPr>
        <w:t> </w:t>
      </w:r>
      <w:r>
        <w:rPr/>
        <w:t>cobertura</w:t>
      </w:r>
      <w:r>
        <w:rPr>
          <w:spacing w:val="-1"/>
        </w:rPr>
        <w:t> </w:t>
      </w:r>
      <w:r>
        <w:rPr/>
        <w:t>de riesgo de tipos de interés, básicamente a través de contratos con estructuras que aseguran tipos de interés máximos.</w:t>
      </w:r>
    </w:p>
    <w:p>
      <w:pPr>
        <w:pStyle w:val="BodyText"/>
        <w:spacing w:before="230"/>
        <w:ind w:left="2760" w:right="1336"/>
        <w:jc w:val="both"/>
      </w:pPr>
      <w:r>
        <w:rPr/>
        <w:t>Al cierre del ejercicio se han valorado los contratos en vigor comparando, para cada contrato individualmente considerado, el precio pactado con la cotización de cada divisa y, en su caso, con el tipo de interés de referencia a la fecha de cierre, reconociéndose los cambios de valor de los mismos en la cuenta de </w:t>
      </w:r>
      <w:r>
        <w:rPr>
          <w:spacing w:val="-2"/>
        </w:rPr>
        <w:t>resultados.</w:t>
      </w:r>
    </w:p>
    <w:p>
      <w:pPr>
        <w:pStyle w:val="BodyText"/>
      </w:pPr>
    </w:p>
    <w:p>
      <w:pPr>
        <w:pStyle w:val="BodyText"/>
        <w:ind w:left="2702"/>
        <w:jc w:val="both"/>
      </w:pPr>
      <w:r>
        <w:rPr/>
        <w:t>En</w:t>
      </w:r>
      <w:r>
        <w:rPr>
          <w:spacing w:val="-7"/>
        </w:rPr>
        <w:t> </w:t>
      </w:r>
      <w:r>
        <w:rPr/>
        <w:t>el</w:t>
      </w:r>
      <w:r>
        <w:rPr>
          <w:spacing w:val="-8"/>
        </w:rPr>
        <w:t> </w:t>
      </w:r>
      <w:r>
        <w:rPr/>
        <w:t>ejercicio</w:t>
      </w:r>
      <w:r>
        <w:rPr>
          <w:spacing w:val="-7"/>
        </w:rPr>
        <w:t> </w:t>
      </w:r>
      <w:r>
        <w:rPr/>
        <w:t>2025</w:t>
      </w:r>
      <w:r>
        <w:rPr>
          <w:spacing w:val="-5"/>
        </w:rPr>
        <w:t> </w:t>
      </w:r>
      <w:r>
        <w:rPr/>
        <w:t>no</w:t>
      </w:r>
      <w:r>
        <w:rPr>
          <w:spacing w:val="-4"/>
        </w:rPr>
        <w:t> </w:t>
      </w:r>
      <w:r>
        <w:rPr/>
        <w:t>hay</w:t>
      </w:r>
      <w:r>
        <w:rPr>
          <w:spacing w:val="-7"/>
        </w:rPr>
        <w:t> </w:t>
      </w:r>
      <w:r>
        <w:rPr/>
        <w:t>instrumentos</w:t>
      </w:r>
      <w:r>
        <w:rPr>
          <w:spacing w:val="-5"/>
        </w:rPr>
        <w:t> </w:t>
      </w:r>
      <w:r>
        <w:rPr/>
        <w:t>financieros</w:t>
      </w:r>
      <w:r>
        <w:rPr>
          <w:spacing w:val="-5"/>
        </w:rPr>
        <w:t> </w:t>
      </w:r>
      <w:r>
        <w:rPr/>
        <w:t>de</w:t>
      </w:r>
      <w:r>
        <w:rPr>
          <w:spacing w:val="-7"/>
        </w:rPr>
        <w:t> </w:t>
      </w:r>
      <w:r>
        <w:rPr>
          <w:spacing w:val="-2"/>
        </w:rPr>
        <w:t>cobertura.</w:t>
      </w:r>
    </w:p>
    <w:p>
      <w:pPr>
        <w:pStyle w:val="Heading3"/>
        <w:numPr>
          <w:ilvl w:val="0"/>
          <w:numId w:val="11"/>
        </w:numPr>
        <w:tabs>
          <w:tab w:pos="2409" w:val="left" w:leader="none"/>
        </w:tabs>
        <w:spacing w:line="240" w:lineRule="auto" w:before="228" w:after="0"/>
        <w:ind w:left="2409" w:right="0" w:hanging="360"/>
        <w:jc w:val="left"/>
      </w:pPr>
      <w:r>
        <w:rPr/>
        <w:t>Instrumentos</w:t>
      </w:r>
      <w:r>
        <w:rPr>
          <w:spacing w:val="-14"/>
        </w:rPr>
        <w:t> </w:t>
      </w:r>
      <w:r>
        <w:rPr/>
        <w:t>financieros</w:t>
      </w:r>
      <w:r>
        <w:rPr>
          <w:spacing w:val="-12"/>
        </w:rPr>
        <w:t> </w:t>
      </w:r>
      <w:r>
        <w:rPr>
          <w:spacing w:val="-2"/>
        </w:rPr>
        <w:t>compuestos</w:t>
      </w:r>
    </w:p>
    <w:p>
      <w:pPr>
        <w:pStyle w:val="BodyText"/>
        <w:spacing w:before="123"/>
        <w:ind w:left="2400" w:right="1337"/>
        <w:jc w:val="both"/>
      </w:pPr>
      <w:r>
        <w:rPr/>
        <mc:AlternateContent>
          <mc:Choice Requires="wps">
            <w:drawing>
              <wp:anchor distT="0" distB="0" distL="0" distR="0" allowOverlap="1" layoutInCell="1" locked="0" behindDoc="0" simplePos="0" relativeHeight="15751680">
                <wp:simplePos x="0" y="0"/>
                <wp:positionH relativeFrom="page">
                  <wp:posOffset>6966436</wp:posOffset>
                </wp:positionH>
                <wp:positionV relativeFrom="paragraph">
                  <wp:posOffset>897105</wp:posOffset>
                </wp:positionV>
                <wp:extent cx="263525" cy="327596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0.638252pt;width:20.75pt;height:257.95pt;mso-position-horizontal-relative:page;mso-position-vertical-relative:paragraph;z-index:15751680" type="#_x0000_t202" id="docshape9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28</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emisión de bonos canjeables realizada por la Sociedad cumple con los</w:t>
      </w:r>
      <w:r>
        <w:rPr>
          <w:spacing w:val="40"/>
        </w:rPr>
        <w:t> </w:t>
      </w:r>
      <w:r>
        <w:rPr/>
        <w:t>requisitos necesarios establecidos por el Plan General de Contabilidad para ser considerados como pasivos financieros. Por este motivo, del importe neto recibido desde la emisión de los bonos se ha diferenciado el importe correspondiente al elemento de pasivo del componente de patrimonio neto, que representa el valor razonable de la opción incorporada de este instrumento.</w:t>
      </w:r>
    </w:p>
    <w:p>
      <w:pPr>
        <w:pStyle w:val="BodyText"/>
        <w:spacing w:before="228"/>
        <w:ind w:left="2702"/>
        <w:jc w:val="both"/>
      </w:pPr>
      <w:r>
        <w:rPr/>
        <w:t>En</w:t>
      </w:r>
      <w:r>
        <w:rPr>
          <w:spacing w:val="-8"/>
        </w:rPr>
        <w:t> </w:t>
      </w:r>
      <w:r>
        <w:rPr/>
        <w:t>el</w:t>
      </w:r>
      <w:r>
        <w:rPr>
          <w:spacing w:val="-7"/>
        </w:rPr>
        <w:t> </w:t>
      </w:r>
      <w:r>
        <w:rPr/>
        <w:t>ejercicio</w:t>
      </w:r>
      <w:r>
        <w:rPr>
          <w:spacing w:val="-8"/>
        </w:rPr>
        <w:t> </w:t>
      </w:r>
      <w:r>
        <w:rPr/>
        <w:t>2025</w:t>
      </w:r>
      <w:r>
        <w:rPr>
          <w:spacing w:val="-5"/>
        </w:rPr>
        <w:t> </w:t>
      </w:r>
      <w:r>
        <w:rPr/>
        <w:t>no</w:t>
      </w:r>
      <w:r>
        <w:rPr>
          <w:spacing w:val="-4"/>
        </w:rPr>
        <w:t> </w:t>
      </w:r>
      <w:r>
        <w:rPr/>
        <w:t>hay</w:t>
      </w:r>
      <w:r>
        <w:rPr>
          <w:spacing w:val="-8"/>
        </w:rPr>
        <w:t> </w:t>
      </w:r>
      <w:r>
        <w:rPr/>
        <w:t>instrumentos</w:t>
      </w:r>
      <w:r>
        <w:rPr>
          <w:spacing w:val="-5"/>
        </w:rPr>
        <w:t> </w:t>
      </w:r>
      <w:r>
        <w:rPr/>
        <w:t>financieros</w:t>
      </w:r>
      <w:r>
        <w:rPr>
          <w:spacing w:val="-6"/>
        </w:rPr>
        <w:t> </w:t>
      </w:r>
      <w:r>
        <w:rPr>
          <w:spacing w:val="-2"/>
        </w:rPr>
        <w:t>compuestos.</w:t>
      </w:r>
    </w:p>
    <w:p>
      <w:pPr>
        <w:pStyle w:val="Heading3"/>
        <w:numPr>
          <w:ilvl w:val="0"/>
          <w:numId w:val="11"/>
        </w:numPr>
        <w:tabs>
          <w:tab w:pos="2409" w:val="left" w:leader="none"/>
        </w:tabs>
        <w:spacing w:line="240" w:lineRule="auto" w:before="229" w:after="0"/>
        <w:ind w:left="2409" w:right="0" w:hanging="360"/>
        <w:jc w:val="left"/>
      </w:pPr>
      <w:r>
        <w:rPr/>
        <w:t>Inversiones</w:t>
      </w:r>
      <w:r>
        <w:rPr>
          <w:spacing w:val="-8"/>
        </w:rPr>
        <w:t> </w:t>
      </w:r>
      <w:r>
        <w:rPr/>
        <w:t>en</w:t>
      </w:r>
      <w:r>
        <w:rPr>
          <w:spacing w:val="-7"/>
        </w:rPr>
        <w:t> </w:t>
      </w:r>
      <w:r>
        <w:rPr/>
        <w:t>empresas</w:t>
      </w:r>
      <w:r>
        <w:rPr>
          <w:spacing w:val="-6"/>
        </w:rPr>
        <w:t> </w:t>
      </w:r>
      <w:r>
        <w:rPr/>
        <w:t>del</w:t>
      </w:r>
      <w:r>
        <w:rPr>
          <w:spacing w:val="-8"/>
        </w:rPr>
        <w:t> </w:t>
      </w:r>
      <w:r>
        <w:rPr/>
        <w:t>grupo,</w:t>
      </w:r>
      <w:r>
        <w:rPr>
          <w:spacing w:val="-8"/>
        </w:rPr>
        <w:t> </w:t>
      </w:r>
      <w:r>
        <w:rPr/>
        <w:t>multigrupo</w:t>
      </w:r>
      <w:r>
        <w:rPr>
          <w:spacing w:val="-6"/>
        </w:rPr>
        <w:t> </w:t>
      </w:r>
      <w:r>
        <w:rPr/>
        <w:t>y</w:t>
      </w:r>
      <w:r>
        <w:rPr>
          <w:spacing w:val="-8"/>
        </w:rPr>
        <w:t> </w:t>
      </w:r>
      <w:r>
        <w:rPr>
          <w:spacing w:val="-2"/>
        </w:rPr>
        <w:t>asociadas</w:t>
      </w:r>
    </w:p>
    <w:p>
      <w:pPr>
        <w:pStyle w:val="BodyText"/>
        <w:spacing w:before="122"/>
        <w:ind w:left="2400" w:right="1337"/>
        <w:jc w:val="both"/>
      </w:pPr>
      <w:r>
        <w:rPr/>
        <w:t>Las inversiones en empresas del grupo, multigrupo y asociadas, se valoran inicialmente por su coste, que equivale al valor razonable de la contraprestación entregada más los costes de transacción.</w:t>
      </w:r>
    </w:p>
    <w:p>
      <w:pPr>
        <w:pStyle w:val="BodyText"/>
        <w:spacing w:before="230"/>
        <w:ind w:left="2400" w:right="1333"/>
        <w:jc w:val="both"/>
      </w:pPr>
      <w:r>
        <w:rPr/>
        <w:t>Al menos al cierre del ejercicio, la Sociedad procede a evaluar si ha existido deterioro de valor de las inversiones. Las correcciones valorativas por deterioro y</w:t>
      </w:r>
      <w:r>
        <w:rPr>
          <w:spacing w:val="40"/>
        </w:rPr>
        <w:t> </w:t>
      </w:r>
      <w:r>
        <w:rPr/>
        <w:t>en su caso la reversión, se llevan como gasto o ingreso, respectivamente, en la cuenta de pérdidas y ganancias.</w:t>
      </w:r>
    </w:p>
    <w:p>
      <w:pPr>
        <w:pStyle w:val="BodyText"/>
        <w:spacing w:before="229"/>
        <w:ind w:left="2409" w:right="1335"/>
        <w:jc w:val="both"/>
      </w:pPr>
      <w:r>
        <w:rPr/>
        <w:t>La corrección por deterioro se aplicará siempre que exista evidencia objetiva de</w:t>
      </w:r>
      <w:r>
        <w:rPr>
          <w:spacing w:val="40"/>
        </w:rPr>
        <w:t> </w:t>
      </w:r>
      <w:r>
        <w:rPr/>
        <w:t>que el valor en libros de una inversión no será recuperable. Se entiende por valor recuperable, el mayor importe entre su valor razonable menos los costes de venta</w:t>
      </w:r>
      <w:r>
        <w:rPr>
          <w:spacing w:val="80"/>
        </w:rPr>
        <w:t> </w:t>
      </w:r>
      <w:r>
        <w:rPr/>
        <w:t>y el valor actual de los flujos de efectivo futuros derivados de la inversión, calculados bien mediante la estimación de los que se espera recibir como consecuencia del reparto de dividendos realizados por la empresa participada y de la enajenación o baja en cuentas de la inversión misma, bien mediante la estimación</w:t>
      </w:r>
      <w:r>
        <w:rPr>
          <w:spacing w:val="29"/>
        </w:rPr>
        <w:t> </w:t>
      </w:r>
      <w:r>
        <w:rPr/>
        <w:t>de</w:t>
      </w:r>
      <w:r>
        <w:rPr>
          <w:spacing w:val="30"/>
        </w:rPr>
        <w:t> </w:t>
      </w:r>
      <w:r>
        <w:rPr/>
        <w:t>su</w:t>
      </w:r>
      <w:r>
        <w:rPr>
          <w:spacing w:val="30"/>
        </w:rPr>
        <w:t> </w:t>
      </w:r>
      <w:r>
        <w:rPr/>
        <w:t>participación</w:t>
      </w:r>
      <w:r>
        <w:rPr>
          <w:spacing w:val="29"/>
        </w:rPr>
        <w:t> </w:t>
      </w:r>
      <w:r>
        <w:rPr/>
        <w:t>en</w:t>
      </w:r>
      <w:r>
        <w:rPr>
          <w:spacing w:val="30"/>
        </w:rPr>
        <w:t> </w:t>
      </w:r>
      <w:r>
        <w:rPr/>
        <w:t>los</w:t>
      </w:r>
      <w:r>
        <w:rPr>
          <w:spacing w:val="30"/>
        </w:rPr>
        <w:t> </w:t>
      </w:r>
      <w:r>
        <w:rPr/>
        <w:t>flujos</w:t>
      </w:r>
      <w:r>
        <w:rPr>
          <w:spacing w:val="32"/>
        </w:rPr>
        <w:t> </w:t>
      </w:r>
      <w:r>
        <w:rPr/>
        <w:t>de</w:t>
      </w:r>
      <w:r>
        <w:rPr>
          <w:spacing w:val="29"/>
        </w:rPr>
        <w:t> </w:t>
      </w:r>
      <w:r>
        <w:rPr/>
        <w:t>efectivo</w:t>
      </w:r>
      <w:r>
        <w:rPr>
          <w:spacing w:val="30"/>
        </w:rPr>
        <w:t> </w:t>
      </w:r>
      <w:r>
        <w:rPr/>
        <w:t>que</w:t>
      </w:r>
      <w:r>
        <w:rPr>
          <w:spacing w:val="29"/>
        </w:rPr>
        <w:t> </w:t>
      </w:r>
      <w:r>
        <w:rPr/>
        <w:t>se</w:t>
      </w:r>
      <w:r>
        <w:rPr>
          <w:spacing w:val="30"/>
        </w:rPr>
        <w:t> </w:t>
      </w:r>
      <w:r>
        <w:rPr/>
        <w:t>espera</w:t>
      </w:r>
      <w:r>
        <w:rPr>
          <w:spacing w:val="29"/>
        </w:rPr>
        <w:t> </w:t>
      </w:r>
      <w:r>
        <w:rPr/>
        <w:t>que</w:t>
      </w:r>
      <w:r>
        <w:rPr>
          <w:spacing w:val="29"/>
        </w:rPr>
        <w:t> </w:t>
      </w:r>
      <w:r>
        <w:rPr/>
        <w:t>sean</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2409" w:right="1336"/>
        <w:jc w:val="both"/>
      </w:pPr>
      <w:r>
        <w:rPr/>
        <w:t>generados por la empresa participada. Salvo mejor evidencia del importe recuperable, se tomará en consideración el patrimonio neto de la Entidad participada corregido por las plusvalías tácitas existentes en la fecha de la </w:t>
      </w:r>
      <w:r>
        <w:rPr>
          <w:spacing w:val="-2"/>
        </w:rPr>
        <w:t>valoración.</w:t>
      </w:r>
    </w:p>
    <w:p>
      <w:pPr>
        <w:pStyle w:val="BodyText"/>
      </w:pPr>
    </w:p>
    <w:p>
      <w:pPr>
        <w:pStyle w:val="BodyText"/>
        <w:ind w:left="2409" w:right="1338"/>
        <w:jc w:val="both"/>
      </w:pPr>
      <w:r>
        <w:rPr/>
        <w:t>Los pasivos financieros y los instrumentos de patrimonio se clasifican conforme al contenido de los acuerdos contractuales pactados y teniendo en cuenta el fondo económico. Un instrumento de patrimonio es un contrato que representa una participación residual en el patrimonio del grupo una vez deducidos todos sus </w:t>
      </w:r>
      <w:r>
        <w:rPr>
          <w:spacing w:val="-2"/>
        </w:rPr>
        <w:t>pasivos.</w:t>
      </w:r>
    </w:p>
    <w:p>
      <w:pPr>
        <w:pStyle w:val="BodyText"/>
      </w:pPr>
    </w:p>
    <w:p>
      <w:pPr>
        <w:pStyle w:val="ListParagraph"/>
        <w:numPr>
          <w:ilvl w:val="1"/>
          <w:numId w:val="7"/>
        </w:numPr>
        <w:tabs>
          <w:tab w:pos="2060" w:val="left" w:leader="none"/>
        </w:tabs>
        <w:spacing w:line="240" w:lineRule="auto" w:before="0" w:after="0"/>
        <w:ind w:left="2060" w:right="0" w:hanging="359"/>
        <w:jc w:val="left"/>
        <w:rPr>
          <w:sz w:val="20"/>
        </w:rPr>
      </w:pPr>
      <w:r>
        <w:rPr>
          <w:spacing w:val="-2"/>
          <w:sz w:val="20"/>
          <w:u w:val="single"/>
        </w:rPr>
        <w:t>Existencias.</w:t>
      </w:r>
    </w:p>
    <w:p>
      <w:pPr>
        <w:pStyle w:val="BodyText"/>
        <w:spacing w:before="229"/>
        <w:ind w:left="1768" w:right="1335"/>
        <w:jc w:val="both"/>
      </w:pPr>
      <w:r>
        <w:rPr/>
        <w:t>Se valoran al precio de adquisición o coste de producción. El precio de adquisición es el importe</w:t>
      </w:r>
      <w:r>
        <w:rPr>
          <w:spacing w:val="-2"/>
        </w:rPr>
        <w:t> </w:t>
      </w:r>
      <w:r>
        <w:rPr/>
        <w:t>facturado por el proveedor, deducidos los descuentos y</w:t>
      </w:r>
      <w:r>
        <w:rPr>
          <w:spacing w:val="-4"/>
        </w:rPr>
        <w:t> </w:t>
      </w:r>
      <w:r>
        <w:rPr/>
        <w:t>los intereses incorporados al nominal de los débitos más los gastos adicionales para que las existencias se encuentren</w:t>
      </w:r>
      <w:r>
        <w:rPr>
          <w:spacing w:val="-2"/>
        </w:rPr>
        <w:t> </w:t>
      </w:r>
      <w:r>
        <w:rPr/>
        <w:t>ubicados para su</w:t>
      </w:r>
      <w:r>
        <w:rPr>
          <w:spacing w:val="-2"/>
        </w:rPr>
        <w:t> </w:t>
      </w:r>
      <w:r>
        <w:rPr/>
        <w:t>venta: transportes, aranceles,</w:t>
      </w:r>
      <w:r>
        <w:rPr>
          <w:spacing w:val="-2"/>
        </w:rPr>
        <w:t> </w:t>
      </w:r>
      <w:r>
        <w:rPr/>
        <w:t>seguros y</w:t>
      </w:r>
      <w:r>
        <w:rPr>
          <w:spacing w:val="-4"/>
        </w:rPr>
        <w:t> </w:t>
      </w:r>
      <w:r>
        <w:rPr/>
        <w:t>otros atribuibles a la adquisición. En cuanto al coste de producción, las existencias se valoran añadiendo al coste de adquisición de las materias primas y otras materias consumibles, los costes directamente imputables al producto y la parte que razonablemente corresponde los</w:t>
      </w:r>
      <w:r>
        <w:rPr>
          <w:spacing w:val="40"/>
        </w:rPr>
        <w:t> </w:t>
      </w:r>
      <w:r>
        <w:rPr/>
        <w:t>costes indirectamente imputables a los productos.</w:t>
      </w:r>
    </w:p>
    <w:p>
      <w:pPr>
        <w:pStyle w:val="BodyText"/>
        <w:spacing w:before="1"/>
      </w:pPr>
    </w:p>
    <w:p>
      <w:pPr>
        <w:pStyle w:val="BodyText"/>
        <w:ind w:left="1768"/>
        <w:jc w:val="both"/>
      </w:pPr>
      <w:r>
        <w:rPr/>
        <w:t>La</w:t>
      </w:r>
      <w:r>
        <w:rPr>
          <w:spacing w:val="-7"/>
        </w:rPr>
        <w:t> </w:t>
      </w:r>
      <w:r>
        <w:rPr/>
        <w:t>Sociedad</w:t>
      </w:r>
      <w:r>
        <w:rPr>
          <w:spacing w:val="-3"/>
        </w:rPr>
        <w:t> </w:t>
      </w:r>
      <w:r>
        <w:rPr/>
        <w:t>utiliza</w:t>
      </w:r>
      <w:r>
        <w:rPr>
          <w:spacing w:val="-7"/>
        </w:rPr>
        <w:t> </w:t>
      </w:r>
      <w:r>
        <w:rPr/>
        <w:t>el</w:t>
      </w:r>
      <w:r>
        <w:rPr>
          <w:spacing w:val="-7"/>
        </w:rPr>
        <w:t> </w:t>
      </w:r>
      <w:r>
        <w:rPr/>
        <w:t>coste</w:t>
      </w:r>
      <w:r>
        <w:rPr>
          <w:spacing w:val="-4"/>
        </w:rPr>
        <w:t> </w:t>
      </w:r>
      <w:r>
        <w:rPr/>
        <w:t>medio</w:t>
      </w:r>
      <w:r>
        <w:rPr>
          <w:spacing w:val="-7"/>
        </w:rPr>
        <w:t> </w:t>
      </w:r>
      <w:r>
        <w:rPr/>
        <w:t>ponderado</w:t>
      </w:r>
      <w:r>
        <w:rPr>
          <w:spacing w:val="-7"/>
        </w:rPr>
        <w:t> </w:t>
      </w:r>
      <w:r>
        <w:rPr/>
        <w:t>para</w:t>
      </w:r>
      <w:r>
        <w:rPr>
          <w:spacing w:val="-7"/>
        </w:rPr>
        <w:t> </w:t>
      </w:r>
      <w:r>
        <w:rPr/>
        <w:t>la</w:t>
      </w:r>
      <w:r>
        <w:rPr>
          <w:spacing w:val="-7"/>
        </w:rPr>
        <w:t> </w:t>
      </w:r>
      <w:r>
        <w:rPr/>
        <w:t>asignación</w:t>
      </w:r>
      <w:r>
        <w:rPr>
          <w:spacing w:val="-5"/>
        </w:rPr>
        <w:t> </w:t>
      </w:r>
      <w:r>
        <w:rPr/>
        <w:t>de</w:t>
      </w:r>
      <w:r>
        <w:rPr>
          <w:spacing w:val="-4"/>
        </w:rPr>
        <w:t> </w:t>
      </w:r>
      <w:r>
        <w:rPr/>
        <w:t>valor</w:t>
      </w:r>
      <w:r>
        <w:rPr>
          <w:spacing w:val="-6"/>
        </w:rPr>
        <w:t> </w:t>
      </w:r>
      <w:r>
        <w:rPr/>
        <w:t>a</w:t>
      </w:r>
      <w:r>
        <w:rPr>
          <w:spacing w:val="-4"/>
        </w:rPr>
        <w:t> </w:t>
      </w:r>
      <w:r>
        <w:rPr/>
        <w:t>las</w:t>
      </w:r>
      <w:r>
        <w:rPr>
          <w:spacing w:val="-6"/>
        </w:rPr>
        <w:t> </w:t>
      </w:r>
      <w:r>
        <w:rPr>
          <w:spacing w:val="-2"/>
        </w:rPr>
        <w:t>existencias.</w:t>
      </w:r>
    </w:p>
    <w:p>
      <w:pPr>
        <w:pStyle w:val="BodyText"/>
        <w:spacing w:before="228"/>
        <w:ind w:left="1768" w:right="1336"/>
        <w:jc w:val="both"/>
      </w:pPr>
      <w:r>
        <w:rPr/>
        <w:t>Los impuestos indirectos que gravan las existencias sólo se incorporan al precio de adquisición o coste de producción cuando no son recuperables directamente de la Hacienda Pública.</w:t>
      </w:r>
    </w:p>
    <w:p>
      <w:pPr>
        <w:pStyle w:val="BodyText"/>
        <w:spacing w:before="2"/>
      </w:pPr>
    </w:p>
    <w:p>
      <w:pPr>
        <w:pStyle w:val="BodyText"/>
        <w:ind w:left="1768" w:right="1336"/>
        <w:jc w:val="both"/>
      </w:pPr>
      <w:r>
        <w:rPr/>
        <w:t>Dado que las existencias de la Sociedad no necesitan un periodo de tiempo superior a un año para estar en condiciones de ser vendidas, no se incluyen gastos financieros en el precio de adquisición o coste de producción.</w:t>
      </w:r>
    </w:p>
    <w:p>
      <w:pPr>
        <w:pStyle w:val="BodyText"/>
        <w:spacing w:before="229"/>
        <w:ind w:left="1768" w:right="1339"/>
        <w:jc w:val="both"/>
      </w:pPr>
      <w:r>
        <w:rPr/>
        <w:t>Los anticipos a proveedores a cuenta de suministros futuros de existencias se valoran por su coste.</w:t>
      </w:r>
    </w:p>
    <w:p>
      <w:pPr>
        <w:pStyle w:val="BodyText"/>
        <w:spacing w:before="229"/>
        <w:ind w:left="1768" w:right="1337"/>
        <w:jc w:val="both"/>
      </w:pPr>
      <w:r>
        <w:rPr/>
        <mc:AlternateContent>
          <mc:Choice Requires="wps">
            <w:drawing>
              <wp:anchor distT="0" distB="0" distL="0" distR="0" allowOverlap="1" layoutInCell="1" locked="0" behindDoc="0" simplePos="0" relativeHeight="15752192">
                <wp:simplePos x="0" y="0"/>
                <wp:positionH relativeFrom="page">
                  <wp:posOffset>6966436</wp:posOffset>
                </wp:positionH>
                <wp:positionV relativeFrom="paragraph">
                  <wp:posOffset>95810</wp:posOffset>
                </wp:positionV>
                <wp:extent cx="263525" cy="327596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544111pt;width:20.75pt;height:257.95pt;mso-position-horizontal-relative:page;mso-position-vertical-relative:paragraph;z-index:15752192" type="#_x0000_t202" id="docshape9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29</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valoración de los productos obsoletos, defectuosos o de lento movimiento se reduce a su posible valor de realización.</w:t>
      </w:r>
    </w:p>
    <w:p>
      <w:pPr>
        <w:pStyle w:val="BodyText"/>
        <w:spacing w:before="1"/>
      </w:pPr>
    </w:p>
    <w:p>
      <w:pPr>
        <w:pStyle w:val="BodyText"/>
        <w:ind w:left="1768" w:right="1336"/>
        <w:jc w:val="both"/>
      </w:pPr>
      <w:r>
        <w:rPr/>
        <w:t>Cuando el valor neto realizable</w:t>
      </w:r>
      <w:r>
        <w:rPr>
          <w:spacing w:val="-1"/>
        </w:rPr>
        <w:t> </w:t>
      </w:r>
      <w:r>
        <w:rPr/>
        <w:t>de las existencias es inferior a</w:t>
      </w:r>
      <w:r>
        <w:rPr>
          <w:spacing w:val="-1"/>
        </w:rPr>
        <w:t> </w:t>
      </w:r>
      <w:r>
        <w:rPr/>
        <w:t>su</w:t>
      </w:r>
      <w:r>
        <w:rPr>
          <w:spacing w:val="-1"/>
        </w:rPr>
        <w:t> </w:t>
      </w:r>
      <w:r>
        <w:rPr/>
        <w:t>precio</w:t>
      </w:r>
      <w:r>
        <w:rPr>
          <w:spacing w:val="-1"/>
        </w:rPr>
        <w:t> </w:t>
      </w:r>
      <w:r>
        <w:rPr/>
        <w:t>de adquisición o</w:t>
      </w:r>
      <w:r>
        <w:rPr>
          <w:spacing w:val="-1"/>
        </w:rPr>
        <w:t> </w:t>
      </w:r>
      <w:r>
        <w:rPr/>
        <w:t>a su coste de producción, se efectúan las oportunas correcciones valorativas reconociéndolas como un gasto en la cuenta de pérdidas y ganancias. Si dejan de existir las circunstancias que causaron la corrección del valor de las existencias, el importe de la corrección es objeto de reversión reconociéndolo como un ingreso en la cuenta de pérdidas y ganancias.</w:t>
      </w:r>
    </w:p>
    <w:p>
      <w:pPr>
        <w:pStyle w:val="BodyText"/>
        <w:spacing w:before="1"/>
      </w:pPr>
    </w:p>
    <w:p>
      <w:pPr>
        <w:pStyle w:val="ListParagraph"/>
        <w:numPr>
          <w:ilvl w:val="1"/>
          <w:numId w:val="13"/>
        </w:numPr>
        <w:tabs>
          <w:tab w:pos="2030" w:val="left" w:leader="none"/>
        </w:tabs>
        <w:spacing w:line="240" w:lineRule="auto" w:before="0" w:after="0"/>
        <w:ind w:left="2030" w:right="0" w:hanging="329"/>
        <w:jc w:val="left"/>
        <w:rPr>
          <w:sz w:val="20"/>
          <w:u w:val="single"/>
        </w:rPr>
      </w:pPr>
      <w:r>
        <w:rPr>
          <w:spacing w:val="-7"/>
          <w:sz w:val="20"/>
          <w:u w:val="single"/>
        </w:rPr>
        <w:t> </w:t>
      </w:r>
      <w:r>
        <w:rPr>
          <w:sz w:val="20"/>
          <w:u w:val="single"/>
        </w:rPr>
        <w:t>Transacciones</w:t>
      </w:r>
      <w:r>
        <w:rPr>
          <w:spacing w:val="-6"/>
          <w:sz w:val="20"/>
          <w:u w:val="single"/>
        </w:rPr>
        <w:t> </w:t>
      </w:r>
      <w:r>
        <w:rPr>
          <w:sz w:val="20"/>
          <w:u w:val="single"/>
        </w:rPr>
        <w:t>en</w:t>
      </w:r>
      <w:r>
        <w:rPr>
          <w:spacing w:val="-7"/>
          <w:sz w:val="20"/>
          <w:u w:val="single"/>
        </w:rPr>
        <w:t> </w:t>
      </w:r>
      <w:r>
        <w:rPr>
          <w:sz w:val="20"/>
          <w:u w:val="single"/>
        </w:rPr>
        <w:t>moneda</w:t>
      </w:r>
      <w:r>
        <w:rPr>
          <w:spacing w:val="-5"/>
          <w:sz w:val="20"/>
          <w:u w:val="single"/>
        </w:rPr>
        <w:t> </w:t>
      </w:r>
      <w:r>
        <w:rPr>
          <w:spacing w:val="-2"/>
          <w:sz w:val="20"/>
          <w:u w:val="single"/>
        </w:rPr>
        <w:t>extranjera.</w:t>
      </w:r>
    </w:p>
    <w:p>
      <w:pPr>
        <w:pStyle w:val="BodyText"/>
        <w:spacing w:before="228"/>
        <w:ind w:left="1795" w:right="1312"/>
        <w:jc w:val="both"/>
      </w:pPr>
      <w:r>
        <w:rPr/>
        <w:t>Las operaciones realizadas en moneda extranjera se registran en la moneda funcional de la Sociedad (euros) a los tipos de cambio vigentes en el momento de la transacción. Durante el ejercicio, las diferencias que se producen entre el tipo de cambio contabilizado</w:t>
      </w:r>
      <w:r>
        <w:rPr>
          <w:spacing w:val="40"/>
        </w:rPr>
        <w:t> </w:t>
      </w:r>
      <w:r>
        <w:rPr/>
        <w:t>y el que se encuentra en vigor a la fecha de cobro o de pago se registran como resultados financieros en la cuenta de resultados. La sociedad no ha cambiado en el ejercicio la moneda funcional que es el euro.</w:t>
      </w:r>
    </w:p>
    <w:p>
      <w:pPr>
        <w:pStyle w:val="BodyText"/>
        <w:spacing w:before="1"/>
      </w:pPr>
    </w:p>
    <w:p>
      <w:pPr>
        <w:pStyle w:val="BodyText"/>
        <w:ind w:left="1795"/>
        <w:jc w:val="both"/>
      </w:pPr>
      <w:r>
        <w:rPr/>
        <w:t>No</w:t>
      </w:r>
      <w:r>
        <w:rPr>
          <w:spacing w:val="-8"/>
        </w:rPr>
        <w:t> </w:t>
      </w:r>
      <w:r>
        <w:rPr/>
        <w:t>se</w:t>
      </w:r>
      <w:r>
        <w:rPr>
          <w:spacing w:val="-7"/>
        </w:rPr>
        <w:t> </w:t>
      </w:r>
      <w:r>
        <w:rPr/>
        <w:t>han</w:t>
      </w:r>
      <w:r>
        <w:rPr>
          <w:spacing w:val="-6"/>
        </w:rPr>
        <w:t> </w:t>
      </w:r>
      <w:r>
        <w:rPr/>
        <w:t>registrado</w:t>
      </w:r>
      <w:r>
        <w:rPr>
          <w:spacing w:val="-7"/>
        </w:rPr>
        <w:t> </w:t>
      </w:r>
      <w:r>
        <w:rPr/>
        <w:t>operaciones</w:t>
      </w:r>
      <w:r>
        <w:rPr>
          <w:spacing w:val="-4"/>
        </w:rPr>
        <w:t> </w:t>
      </w:r>
      <w:r>
        <w:rPr/>
        <w:t>en</w:t>
      </w:r>
      <w:r>
        <w:rPr>
          <w:spacing w:val="-8"/>
        </w:rPr>
        <w:t> </w:t>
      </w:r>
      <w:r>
        <w:rPr/>
        <w:t>moneda</w:t>
      </w:r>
      <w:r>
        <w:rPr>
          <w:spacing w:val="-3"/>
        </w:rPr>
        <w:t> </w:t>
      </w:r>
      <w:r>
        <w:rPr/>
        <w:t>extranjera</w:t>
      </w:r>
      <w:r>
        <w:rPr>
          <w:spacing w:val="-7"/>
        </w:rPr>
        <w:t> </w:t>
      </w:r>
      <w:r>
        <w:rPr/>
        <w:t>en</w:t>
      </w:r>
      <w:r>
        <w:rPr>
          <w:spacing w:val="-6"/>
        </w:rPr>
        <w:t> </w:t>
      </w:r>
      <w:r>
        <w:rPr/>
        <w:t>el</w:t>
      </w:r>
      <w:r>
        <w:rPr>
          <w:spacing w:val="-8"/>
        </w:rPr>
        <w:t> </w:t>
      </w:r>
      <w:r>
        <w:rPr/>
        <w:t>ejercicio</w:t>
      </w:r>
      <w:r>
        <w:rPr>
          <w:spacing w:val="-6"/>
        </w:rPr>
        <w:t> </w:t>
      </w:r>
      <w:r>
        <w:rPr>
          <w:spacing w:val="-2"/>
        </w:rPr>
        <w:t>2025.</w:t>
      </w:r>
    </w:p>
    <w:p>
      <w:pPr>
        <w:pStyle w:val="BodyText"/>
        <w:spacing w:after="0"/>
        <w:jc w:val="both"/>
        <w:sectPr>
          <w:pgSz w:w="11910" w:h="16840"/>
          <w:pgMar w:header="286" w:footer="1060" w:top="1920" w:bottom="1260" w:left="360" w:right="360"/>
        </w:sectPr>
      </w:pPr>
    </w:p>
    <w:p>
      <w:pPr>
        <w:pStyle w:val="BodyText"/>
        <w:spacing w:before="201"/>
      </w:pPr>
    </w:p>
    <w:p>
      <w:pPr>
        <w:pStyle w:val="ListParagraph"/>
        <w:numPr>
          <w:ilvl w:val="1"/>
          <w:numId w:val="13"/>
        </w:numPr>
        <w:tabs>
          <w:tab w:pos="2030" w:val="left" w:leader="none"/>
        </w:tabs>
        <w:spacing w:line="240" w:lineRule="auto" w:before="0" w:after="0"/>
        <w:ind w:left="2030" w:right="0" w:hanging="329"/>
        <w:jc w:val="left"/>
        <w:rPr>
          <w:sz w:val="20"/>
          <w:u w:val="single"/>
        </w:rPr>
      </w:pPr>
      <w:r>
        <w:rPr>
          <w:spacing w:val="-5"/>
          <w:sz w:val="20"/>
          <w:u w:val="single"/>
        </w:rPr>
        <w:t> </w:t>
      </w:r>
      <w:r>
        <w:rPr>
          <w:sz w:val="20"/>
          <w:u w:val="single"/>
        </w:rPr>
        <w:t>Impuesto</w:t>
      </w:r>
      <w:r>
        <w:rPr>
          <w:spacing w:val="-5"/>
          <w:sz w:val="20"/>
          <w:u w:val="single"/>
        </w:rPr>
        <w:t> </w:t>
      </w:r>
      <w:r>
        <w:rPr>
          <w:sz w:val="20"/>
          <w:u w:val="single"/>
        </w:rPr>
        <w:t>sobre</w:t>
      </w:r>
      <w:r>
        <w:rPr>
          <w:spacing w:val="-6"/>
          <w:sz w:val="20"/>
          <w:u w:val="single"/>
        </w:rPr>
        <w:t> </w:t>
      </w:r>
      <w:r>
        <w:rPr>
          <w:spacing w:val="-2"/>
          <w:sz w:val="20"/>
          <w:u w:val="single"/>
        </w:rPr>
        <w:t>beneficios</w:t>
      </w:r>
      <w:r>
        <w:rPr>
          <w:spacing w:val="-2"/>
          <w:sz w:val="20"/>
          <w:u w:val="none"/>
        </w:rPr>
        <w:t>.</w:t>
      </w:r>
    </w:p>
    <w:p>
      <w:pPr>
        <w:pStyle w:val="BodyText"/>
        <w:spacing w:before="229"/>
        <w:ind w:left="1768" w:right="1338"/>
        <w:jc w:val="both"/>
      </w:pPr>
      <w:r>
        <w:rPr/>
        <w:t>El impuesto sobre beneficios se determina mediante la suma del gasto por impuesto corriente y el impuesto diferido. El gasto por impuesto corriente se determina aplicando el tipo de gravamen vigente a la ganancia fiscal, y minorando el resultado así obtenido en el importe de las bonificaciones y deducciones generales y aplicadas en el ejercicio.</w:t>
      </w:r>
    </w:p>
    <w:p>
      <w:pPr>
        <w:pStyle w:val="BodyText"/>
        <w:spacing w:before="229"/>
        <w:ind w:left="1768" w:right="1336"/>
        <w:jc w:val="both"/>
      </w:pPr>
      <w:r>
        <w:rPr/>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pPr>
        <w:pStyle w:val="BodyText"/>
      </w:pPr>
    </w:p>
    <w:p>
      <w:pPr>
        <w:pStyle w:val="BodyText"/>
        <w:spacing w:before="1"/>
        <w:ind w:left="1768" w:right="1336"/>
        <w:jc w:val="both"/>
      </w:pPr>
      <w:r>
        <w:rPr/>
        <w:t>Los activos por impuestos diferidos surgen, igualmente, como consecuencia de las bases imponibles negativas pendientes de compensar y de los créditos por deducciones fiscales generadas y no aplicadas.</w:t>
      </w:r>
    </w:p>
    <w:p>
      <w:pPr>
        <w:pStyle w:val="BodyText"/>
        <w:spacing w:before="1"/>
      </w:pPr>
    </w:p>
    <w:p>
      <w:pPr>
        <w:pStyle w:val="BodyText"/>
        <w:ind w:left="1768" w:right="1335"/>
        <w:jc w:val="both"/>
      </w:pPr>
      <w:r>
        <w:rPr/>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pPr>
        <w:pStyle w:val="BodyText"/>
      </w:pPr>
    </w:p>
    <w:p>
      <w:pPr>
        <w:pStyle w:val="BodyText"/>
        <w:ind w:left="1768" w:right="1335"/>
        <w:jc w:val="both"/>
      </w:pPr>
      <w:r>
        <w:rPr/>
        <w:t>Por su parte, los activos por impuestos diferidos, identificados con diferencias temporarias deducibles, solo se reconocen en el caso de que se considere probable que la Sociedad</w:t>
      </w:r>
      <w:r>
        <w:rPr>
          <w:spacing w:val="40"/>
        </w:rPr>
        <w:t> </w:t>
      </w:r>
      <w:r>
        <w:rPr/>
        <w:t>va a tener en el futuro suficientes ganancias fiscales contra las que poder hacerlos efectivos y no procedan del reconocimiento inicial de otros activos y pasivos en una operación</w:t>
      </w:r>
      <w:r>
        <w:rPr>
          <w:spacing w:val="-1"/>
        </w:rPr>
        <w:t> </w:t>
      </w:r>
      <w:r>
        <w:rPr/>
        <w:t>que</w:t>
      </w:r>
      <w:r>
        <w:rPr>
          <w:spacing w:val="-3"/>
        </w:rPr>
        <w:t> </w:t>
      </w:r>
      <w:r>
        <w:rPr/>
        <w:t>no</w:t>
      </w:r>
      <w:r>
        <w:rPr>
          <w:spacing w:val="-1"/>
        </w:rPr>
        <w:t> </w:t>
      </w:r>
      <w:r>
        <w:rPr/>
        <w:t>sea</w:t>
      </w:r>
      <w:r>
        <w:rPr>
          <w:spacing w:val="-1"/>
        </w:rPr>
        <w:t> </w:t>
      </w:r>
      <w:r>
        <w:rPr/>
        <w:t>una</w:t>
      </w:r>
      <w:r>
        <w:rPr>
          <w:spacing w:val="-3"/>
        </w:rPr>
        <w:t> </w:t>
      </w:r>
      <w:r>
        <w:rPr/>
        <w:t>combinación</w:t>
      </w:r>
      <w:r>
        <w:rPr>
          <w:spacing w:val="-1"/>
        </w:rPr>
        <w:t> </w:t>
      </w:r>
      <w:r>
        <w:rPr/>
        <w:t>de</w:t>
      </w:r>
      <w:r>
        <w:rPr>
          <w:spacing w:val="-1"/>
        </w:rPr>
        <w:t> </w:t>
      </w:r>
      <w:r>
        <w:rPr/>
        <w:t>negocios y</w:t>
      </w:r>
      <w:r>
        <w:rPr>
          <w:spacing w:val="-6"/>
        </w:rPr>
        <w:t> </w:t>
      </w:r>
      <w:r>
        <w:rPr/>
        <w:t>que</w:t>
      </w:r>
      <w:r>
        <w:rPr>
          <w:spacing w:val="-3"/>
        </w:rPr>
        <w:t> </w:t>
      </w:r>
      <w:r>
        <w:rPr/>
        <w:t>no</w:t>
      </w:r>
      <w:r>
        <w:rPr>
          <w:spacing w:val="-1"/>
        </w:rPr>
        <w:t> </w:t>
      </w:r>
      <w:r>
        <w:rPr/>
        <w:t>afecta</w:t>
      </w:r>
      <w:r>
        <w:rPr>
          <w:spacing w:val="-4"/>
        </w:rPr>
        <w:t> </w:t>
      </w:r>
      <w:r>
        <w:rPr/>
        <w:t>ni</w:t>
      </w:r>
      <w:r>
        <w:rPr>
          <w:spacing w:val="-4"/>
        </w:rPr>
        <w:t> </w:t>
      </w:r>
      <w:r>
        <w:rPr/>
        <w:t>al</w:t>
      </w:r>
      <w:r>
        <w:rPr>
          <w:spacing w:val="-2"/>
        </w:rPr>
        <w:t> </w:t>
      </w:r>
      <w:r>
        <w:rPr/>
        <w:t>resultado</w:t>
      </w:r>
      <w:r>
        <w:rPr>
          <w:spacing w:val="-5"/>
        </w:rPr>
        <w:t> </w:t>
      </w:r>
      <w:r>
        <w:rPr/>
        <w:t>fiscal</w:t>
      </w:r>
      <w:r>
        <w:rPr>
          <w:spacing w:val="-1"/>
        </w:rPr>
        <w:t> </w:t>
      </w:r>
      <w:r>
        <w:rPr/>
        <w:t>ni al resultado contable. El resto de los activos por impuestos diferidos (bases imponibles negativas y deducciones pendientes de compensar) solamente se reconocen en el caso</w:t>
      </w:r>
      <w:r>
        <w:rPr>
          <w:spacing w:val="40"/>
        </w:rPr>
        <w:t> </w:t>
      </w:r>
      <w:r>
        <w:rPr/>
        <w:t>de que se considere probable que la Sociedad vaya a tener en el futuro suficientes ganancias fiscales contra las que poder hacerlos efectivos.</w:t>
      </w:r>
    </w:p>
    <w:p>
      <w:pPr>
        <w:pStyle w:val="BodyText"/>
      </w:pPr>
    </w:p>
    <w:p>
      <w:pPr>
        <w:pStyle w:val="BodyText"/>
        <w:ind w:left="1768" w:right="1339"/>
        <w:jc w:val="both"/>
      </w:pPr>
      <w:r>
        <w:rPr/>
        <mc:AlternateContent>
          <mc:Choice Requires="wps">
            <w:drawing>
              <wp:anchor distT="0" distB="0" distL="0" distR="0" allowOverlap="1" layoutInCell="1" locked="0" behindDoc="0" simplePos="0" relativeHeight="15752704">
                <wp:simplePos x="0" y="0"/>
                <wp:positionH relativeFrom="page">
                  <wp:posOffset>6966436</wp:posOffset>
                </wp:positionH>
                <wp:positionV relativeFrom="paragraph">
                  <wp:posOffset>241225</wp:posOffset>
                </wp:positionV>
                <wp:extent cx="263525" cy="327596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8.994112pt;width:20.75pt;height:257.95pt;mso-position-horizontal-relative:page;mso-position-vertical-relative:paragraph;z-index:15752704" type="#_x0000_t202" id="docshape9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Con ocasión de cada cierre contable, se revisan los impuestos diferidos registrados (tanto activos como pasivos) con objeto de comprobar que se mantienen vigentes, efectuándose las oportunas correcciones a los mismos, de acuerdo con los resultados de los análisis </w:t>
      </w:r>
      <w:r>
        <w:rPr>
          <w:spacing w:val="-2"/>
        </w:rPr>
        <w:t>realizados.</w:t>
      </w:r>
    </w:p>
    <w:p>
      <w:pPr>
        <w:pStyle w:val="BodyText"/>
        <w:spacing w:before="229"/>
        <w:ind w:left="1768" w:right="1335"/>
        <w:jc w:val="both"/>
      </w:pPr>
      <w:r>
        <w:rPr/>
        <w:t>El gasto o el ingreso por impuesto diferido se corresponde con el reconocimiento y la cancelación de los pasivos y activos por impuesto diferido, así como, en su caso, por el reconocimiento e</w:t>
      </w:r>
      <w:r>
        <w:rPr>
          <w:spacing w:val="-1"/>
        </w:rPr>
        <w:t> </w:t>
      </w:r>
      <w:r>
        <w:rPr/>
        <w:t>imputación</w:t>
      </w:r>
      <w:r>
        <w:rPr>
          <w:spacing w:val="-3"/>
        </w:rPr>
        <w:t> </w:t>
      </w:r>
      <w:r>
        <w:rPr/>
        <w:t>a</w:t>
      </w:r>
      <w:r>
        <w:rPr>
          <w:spacing w:val="-1"/>
        </w:rPr>
        <w:t> </w:t>
      </w:r>
      <w:r>
        <w:rPr/>
        <w:t>la</w:t>
      </w:r>
      <w:r>
        <w:rPr>
          <w:spacing w:val="-3"/>
        </w:rPr>
        <w:t> </w:t>
      </w:r>
      <w:r>
        <w:rPr/>
        <w:t>cuenta de pérdidas y</w:t>
      </w:r>
      <w:r>
        <w:rPr>
          <w:spacing w:val="-3"/>
        </w:rPr>
        <w:t> </w:t>
      </w:r>
      <w:r>
        <w:rPr/>
        <w:t>ganancias del</w:t>
      </w:r>
      <w:r>
        <w:rPr>
          <w:spacing w:val="-4"/>
        </w:rPr>
        <w:t> </w:t>
      </w:r>
      <w:r>
        <w:rPr/>
        <w:t>ingreso directamente imputado al patrimonio neto que pueda resultar de la contabilización de aquellas deducciones y otras ventajas fiscales que tengan la naturaleza económica de subvención.</w:t>
      </w:r>
    </w:p>
    <w:p>
      <w:pPr>
        <w:pStyle w:val="BodyText"/>
      </w:pPr>
    </w:p>
    <w:p>
      <w:pPr>
        <w:pStyle w:val="BodyText"/>
        <w:spacing w:before="1"/>
        <w:ind w:left="1768" w:right="1340"/>
        <w:jc w:val="both"/>
      </w:pPr>
      <w:r>
        <w:rPr/>
        <w:t>La empresa se encuentra bonificada en un 99%, según el artículo 34 de Ley 27/2014, de 27 de noviembre, del Impuesto sobre Sociedades.</w:t>
      </w:r>
    </w:p>
    <w:p>
      <w:pPr>
        <w:pStyle w:val="ListParagraph"/>
        <w:numPr>
          <w:ilvl w:val="1"/>
          <w:numId w:val="13"/>
        </w:numPr>
        <w:tabs>
          <w:tab w:pos="2140" w:val="left" w:leader="none"/>
        </w:tabs>
        <w:spacing w:line="240" w:lineRule="auto" w:before="228" w:after="0"/>
        <w:ind w:left="2140" w:right="0" w:hanging="439"/>
        <w:jc w:val="left"/>
        <w:rPr>
          <w:sz w:val="20"/>
          <w:u w:val="single"/>
        </w:rPr>
      </w:pPr>
      <w:r>
        <w:rPr>
          <w:spacing w:val="-2"/>
          <w:sz w:val="20"/>
          <w:u w:val="single"/>
        </w:rPr>
        <w:t> </w:t>
      </w:r>
      <w:r>
        <w:rPr>
          <w:sz w:val="20"/>
          <w:u w:val="single"/>
        </w:rPr>
        <w:t>Ingresos</w:t>
      </w:r>
      <w:r>
        <w:rPr>
          <w:spacing w:val="1"/>
          <w:sz w:val="20"/>
          <w:u w:val="single"/>
        </w:rPr>
        <w:t> </w:t>
      </w:r>
      <w:r>
        <w:rPr>
          <w:sz w:val="20"/>
          <w:u w:val="single"/>
        </w:rPr>
        <w:t>y</w:t>
      </w:r>
      <w:r>
        <w:rPr>
          <w:spacing w:val="-8"/>
          <w:sz w:val="20"/>
          <w:u w:val="single"/>
        </w:rPr>
        <w:t> </w:t>
      </w:r>
      <w:r>
        <w:rPr>
          <w:spacing w:val="-2"/>
          <w:sz w:val="20"/>
          <w:u w:val="single"/>
        </w:rPr>
        <w:t>gastos.</w:t>
      </w:r>
    </w:p>
    <w:p>
      <w:pPr>
        <w:pStyle w:val="BodyText"/>
        <w:spacing w:before="1"/>
      </w:pPr>
    </w:p>
    <w:p>
      <w:pPr>
        <w:pStyle w:val="BodyText"/>
        <w:ind w:left="1768" w:right="1334"/>
        <w:jc w:val="both"/>
      </w:pPr>
      <w:r>
        <w:rPr/>
        <w:t>La empresa reconoce los ingresos por el desarrollo ordinario de su actividad cuando se produce la transferencia del control de los servicios comprometidos con los clientes. En</w:t>
      </w:r>
      <w:r>
        <w:rPr>
          <w:spacing w:val="40"/>
        </w:rPr>
        <w:t> </w:t>
      </w:r>
      <w:r>
        <w:rPr/>
        <w:t>ese momento, la empresa</w:t>
      </w:r>
      <w:r>
        <w:rPr>
          <w:spacing w:val="-2"/>
        </w:rPr>
        <w:t> </w:t>
      </w:r>
      <w:r>
        <w:rPr/>
        <w:t>valorará el ingreso por el importe que refleja la contraprestación a la que espera tener derecho a cambio de dichos bienes o servicios</w:t>
      </w:r>
    </w:p>
    <w:p>
      <w:pPr>
        <w:pStyle w:val="BodyText"/>
      </w:pPr>
    </w:p>
    <w:p>
      <w:pPr>
        <w:pStyle w:val="BodyText"/>
        <w:ind w:left="1768" w:right="1334"/>
        <w:jc w:val="both"/>
      </w:pPr>
      <w:r>
        <w:rPr/>
        <w:t>Para cada obligación a cumplir (entrega de bienes o prestación de servicios) que se identifica,</w:t>
      </w:r>
      <w:r>
        <w:rPr>
          <w:spacing w:val="28"/>
        </w:rPr>
        <w:t> </w:t>
      </w:r>
      <w:r>
        <w:rPr/>
        <w:t>la</w:t>
      </w:r>
      <w:r>
        <w:rPr>
          <w:spacing w:val="30"/>
        </w:rPr>
        <w:t> </w:t>
      </w:r>
      <w:r>
        <w:rPr/>
        <w:t>empresa</w:t>
      </w:r>
      <w:r>
        <w:rPr>
          <w:spacing w:val="29"/>
        </w:rPr>
        <w:t> </w:t>
      </w:r>
      <w:r>
        <w:rPr/>
        <w:t>determina</w:t>
      </w:r>
      <w:r>
        <w:rPr>
          <w:spacing w:val="28"/>
        </w:rPr>
        <w:t> </w:t>
      </w:r>
      <w:r>
        <w:rPr/>
        <w:t>al</w:t>
      </w:r>
      <w:r>
        <w:rPr>
          <w:spacing w:val="28"/>
        </w:rPr>
        <w:t> </w:t>
      </w:r>
      <w:r>
        <w:rPr/>
        <w:t>comienzo</w:t>
      </w:r>
      <w:r>
        <w:rPr>
          <w:spacing w:val="29"/>
        </w:rPr>
        <w:t> </w:t>
      </w:r>
      <w:r>
        <w:rPr/>
        <w:t>del</w:t>
      </w:r>
      <w:r>
        <w:rPr>
          <w:spacing w:val="28"/>
        </w:rPr>
        <w:t> </w:t>
      </w:r>
      <w:r>
        <w:rPr/>
        <w:t>contrato</w:t>
      </w:r>
      <w:r>
        <w:rPr>
          <w:spacing w:val="29"/>
        </w:rPr>
        <w:t> </w:t>
      </w:r>
      <w:r>
        <w:rPr/>
        <w:t>si</w:t>
      </w:r>
      <w:r>
        <w:rPr>
          <w:spacing w:val="30"/>
        </w:rPr>
        <w:t> </w:t>
      </w:r>
      <w:r>
        <w:rPr/>
        <w:t>el</w:t>
      </w:r>
      <w:r>
        <w:rPr>
          <w:spacing w:val="28"/>
        </w:rPr>
        <w:t> </w:t>
      </w:r>
      <w:r>
        <w:rPr/>
        <w:t>compromiso</w:t>
      </w:r>
      <w:r>
        <w:rPr>
          <w:spacing w:val="29"/>
        </w:rPr>
        <w:t> </w:t>
      </w:r>
      <w:r>
        <w:rPr/>
        <w:t>asumido</w:t>
      </w:r>
      <w:r>
        <w:rPr>
          <w:spacing w:val="30"/>
        </w:rPr>
        <w:t> </w:t>
      </w:r>
      <w:r>
        <w:rPr/>
        <w:t>se</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768" w:right="1334"/>
        <w:jc w:val="both"/>
      </w:pPr>
      <w:r>
        <w:rPr/>
        <w:t>cumplirá a lo largo del tiempo o en un momento determinado. En cuanto a la actividad de</w:t>
      </w:r>
      <w:r>
        <w:rPr>
          <w:spacing w:val="40"/>
        </w:rPr>
        <w:t> </w:t>
      </w:r>
      <w:r>
        <w:rPr/>
        <w:t>la sociedad, prestación del servicio de transporte público, se entiende que el compromiso adquirido se cumplirá en un momento determinado, cuando se hace uso del servicio.</w:t>
      </w:r>
    </w:p>
    <w:p>
      <w:pPr>
        <w:pStyle w:val="BodyText"/>
        <w:spacing w:before="230"/>
        <w:ind w:left="1795" w:right="1310"/>
        <w:jc w:val="both"/>
      </w:pPr>
      <w:r>
        <w:rPr/>
        <w:t>Para</w:t>
      </w:r>
      <w:r>
        <w:rPr>
          <w:spacing w:val="-1"/>
        </w:rPr>
        <w:t> </w:t>
      </w:r>
      <w:r>
        <w:rPr/>
        <w:t>los productos que</w:t>
      </w:r>
      <w:r>
        <w:rPr>
          <w:spacing w:val="-3"/>
        </w:rPr>
        <w:t> </w:t>
      </w:r>
      <w:r>
        <w:rPr/>
        <w:t>pueden ser utilizados en varios</w:t>
      </w:r>
      <w:r>
        <w:rPr>
          <w:spacing w:val="-2"/>
        </w:rPr>
        <w:t> </w:t>
      </w:r>
      <w:r>
        <w:rPr/>
        <w:t>meses,</w:t>
      </w:r>
      <w:r>
        <w:rPr>
          <w:spacing w:val="-1"/>
        </w:rPr>
        <w:t> </w:t>
      </w:r>
      <w:r>
        <w:rPr/>
        <w:t>el ingreso</w:t>
      </w:r>
      <w:r>
        <w:rPr>
          <w:spacing w:val="-3"/>
        </w:rPr>
        <w:t> </w:t>
      </w:r>
      <w:r>
        <w:rPr/>
        <w:t>se</w:t>
      </w:r>
      <w:r>
        <w:rPr>
          <w:spacing w:val="-3"/>
        </w:rPr>
        <w:t> </w:t>
      </w:r>
      <w:r>
        <w:rPr/>
        <w:t>contabiliza en el momento que el producto es usado por el usuario, transferencia de control, y no en el momento en que se le vende el título.</w:t>
      </w:r>
    </w:p>
    <w:p>
      <w:pPr>
        <w:pStyle w:val="BodyText"/>
        <w:ind w:left="1768" w:right="1334"/>
        <w:jc w:val="both"/>
      </w:pPr>
      <w:r>
        <w:rPr/>
        <w:t>Los ingresos ordinarios</w:t>
      </w:r>
      <w:r>
        <w:rPr>
          <w:spacing w:val="-1"/>
        </w:rPr>
        <w:t> </w:t>
      </w:r>
      <w:r>
        <w:rPr/>
        <w:t>procedentes de</w:t>
      </w:r>
      <w:r>
        <w:rPr>
          <w:spacing w:val="-1"/>
        </w:rPr>
        <w:t> </w:t>
      </w:r>
      <w:r>
        <w:rPr/>
        <w:t>la</w:t>
      </w:r>
      <w:r>
        <w:rPr>
          <w:spacing w:val="-3"/>
        </w:rPr>
        <w:t> </w:t>
      </w:r>
      <w:r>
        <w:rPr/>
        <w:t>prestación</w:t>
      </w:r>
      <w:r>
        <w:rPr>
          <w:spacing w:val="-3"/>
        </w:rPr>
        <w:t> </w:t>
      </w:r>
      <w:r>
        <w:rPr/>
        <w:t>de</w:t>
      </w:r>
      <w:r>
        <w:rPr>
          <w:spacing w:val="-3"/>
        </w:rPr>
        <w:t> </w:t>
      </w:r>
      <w:r>
        <w:rPr/>
        <w:t>servicios se</w:t>
      </w:r>
      <w:r>
        <w:rPr>
          <w:spacing w:val="-1"/>
        </w:rPr>
        <w:t> </w:t>
      </w:r>
      <w:r>
        <w:rPr/>
        <w:t>valoran</w:t>
      </w:r>
      <w:r>
        <w:rPr>
          <w:spacing w:val="-3"/>
        </w:rPr>
        <w:t> </w:t>
      </w:r>
      <w:r>
        <w:rPr/>
        <w:t>por el</w:t>
      </w:r>
      <w:r>
        <w:rPr>
          <w:spacing w:val="-4"/>
        </w:rPr>
        <w:t> </w:t>
      </w:r>
      <w:r>
        <w:rPr/>
        <w:t>importe monetario que se espere recibir, derivada de la misma, que, salvo evidencia en contrario, es el precio acordado para la prestación de servicios al cliente, deducido: el importe de cualquier descuento, rebaja en el precio u otras partidas similares que la empresa pueda conceder, así como los intereses incorporados al nominal de los créditos. No obstante, podrán incluirse los intereses incorporados a los créditos comerciales con vencimiento no superior a un año que no tengan un tipo de interés contractual, cuando el efecto de no actualizar los flujos de efectivo no es significativo.</w:t>
      </w:r>
    </w:p>
    <w:p>
      <w:pPr>
        <w:pStyle w:val="BodyText"/>
      </w:pPr>
    </w:p>
    <w:p>
      <w:pPr>
        <w:pStyle w:val="BodyText"/>
        <w:ind w:left="1768" w:right="1336"/>
        <w:jc w:val="both"/>
      </w:pPr>
      <w:r>
        <w:rPr/>
        <w:t>No forman parte de los ingresos los impuestos que gravan las operaciones de entrega de bienes y prestación de servicios que la empresa debe repercutir a terceros como el impuesto sobre el valor añadido y los impuestos especiales, así como las cantidades recibidas por cuenta de terceros.</w:t>
      </w:r>
    </w:p>
    <w:p>
      <w:pPr>
        <w:pStyle w:val="BodyText"/>
        <w:spacing w:before="229"/>
        <w:ind w:left="1768" w:right="1339"/>
        <w:jc w:val="both"/>
      </w:pPr>
      <w:r>
        <w:rPr/>
        <w:t>La empresa toma en cuenta en la valoración del ingreso la mejor estimación de la contraprestación variable si es altamente probable que no se produzca una reversión significativa del importe del ingreso reconocido cuando posteriormente se resuelva la incertidumbre asociada a la citada contraprestación.</w:t>
      </w:r>
    </w:p>
    <w:p>
      <w:pPr>
        <w:pStyle w:val="BodyText"/>
      </w:pPr>
    </w:p>
    <w:p>
      <w:pPr>
        <w:pStyle w:val="BodyText"/>
        <w:ind w:left="1795" w:right="1311"/>
        <w:jc w:val="both"/>
      </w:pPr>
      <w:r>
        <w:rPr/>
        <w:t>Las subvenciones tarifarias son consideradas como mayor importe de los ingresos por prestación de servicios.</w:t>
      </w:r>
    </w:p>
    <w:p>
      <w:pPr>
        <w:pStyle w:val="BodyText"/>
        <w:spacing w:before="1"/>
      </w:pPr>
    </w:p>
    <w:p>
      <w:pPr>
        <w:pStyle w:val="BodyText"/>
        <w:ind w:left="1768"/>
        <w:jc w:val="both"/>
      </w:pPr>
      <w:r>
        <w:rPr/>
        <w:t>Los</w:t>
      </w:r>
      <w:r>
        <w:rPr>
          <w:spacing w:val="-6"/>
        </w:rPr>
        <w:t> </w:t>
      </w:r>
      <w:r>
        <w:rPr/>
        <w:t>anticipos</w:t>
      </w:r>
      <w:r>
        <w:rPr>
          <w:spacing w:val="-5"/>
        </w:rPr>
        <w:t> </w:t>
      </w:r>
      <w:r>
        <w:rPr/>
        <w:t>a</w:t>
      </w:r>
      <w:r>
        <w:rPr>
          <w:spacing w:val="-7"/>
        </w:rPr>
        <w:t> </w:t>
      </w:r>
      <w:r>
        <w:rPr/>
        <w:t>cuenta</w:t>
      </w:r>
      <w:r>
        <w:rPr>
          <w:spacing w:val="-5"/>
        </w:rPr>
        <w:t> </w:t>
      </w:r>
      <w:r>
        <w:rPr/>
        <w:t>de</w:t>
      </w:r>
      <w:r>
        <w:rPr>
          <w:spacing w:val="-4"/>
        </w:rPr>
        <w:t> </w:t>
      </w:r>
      <w:r>
        <w:rPr/>
        <w:t>ventas</w:t>
      </w:r>
      <w:r>
        <w:rPr>
          <w:spacing w:val="-6"/>
        </w:rPr>
        <w:t> </w:t>
      </w:r>
      <w:r>
        <w:rPr/>
        <w:t>futuras</w:t>
      </w:r>
      <w:r>
        <w:rPr>
          <w:spacing w:val="-6"/>
        </w:rPr>
        <w:t> </w:t>
      </w:r>
      <w:r>
        <w:rPr/>
        <w:t>figuran</w:t>
      </w:r>
      <w:r>
        <w:rPr>
          <w:spacing w:val="-4"/>
        </w:rPr>
        <w:t> </w:t>
      </w:r>
      <w:r>
        <w:rPr/>
        <w:t>valorados</w:t>
      </w:r>
      <w:r>
        <w:rPr>
          <w:spacing w:val="-5"/>
        </w:rPr>
        <w:t> </w:t>
      </w:r>
      <w:r>
        <w:rPr/>
        <w:t>por</w:t>
      </w:r>
      <w:r>
        <w:rPr>
          <w:spacing w:val="-5"/>
        </w:rPr>
        <w:t> </w:t>
      </w:r>
      <w:r>
        <w:rPr/>
        <w:t>el</w:t>
      </w:r>
      <w:r>
        <w:rPr>
          <w:spacing w:val="-4"/>
        </w:rPr>
        <w:t> </w:t>
      </w:r>
      <w:r>
        <w:rPr/>
        <w:t>valor</w:t>
      </w:r>
      <w:r>
        <w:rPr>
          <w:spacing w:val="-6"/>
        </w:rPr>
        <w:t> </w:t>
      </w:r>
      <w:r>
        <w:rPr>
          <w:spacing w:val="-2"/>
        </w:rPr>
        <w:t>recibido.</w:t>
      </w:r>
    </w:p>
    <w:p>
      <w:pPr>
        <w:pStyle w:val="BodyText"/>
        <w:spacing w:before="229"/>
        <w:ind w:left="1768" w:right="1337"/>
        <w:jc w:val="both"/>
      </w:pPr>
      <w:r>
        <w:rPr/>
        <mc:AlternateContent>
          <mc:Choice Requires="wps">
            <w:drawing>
              <wp:anchor distT="0" distB="0" distL="0" distR="0" allowOverlap="1" layoutInCell="1" locked="0" behindDoc="0" simplePos="0" relativeHeight="15753216">
                <wp:simplePos x="0" y="0"/>
                <wp:positionH relativeFrom="page">
                  <wp:posOffset>6966436</wp:posOffset>
                </wp:positionH>
                <wp:positionV relativeFrom="paragraph">
                  <wp:posOffset>679337</wp:posOffset>
                </wp:positionV>
                <wp:extent cx="263525" cy="327596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3.49118pt;width:20.75pt;height:257.95pt;mso-position-horizontal-relative:page;mso-position-vertical-relative:paragraph;z-index:15753216" type="#_x0000_t202" id="docshape9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31</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 Ingresos de Guaguas Municipales, S.A.U. se relacionan con la encomienda realizada</w:t>
      </w:r>
      <w:r>
        <w:rPr>
          <w:spacing w:val="40"/>
        </w:rPr>
        <w:t> </w:t>
      </w:r>
      <w:r>
        <w:rPr/>
        <w:t>a</w:t>
      </w:r>
      <w:r>
        <w:rPr>
          <w:spacing w:val="-3"/>
        </w:rPr>
        <w:t> </w:t>
      </w:r>
      <w:r>
        <w:rPr/>
        <w:t>esta</w:t>
      </w:r>
      <w:r>
        <w:rPr>
          <w:spacing w:val="-1"/>
        </w:rPr>
        <w:t> </w:t>
      </w:r>
      <w:r>
        <w:rPr/>
        <w:t>sociedad por parte</w:t>
      </w:r>
      <w:r>
        <w:rPr>
          <w:spacing w:val="-3"/>
        </w:rPr>
        <w:t> </w:t>
      </w:r>
      <w:r>
        <w:rPr/>
        <w:t>del</w:t>
      </w:r>
      <w:r>
        <w:rPr>
          <w:spacing w:val="-1"/>
        </w:rPr>
        <w:t> </w:t>
      </w:r>
      <w:r>
        <w:rPr/>
        <w:t>Excmo.</w:t>
      </w:r>
      <w:r>
        <w:rPr>
          <w:spacing w:val="-1"/>
        </w:rPr>
        <w:t> </w:t>
      </w:r>
      <w:r>
        <w:rPr/>
        <w:t>Ayuntamiento de Las Palmas de</w:t>
      </w:r>
      <w:r>
        <w:rPr>
          <w:spacing w:val="-1"/>
        </w:rPr>
        <w:t> </w:t>
      </w:r>
      <w:r>
        <w:rPr/>
        <w:t>Gran</w:t>
      </w:r>
      <w:r>
        <w:rPr>
          <w:spacing w:val="-3"/>
        </w:rPr>
        <w:t> </w:t>
      </w:r>
      <w:r>
        <w:rPr/>
        <w:t>Canaria</w:t>
      </w:r>
      <w:r>
        <w:rPr>
          <w:spacing w:val="-3"/>
        </w:rPr>
        <w:t> </w:t>
      </w:r>
      <w:r>
        <w:rPr/>
        <w:t>por lo que se considera como Medio propio del Ayuntamiento, ya que todos los ingresos de su actividad son por transporte público.</w:t>
      </w:r>
    </w:p>
    <w:p>
      <w:pPr>
        <w:pStyle w:val="ListParagraph"/>
        <w:numPr>
          <w:ilvl w:val="1"/>
          <w:numId w:val="13"/>
        </w:numPr>
        <w:tabs>
          <w:tab w:pos="2140" w:val="left" w:leader="none"/>
        </w:tabs>
        <w:spacing w:line="240" w:lineRule="auto" w:before="230" w:after="0"/>
        <w:ind w:left="2140" w:right="0" w:hanging="439"/>
        <w:jc w:val="left"/>
        <w:rPr>
          <w:sz w:val="20"/>
          <w:u w:val="single"/>
        </w:rPr>
      </w:pPr>
      <w:r>
        <w:rPr>
          <w:spacing w:val="-3"/>
          <w:sz w:val="20"/>
          <w:u w:val="single"/>
        </w:rPr>
        <w:t> </w:t>
      </w:r>
      <w:r>
        <w:rPr>
          <w:sz w:val="20"/>
          <w:u w:val="single"/>
        </w:rPr>
        <w:t>Provisiones</w:t>
      </w:r>
      <w:r>
        <w:rPr>
          <w:spacing w:val="-1"/>
          <w:sz w:val="20"/>
          <w:u w:val="single"/>
        </w:rPr>
        <w:t> </w:t>
      </w:r>
      <w:r>
        <w:rPr>
          <w:sz w:val="20"/>
          <w:u w:val="single"/>
        </w:rPr>
        <w:t>y</w:t>
      </w:r>
      <w:r>
        <w:rPr>
          <w:spacing w:val="-9"/>
          <w:sz w:val="20"/>
          <w:u w:val="single"/>
        </w:rPr>
        <w:t> </w:t>
      </w:r>
      <w:r>
        <w:rPr>
          <w:spacing w:val="-2"/>
          <w:sz w:val="20"/>
          <w:u w:val="single"/>
        </w:rPr>
        <w:t>contingencias.</w:t>
      </w:r>
    </w:p>
    <w:p>
      <w:pPr>
        <w:pStyle w:val="BodyText"/>
      </w:pPr>
    </w:p>
    <w:p>
      <w:pPr>
        <w:pStyle w:val="BodyText"/>
        <w:ind w:left="1768" w:right="1334"/>
        <w:jc w:val="both"/>
      </w:pPr>
      <w:r>
        <w:rPr/>
        <w:t>Las obligaciones existentes a la fecha del balance de situación surgidas como consecuencia de sucesos pasados de los que pueden derivarse perjuicios patrimoniales para</w:t>
      </w:r>
      <w:r>
        <w:rPr>
          <w:spacing w:val="-1"/>
        </w:rPr>
        <w:t> </w:t>
      </w:r>
      <w:r>
        <w:rPr/>
        <w:t>la Sociedad cuyo</w:t>
      </w:r>
      <w:r>
        <w:rPr>
          <w:spacing w:val="-1"/>
        </w:rPr>
        <w:t> </w:t>
      </w:r>
      <w:r>
        <w:rPr/>
        <w:t>importe y</w:t>
      </w:r>
      <w:r>
        <w:rPr>
          <w:spacing w:val="-5"/>
        </w:rPr>
        <w:t> </w:t>
      </w:r>
      <w:r>
        <w:rPr/>
        <w:t>momento de cancelación son indeterminados se registran en el balance de situación como provisiones por el valor actual del importe más probable que se estima que la Sociedad tendrá que desembolsar para cancelar la obligación.</w:t>
      </w:r>
    </w:p>
    <w:p>
      <w:pPr>
        <w:pStyle w:val="BodyText"/>
      </w:pPr>
    </w:p>
    <w:p>
      <w:pPr>
        <w:pStyle w:val="BodyText"/>
        <w:spacing w:before="1"/>
        <w:ind w:left="1768" w:right="1334"/>
        <w:jc w:val="both"/>
      </w:pPr>
      <w:r>
        <w:rPr/>
        <w:t>La compensación a recibir de un tercero en el momento de liquidar la obligación no</w:t>
      </w:r>
      <w:r>
        <w:rPr>
          <w:spacing w:val="80"/>
        </w:rPr>
        <w:t> </w:t>
      </w:r>
      <w:r>
        <w:rPr/>
        <w:t>supone una minoración del importe de la deuda, sin perjuicio del reconocimiento en el activo de la Sociedad del correspondiente derecho de cobro, siempre que no existan</w:t>
      </w:r>
      <w:r>
        <w:rPr>
          <w:spacing w:val="40"/>
        </w:rPr>
        <w:t> </w:t>
      </w:r>
      <w:r>
        <w:rPr/>
        <w:t>dudas de que dicho reembolso será percibido, registrándose dicho activo por un importe</w:t>
      </w:r>
      <w:r>
        <w:rPr>
          <w:spacing w:val="40"/>
        </w:rPr>
        <w:t> </w:t>
      </w:r>
      <w:r>
        <w:rPr/>
        <w:t>no superior de la obligación registrada contablemente.</w:t>
      </w:r>
    </w:p>
    <w:p>
      <w:pPr>
        <w:pStyle w:val="ListParagraph"/>
        <w:numPr>
          <w:ilvl w:val="1"/>
          <w:numId w:val="13"/>
        </w:numPr>
        <w:tabs>
          <w:tab w:pos="2140" w:val="left" w:leader="none"/>
        </w:tabs>
        <w:spacing w:line="240" w:lineRule="auto" w:before="230" w:after="0"/>
        <w:ind w:left="2140" w:right="0" w:hanging="439"/>
        <w:jc w:val="left"/>
        <w:rPr>
          <w:sz w:val="20"/>
          <w:u w:val="single"/>
        </w:rPr>
      </w:pPr>
      <w:r>
        <w:rPr>
          <w:spacing w:val="-7"/>
          <w:sz w:val="20"/>
          <w:u w:val="single"/>
        </w:rPr>
        <w:t> </w:t>
      </w:r>
      <w:r>
        <w:rPr>
          <w:sz w:val="20"/>
          <w:u w:val="single"/>
        </w:rPr>
        <w:t>Elementos</w:t>
      </w:r>
      <w:r>
        <w:rPr>
          <w:spacing w:val="-9"/>
          <w:sz w:val="20"/>
          <w:u w:val="single"/>
        </w:rPr>
        <w:t> </w:t>
      </w:r>
      <w:r>
        <w:rPr>
          <w:sz w:val="20"/>
          <w:u w:val="single"/>
        </w:rPr>
        <w:t>patrimoniales</w:t>
      </w:r>
      <w:r>
        <w:rPr>
          <w:spacing w:val="-8"/>
          <w:sz w:val="20"/>
          <w:u w:val="single"/>
        </w:rPr>
        <w:t> </w:t>
      </w:r>
      <w:r>
        <w:rPr>
          <w:sz w:val="20"/>
          <w:u w:val="single"/>
        </w:rPr>
        <w:t>de</w:t>
      </w:r>
      <w:r>
        <w:rPr>
          <w:spacing w:val="-7"/>
          <w:sz w:val="20"/>
          <w:u w:val="single"/>
        </w:rPr>
        <w:t> </w:t>
      </w:r>
      <w:r>
        <w:rPr>
          <w:sz w:val="20"/>
          <w:u w:val="single"/>
        </w:rPr>
        <w:t>naturaleza</w:t>
      </w:r>
      <w:r>
        <w:rPr>
          <w:spacing w:val="-9"/>
          <w:sz w:val="20"/>
          <w:u w:val="single"/>
        </w:rPr>
        <w:t> </w:t>
      </w:r>
      <w:r>
        <w:rPr>
          <w:spacing w:val="-2"/>
          <w:sz w:val="20"/>
          <w:u w:val="single"/>
        </w:rPr>
        <w:t>medioambiental.</w:t>
      </w:r>
    </w:p>
    <w:p>
      <w:pPr>
        <w:pStyle w:val="BodyText"/>
      </w:pPr>
    </w:p>
    <w:p>
      <w:pPr>
        <w:pStyle w:val="BodyText"/>
        <w:ind w:left="1768" w:right="1336"/>
        <w:jc w:val="both"/>
      </w:pPr>
      <w:r>
        <w:rPr/>
        <w:t>Los costes incurridos, en su caso, en sistemas, equipos e instalaciones cuyo fin sea la minimización del</w:t>
      </w:r>
      <w:r>
        <w:rPr>
          <w:spacing w:val="-1"/>
        </w:rPr>
        <w:t> </w:t>
      </w:r>
      <w:r>
        <w:rPr/>
        <w:t>impacto medioambiental en</w:t>
      </w:r>
      <w:r>
        <w:rPr>
          <w:spacing w:val="-1"/>
        </w:rPr>
        <w:t> </w:t>
      </w:r>
      <w:r>
        <w:rPr/>
        <w:t>el desarrollo de la actividad, y/o</w:t>
      </w:r>
      <w:r>
        <w:rPr>
          <w:spacing w:val="-1"/>
        </w:rPr>
        <w:t> </w:t>
      </w:r>
      <w:r>
        <w:rPr/>
        <w:t>la protección y mejora del medio ambiente se registran como inversiones en inmovilizado.</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768" w:right="1338"/>
        <w:jc w:val="both"/>
      </w:pPr>
      <w:r>
        <w:rPr/>
        <w:t>El resto de los gastos relacionados con el medio ambiente, distintos de los anteriores, se consideran gastos del ejercicio. Para el cálculo de posibles provisiones medioambientales que pudieran surgir se dota de acuerdo con la mejor estimación de su devengo en el momento que se conozcan, y en el supuesto de que las pólizas de seguro no cubran los daños causados.</w:t>
      </w:r>
    </w:p>
    <w:p>
      <w:pPr>
        <w:pStyle w:val="BodyText"/>
      </w:pPr>
    </w:p>
    <w:p>
      <w:pPr>
        <w:pStyle w:val="ListParagraph"/>
        <w:numPr>
          <w:ilvl w:val="1"/>
          <w:numId w:val="13"/>
        </w:numPr>
        <w:tabs>
          <w:tab w:pos="2140" w:val="left" w:leader="none"/>
        </w:tabs>
        <w:spacing w:line="240" w:lineRule="auto" w:before="0" w:after="0"/>
        <w:ind w:left="2140" w:right="0" w:hanging="439"/>
        <w:jc w:val="left"/>
        <w:rPr>
          <w:sz w:val="20"/>
          <w:u w:val="single"/>
        </w:rPr>
      </w:pPr>
      <w:r>
        <w:rPr>
          <w:spacing w:val="-4"/>
          <w:sz w:val="20"/>
          <w:u w:val="single"/>
        </w:rPr>
        <w:t> </w:t>
      </w:r>
      <w:r>
        <w:rPr>
          <w:sz w:val="20"/>
          <w:u w:val="single"/>
        </w:rPr>
        <w:t>Criterios</w:t>
      </w:r>
      <w:r>
        <w:rPr>
          <w:spacing w:val="-6"/>
          <w:sz w:val="20"/>
          <w:u w:val="single"/>
        </w:rPr>
        <w:t> </w:t>
      </w:r>
      <w:r>
        <w:rPr>
          <w:sz w:val="20"/>
          <w:u w:val="single"/>
        </w:rPr>
        <w:t>empleados</w:t>
      </w:r>
      <w:r>
        <w:rPr>
          <w:spacing w:val="-7"/>
          <w:sz w:val="20"/>
          <w:u w:val="single"/>
        </w:rPr>
        <w:t> </w:t>
      </w:r>
      <w:r>
        <w:rPr>
          <w:sz w:val="20"/>
          <w:u w:val="single"/>
        </w:rPr>
        <w:t>para</w:t>
      </w:r>
      <w:r>
        <w:rPr>
          <w:spacing w:val="-6"/>
          <w:sz w:val="20"/>
          <w:u w:val="single"/>
        </w:rPr>
        <w:t> </w:t>
      </w:r>
      <w:r>
        <w:rPr>
          <w:sz w:val="20"/>
          <w:u w:val="single"/>
        </w:rPr>
        <w:t>el</w:t>
      </w:r>
      <w:r>
        <w:rPr>
          <w:spacing w:val="-5"/>
          <w:sz w:val="20"/>
          <w:u w:val="single"/>
        </w:rPr>
        <w:t> </w:t>
      </w:r>
      <w:r>
        <w:rPr>
          <w:sz w:val="20"/>
          <w:u w:val="single"/>
        </w:rPr>
        <w:t>registro</w:t>
      </w:r>
      <w:r>
        <w:rPr>
          <w:spacing w:val="-5"/>
          <w:sz w:val="20"/>
          <w:u w:val="single"/>
        </w:rPr>
        <w:t> </w:t>
      </w:r>
      <w:r>
        <w:rPr>
          <w:sz w:val="20"/>
          <w:u w:val="single"/>
        </w:rPr>
        <w:t>y</w:t>
      </w:r>
      <w:r>
        <w:rPr>
          <w:spacing w:val="-7"/>
          <w:sz w:val="20"/>
          <w:u w:val="single"/>
        </w:rPr>
        <w:t> </w:t>
      </w:r>
      <w:r>
        <w:rPr>
          <w:sz w:val="20"/>
          <w:u w:val="single"/>
        </w:rPr>
        <w:t>valoración</w:t>
      </w:r>
      <w:r>
        <w:rPr>
          <w:spacing w:val="-4"/>
          <w:sz w:val="20"/>
          <w:u w:val="single"/>
        </w:rPr>
        <w:t> </w:t>
      </w:r>
      <w:r>
        <w:rPr>
          <w:sz w:val="20"/>
          <w:u w:val="single"/>
        </w:rPr>
        <w:t>de</w:t>
      </w:r>
      <w:r>
        <w:rPr>
          <w:spacing w:val="-6"/>
          <w:sz w:val="20"/>
          <w:u w:val="single"/>
        </w:rPr>
        <w:t> </w:t>
      </w:r>
      <w:r>
        <w:rPr>
          <w:sz w:val="20"/>
          <w:u w:val="single"/>
        </w:rPr>
        <w:t>los</w:t>
      </w:r>
      <w:r>
        <w:rPr>
          <w:spacing w:val="-5"/>
          <w:sz w:val="20"/>
          <w:u w:val="single"/>
        </w:rPr>
        <w:t> </w:t>
      </w:r>
      <w:r>
        <w:rPr>
          <w:sz w:val="20"/>
          <w:u w:val="single"/>
        </w:rPr>
        <w:t>gastos</w:t>
      </w:r>
      <w:r>
        <w:rPr>
          <w:spacing w:val="-2"/>
          <w:sz w:val="20"/>
          <w:u w:val="single"/>
        </w:rPr>
        <w:t> </w:t>
      </w:r>
      <w:r>
        <w:rPr>
          <w:sz w:val="20"/>
          <w:u w:val="single"/>
        </w:rPr>
        <w:t>de</w:t>
      </w:r>
      <w:r>
        <w:rPr>
          <w:spacing w:val="-6"/>
          <w:sz w:val="20"/>
          <w:u w:val="single"/>
        </w:rPr>
        <w:t> </w:t>
      </w:r>
      <w:r>
        <w:rPr>
          <w:spacing w:val="-2"/>
          <w:sz w:val="20"/>
          <w:u w:val="single"/>
        </w:rPr>
        <w:t>personal.</w:t>
      </w:r>
    </w:p>
    <w:p>
      <w:pPr>
        <w:pStyle w:val="BodyText"/>
        <w:spacing w:before="229"/>
        <w:ind w:left="1768" w:right="1337"/>
        <w:jc w:val="both"/>
      </w:pPr>
      <w:r>
        <w:rPr/>
        <w:t>Para el caso de las retribuciones por prestación definida las contribuciones a realizar dan lugar a un pasivo por retribuciones a largo plazo al personal cuando, al cierre del ejercicio, figuren contribuciones devengadas no satisfechas.</w:t>
      </w:r>
    </w:p>
    <w:p>
      <w:pPr>
        <w:pStyle w:val="BodyText"/>
        <w:spacing w:before="1"/>
      </w:pPr>
    </w:p>
    <w:p>
      <w:pPr>
        <w:pStyle w:val="BodyText"/>
        <w:spacing w:before="1"/>
        <w:ind w:left="1768" w:right="1336"/>
        <w:jc w:val="both"/>
      </w:pPr>
      <w:r>
        <w:rPr/>
        <w:t>El importe que se reconoce como provisión por retribuciones al personal a largo plazo es</w:t>
      </w:r>
      <w:r>
        <w:rPr>
          <w:spacing w:val="40"/>
        </w:rPr>
        <w:t> </w:t>
      </w:r>
      <w:r>
        <w:rPr/>
        <w:t>la diferencia entre el valor actual de las retribuciones comprometidas y el valor razonable de los eventuales activos afectos a los compromisos con los que se liquidarán las </w:t>
      </w:r>
      <w:r>
        <w:rPr>
          <w:spacing w:val="-2"/>
        </w:rPr>
        <w:t>obligaciones.</w:t>
      </w:r>
    </w:p>
    <w:p>
      <w:pPr>
        <w:pStyle w:val="BodyText"/>
        <w:spacing w:before="229"/>
        <w:ind w:left="1768" w:right="1338"/>
        <w:jc w:val="both"/>
      </w:pPr>
      <w:r>
        <w:rPr/>
        <w:t>Excepto en el caso de causa justificada, las sociedades vienen obligadas a indemnizar a sus empleados cuando cesan en sus servicios.</w:t>
      </w:r>
    </w:p>
    <w:p>
      <w:pPr>
        <w:pStyle w:val="BodyText"/>
        <w:spacing w:before="229"/>
        <w:ind w:left="1768" w:right="1334"/>
        <w:jc w:val="both"/>
      </w:pPr>
      <w:r>
        <w:rPr/>
        <w:t>Ante la ausencia de cualquier necesidad previsible de terminación anormal del empleo y dado que no reciben indemnizaciones aquellos empleados que se jubilan o cesan voluntariamente en sus servicios, los pagos por indemnizaciones, cuando surgen, se cargan a gastos en el momento en que se toma la decisión de efectuar el despido.</w:t>
      </w:r>
    </w:p>
    <w:p>
      <w:pPr>
        <w:pStyle w:val="BodyText"/>
      </w:pPr>
    </w:p>
    <w:p>
      <w:pPr>
        <w:pStyle w:val="BodyText"/>
        <w:ind w:left="1795"/>
        <w:jc w:val="both"/>
      </w:pPr>
      <w:r>
        <w:rPr/>
        <w:t>Los</w:t>
      </w:r>
      <w:r>
        <w:rPr>
          <w:spacing w:val="-7"/>
        </w:rPr>
        <w:t> </w:t>
      </w:r>
      <w:r>
        <w:rPr/>
        <w:t>compromisos</w:t>
      </w:r>
      <w:r>
        <w:rPr>
          <w:spacing w:val="-6"/>
        </w:rPr>
        <w:t> </w:t>
      </w:r>
      <w:r>
        <w:rPr/>
        <w:t>por</w:t>
      </w:r>
      <w:r>
        <w:rPr>
          <w:spacing w:val="-7"/>
        </w:rPr>
        <w:t> </w:t>
      </w:r>
      <w:r>
        <w:rPr/>
        <w:t>pensiones</w:t>
      </w:r>
      <w:r>
        <w:rPr>
          <w:spacing w:val="-8"/>
        </w:rPr>
        <w:t> </w:t>
      </w:r>
      <w:r>
        <w:rPr/>
        <w:t>se</w:t>
      </w:r>
      <w:r>
        <w:rPr>
          <w:spacing w:val="-9"/>
        </w:rPr>
        <w:t> </w:t>
      </w:r>
      <w:r>
        <w:rPr/>
        <w:t>encuentran</w:t>
      </w:r>
      <w:r>
        <w:rPr>
          <w:spacing w:val="-7"/>
        </w:rPr>
        <w:t> </w:t>
      </w:r>
      <w:r>
        <w:rPr>
          <w:spacing w:val="-2"/>
        </w:rPr>
        <w:t>externalizados.</w:t>
      </w:r>
    </w:p>
    <w:p>
      <w:pPr>
        <w:pStyle w:val="BodyText"/>
      </w:pPr>
    </w:p>
    <w:p>
      <w:pPr>
        <w:pStyle w:val="ListParagraph"/>
        <w:numPr>
          <w:ilvl w:val="1"/>
          <w:numId w:val="13"/>
        </w:numPr>
        <w:tabs>
          <w:tab w:pos="2140" w:val="left" w:leader="none"/>
        </w:tabs>
        <w:spacing w:line="240" w:lineRule="auto" w:before="1" w:after="0"/>
        <w:ind w:left="2140" w:right="0" w:hanging="439"/>
        <w:jc w:val="left"/>
        <w:rPr>
          <w:sz w:val="20"/>
          <w:u w:val="single"/>
        </w:rPr>
      </w:pPr>
      <w:r>
        <w:rPr>
          <w:spacing w:val="-3"/>
          <w:sz w:val="20"/>
          <w:u w:val="single"/>
        </w:rPr>
        <w:t> </w:t>
      </w:r>
      <w:r>
        <w:rPr>
          <w:sz w:val="20"/>
          <w:u w:val="single"/>
        </w:rPr>
        <w:t>Pagos</w:t>
      </w:r>
      <w:r>
        <w:rPr>
          <w:spacing w:val="-5"/>
          <w:sz w:val="20"/>
          <w:u w:val="single"/>
        </w:rPr>
        <w:t> </w:t>
      </w:r>
      <w:r>
        <w:rPr>
          <w:sz w:val="20"/>
          <w:u w:val="single"/>
        </w:rPr>
        <w:t>basados</w:t>
      </w:r>
      <w:r>
        <w:rPr>
          <w:spacing w:val="-3"/>
          <w:sz w:val="20"/>
          <w:u w:val="single"/>
        </w:rPr>
        <w:t> </w:t>
      </w:r>
      <w:r>
        <w:rPr>
          <w:sz w:val="20"/>
          <w:u w:val="single"/>
        </w:rPr>
        <w:t>en</w:t>
      </w:r>
      <w:r>
        <w:rPr>
          <w:spacing w:val="-6"/>
          <w:sz w:val="20"/>
          <w:u w:val="single"/>
        </w:rPr>
        <w:t> </w:t>
      </w:r>
      <w:r>
        <w:rPr>
          <w:spacing w:val="-2"/>
          <w:sz w:val="20"/>
          <w:u w:val="single"/>
        </w:rPr>
        <w:t>acciones.</w:t>
      </w:r>
    </w:p>
    <w:p>
      <w:pPr>
        <w:pStyle w:val="BodyText"/>
      </w:pPr>
    </w:p>
    <w:p>
      <w:pPr>
        <w:pStyle w:val="BodyText"/>
        <w:ind w:left="1768" w:right="1308"/>
      </w:pPr>
      <w:r>
        <w:rPr/>
        <w:t>La</w:t>
      </w:r>
      <w:r>
        <w:rPr>
          <w:spacing w:val="68"/>
        </w:rPr>
        <w:t> </w:t>
      </w:r>
      <w:r>
        <w:rPr/>
        <w:t>Sociedad</w:t>
      </w:r>
      <w:r>
        <w:rPr>
          <w:spacing w:val="70"/>
        </w:rPr>
        <w:t> </w:t>
      </w:r>
      <w:r>
        <w:rPr/>
        <w:t>no</w:t>
      </w:r>
      <w:r>
        <w:rPr>
          <w:spacing w:val="68"/>
        </w:rPr>
        <w:t> </w:t>
      </w:r>
      <w:r>
        <w:rPr/>
        <w:t>realiza</w:t>
      </w:r>
      <w:r>
        <w:rPr>
          <w:spacing w:val="70"/>
        </w:rPr>
        <w:t> </w:t>
      </w:r>
      <w:r>
        <w:rPr/>
        <w:t>pagos</w:t>
      </w:r>
      <w:r>
        <w:rPr>
          <w:spacing w:val="70"/>
        </w:rPr>
        <w:t> </w:t>
      </w:r>
      <w:r>
        <w:rPr/>
        <w:t>en</w:t>
      </w:r>
      <w:r>
        <w:rPr>
          <w:spacing w:val="68"/>
        </w:rPr>
        <w:t> </w:t>
      </w:r>
      <w:r>
        <w:rPr/>
        <w:t>acciones</w:t>
      </w:r>
      <w:r>
        <w:rPr>
          <w:spacing w:val="70"/>
        </w:rPr>
        <w:t> </w:t>
      </w:r>
      <w:r>
        <w:rPr/>
        <w:t>en</w:t>
      </w:r>
      <w:r>
        <w:rPr>
          <w:spacing w:val="68"/>
        </w:rPr>
        <w:t> </w:t>
      </w:r>
      <w:r>
        <w:rPr/>
        <w:t>forma</w:t>
      </w:r>
      <w:r>
        <w:rPr>
          <w:spacing w:val="67"/>
        </w:rPr>
        <w:t> </w:t>
      </w:r>
      <w:r>
        <w:rPr/>
        <w:t>de</w:t>
      </w:r>
      <w:r>
        <w:rPr>
          <w:spacing w:val="68"/>
        </w:rPr>
        <w:t> </w:t>
      </w:r>
      <w:r>
        <w:rPr/>
        <w:t>instrumentos</w:t>
      </w:r>
      <w:r>
        <w:rPr>
          <w:spacing w:val="68"/>
        </w:rPr>
        <w:t> </w:t>
      </w:r>
      <w:r>
        <w:rPr/>
        <w:t>de</w:t>
      </w:r>
      <w:r>
        <w:rPr>
          <w:spacing w:val="70"/>
        </w:rPr>
        <w:t> </w:t>
      </w:r>
      <w:r>
        <w:rPr/>
        <w:t>capital</w:t>
      </w:r>
      <w:r>
        <w:rPr>
          <w:spacing w:val="71"/>
        </w:rPr>
        <w:t> </w:t>
      </w:r>
      <w:r>
        <w:rPr/>
        <w:t>y liquidados en efectivo a ciertos empleados.</w:t>
      </w:r>
    </w:p>
    <w:p>
      <w:pPr>
        <w:pStyle w:val="ListParagraph"/>
        <w:numPr>
          <w:ilvl w:val="1"/>
          <w:numId w:val="13"/>
        </w:numPr>
        <w:tabs>
          <w:tab w:pos="2140" w:val="left" w:leader="none"/>
        </w:tabs>
        <w:spacing w:line="240" w:lineRule="auto" w:before="229" w:after="0"/>
        <w:ind w:left="2140" w:right="0" w:hanging="439"/>
        <w:jc w:val="left"/>
        <w:rPr>
          <w:sz w:val="20"/>
          <w:u w:val="single"/>
        </w:rPr>
      </w:pPr>
      <w:r>
        <w:rPr>
          <w:spacing w:val="-6"/>
          <w:sz w:val="20"/>
          <w:u w:val="single"/>
        </w:rPr>
        <w:t> </w:t>
      </w:r>
      <w:r>
        <w:rPr>
          <w:sz w:val="20"/>
          <w:u w:val="single"/>
        </w:rPr>
        <w:t>Subvenciones,</w:t>
      </w:r>
      <w:r>
        <w:rPr>
          <w:spacing w:val="-6"/>
          <w:sz w:val="20"/>
          <w:u w:val="single"/>
        </w:rPr>
        <w:t> </w:t>
      </w:r>
      <w:r>
        <w:rPr>
          <w:sz w:val="20"/>
          <w:u w:val="single"/>
        </w:rPr>
        <w:t>donaciones</w:t>
      </w:r>
      <w:r>
        <w:rPr>
          <w:spacing w:val="-4"/>
          <w:sz w:val="20"/>
          <w:u w:val="single"/>
        </w:rPr>
        <w:t> </w:t>
      </w:r>
      <w:r>
        <w:rPr>
          <w:sz w:val="20"/>
          <w:u w:val="single"/>
        </w:rPr>
        <w:t>y</w:t>
      </w:r>
      <w:r>
        <w:rPr>
          <w:spacing w:val="-10"/>
          <w:sz w:val="20"/>
          <w:u w:val="single"/>
        </w:rPr>
        <w:t> </w:t>
      </w:r>
      <w:r>
        <w:rPr>
          <w:spacing w:val="-2"/>
          <w:sz w:val="20"/>
          <w:u w:val="single"/>
        </w:rPr>
        <w:t>legados.</w:t>
      </w:r>
    </w:p>
    <w:p>
      <w:pPr>
        <w:pStyle w:val="BodyText"/>
        <w:spacing w:before="1"/>
      </w:pPr>
    </w:p>
    <w:p>
      <w:pPr>
        <w:pStyle w:val="BodyText"/>
        <w:ind w:left="1768" w:right="1333"/>
        <w:jc w:val="both"/>
      </w:pPr>
      <w:r>
        <w:rPr/>
        <mc:AlternateContent>
          <mc:Choice Requires="wps">
            <w:drawing>
              <wp:anchor distT="0" distB="0" distL="0" distR="0" allowOverlap="1" layoutInCell="1" locked="0" behindDoc="0" simplePos="0" relativeHeight="15753728">
                <wp:simplePos x="0" y="0"/>
                <wp:positionH relativeFrom="page">
                  <wp:posOffset>6966436</wp:posOffset>
                </wp:positionH>
                <wp:positionV relativeFrom="paragraph">
                  <wp:posOffset>95162</wp:posOffset>
                </wp:positionV>
                <wp:extent cx="263525" cy="327596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493134pt;width:20.75pt;height:257.95pt;mso-position-horizontal-relative:page;mso-position-vertical-relative:paragraph;z-index:15753728" type="#_x0000_t202" id="docshape9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Las subvenciones de capital no reintegrables se valoran por el importe concedido, reconociéndose inicialmente como ingresos directamente imputados al patrimonio neto y se</w:t>
      </w:r>
      <w:r>
        <w:rPr>
          <w:spacing w:val="-1"/>
        </w:rPr>
        <w:t> </w:t>
      </w:r>
      <w:r>
        <w:rPr/>
        <w:t>imputan a resultados en proporción a la</w:t>
      </w:r>
      <w:r>
        <w:rPr>
          <w:spacing w:val="-1"/>
        </w:rPr>
        <w:t> </w:t>
      </w:r>
      <w:r>
        <w:rPr/>
        <w:t>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pPr>
        <w:pStyle w:val="BodyText"/>
        <w:spacing w:before="228"/>
        <w:ind w:left="1768" w:right="1336"/>
        <w:jc w:val="both"/>
      </w:pPr>
      <w:r>
        <w:rPr/>
        <w:t>Mientras tienen el carácter de subvenciones reintegrables se contabilizan como deudas a largo plazo transformables en subvenciones.</w:t>
      </w:r>
    </w:p>
    <w:p>
      <w:pPr>
        <w:pStyle w:val="BodyText"/>
        <w:spacing w:before="1"/>
      </w:pPr>
    </w:p>
    <w:p>
      <w:pPr>
        <w:pStyle w:val="BodyText"/>
        <w:ind w:left="1768" w:right="1334"/>
        <w:jc w:val="both"/>
      </w:pPr>
      <w:r>
        <w:rPr/>
        <w:t>Cuando las subvenciones se concedan para financiar gastos específicos se imputarán como ingresos en el ejercicio en que se devenguen los gastos que están financiando.</w:t>
      </w:r>
    </w:p>
    <w:p>
      <w:pPr>
        <w:pStyle w:val="BodyText"/>
        <w:spacing w:before="229"/>
        <w:ind w:left="1768" w:right="1337"/>
        <w:jc w:val="both"/>
      </w:pPr>
      <w:r>
        <w:rPr/>
        <w:t>La Sociedad utiliza los siguientes criterios para la contabilización de las subvenciones que le han sido concedidas:</w:t>
      </w:r>
    </w:p>
    <w:p>
      <w:pPr>
        <w:pStyle w:val="BodyText"/>
        <w:spacing w:before="1"/>
      </w:pPr>
    </w:p>
    <w:p>
      <w:pPr>
        <w:pStyle w:val="ListParagraph"/>
        <w:numPr>
          <w:ilvl w:val="0"/>
          <w:numId w:val="14"/>
        </w:numPr>
        <w:tabs>
          <w:tab w:pos="2019" w:val="left" w:leader="none"/>
        </w:tabs>
        <w:spacing w:line="240" w:lineRule="auto" w:before="1" w:after="0"/>
        <w:ind w:left="1768" w:right="1335" w:firstLine="0"/>
        <w:jc w:val="both"/>
        <w:rPr>
          <w:sz w:val="20"/>
        </w:rPr>
      </w:pPr>
      <w:r>
        <w:rPr>
          <w:sz w:val="20"/>
        </w:rPr>
        <w:t>Subvenciones a la explotación. Se corresponde con subvenciones concedidas para compensar el déficit de explotación, y se imputan como ingresos del ejercicio en el que se conceden. Las subvenciones a la explotación concedidas por el accionista único (Excmo. Ayuntamiento</w:t>
      </w:r>
      <w:r>
        <w:rPr>
          <w:spacing w:val="-1"/>
          <w:sz w:val="20"/>
        </w:rPr>
        <w:t> </w:t>
      </w:r>
      <w:r>
        <w:rPr>
          <w:sz w:val="20"/>
        </w:rPr>
        <w:t>de Las Palmas</w:t>
      </w:r>
      <w:r>
        <w:rPr>
          <w:spacing w:val="-2"/>
          <w:sz w:val="20"/>
        </w:rPr>
        <w:t> </w:t>
      </w:r>
      <w:r>
        <w:rPr>
          <w:sz w:val="20"/>
        </w:rPr>
        <w:t>de</w:t>
      </w:r>
      <w:r>
        <w:rPr>
          <w:spacing w:val="-1"/>
          <w:sz w:val="20"/>
        </w:rPr>
        <w:t> </w:t>
      </w:r>
      <w:r>
        <w:rPr>
          <w:sz w:val="20"/>
        </w:rPr>
        <w:t>Gran</w:t>
      </w:r>
      <w:r>
        <w:rPr>
          <w:spacing w:val="-1"/>
          <w:sz w:val="20"/>
        </w:rPr>
        <w:t> </w:t>
      </w:r>
      <w:r>
        <w:rPr>
          <w:sz w:val="20"/>
        </w:rPr>
        <w:t>Canaria)</w:t>
      </w:r>
      <w:r>
        <w:rPr>
          <w:spacing w:val="-1"/>
          <w:sz w:val="20"/>
        </w:rPr>
        <w:t> </w:t>
      </w:r>
      <w:r>
        <w:rPr>
          <w:sz w:val="20"/>
        </w:rPr>
        <w:t>se</w:t>
      </w:r>
      <w:r>
        <w:rPr>
          <w:spacing w:val="-3"/>
          <w:sz w:val="20"/>
        </w:rPr>
        <w:t> </w:t>
      </w:r>
      <w:r>
        <w:rPr>
          <w:sz w:val="20"/>
        </w:rPr>
        <w:t>han</w:t>
      </w:r>
      <w:r>
        <w:rPr>
          <w:spacing w:val="-1"/>
          <w:sz w:val="20"/>
        </w:rPr>
        <w:t> </w:t>
      </w:r>
      <w:r>
        <w:rPr>
          <w:sz w:val="20"/>
        </w:rPr>
        <w:t>registrado</w:t>
      </w:r>
      <w:r>
        <w:rPr>
          <w:spacing w:val="-1"/>
          <w:sz w:val="20"/>
        </w:rPr>
        <w:t> </w:t>
      </w:r>
      <w:r>
        <w:rPr>
          <w:sz w:val="20"/>
        </w:rPr>
        <w:t>en la</w:t>
      </w:r>
      <w:r>
        <w:rPr>
          <w:spacing w:val="-1"/>
          <w:sz w:val="20"/>
        </w:rPr>
        <w:t> </w:t>
      </w:r>
      <w:r>
        <w:rPr>
          <w:sz w:val="20"/>
        </w:rPr>
        <w:t>cuenta</w:t>
      </w:r>
      <w:r>
        <w:rPr>
          <w:spacing w:val="-3"/>
          <w:sz w:val="20"/>
        </w:rPr>
        <w:t> </w:t>
      </w:r>
      <w:r>
        <w:rPr>
          <w:sz w:val="20"/>
        </w:rPr>
        <w:t>de</w:t>
      </w:r>
      <w:r>
        <w:rPr>
          <w:spacing w:val="-3"/>
          <w:sz w:val="20"/>
        </w:rPr>
        <w:t> </w:t>
      </w:r>
      <w:r>
        <w:rPr>
          <w:sz w:val="20"/>
        </w:rPr>
        <w:t>pérdidas y ganancias.</w:t>
      </w:r>
    </w:p>
    <w:p>
      <w:pPr>
        <w:pStyle w:val="ListParagraph"/>
        <w:spacing w:after="0" w:line="240" w:lineRule="auto"/>
        <w:jc w:val="both"/>
        <w:rPr>
          <w:sz w:val="20"/>
        </w:rPr>
        <w:sectPr>
          <w:pgSz w:w="11910" w:h="16840"/>
          <w:pgMar w:header="286" w:footer="1060" w:top="1920" w:bottom="1260" w:left="360" w:right="360"/>
        </w:sectPr>
      </w:pPr>
    </w:p>
    <w:p>
      <w:pPr>
        <w:pStyle w:val="BodyText"/>
        <w:spacing w:before="201"/>
      </w:pPr>
    </w:p>
    <w:p>
      <w:pPr>
        <w:pStyle w:val="ListParagraph"/>
        <w:numPr>
          <w:ilvl w:val="0"/>
          <w:numId w:val="14"/>
        </w:numPr>
        <w:tabs>
          <w:tab w:pos="2019" w:val="left" w:leader="none"/>
        </w:tabs>
        <w:spacing w:line="240" w:lineRule="auto" w:before="0" w:after="0"/>
        <w:ind w:left="1768" w:right="1336" w:firstLine="0"/>
        <w:jc w:val="both"/>
        <w:rPr>
          <w:sz w:val="20"/>
        </w:rPr>
      </w:pPr>
      <w:r>
        <w:rPr>
          <w:sz w:val="20"/>
        </w:rPr>
        <w:t>Subvenciones de capital no reintegrable, se registran como ingreso directamente en el patrimonio neto. Se corresponden con subvenciones para adquirir activos y se imputan al resultado del ejercicio en proporción a la dotación a la amortización efectuada en el</w:t>
      </w:r>
      <w:r>
        <w:rPr>
          <w:spacing w:val="40"/>
          <w:sz w:val="20"/>
        </w:rPr>
        <w:t> </w:t>
      </w:r>
      <w:r>
        <w:rPr>
          <w:sz w:val="20"/>
        </w:rPr>
        <w:t>periodo para los bienes afectos a la subvención. No se ha registrado separadamente el impuesto diferido por ser su importe insignificante, al disfrutar la Sociedad de una bonificación del 99 por 100 de la cuota íntegra del Impuesto sobre Sociedades derivada</w:t>
      </w:r>
      <w:r>
        <w:rPr>
          <w:spacing w:val="40"/>
          <w:sz w:val="20"/>
        </w:rPr>
        <w:t> </w:t>
      </w:r>
      <w:r>
        <w:rPr>
          <w:sz w:val="20"/>
        </w:rPr>
        <w:t>del rendimiento por la prestación del servicio público de transporte urbano que realiza, de acuerdo con lo dispuesto en el artículo 34 del Texto Refundido de la Ley del Impuesto sobre Sociedades.</w:t>
      </w:r>
    </w:p>
    <w:p>
      <w:pPr>
        <w:pStyle w:val="BodyText"/>
      </w:pPr>
    </w:p>
    <w:p>
      <w:pPr>
        <w:pStyle w:val="ListParagraph"/>
        <w:numPr>
          <w:ilvl w:val="0"/>
          <w:numId w:val="14"/>
        </w:numPr>
        <w:tabs>
          <w:tab w:pos="2020" w:val="left" w:leader="none"/>
        </w:tabs>
        <w:spacing w:line="240" w:lineRule="auto" w:before="0" w:after="0"/>
        <w:ind w:left="1768" w:right="1342" w:firstLine="0"/>
        <w:jc w:val="both"/>
        <w:rPr>
          <w:sz w:val="20"/>
        </w:rPr>
      </w:pPr>
      <w:r>
        <w:rPr>
          <w:sz w:val="20"/>
        </w:rPr>
        <w:t>Subvenciones de capital reintegrable, se registran como deudas transformables en subvenciones hasta que adquieren el carácter de no reintegrable.</w:t>
      </w:r>
    </w:p>
    <w:p>
      <w:pPr>
        <w:pStyle w:val="ListParagraph"/>
        <w:numPr>
          <w:ilvl w:val="1"/>
          <w:numId w:val="13"/>
        </w:numPr>
        <w:tabs>
          <w:tab w:pos="2140" w:val="left" w:leader="none"/>
        </w:tabs>
        <w:spacing w:line="240" w:lineRule="auto" w:before="229" w:after="0"/>
        <w:ind w:left="2140" w:right="0" w:hanging="439"/>
        <w:jc w:val="both"/>
        <w:rPr>
          <w:sz w:val="20"/>
          <w:u w:val="single"/>
        </w:rPr>
      </w:pPr>
      <w:r>
        <w:rPr>
          <w:spacing w:val="-8"/>
          <w:sz w:val="20"/>
          <w:u w:val="single"/>
        </w:rPr>
        <w:t> </w:t>
      </w:r>
      <w:r>
        <w:rPr>
          <w:sz w:val="20"/>
          <w:u w:val="single"/>
        </w:rPr>
        <w:t>Combinaciones</w:t>
      </w:r>
      <w:r>
        <w:rPr>
          <w:spacing w:val="-6"/>
          <w:sz w:val="20"/>
          <w:u w:val="single"/>
        </w:rPr>
        <w:t> </w:t>
      </w:r>
      <w:r>
        <w:rPr>
          <w:sz w:val="20"/>
          <w:u w:val="single"/>
        </w:rPr>
        <w:t>de</w:t>
      </w:r>
      <w:r>
        <w:rPr>
          <w:spacing w:val="-8"/>
          <w:sz w:val="20"/>
          <w:u w:val="single"/>
        </w:rPr>
        <w:t> </w:t>
      </w:r>
      <w:r>
        <w:rPr>
          <w:spacing w:val="-2"/>
          <w:sz w:val="20"/>
          <w:u w:val="single"/>
        </w:rPr>
        <w:t>negocios</w:t>
      </w:r>
      <w:r>
        <w:rPr>
          <w:spacing w:val="-2"/>
          <w:sz w:val="20"/>
          <w:u w:val="none"/>
        </w:rPr>
        <w:t>.</w:t>
      </w:r>
    </w:p>
    <w:p>
      <w:pPr>
        <w:pStyle w:val="BodyText"/>
      </w:pPr>
    </w:p>
    <w:p>
      <w:pPr>
        <w:pStyle w:val="BodyText"/>
        <w:ind w:left="1768" w:right="1335"/>
        <w:jc w:val="both"/>
      </w:pPr>
      <w:r>
        <w:rPr/>
        <w:t>En la fecha de adquisición, los activos identificables adquiridos y los pasivos asumidos se registrarán, con carácter general, por su valor razonable siempre y cuando dicho valor razonable pueda ser medido con suficiente fiabilidad, así como en su caso, el correspondiente fondo de comercio o diferencia negativa.</w:t>
      </w:r>
    </w:p>
    <w:p>
      <w:pPr>
        <w:pStyle w:val="BodyText"/>
      </w:pPr>
    </w:p>
    <w:p>
      <w:pPr>
        <w:pStyle w:val="BodyText"/>
        <w:ind w:left="1768" w:right="1335"/>
        <w:jc w:val="both"/>
      </w:pPr>
      <w:r>
        <w:rPr/>
        <w:t>No hay operaciones englobadas dentro de la combinación de negocios en el ejercicio</w:t>
      </w:r>
      <w:r>
        <w:rPr>
          <w:spacing w:val="40"/>
        </w:rPr>
        <w:t> </w:t>
      </w:r>
      <w:r>
        <w:rPr>
          <w:spacing w:val="-2"/>
        </w:rPr>
        <w:t>2025.</w:t>
      </w:r>
    </w:p>
    <w:p>
      <w:pPr>
        <w:pStyle w:val="BodyText"/>
        <w:spacing w:before="1"/>
      </w:pPr>
    </w:p>
    <w:p>
      <w:pPr>
        <w:pStyle w:val="ListParagraph"/>
        <w:numPr>
          <w:ilvl w:val="1"/>
          <w:numId w:val="13"/>
        </w:numPr>
        <w:tabs>
          <w:tab w:pos="2264" w:val="left" w:leader="none"/>
        </w:tabs>
        <w:spacing w:line="240" w:lineRule="auto" w:before="0" w:after="0"/>
        <w:ind w:left="2264" w:right="0" w:hanging="496"/>
        <w:jc w:val="both"/>
        <w:rPr>
          <w:sz w:val="20"/>
        </w:rPr>
      </w:pPr>
      <w:r>
        <w:rPr>
          <w:sz w:val="20"/>
          <w:u w:val="single"/>
        </w:rPr>
        <w:t>Negocios</w:t>
      </w:r>
      <w:r>
        <w:rPr>
          <w:spacing w:val="-14"/>
          <w:sz w:val="20"/>
          <w:u w:val="single"/>
        </w:rPr>
        <w:t> </w:t>
      </w:r>
      <w:r>
        <w:rPr>
          <w:spacing w:val="-2"/>
          <w:sz w:val="20"/>
          <w:u w:val="single"/>
        </w:rPr>
        <w:t>conjuntos</w:t>
      </w:r>
      <w:r>
        <w:rPr>
          <w:spacing w:val="-2"/>
          <w:sz w:val="20"/>
          <w:u w:val="none"/>
        </w:rPr>
        <w:t>.</w:t>
      </w:r>
    </w:p>
    <w:p>
      <w:pPr>
        <w:pStyle w:val="BodyText"/>
        <w:spacing w:before="229"/>
        <w:ind w:left="1768" w:right="1336"/>
        <w:jc w:val="both"/>
      </w:pPr>
      <w:r>
        <w:rPr/>
        <w:t>La Sociedad reconoce en su balance y en su cuenta de pérdidas y ganancias la parte proporcional</w:t>
      </w:r>
      <w:r>
        <w:rPr>
          <w:spacing w:val="-3"/>
        </w:rPr>
        <w:t> </w:t>
      </w:r>
      <w:r>
        <w:rPr/>
        <w:t>que le</w:t>
      </w:r>
      <w:r>
        <w:rPr>
          <w:spacing w:val="-2"/>
        </w:rPr>
        <w:t> </w:t>
      </w:r>
      <w:r>
        <w:rPr/>
        <w:t>corresponde, en función del</w:t>
      </w:r>
      <w:r>
        <w:rPr>
          <w:spacing w:val="-3"/>
        </w:rPr>
        <w:t> </w:t>
      </w:r>
      <w:r>
        <w:rPr/>
        <w:t>porcentaje de</w:t>
      </w:r>
      <w:r>
        <w:rPr>
          <w:spacing w:val="-2"/>
        </w:rPr>
        <w:t> </w:t>
      </w:r>
      <w:r>
        <w:rPr/>
        <w:t>participación, de los activos, pasivos, gastos e ingresos incurridos por el negocio conjunto.</w:t>
      </w:r>
    </w:p>
    <w:p>
      <w:pPr>
        <w:pStyle w:val="BodyText"/>
        <w:spacing w:before="1"/>
      </w:pPr>
    </w:p>
    <w:p>
      <w:pPr>
        <w:pStyle w:val="BodyText"/>
        <w:ind w:left="1768" w:right="1337"/>
        <w:jc w:val="both"/>
      </w:pPr>
      <w:r>
        <w:rPr/>
        <w:t>Asimismo, en el estado de cambios en el patrimonio neto y</w:t>
      </w:r>
      <w:r>
        <w:rPr>
          <w:spacing w:val="-1"/>
        </w:rPr>
        <w:t> </w:t>
      </w:r>
      <w:r>
        <w:rPr/>
        <w:t>estado de flujos de efectivo de la Sociedad están integrados igualmente la parte proporcional de los importes de las partidas del negocio conjunto que le corresponda en función del porcentaje de </w:t>
      </w:r>
      <w:r>
        <w:rPr>
          <w:spacing w:val="-2"/>
        </w:rPr>
        <w:t>participación.</w:t>
      </w:r>
    </w:p>
    <w:p>
      <w:pPr>
        <w:pStyle w:val="BodyText"/>
      </w:pPr>
    </w:p>
    <w:p>
      <w:pPr>
        <w:pStyle w:val="BodyText"/>
        <w:ind w:left="1768" w:right="1336"/>
        <w:jc w:val="both"/>
      </w:pPr>
      <w:r>
        <w:rPr/>
        <mc:AlternateContent>
          <mc:Choice Requires="wps">
            <w:drawing>
              <wp:anchor distT="0" distB="0" distL="0" distR="0" allowOverlap="1" layoutInCell="1" locked="0" behindDoc="0" simplePos="0" relativeHeight="15754240">
                <wp:simplePos x="0" y="0"/>
                <wp:positionH relativeFrom="page">
                  <wp:posOffset>6966436</wp:posOffset>
                </wp:positionH>
                <wp:positionV relativeFrom="paragraph">
                  <wp:posOffset>95187</wp:posOffset>
                </wp:positionV>
                <wp:extent cx="263525" cy="327596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495088pt;width:20.75pt;height:257.95pt;mso-position-horizontal-relative:page;mso-position-vertical-relative:paragraph;z-index:15754240" type="#_x0000_t202" id="docshape10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Se han eliminado los resultados no realizados que existen por transacciones con los negocios conjuntos, en proporción a la participación que corresponde a esta Sociedad. Igualmente han sido objeto de eliminación los importes de activos, pasivos, ingresos, gastos y flujos de efectivo recíprocos.</w:t>
      </w:r>
    </w:p>
    <w:p>
      <w:pPr>
        <w:pStyle w:val="BodyText"/>
      </w:pPr>
    </w:p>
    <w:p>
      <w:pPr>
        <w:pStyle w:val="BodyText"/>
        <w:ind w:left="1768"/>
        <w:jc w:val="both"/>
      </w:pPr>
      <w:r>
        <w:rPr/>
        <w:t>No</w:t>
      </w:r>
      <w:r>
        <w:rPr>
          <w:spacing w:val="-8"/>
        </w:rPr>
        <w:t> </w:t>
      </w:r>
      <w:r>
        <w:rPr/>
        <w:t>se</w:t>
      </w:r>
      <w:r>
        <w:rPr>
          <w:spacing w:val="-7"/>
        </w:rPr>
        <w:t> </w:t>
      </w:r>
      <w:r>
        <w:rPr/>
        <w:t>han</w:t>
      </w:r>
      <w:r>
        <w:rPr>
          <w:spacing w:val="-6"/>
        </w:rPr>
        <w:t> </w:t>
      </w:r>
      <w:r>
        <w:rPr/>
        <w:t>producido</w:t>
      </w:r>
      <w:r>
        <w:rPr>
          <w:spacing w:val="-5"/>
        </w:rPr>
        <w:t> </w:t>
      </w:r>
      <w:r>
        <w:rPr/>
        <w:t>negocios</w:t>
      </w:r>
      <w:r>
        <w:rPr>
          <w:spacing w:val="-5"/>
        </w:rPr>
        <w:t> </w:t>
      </w:r>
      <w:r>
        <w:rPr/>
        <w:t>conjuntos</w:t>
      </w:r>
      <w:r>
        <w:rPr>
          <w:spacing w:val="-6"/>
        </w:rPr>
        <w:t> </w:t>
      </w:r>
      <w:r>
        <w:rPr/>
        <w:t>en</w:t>
      </w:r>
      <w:r>
        <w:rPr>
          <w:spacing w:val="-3"/>
        </w:rPr>
        <w:t> </w:t>
      </w:r>
      <w:r>
        <w:rPr/>
        <w:t>el</w:t>
      </w:r>
      <w:r>
        <w:rPr>
          <w:spacing w:val="-4"/>
        </w:rPr>
        <w:t> </w:t>
      </w:r>
      <w:r>
        <w:rPr>
          <w:spacing w:val="-2"/>
        </w:rPr>
        <w:t>ejercicio.</w:t>
      </w:r>
    </w:p>
    <w:p>
      <w:pPr>
        <w:pStyle w:val="ListParagraph"/>
        <w:numPr>
          <w:ilvl w:val="1"/>
          <w:numId w:val="13"/>
        </w:numPr>
        <w:tabs>
          <w:tab w:pos="2264" w:val="left" w:leader="none"/>
        </w:tabs>
        <w:spacing w:line="240" w:lineRule="auto" w:before="228" w:after="0"/>
        <w:ind w:left="2264" w:right="0" w:hanging="496"/>
        <w:jc w:val="both"/>
        <w:rPr>
          <w:sz w:val="20"/>
        </w:rPr>
      </w:pPr>
      <w:r>
        <w:rPr>
          <w:sz w:val="20"/>
          <w:u w:val="single"/>
        </w:rPr>
        <w:t>Criterios</w:t>
      </w:r>
      <w:r>
        <w:rPr>
          <w:spacing w:val="-8"/>
          <w:sz w:val="20"/>
          <w:u w:val="single"/>
        </w:rPr>
        <w:t> </w:t>
      </w:r>
      <w:r>
        <w:rPr>
          <w:sz w:val="20"/>
          <w:u w:val="single"/>
        </w:rPr>
        <w:t>empleados</w:t>
      </w:r>
      <w:r>
        <w:rPr>
          <w:spacing w:val="-7"/>
          <w:sz w:val="20"/>
          <w:u w:val="single"/>
        </w:rPr>
        <w:t> </w:t>
      </w:r>
      <w:r>
        <w:rPr>
          <w:sz w:val="20"/>
          <w:u w:val="single"/>
        </w:rPr>
        <w:t>en</w:t>
      </w:r>
      <w:r>
        <w:rPr>
          <w:spacing w:val="-8"/>
          <w:sz w:val="20"/>
          <w:u w:val="single"/>
        </w:rPr>
        <w:t> </w:t>
      </w:r>
      <w:r>
        <w:rPr>
          <w:sz w:val="20"/>
          <w:u w:val="single"/>
        </w:rPr>
        <w:t>transacciones</w:t>
      </w:r>
      <w:r>
        <w:rPr>
          <w:spacing w:val="-7"/>
          <w:sz w:val="20"/>
          <w:u w:val="single"/>
        </w:rPr>
        <w:t> </w:t>
      </w:r>
      <w:r>
        <w:rPr>
          <w:sz w:val="20"/>
          <w:u w:val="single"/>
        </w:rPr>
        <w:t>entre</w:t>
      </w:r>
      <w:r>
        <w:rPr>
          <w:spacing w:val="-8"/>
          <w:sz w:val="20"/>
          <w:u w:val="single"/>
        </w:rPr>
        <w:t> </w:t>
      </w:r>
      <w:r>
        <w:rPr>
          <w:sz w:val="20"/>
          <w:u w:val="single"/>
        </w:rPr>
        <w:t>partes</w:t>
      </w:r>
      <w:r>
        <w:rPr>
          <w:spacing w:val="-7"/>
          <w:sz w:val="20"/>
          <w:u w:val="single"/>
        </w:rPr>
        <w:t> </w:t>
      </w:r>
      <w:r>
        <w:rPr>
          <w:spacing w:val="-2"/>
          <w:sz w:val="20"/>
          <w:u w:val="single"/>
        </w:rPr>
        <w:t>vinculadas</w:t>
      </w:r>
      <w:r>
        <w:rPr>
          <w:spacing w:val="-2"/>
          <w:sz w:val="20"/>
          <w:u w:val="none"/>
        </w:rPr>
        <w:t>.</w:t>
      </w:r>
    </w:p>
    <w:p>
      <w:pPr>
        <w:pStyle w:val="BodyText"/>
        <w:spacing w:before="1"/>
      </w:pPr>
    </w:p>
    <w:p>
      <w:pPr>
        <w:pStyle w:val="BodyText"/>
        <w:ind w:left="1768" w:right="1336"/>
        <w:jc w:val="both"/>
      </w:pPr>
      <w:r>
        <w:rPr/>
        <w:t>En el supuesto de existir, las operaciones entre empresas del mismo grupo, con independencia del grado de vinculación, se contabilizan de acuerdo con las normas generales. Los elementos objeto de las transacciones que se</w:t>
      </w:r>
      <w:r>
        <w:rPr>
          <w:spacing w:val="-2"/>
        </w:rPr>
        <w:t> </w:t>
      </w:r>
      <w:r>
        <w:rPr/>
        <w:t>realicen se contabilizarán en el momento inicial por su valor razonable. La valoración posterior se realiza de acuerdo</w:t>
      </w:r>
      <w:r>
        <w:rPr>
          <w:spacing w:val="40"/>
        </w:rPr>
        <w:t> </w:t>
      </w:r>
      <w:r>
        <w:rPr/>
        <w:t>con lo previsto en las normas particulares para las cuentas que corresponda.</w:t>
      </w:r>
    </w:p>
    <w:p>
      <w:pPr>
        <w:pStyle w:val="BodyText"/>
      </w:pPr>
    </w:p>
    <w:p>
      <w:pPr>
        <w:pStyle w:val="BodyText"/>
        <w:ind w:left="1768" w:right="1337"/>
        <w:jc w:val="both"/>
      </w:pPr>
      <w:r>
        <w:rPr/>
        <w:t>Esta norma de valoración afecta a las partes vinculadas que se explicitan en la Norma de elaboración de</w:t>
      </w:r>
      <w:r>
        <w:rPr>
          <w:spacing w:val="-1"/>
        </w:rPr>
        <w:t> </w:t>
      </w:r>
      <w:r>
        <w:rPr/>
        <w:t>las cuentas anuales 13ª del Plan General</w:t>
      </w:r>
      <w:r>
        <w:rPr>
          <w:spacing w:val="-1"/>
        </w:rPr>
        <w:t> </w:t>
      </w:r>
      <w:r>
        <w:rPr/>
        <w:t>de</w:t>
      </w:r>
      <w:r>
        <w:rPr>
          <w:spacing w:val="-1"/>
        </w:rPr>
        <w:t> </w:t>
      </w:r>
      <w:r>
        <w:rPr/>
        <w:t>Contabilidad. En este sentido:</w:t>
      </w:r>
    </w:p>
    <w:p>
      <w:pPr>
        <w:pStyle w:val="BodyText"/>
        <w:spacing w:before="1"/>
      </w:pPr>
    </w:p>
    <w:p>
      <w:pPr>
        <w:pStyle w:val="ListParagraph"/>
        <w:numPr>
          <w:ilvl w:val="2"/>
          <w:numId w:val="13"/>
        </w:numPr>
        <w:tabs>
          <w:tab w:pos="2474" w:val="left" w:leader="none"/>
        </w:tabs>
        <w:spacing w:line="240" w:lineRule="auto" w:before="0" w:after="0"/>
        <w:ind w:left="2474" w:right="1338" w:hanging="382"/>
        <w:jc w:val="both"/>
        <w:rPr>
          <w:sz w:val="20"/>
        </w:rPr>
      </w:pPr>
      <w:r>
        <w:rPr>
          <w:sz w:val="20"/>
        </w:rPr>
        <w:t>Se entenderá que una empresa forma parte del grupo cuando ambas estén vinculadas por una relación de control, directa o indirecta, análoga a la prevista en el artículo 42 del Código de Comercio, o cuando las empresas estén controladas</w:t>
      </w:r>
    </w:p>
    <w:p>
      <w:pPr>
        <w:pStyle w:val="ListParagraph"/>
        <w:spacing w:after="0" w:line="240" w:lineRule="auto"/>
        <w:jc w:val="both"/>
        <w:rPr>
          <w:sz w:val="20"/>
        </w:rPr>
        <w:sectPr>
          <w:pgSz w:w="11910" w:h="16840"/>
          <w:pgMar w:header="286" w:footer="1060" w:top="1920" w:bottom="1260" w:left="360" w:right="360"/>
        </w:sectPr>
      </w:pPr>
    </w:p>
    <w:p>
      <w:pPr>
        <w:pStyle w:val="BodyText"/>
        <w:spacing w:before="201"/>
      </w:pPr>
    </w:p>
    <w:p>
      <w:pPr>
        <w:pStyle w:val="BodyText"/>
        <w:ind w:left="2474" w:right="1308"/>
      </w:pPr>
      <w:r>
        <w:rPr/>
        <w:t>por</w:t>
      </w:r>
      <w:r>
        <w:rPr>
          <w:spacing w:val="-1"/>
        </w:rPr>
        <w:t> </w:t>
      </w:r>
      <w:r>
        <w:rPr/>
        <w:t>cualquier</w:t>
      </w:r>
      <w:r>
        <w:rPr>
          <w:spacing w:val="-1"/>
        </w:rPr>
        <w:t> </w:t>
      </w:r>
      <w:r>
        <w:rPr/>
        <w:t>medio por</w:t>
      </w:r>
      <w:r>
        <w:rPr>
          <w:spacing w:val="-1"/>
        </w:rPr>
        <w:t> </w:t>
      </w:r>
      <w:r>
        <w:rPr/>
        <w:t>una</w:t>
      </w:r>
      <w:r>
        <w:rPr>
          <w:spacing w:val="-4"/>
        </w:rPr>
        <w:t> </w:t>
      </w:r>
      <w:r>
        <w:rPr/>
        <w:t>o varias personas jurídicas que actúen</w:t>
      </w:r>
      <w:r>
        <w:rPr>
          <w:spacing w:val="-2"/>
        </w:rPr>
        <w:t> </w:t>
      </w:r>
      <w:r>
        <w:rPr/>
        <w:t>conjuntamente o se hallen bajo dirección única por acuerdos o cláusulas estatutarias.</w:t>
      </w:r>
    </w:p>
    <w:p>
      <w:pPr>
        <w:pStyle w:val="ListParagraph"/>
        <w:numPr>
          <w:ilvl w:val="2"/>
          <w:numId w:val="13"/>
        </w:numPr>
        <w:tabs>
          <w:tab w:pos="2470" w:val="left" w:leader="none"/>
          <w:tab w:pos="2474" w:val="left" w:leader="none"/>
        </w:tabs>
        <w:spacing w:line="240" w:lineRule="auto" w:before="229" w:after="0"/>
        <w:ind w:left="2474" w:right="1339" w:hanging="428"/>
        <w:jc w:val="both"/>
        <w:rPr>
          <w:sz w:val="20"/>
        </w:rPr>
      </w:pPr>
      <w:r>
        <w:rPr>
          <w:sz w:val="20"/>
        </w:rPr>
        <w:t>Se entenderá que una empresa es asociada cuando, sin que se trate de una empresa del grupo en el sentido señalado, la empresa o las personas físicas dominantes, ejerzan sobre esa empresa asociada una influencia significativa, tal como se desarrolla detenidamente en la citada Norma de elaboración de cuentas anuales 13ª.</w:t>
      </w:r>
    </w:p>
    <w:p>
      <w:pPr>
        <w:pStyle w:val="BodyText"/>
      </w:pPr>
    </w:p>
    <w:p>
      <w:pPr>
        <w:pStyle w:val="ListParagraph"/>
        <w:numPr>
          <w:ilvl w:val="2"/>
          <w:numId w:val="13"/>
        </w:numPr>
        <w:tabs>
          <w:tab w:pos="2468" w:val="left" w:leader="none"/>
          <w:tab w:pos="2474" w:val="left" w:leader="none"/>
        </w:tabs>
        <w:spacing w:line="240" w:lineRule="auto" w:before="0" w:after="0"/>
        <w:ind w:left="2474" w:right="1338" w:hanging="471"/>
        <w:jc w:val="both"/>
        <w:rPr>
          <w:sz w:val="20"/>
        </w:rPr>
      </w:pPr>
      <w:r>
        <w:rPr>
          <w:sz w:val="20"/>
        </w:rPr>
        <w:t>Una parte se considera vinculada a otra cuando una de ellas ejerce o tiene la posibilidad de ejercer directa o indirectamente o en virtud de pactos o acuerdos entre accionistas o partícipes, el control sobre otra o una influencia significativa en la toma de decisiones financieras y de explotación de la otra, tal como se detalla detenidamente en la Norma de elaboración de cuentas anuales 15ª.</w:t>
      </w:r>
    </w:p>
    <w:p>
      <w:pPr>
        <w:pStyle w:val="BodyText"/>
      </w:pPr>
    </w:p>
    <w:p>
      <w:pPr>
        <w:pStyle w:val="BodyText"/>
        <w:ind w:left="1768" w:right="1337"/>
        <w:jc w:val="both"/>
      </w:pPr>
      <w:r>
        <w:rPr/>
        <w:t>Se consideran partes vinculadas a la Sociedad, adicionalmente a las empresas del grupo, asociadas y</w:t>
      </w:r>
      <w:r>
        <w:rPr>
          <w:spacing w:val="-3"/>
        </w:rPr>
        <w:t> </w:t>
      </w:r>
      <w:r>
        <w:rPr/>
        <w:t>multigrupo, a las personas físicas que posean directa</w:t>
      </w:r>
      <w:r>
        <w:rPr>
          <w:spacing w:val="-2"/>
        </w:rPr>
        <w:t> </w:t>
      </w:r>
      <w:r>
        <w:rPr/>
        <w:t>o indirectamente</w:t>
      </w:r>
      <w:r>
        <w:rPr>
          <w:spacing w:val="-2"/>
        </w:rPr>
        <w:t> </w:t>
      </w:r>
      <w:r>
        <w:rPr/>
        <w:t>alguna participación en los derechos de voto de la Sociedad, o en su dominante, de manera que les permita ejercer sobre una u otra una influencia significativa, así como a sus familiares próximos, al personal clave de la Sociedad o de su dominante (personas físicas con autoridad y</w:t>
      </w:r>
      <w:r>
        <w:rPr>
          <w:spacing w:val="-2"/>
        </w:rPr>
        <w:t> </w:t>
      </w:r>
      <w:r>
        <w:rPr/>
        <w:t>responsabilidad</w:t>
      </w:r>
      <w:r>
        <w:rPr>
          <w:spacing w:val="-1"/>
        </w:rPr>
        <w:t> </w:t>
      </w:r>
      <w:r>
        <w:rPr/>
        <w:t>sobre la planificación,</w:t>
      </w:r>
      <w:r>
        <w:rPr>
          <w:spacing w:val="-1"/>
        </w:rPr>
        <w:t> </w:t>
      </w:r>
      <w:r>
        <w:rPr/>
        <w:t>dirección y</w:t>
      </w:r>
      <w:r>
        <w:rPr>
          <w:spacing w:val="-2"/>
        </w:rPr>
        <w:t> </w:t>
      </w:r>
      <w:r>
        <w:rPr/>
        <w:t>control de las actividades de la empresa, ya sea directa o indirectamente), entre la que se incluyen los Administradores y los Directivos, junto a sus familiares próximos, así como a las entidades sobre las que</w:t>
      </w:r>
      <w:r>
        <w:rPr>
          <w:spacing w:val="40"/>
        </w:rPr>
        <w:t> </w:t>
      </w:r>
      <w:r>
        <w:rPr/>
        <w:t>las personas mencionadas anteriormente puedan ejercer una influencia significativa. Asimismo, tienen la consideración de parte vinculadas las empresas que compartan algún consejero o directivo con la Sociedad, salvo cuando éste no ejerza una influencia significativa en las políticas financiera y de explotación de ambas, y, en su caso, los familiares próximos del representante persona física del Administrador, persona jurídica,</w:t>
      </w:r>
      <w:r>
        <w:rPr>
          <w:spacing w:val="40"/>
        </w:rPr>
        <w:t> </w:t>
      </w:r>
      <w:r>
        <w:rPr/>
        <w:t>de la Sociedad.</w:t>
      </w:r>
    </w:p>
    <w:p>
      <w:pPr>
        <w:pStyle w:val="ListParagraph"/>
        <w:numPr>
          <w:ilvl w:val="1"/>
          <w:numId w:val="13"/>
        </w:numPr>
        <w:tabs>
          <w:tab w:pos="2264" w:val="left" w:leader="none"/>
        </w:tabs>
        <w:spacing w:line="240" w:lineRule="auto" w:before="229" w:after="0"/>
        <w:ind w:left="2264" w:right="0" w:hanging="496"/>
        <w:jc w:val="left"/>
        <w:rPr>
          <w:sz w:val="20"/>
        </w:rPr>
      </w:pPr>
      <w:r>
        <w:rPr>
          <w:sz w:val="20"/>
          <w:u w:val="single"/>
        </w:rPr>
        <w:t>Activos</w:t>
      </w:r>
      <w:r>
        <w:rPr>
          <w:spacing w:val="-5"/>
          <w:sz w:val="20"/>
          <w:u w:val="single"/>
        </w:rPr>
        <w:t> </w:t>
      </w:r>
      <w:r>
        <w:rPr>
          <w:sz w:val="20"/>
          <w:u w:val="single"/>
        </w:rPr>
        <w:t>no</w:t>
      </w:r>
      <w:r>
        <w:rPr>
          <w:spacing w:val="-9"/>
          <w:sz w:val="20"/>
          <w:u w:val="single"/>
        </w:rPr>
        <w:t> </w:t>
      </w:r>
      <w:r>
        <w:rPr>
          <w:sz w:val="20"/>
          <w:u w:val="single"/>
        </w:rPr>
        <w:t>corrientes</w:t>
      </w:r>
      <w:r>
        <w:rPr>
          <w:spacing w:val="-4"/>
          <w:sz w:val="20"/>
          <w:u w:val="single"/>
        </w:rPr>
        <w:t> </w:t>
      </w:r>
      <w:r>
        <w:rPr>
          <w:sz w:val="20"/>
          <w:u w:val="single"/>
        </w:rPr>
        <w:t>mantenidos</w:t>
      </w:r>
      <w:r>
        <w:rPr>
          <w:spacing w:val="-7"/>
          <w:sz w:val="20"/>
          <w:u w:val="single"/>
        </w:rPr>
        <w:t> </w:t>
      </w:r>
      <w:r>
        <w:rPr>
          <w:sz w:val="20"/>
          <w:u w:val="single"/>
        </w:rPr>
        <w:t>para</w:t>
      </w:r>
      <w:r>
        <w:rPr>
          <w:spacing w:val="-9"/>
          <w:sz w:val="20"/>
          <w:u w:val="single"/>
        </w:rPr>
        <w:t> </w:t>
      </w:r>
      <w:r>
        <w:rPr>
          <w:sz w:val="20"/>
          <w:u w:val="single"/>
        </w:rPr>
        <w:t>la</w:t>
      </w:r>
      <w:r>
        <w:rPr>
          <w:spacing w:val="-8"/>
          <w:sz w:val="20"/>
          <w:u w:val="single"/>
        </w:rPr>
        <w:t> </w:t>
      </w:r>
      <w:r>
        <w:rPr>
          <w:spacing w:val="-2"/>
          <w:sz w:val="20"/>
          <w:u w:val="single"/>
        </w:rPr>
        <w:t>venta</w:t>
      </w:r>
      <w:r>
        <w:rPr>
          <w:spacing w:val="-2"/>
          <w:sz w:val="20"/>
          <w:u w:val="none"/>
        </w:rPr>
        <w:t>.</w:t>
      </w:r>
    </w:p>
    <w:p>
      <w:pPr>
        <w:pStyle w:val="BodyText"/>
        <w:spacing w:before="1"/>
      </w:pPr>
    </w:p>
    <w:p>
      <w:pPr>
        <w:pStyle w:val="BodyText"/>
        <w:ind w:left="1908" w:right="1339"/>
        <w:jc w:val="both"/>
      </w:pPr>
      <w:r>
        <w:rPr/>
        <mc:AlternateContent>
          <mc:Choice Requires="wps">
            <w:drawing>
              <wp:anchor distT="0" distB="0" distL="0" distR="0" allowOverlap="1" layoutInCell="1" locked="0" behindDoc="0" simplePos="0" relativeHeight="15754752">
                <wp:simplePos x="0" y="0"/>
                <wp:positionH relativeFrom="page">
                  <wp:posOffset>6966436</wp:posOffset>
                </wp:positionH>
                <wp:positionV relativeFrom="paragraph">
                  <wp:posOffset>387897</wp:posOffset>
                </wp:positionV>
                <wp:extent cx="263525" cy="327596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30.543135pt;width:20.75pt;height:257.95pt;mso-position-horizontal-relative:page;mso-position-vertical-relative:paragraph;z-index:15754752" type="#_x0000_t202" id="docshape10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Se registran en este apartado aquellos activos en los que su valor contable se</w:t>
      </w:r>
      <w:r>
        <w:rPr>
          <w:spacing w:val="40"/>
        </w:rPr>
        <w:t> </w:t>
      </w:r>
      <w:r>
        <w:rPr/>
        <w:t>recuperará fundamentalmente a través de su venta, y siempre y cuando cumplan los siguientes requisitos:</w:t>
      </w:r>
    </w:p>
    <w:p>
      <w:pPr>
        <w:pStyle w:val="ListParagraph"/>
        <w:numPr>
          <w:ilvl w:val="0"/>
          <w:numId w:val="15"/>
        </w:numPr>
        <w:tabs>
          <w:tab w:pos="2998" w:val="left" w:leader="none"/>
          <w:tab w:pos="3000" w:val="left" w:leader="none"/>
        </w:tabs>
        <w:spacing w:line="240" w:lineRule="auto" w:before="230" w:after="0"/>
        <w:ind w:left="3000" w:right="1339" w:hanging="360"/>
        <w:jc w:val="both"/>
        <w:rPr>
          <w:sz w:val="20"/>
        </w:rPr>
      </w:pPr>
      <w:r>
        <w:rPr>
          <w:sz w:val="20"/>
        </w:rPr>
        <w:t>El activo debe estar disponible en sus condiciones actuales para su venta inmediata, y</w:t>
      </w:r>
    </w:p>
    <w:p>
      <w:pPr>
        <w:pStyle w:val="ListParagraph"/>
        <w:numPr>
          <w:ilvl w:val="0"/>
          <w:numId w:val="15"/>
        </w:numPr>
        <w:tabs>
          <w:tab w:pos="2998" w:val="left" w:leader="none"/>
          <w:tab w:pos="3000" w:val="left" w:leader="none"/>
        </w:tabs>
        <w:spacing w:line="240" w:lineRule="auto" w:before="120" w:after="0"/>
        <w:ind w:left="3000" w:right="1337" w:hanging="360"/>
        <w:jc w:val="both"/>
        <w:rPr>
          <w:sz w:val="20"/>
        </w:rPr>
      </w:pPr>
      <w:r>
        <w:rPr>
          <w:sz w:val="20"/>
        </w:rPr>
        <w:t>Su venta debe ser altamente probable, ya sea porque se tenga un plan para vender el activo y se haya iniciado un programa para encontrar comprador, que la venta del activo debe negociarse a un precio adecuado en relación con su valor razonable actual y que se espera completar la venta dentro del año siguiente. Es improbable que haya cambios significativos en el mismo o que vaya a ser retirado</w:t>
      </w:r>
    </w:p>
    <w:p>
      <w:pPr>
        <w:pStyle w:val="BodyText"/>
        <w:spacing w:before="121"/>
        <w:ind w:left="1908" w:right="1341"/>
        <w:jc w:val="both"/>
      </w:pPr>
      <w:r>
        <w:rPr/>
        <w:t>Se valoran en el momento de su clasificación en esta categoría, por el menor entre su valor contable y su valor razonable menos los costes de venta.</w:t>
      </w:r>
    </w:p>
    <w:p>
      <w:pPr>
        <w:pStyle w:val="BodyText"/>
        <w:spacing w:before="228"/>
        <w:ind w:left="1908" w:right="1342"/>
        <w:jc w:val="both"/>
      </w:pPr>
      <w:r>
        <w:rPr/>
        <w:t>No hay</w:t>
      </w:r>
      <w:r>
        <w:rPr>
          <w:spacing w:val="-2"/>
        </w:rPr>
        <w:t> </w:t>
      </w:r>
      <w:r>
        <w:rPr/>
        <w:t>en la sociedad ningún activo clasificado como activo no corriente mantenido para la venta.</w:t>
      </w:r>
    </w:p>
    <w:p>
      <w:pPr>
        <w:pStyle w:val="BodyText"/>
        <w:spacing w:before="1"/>
      </w:pPr>
    </w:p>
    <w:p>
      <w:pPr>
        <w:pStyle w:val="ListParagraph"/>
        <w:numPr>
          <w:ilvl w:val="1"/>
          <w:numId w:val="13"/>
        </w:numPr>
        <w:tabs>
          <w:tab w:pos="2264" w:val="left" w:leader="none"/>
        </w:tabs>
        <w:spacing w:line="240" w:lineRule="auto" w:before="1" w:after="0"/>
        <w:ind w:left="2264" w:right="0" w:hanging="496"/>
        <w:jc w:val="left"/>
        <w:rPr>
          <w:sz w:val="20"/>
        </w:rPr>
      </w:pPr>
      <w:r>
        <w:rPr>
          <w:sz w:val="20"/>
          <w:u w:val="single"/>
        </w:rPr>
        <w:t>Operaciones</w:t>
      </w:r>
      <w:r>
        <w:rPr>
          <w:spacing w:val="-10"/>
          <w:sz w:val="20"/>
          <w:u w:val="single"/>
        </w:rPr>
        <w:t> </w:t>
      </w:r>
      <w:r>
        <w:rPr>
          <w:spacing w:val="-2"/>
          <w:sz w:val="20"/>
          <w:u w:val="single"/>
        </w:rPr>
        <w:t>interrumpidas</w:t>
      </w:r>
      <w:r>
        <w:rPr>
          <w:spacing w:val="-2"/>
          <w:sz w:val="20"/>
          <w:u w:val="none"/>
        </w:rPr>
        <w:t>.</w:t>
      </w:r>
    </w:p>
    <w:p>
      <w:pPr>
        <w:pStyle w:val="BodyText"/>
      </w:pPr>
    </w:p>
    <w:p>
      <w:pPr>
        <w:pStyle w:val="BodyText"/>
        <w:ind w:left="1768" w:right="1342"/>
        <w:jc w:val="both"/>
      </w:pPr>
      <w:r>
        <w:rPr/>
        <w:t>La sociedad reconoce como tal los componentes que han sido enajenados o clasificados como mantenidos para la venta y cumplen alguna de las siguientes características:</w:t>
      </w:r>
    </w:p>
    <w:p>
      <w:pPr>
        <w:pStyle w:val="BodyText"/>
        <w:spacing w:after="0"/>
        <w:jc w:val="both"/>
        <w:sectPr>
          <w:pgSz w:w="11910" w:h="16840"/>
          <w:pgMar w:header="286" w:footer="1060" w:top="1920" w:bottom="1260" w:left="360" w:right="360"/>
        </w:sectPr>
      </w:pPr>
    </w:p>
    <w:p>
      <w:pPr>
        <w:pStyle w:val="BodyText"/>
        <w:spacing w:before="201"/>
      </w:pPr>
      <w:r>
        <w:rPr/>
        <mc:AlternateContent>
          <mc:Choice Requires="wps">
            <w:drawing>
              <wp:anchor distT="0" distB="0" distL="0" distR="0" allowOverlap="1" layoutInCell="1" locked="0" behindDoc="0" simplePos="0" relativeHeight="15755264">
                <wp:simplePos x="0" y="0"/>
                <wp:positionH relativeFrom="page">
                  <wp:posOffset>6966436</wp:posOffset>
                </wp:positionH>
                <wp:positionV relativeFrom="page">
                  <wp:posOffset>6553363</wp:posOffset>
                </wp:positionV>
                <wp:extent cx="263525" cy="32759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55264" type="#_x0000_t202" id="docshape10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35</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ListParagraph"/>
        <w:numPr>
          <w:ilvl w:val="0"/>
          <w:numId w:val="16"/>
        </w:numPr>
        <w:tabs>
          <w:tab w:pos="2998" w:val="left" w:leader="none"/>
        </w:tabs>
        <w:spacing w:line="240" w:lineRule="auto" w:before="0" w:after="0"/>
        <w:ind w:left="2998" w:right="0" w:hanging="358"/>
        <w:jc w:val="left"/>
        <w:rPr>
          <w:sz w:val="20"/>
        </w:rPr>
      </w:pPr>
      <w:r>
        <w:rPr>
          <w:sz w:val="20"/>
        </w:rPr>
        <w:t>Representan</w:t>
      </w:r>
      <w:r>
        <w:rPr>
          <w:spacing w:val="-5"/>
          <w:sz w:val="20"/>
        </w:rPr>
        <w:t> </w:t>
      </w:r>
      <w:r>
        <w:rPr>
          <w:sz w:val="20"/>
        </w:rPr>
        <w:t>una</w:t>
      </w:r>
      <w:r>
        <w:rPr>
          <w:spacing w:val="-6"/>
          <w:sz w:val="20"/>
        </w:rPr>
        <w:t> </w:t>
      </w:r>
      <w:r>
        <w:rPr>
          <w:sz w:val="20"/>
        </w:rPr>
        <w:t>línea</w:t>
      </w:r>
      <w:r>
        <w:rPr>
          <w:spacing w:val="-7"/>
          <w:sz w:val="20"/>
        </w:rPr>
        <w:t> </w:t>
      </w:r>
      <w:r>
        <w:rPr>
          <w:sz w:val="20"/>
        </w:rPr>
        <w:t>de</w:t>
      </w:r>
      <w:r>
        <w:rPr>
          <w:spacing w:val="-4"/>
          <w:sz w:val="20"/>
        </w:rPr>
        <w:t> </w:t>
      </w:r>
      <w:r>
        <w:rPr>
          <w:sz w:val="20"/>
        </w:rPr>
        <w:t>negocio</w:t>
      </w:r>
      <w:r>
        <w:rPr>
          <w:spacing w:val="-8"/>
          <w:sz w:val="20"/>
        </w:rPr>
        <w:t> </w:t>
      </w:r>
      <w:r>
        <w:rPr>
          <w:sz w:val="20"/>
        </w:rPr>
        <w:t>o</w:t>
      </w:r>
      <w:r>
        <w:rPr>
          <w:spacing w:val="-7"/>
          <w:sz w:val="20"/>
        </w:rPr>
        <w:t> </w:t>
      </w:r>
      <w:r>
        <w:rPr>
          <w:sz w:val="20"/>
        </w:rPr>
        <w:t>un</w:t>
      </w:r>
      <w:r>
        <w:rPr>
          <w:spacing w:val="-4"/>
          <w:sz w:val="20"/>
        </w:rPr>
        <w:t> </w:t>
      </w:r>
      <w:r>
        <w:rPr>
          <w:sz w:val="20"/>
        </w:rPr>
        <w:t>área</w:t>
      </w:r>
      <w:r>
        <w:rPr>
          <w:spacing w:val="-5"/>
          <w:sz w:val="20"/>
        </w:rPr>
        <w:t> </w:t>
      </w:r>
      <w:r>
        <w:rPr>
          <w:sz w:val="20"/>
        </w:rPr>
        <w:t>geográfica</w:t>
      </w:r>
      <w:r>
        <w:rPr>
          <w:spacing w:val="-7"/>
          <w:sz w:val="20"/>
        </w:rPr>
        <w:t> </w:t>
      </w:r>
      <w:r>
        <w:rPr>
          <w:sz w:val="20"/>
        </w:rPr>
        <w:t>de</w:t>
      </w:r>
      <w:r>
        <w:rPr>
          <w:spacing w:val="-6"/>
          <w:sz w:val="20"/>
        </w:rPr>
        <w:t> </w:t>
      </w:r>
      <w:r>
        <w:rPr>
          <w:sz w:val="20"/>
        </w:rPr>
        <w:t>la</w:t>
      </w:r>
      <w:r>
        <w:rPr>
          <w:spacing w:val="-8"/>
          <w:sz w:val="20"/>
        </w:rPr>
        <w:t> </w:t>
      </w:r>
      <w:r>
        <w:rPr>
          <w:spacing w:val="-2"/>
          <w:sz w:val="20"/>
        </w:rPr>
        <w:t>explotación.</w:t>
      </w:r>
    </w:p>
    <w:p>
      <w:pPr>
        <w:pStyle w:val="ListParagraph"/>
        <w:numPr>
          <w:ilvl w:val="0"/>
          <w:numId w:val="16"/>
        </w:numPr>
        <w:tabs>
          <w:tab w:pos="2998" w:val="left" w:leader="none"/>
        </w:tabs>
        <w:spacing w:line="240" w:lineRule="auto" w:before="118" w:after="0"/>
        <w:ind w:left="2998" w:right="0" w:hanging="358"/>
        <w:jc w:val="left"/>
        <w:rPr>
          <w:sz w:val="20"/>
        </w:rPr>
      </w:pPr>
      <w:r>
        <w:rPr>
          <w:sz w:val="20"/>
        </w:rPr>
        <w:t>Formen</w:t>
      </w:r>
      <w:r>
        <w:rPr>
          <w:spacing w:val="-7"/>
          <w:sz w:val="20"/>
        </w:rPr>
        <w:t> </w:t>
      </w:r>
      <w:r>
        <w:rPr>
          <w:sz w:val="20"/>
        </w:rPr>
        <w:t>parte</w:t>
      </w:r>
      <w:r>
        <w:rPr>
          <w:spacing w:val="-3"/>
          <w:sz w:val="20"/>
        </w:rPr>
        <w:t> </w:t>
      </w:r>
      <w:r>
        <w:rPr>
          <w:sz w:val="20"/>
        </w:rPr>
        <w:t>de</w:t>
      </w:r>
      <w:r>
        <w:rPr>
          <w:spacing w:val="-5"/>
          <w:sz w:val="20"/>
        </w:rPr>
        <w:t> </w:t>
      </w:r>
      <w:r>
        <w:rPr>
          <w:sz w:val="20"/>
        </w:rPr>
        <w:t>un</w:t>
      </w:r>
      <w:r>
        <w:rPr>
          <w:spacing w:val="-6"/>
          <w:sz w:val="20"/>
        </w:rPr>
        <w:t> </w:t>
      </w:r>
      <w:r>
        <w:rPr>
          <w:sz w:val="20"/>
        </w:rPr>
        <w:t>plan</w:t>
      </w:r>
      <w:r>
        <w:rPr>
          <w:spacing w:val="-7"/>
          <w:sz w:val="20"/>
        </w:rPr>
        <w:t> </w:t>
      </w:r>
      <w:r>
        <w:rPr>
          <w:sz w:val="20"/>
        </w:rPr>
        <w:t>individual</w:t>
      </w:r>
      <w:r>
        <w:rPr>
          <w:spacing w:val="-3"/>
          <w:sz w:val="20"/>
        </w:rPr>
        <w:t> </w:t>
      </w:r>
      <w:r>
        <w:rPr>
          <w:sz w:val="20"/>
        </w:rPr>
        <w:t>y</w:t>
      </w:r>
      <w:r>
        <w:rPr>
          <w:spacing w:val="-10"/>
          <w:sz w:val="20"/>
        </w:rPr>
        <w:t> </w:t>
      </w:r>
      <w:r>
        <w:rPr>
          <w:sz w:val="20"/>
        </w:rPr>
        <w:t>coordinado</w:t>
      </w:r>
      <w:r>
        <w:rPr>
          <w:spacing w:val="-6"/>
          <w:sz w:val="20"/>
        </w:rPr>
        <w:t> </w:t>
      </w:r>
      <w:r>
        <w:rPr>
          <w:sz w:val="20"/>
        </w:rPr>
        <w:t>de</w:t>
      </w:r>
      <w:r>
        <w:rPr>
          <w:spacing w:val="-7"/>
          <w:sz w:val="20"/>
        </w:rPr>
        <w:t> </w:t>
      </w:r>
      <w:r>
        <w:rPr>
          <w:spacing w:val="-2"/>
          <w:sz w:val="20"/>
        </w:rPr>
        <w:t>enajenación.</w:t>
      </w:r>
    </w:p>
    <w:p>
      <w:pPr>
        <w:pStyle w:val="ListParagraph"/>
        <w:numPr>
          <w:ilvl w:val="0"/>
          <w:numId w:val="16"/>
        </w:numPr>
        <w:tabs>
          <w:tab w:pos="3000" w:val="left" w:leader="none"/>
        </w:tabs>
        <w:spacing w:line="240" w:lineRule="auto" w:before="121" w:after="0"/>
        <w:ind w:left="3000" w:right="1341" w:hanging="360"/>
        <w:jc w:val="left"/>
        <w:rPr>
          <w:sz w:val="20"/>
        </w:rPr>
      </w:pPr>
      <w:r>
        <w:rPr>
          <w:sz w:val="20"/>
        </w:rPr>
        <w:t>Es una empresa dependiente adquirida exclusivamente con la finalidad de </w:t>
      </w:r>
      <w:r>
        <w:rPr>
          <w:spacing w:val="-2"/>
          <w:sz w:val="20"/>
        </w:rPr>
        <w:t>venderla.</w:t>
      </w:r>
    </w:p>
    <w:p>
      <w:pPr>
        <w:pStyle w:val="BodyText"/>
        <w:spacing w:before="121"/>
        <w:ind w:left="1768" w:right="1330"/>
        <w:jc w:val="both"/>
      </w:pPr>
      <w:r>
        <w:rPr/>
        <w:t>Los ingresos y gastos relacionados con las citadas operaciones se valorarán y</w:t>
      </w:r>
      <w:r>
        <w:rPr>
          <w:spacing w:val="40"/>
        </w:rPr>
        <w:t> </w:t>
      </w:r>
      <w:r>
        <w:rPr/>
        <w:t>reconocerán según la naturaleza de cada uno de los citados gastos e ingresos, clasificándose de forma separada en el estado de pérdidas y ganancias.</w:t>
      </w:r>
    </w:p>
    <w:p>
      <w:pPr>
        <w:pStyle w:val="BodyText"/>
        <w:spacing w:before="229"/>
        <w:ind w:left="1768"/>
        <w:jc w:val="both"/>
      </w:pPr>
      <w:r>
        <w:rPr/>
        <w:t>No</w:t>
      </w:r>
      <w:r>
        <w:rPr>
          <w:spacing w:val="-7"/>
        </w:rPr>
        <w:t> </w:t>
      </w:r>
      <w:r>
        <w:rPr/>
        <w:t>se</w:t>
      </w:r>
      <w:r>
        <w:rPr>
          <w:spacing w:val="-7"/>
        </w:rPr>
        <w:t> </w:t>
      </w:r>
      <w:r>
        <w:rPr/>
        <w:t>han</w:t>
      </w:r>
      <w:r>
        <w:rPr>
          <w:spacing w:val="-5"/>
        </w:rPr>
        <w:t> </w:t>
      </w:r>
      <w:r>
        <w:rPr/>
        <w:t>producido</w:t>
      </w:r>
      <w:r>
        <w:rPr>
          <w:spacing w:val="-5"/>
        </w:rPr>
        <w:t> </w:t>
      </w:r>
      <w:r>
        <w:rPr/>
        <w:t>en</w:t>
      </w:r>
      <w:r>
        <w:rPr>
          <w:spacing w:val="-5"/>
        </w:rPr>
        <w:t> </w:t>
      </w:r>
      <w:r>
        <w:rPr/>
        <w:t>el</w:t>
      </w:r>
      <w:r>
        <w:rPr>
          <w:spacing w:val="-6"/>
        </w:rPr>
        <w:t> </w:t>
      </w:r>
      <w:r>
        <w:rPr/>
        <w:t>ejercicio</w:t>
      </w:r>
      <w:r>
        <w:rPr>
          <w:spacing w:val="-8"/>
        </w:rPr>
        <w:t> </w:t>
      </w:r>
      <w:r>
        <w:rPr/>
        <w:t>operaciones</w:t>
      </w:r>
      <w:r>
        <w:rPr>
          <w:spacing w:val="-3"/>
        </w:rPr>
        <w:t> </w:t>
      </w:r>
      <w:r>
        <w:rPr>
          <w:spacing w:val="-2"/>
        </w:rPr>
        <w:t>interrumpidas.</w:t>
      </w:r>
    </w:p>
    <w:p>
      <w:pPr>
        <w:pStyle w:val="BodyText"/>
        <w:spacing w:before="1"/>
      </w:pPr>
    </w:p>
    <w:p>
      <w:pPr>
        <w:pStyle w:val="ListParagraph"/>
        <w:numPr>
          <w:ilvl w:val="1"/>
          <w:numId w:val="13"/>
        </w:numPr>
        <w:tabs>
          <w:tab w:pos="2264" w:val="left" w:leader="none"/>
        </w:tabs>
        <w:spacing w:line="240" w:lineRule="auto" w:before="0" w:after="0"/>
        <w:ind w:left="2264" w:right="0" w:hanging="496"/>
        <w:jc w:val="left"/>
        <w:rPr>
          <w:sz w:val="20"/>
        </w:rPr>
      </w:pPr>
      <w:r>
        <w:rPr>
          <w:sz w:val="20"/>
          <w:u w:val="single"/>
        </w:rPr>
        <w:t>Derechos</w:t>
      </w:r>
      <w:r>
        <w:rPr>
          <w:spacing w:val="-6"/>
          <w:sz w:val="20"/>
          <w:u w:val="single"/>
        </w:rPr>
        <w:t> </w:t>
      </w:r>
      <w:r>
        <w:rPr>
          <w:sz w:val="20"/>
          <w:u w:val="single"/>
        </w:rPr>
        <w:t>de</w:t>
      </w:r>
      <w:r>
        <w:rPr>
          <w:spacing w:val="-4"/>
          <w:sz w:val="20"/>
          <w:u w:val="single"/>
        </w:rPr>
        <w:t> </w:t>
      </w:r>
      <w:r>
        <w:rPr>
          <w:sz w:val="20"/>
          <w:u w:val="single"/>
        </w:rPr>
        <w:t>emisión</w:t>
      </w:r>
      <w:r>
        <w:rPr>
          <w:spacing w:val="-5"/>
          <w:sz w:val="20"/>
          <w:u w:val="single"/>
        </w:rPr>
        <w:t> </w:t>
      </w:r>
      <w:r>
        <w:rPr>
          <w:sz w:val="20"/>
          <w:u w:val="single"/>
        </w:rPr>
        <w:t>de</w:t>
      </w:r>
      <w:r>
        <w:rPr>
          <w:spacing w:val="-8"/>
          <w:sz w:val="20"/>
          <w:u w:val="single"/>
        </w:rPr>
        <w:t> </w:t>
      </w:r>
      <w:r>
        <w:rPr>
          <w:sz w:val="20"/>
          <w:u w:val="single"/>
        </w:rPr>
        <w:t>gases</w:t>
      </w:r>
      <w:r>
        <w:rPr>
          <w:spacing w:val="-4"/>
          <w:sz w:val="20"/>
          <w:u w:val="single"/>
        </w:rPr>
        <w:t> </w:t>
      </w:r>
      <w:r>
        <w:rPr>
          <w:sz w:val="20"/>
          <w:u w:val="single"/>
        </w:rPr>
        <w:t>de</w:t>
      </w:r>
      <w:r>
        <w:rPr>
          <w:spacing w:val="-4"/>
          <w:sz w:val="20"/>
          <w:u w:val="single"/>
        </w:rPr>
        <w:t> </w:t>
      </w:r>
      <w:r>
        <w:rPr>
          <w:sz w:val="20"/>
          <w:u w:val="single"/>
        </w:rPr>
        <w:t>efecto</w:t>
      </w:r>
      <w:r>
        <w:rPr>
          <w:spacing w:val="-7"/>
          <w:sz w:val="20"/>
          <w:u w:val="single"/>
        </w:rPr>
        <w:t> </w:t>
      </w:r>
      <w:r>
        <w:rPr>
          <w:spacing w:val="-2"/>
          <w:sz w:val="20"/>
          <w:u w:val="single"/>
        </w:rPr>
        <w:t>invernadero.</w:t>
      </w:r>
    </w:p>
    <w:p>
      <w:pPr>
        <w:pStyle w:val="BodyText"/>
      </w:pPr>
    </w:p>
    <w:p>
      <w:pPr>
        <w:pStyle w:val="BodyText"/>
        <w:spacing w:before="1"/>
        <w:ind w:left="1768" w:right="1337"/>
        <w:jc w:val="both"/>
      </w:pPr>
      <w:r>
        <w:rPr/>
        <w:t>Estos derechos se reconocen por su precio de adquisición. Cuando se tratan de derechos adquiridos sin contraprestación o por un importe sustancialmente inferior a su valor de mercado, se reconoce un ingreso directamente imputado al patrimonio neto al comienzo del ejercicio natural al que corresponden, que es objeto de transferencia a la cuenta de pérdidas y ganancias a medida que se realiza la imputación a gastos por las emisiones asociadas a los derechos recibidos sin contraprestación.</w:t>
      </w:r>
    </w:p>
    <w:p>
      <w:pPr>
        <w:pStyle w:val="BodyText"/>
        <w:spacing w:before="228"/>
        <w:ind w:left="1768" w:right="1338"/>
        <w:jc w:val="both"/>
      </w:pPr>
      <w:r>
        <w:rPr/>
        <w:t>Los derechos de emisión no se amortizan. Y están sujetos a las correcciones valorativas por deterioro que sean necesarias.</w:t>
      </w:r>
    </w:p>
    <w:p>
      <w:pPr>
        <w:pStyle w:val="BodyText"/>
        <w:spacing w:after="0"/>
        <w:jc w:val="both"/>
        <w:sectPr>
          <w:pgSz w:w="11910" w:h="16840"/>
          <w:pgMar w:header="286" w:footer="1060" w:top="1920" w:bottom="1260" w:left="360" w:right="360"/>
        </w:sectPr>
      </w:pPr>
    </w:p>
    <w:p>
      <w:pPr>
        <w:pStyle w:val="BodyText"/>
        <w:spacing w:before="199"/>
      </w:pPr>
    </w:p>
    <w:p>
      <w:pPr>
        <w:pStyle w:val="Heading2"/>
        <w:numPr>
          <w:ilvl w:val="0"/>
          <w:numId w:val="4"/>
        </w:numPr>
        <w:tabs>
          <w:tab w:pos="1701" w:val="left" w:leader="none"/>
        </w:tabs>
        <w:spacing w:line="240" w:lineRule="auto" w:before="0" w:after="0"/>
        <w:ind w:left="1701" w:right="0" w:hanging="360"/>
        <w:jc w:val="left"/>
        <w:rPr>
          <w:u w:val="none"/>
        </w:rPr>
      </w:pPr>
      <w:r>
        <w:rPr>
          <w:spacing w:val="-2"/>
          <w:u w:val="single"/>
        </w:rPr>
        <w:t>INMOVILIZADO</w:t>
      </w:r>
      <w:r>
        <w:rPr>
          <w:spacing w:val="7"/>
          <w:u w:val="single"/>
        </w:rPr>
        <w:t> </w:t>
      </w:r>
      <w:r>
        <w:rPr>
          <w:spacing w:val="-2"/>
          <w:u w:val="single"/>
        </w:rPr>
        <w:t>INTANGIBLE.</w:t>
      </w:r>
    </w:p>
    <w:p>
      <w:pPr>
        <w:pStyle w:val="BodyText"/>
        <w:spacing w:before="1"/>
        <w:rPr>
          <w:b/>
        </w:rPr>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z w:val="20"/>
        </w:rPr>
        <w:t>Los</w:t>
      </w:r>
      <w:r>
        <w:rPr>
          <w:spacing w:val="-5"/>
          <w:sz w:val="20"/>
        </w:rPr>
        <w:t> </w:t>
      </w:r>
      <w:r>
        <w:rPr>
          <w:sz w:val="20"/>
        </w:rPr>
        <w:t>movimientos</w:t>
      </w:r>
      <w:r>
        <w:rPr>
          <w:spacing w:val="-6"/>
          <w:sz w:val="20"/>
        </w:rPr>
        <w:t> </w:t>
      </w:r>
      <w:r>
        <w:rPr>
          <w:sz w:val="20"/>
        </w:rPr>
        <w:t>habidos</w:t>
      </w:r>
      <w:r>
        <w:rPr>
          <w:spacing w:val="-5"/>
          <w:sz w:val="20"/>
        </w:rPr>
        <w:t> </w:t>
      </w:r>
      <w:r>
        <w:rPr>
          <w:sz w:val="20"/>
        </w:rPr>
        <w:t>durante</w:t>
      </w:r>
      <w:r>
        <w:rPr>
          <w:spacing w:val="-6"/>
          <w:sz w:val="20"/>
        </w:rPr>
        <w:t> </w:t>
      </w:r>
      <w:r>
        <w:rPr>
          <w:sz w:val="20"/>
        </w:rPr>
        <w:t>los</w:t>
      </w:r>
      <w:r>
        <w:rPr>
          <w:spacing w:val="-6"/>
          <w:sz w:val="20"/>
        </w:rPr>
        <w:t> </w:t>
      </w:r>
      <w:r>
        <w:rPr>
          <w:sz w:val="20"/>
        </w:rPr>
        <w:t>ejercicios</w:t>
      </w:r>
      <w:r>
        <w:rPr>
          <w:spacing w:val="-6"/>
          <w:sz w:val="20"/>
        </w:rPr>
        <w:t> </w:t>
      </w:r>
      <w:r>
        <w:rPr>
          <w:sz w:val="20"/>
        </w:rPr>
        <w:t>2024</w:t>
      </w:r>
      <w:r>
        <w:rPr>
          <w:spacing w:val="-2"/>
          <w:sz w:val="20"/>
        </w:rPr>
        <w:t> </w:t>
      </w:r>
      <w:r>
        <w:rPr>
          <w:sz w:val="20"/>
        </w:rPr>
        <w:t>y</w:t>
      </w:r>
      <w:r>
        <w:rPr>
          <w:spacing w:val="-8"/>
          <w:sz w:val="20"/>
        </w:rPr>
        <w:t> </w:t>
      </w:r>
      <w:r>
        <w:rPr>
          <w:sz w:val="20"/>
        </w:rPr>
        <w:t>2025</w:t>
      </w:r>
      <w:r>
        <w:rPr>
          <w:spacing w:val="-8"/>
          <w:sz w:val="20"/>
        </w:rPr>
        <w:t> </w:t>
      </w:r>
      <w:r>
        <w:rPr>
          <w:sz w:val="20"/>
        </w:rPr>
        <w:t>han</w:t>
      </w:r>
      <w:r>
        <w:rPr>
          <w:spacing w:val="-7"/>
          <w:sz w:val="20"/>
        </w:rPr>
        <w:t> </w:t>
      </w:r>
      <w:r>
        <w:rPr>
          <w:sz w:val="20"/>
        </w:rPr>
        <w:t>sido</w:t>
      </w:r>
      <w:r>
        <w:rPr>
          <w:spacing w:val="-7"/>
          <w:sz w:val="20"/>
        </w:rPr>
        <w:t> </w:t>
      </w:r>
      <w:r>
        <w:rPr>
          <w:sz w:val="20"/>
        </w:rPr>
        <w:t>los</w:t>
      </w:r>
      <w:r>
        <w:rPr>
          <w:spacing w:val="-6"/>
          <w:sz w:val="20"/>
        </w:rPr>
        <w:t> </w:t>
      </w:r>
      <w:r>
        <w:rPr>
          <w:spacing w:val="-2"/>
          <w:sz w:val="20"/>
        </w:rPr>
        <w:t>siguientes:</w:t>
      </w:r>
    </w:p>
    <w:p>
      <w:pPr>
        <w:pStyle w:val="BodyText"/>
        <w:spacing w:before="3"/>
      </w:pPr>
    </w:p>
    <w:tbl>
      <w:tblPr>
        <w:tblW w:w="0" w:type="auto"/>
        <w:jc w:val="left"/>
        <w:tblInd w:w="1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2"/>
        <w:gridCol w:w="1371"/>
        <w:gridCol w:w="1230"/>
        <w:gridCol w:w="797"/>
        <w:gridCol w:w="1178"/>
        <w:gridCol w:w="1284"/>
      </w:tblGrid>
      <w:tr>
        <w:trPr>
          <w:trHeight w:val="599" w:hRule="atLeast"/>
        </w:trPr>
        <w:tc>
          <w:tcPr>
            <w:tcW w:w="2782" w:type="dxa"/>
            <w:tcBorders>
              <w:top w:val="single" w:sz="4" w:space="0" w:color="000000"/>
              <w:left w:val="single" w:sz="4" w:space="0" w:color="000000"/>
            </w:tcBorders>
          </w:tcPr>
          <w:p>
            <w:pPr>
              <w:pStyle w:val="TableParagraph"/>
              <w:spacing w:before="135"/>
              <w:rPr>
                <w:sz w:val="18"/>
              </w:rPr>
            </w:pPr>
          </w:p>
          <w:p>
            <w:pPr>
              <w:pStyle w:val="TableParagraph"/>
              <w:ind w:left="69"/>
              <w:rPr>
                <w:b/>
                <w:i/>
                <w:sz w:val="18"/>
              </w:rPr>
            </w:pPr>
            <w:r>
              <w:rPr>
                <w:b/>
                <w:i/>
                <w:sz w:val="18"/>
                <w:u w:val="single"/>
              </w:rPr>
              <w:t>Costes</w:t>
            </w:r>
            <w:r>
              <w:rPr>
                <w:b/>
                <w:i/>
                <w:spacing w:val="-1"/>
                <w:sz w:val="18"/>
                <w:u w:val="single"/>
              </w:rPr>
              <w:t> </w:t>
            </w:r>
            <w:r>
              <w:rPr>
                <w:b/>
                <w:i/>
                <w:spacing w:val="-2"/>
                <w:sz w:val="18"/>
                <w:u w:val="single"/>
              </w:rPr>
              <w:t>brutos</w:t>
            </w:r>
          </w:p>
        </w:tc>
        <w:tc>
          <w:tcPr>
            <w:tcW w:w="1371" w:type="dxa"/>
            <w:tcBorders>
              <w:top w:val="single" w:sz="4" w:space="0" w:color="000000"/>
              <w:bottom w:val="single" w:sz="4" w:space="0" w:color="000000"/>
            </w:tcBorders>
          </w:tcPr>
          <w:p>
            <w:pPr>
              <w:pStyle w:val="TableParagraph"/>
              <w:spacing w:before="39"/>
              <w:ind w:left="4" w:right="51"/>
              <w:jc w:val="center"/>
              <w:rPr>
                <w:b/>
                <w:sz w:val="18"/>
              </w:rPr>
            </w:pPr>
            <w:r>
              <w:rPr>
                <w:b/>
                <w:spacing w:val="-2"/>
                <w:sz w:val="18"/>
              </w:rPr>
              <w:t>Saldo</w:t>
            </w:r>
          </w:p>
          <w:p>
            <w:pPr>
              <w:pStyle w:val="TableParagraph"/>
              <w:spacing w:before="93"/>
              <w:ind w:right="51"/>
              <w:jc w:val="center"/>
              <w:rPr>
                <w:b/>
                <w:sz w:val="18"/>
              </w:rPr>
            </w:pPr>
            <w:r>
              <w:rPr>
                <w:b/>
                <w:spacing w:val="-2"/>
                <w:sz w:val="18"/>
              </w:rPr>
              <w:t>31/12/2024</w:t>
            </w:r>
          </w:p>
        </w:tc>
        <w:tc>
          <w:tcPr>
            <w:tcW w:w="1230" w:type="dxa"/>
            <w:tcBorders>
              <w:top w:val="single" w:sz="4" w:space="0" w:color="000000"/>
              <w:bottom w:val="single" w:sz="4" w:space="0" w:color="000000"/>
            </w:tcBorders>
          </w:tcPr>
          <w:p>
            <w:pPr>
              <w:pStyle w:val="TableParagraph"/>
              <w:spacing w:before="167"/>
              <w:rPr>
                <w:sz w:val="16"/>
              </w:rPr>
            </w:pPr>
          </w:p>
          <w:p>
            <w:pPr>
              <w:pStyle w:val="TableParagraph"/>
              <w:ind w:left="342"/>
              <w:rPr>
                <w:b/>
                <w:sz w:val="16"/>
              </w:rPr>
            </w:pPr>
            <w:r>
              <w:rPr>
                <w:b/>
                <w:spacing w:val="-2"/>
                <w:sz w:val="16"/>
              </w:rPr>
              <w:t>Altas</w:t>
            </w:r>
          </w:p>
        </w:tc>
        <w:tc>
          <w:tcPr>
            <w:tcW w:w="797" w:type="dxa"/>
            <w:tcBorders>
              <w:top w:val="single" w:sz="4" w:space="0" w:color="000000"/>
              <w:bottom w:val="single" w:sz="4" w:space="0" w:color="000000"/>
            </w:tcBorders>
          </w:tcPr>
          <w:p>
            <w:pPr>
              <w:pStyle w:val="TableParagraph"/>
              <w:spacing w:before="167"/>
              <w:rPr>
                <w:sz w:val="16"/>
              </w:rPr>
            </w:pPr>
          </w:p>
          <w:p>
            <w:pPr>
              <w:pStyle w:val="TableParagraph"/>
              <w:ind w:left="171"/>
              <w:rPr>
                <w:b/>
                <w:sz w:val="16"/>
              </w:rPr>
            </w:pPr>
            <w:r>
              <w:rPr>
                <w:b/>
                <w:spacing w:val="-2"/>
                <w:sz w:val="16"/>
              </w:rPr>
              <w:t>Bajas</w:t>
            </w:r>
          </w:p>
        </w:tc>
        <w:tc>
          <w:tcPr>
            <w:tcW w:w="1178" w:type="dxa"/>
            <w:tcBorders>
              <w:top w:val="single" w:sz="4" w:space="0" w:color="000000"/>
              <w:bottom w:val="single" w:sz="4" w:space="0" w:color="000000"/>
            </w:tcBorders>
          </w:tcPr>
          <w:p>
            <w:pPr>
              <w:pStyle w:val="TableParagraph"/>
              <w:spacing w:before="167"/>
              <w:rPr>
                <w:sz w:val="16"/>
              </w:rPr>
            </w:pPr>
          </w:p>
          <w:p>
            <w:pPr>
              <w:pStyle w:val="TableParagraph"/>
              <w:ind w:left="211"/>
              <w:rPr>
                <w:b/>
                <w:sz w:val="16"/>
              </w:rPr>
            </w:pPr>
            <w:r>
              <w:rPr>
                <w:b/>
                <w:spacing w:val="-2"/>
                <w:sz w:val="16"/>
              </w:rPr>
              <w:t>Traspasos</w:t>
            </w:r>
          </w:p>
        </w:tc>
        <w:tc>
          <w:tcPr>
            <w:tcW w:w="1284" w:type="dxa"/>
            <w:tcBorders>
              <w:top w:val="single" w:sz="4" w:space="0" w:color="000000"/>
              <w:bottom w:val="single" w:sz="4" w:space="0" w:color="000000"/>
              <w:right w:val="single" w:sz="4" w:space="0" w:color="000000"/>
            </w:tcBorders>
          </w:tcPr>
          <w:p>
            <w:pPr>
              <w:pStyle w:val="TableParagraph"/>
              <w:spacing w:before="39"/>
              <w:ind w:left="3" w:right="5"/>
              <w:jc w:val="center"/>
              <w:rPr>
                <w:b/>
                <w:sz w:val="18"/>
              </w:rPr>
            </w:pPr>
            <w:r>
              <w:rPr>
                <w:b/>
                <w:spacing w:val="-2"/>
                <w:sz w:val="18"/>
              </w:rPr>
              <w:t>Saldo</w:t>
            </w:r>
          </w:p>
          <w:p>
            <w:pPr>
              <w:pStyle w:val="TableParagraph"/>
              <w:spacing w:before="93"/>
              <w:ind w:right="5"/>
              <w:jc w:val="center"/>
              <w:rPr>
                <w:b/>
                <w:sz w:val="18"/>
              </w:rPr>
            </w:pPr>
            <w:r>
              <w:rPr>
                <w:b/>
                <w:spacing w:val="-2"/>
                <w:sz w:val="18"/>
              </w:rPr>
              <w:t>31/12/2025</w:t>
            </w:r>
          </w:p>
        </w:tc>
      </w:tr>
      <w:tr>
        <w:trPr>
          <w:trHeight w:val="277" w:hRule="atLeast"/>
        </w:trPr>
        <w:tc>
          <w:tcPr>
            <w:tcW w:w="2782" w:type="dxa"/>
            <w:tcBorders>
              <w:left w:val="single" w:sz="4" w:space="0" w:color="000000"/>
            </w:tcBorders>
          </w:tcPr>
          <w:p>
            <w:pPr>
              <w:pStyle w:val="TableParagraph"/>
              <w:spacing w:before="47"/>
              <w:ind w:left="69"/>
              <w:rPr>
                <w:sz w:val="18"/>
              </w:rPr>
            </w:pPr>
            <w:r>
              <w:rPr>
                <w:spacing w:val="-2"/>
                <w:sz w:val="18"/>
              </w:rPr>
              <w:t>Desarrollo</w:t>
            </w:r>
          </w:p>
        </w:tc>
        <w:tc>
          <w:tcPr>
            <w:tcW w:w="1371" w:type="dxa"/>
            <w:tcBorders>
              <w:top w:val="single" w:sz="4" w:space="0" w:color="000000"/>
            </w:tcBorders>
          </w:tcPr>
          <w:p>
            <w:pPr>
              <w:pStyle w:val="TableParagraph"/>
              <w:spacing w:line="180" w:lineRule="exact"/>
              <w:ind w:right="122"/>
              <w:jc w:val="right"/>
              <w:rPr>
                <w:sz w:val="16"/>
              </w:rPr>
            </w:pPr>
            <w:r>
              <w:rPr>
                <w:spacing w:val="-4"/>
                <w:sz w:val="16"/>
              </w:rPr>
              <w:t>0,00</w:t>
            </w:r>
          </w:p>
        </w:tc>
        <w:tc>
          <w:tcPr>
            <w:tcW w:w="1230" w:type="dxa"/>
            <w:tcBorders>
              <w:top w:val="single" w:sz="4" w:space="0" w:color="000000"/>
            </w:tcBorders>
          </w:tcPr>
          <w:p>
            <w:pPr>
              <w:pStyle w:val="TableParagraph"/>
              <w:rPr>
                <w:rFonts w:ascii="Times New Roman"/>
                <w:sz w:val="16"/>
              </w:rPr>
            </w:pPr>
          </w:p>
        </w:tc>
        <w:tc>
          <w:tcPr>
            <w:tcW w:w="3259" w:type="dxa"/>
            <w:gridSpan w:val="3"/>
            <w:tcBorders>
              <w:top w:val="single" w:sz="4" w:space="0" w:color="000000"/>
              <w:right w:val="single" w:sz="4" w:space="0" w:color="000000"/>
            </w:tcBorders>
          </w:tcPr>
          <w:p>
            <w:pPr>
              <w:pStyle w:val="TableParagraph"/>
              <w:spacing w:line="180" w:lineRule="exact"/>
              <w:ind w:right="54"/>
              <w:jc w:val="right"/>
              <w:rPr>
                <w:sz w:val="16"/>
              </w:rPr>
            </w:pPr>
            <w:r>
              <w:rPr>
                <w:spacing w:val="-4"/>
                <w:sz w:val="16"/>
              </w:rPr>
              <w:t>0,00</w:t>
            </w:r>
          </w:p>
        </w:tc>
      </w:tr>
      <w:tr>
        <w:trPr>
          <w:trHeight w:val="300" w:hRule="atLeast"/>
        </w:trPr>
        <w:tc>
          <w:tcPr>
            <w:tcW w:w="2782" w:type="dxa"/>
            <w:tcBorders>
              <w:left w:val="single" w:sz="4" w:space="0" w:color="000000"/>
            </w:tcBorders>
          </w:tcPr>
          <w:p>
            <w:pPr>
              <w:pStyle w:val="TableParagraph"/>
              <w:spacing w:before="69"/>
              <w:ind w:left="69"/>
              <w:rPr>
                <w:sz w:val="18"/>
              </w:rPr>
            </w:pPr>
            <w:r>
              <w:rPr>
                <w:spacing w:val="-2"/>
                <w:sz w:val="18"/>
              </w:rPr>
              <w:t>Concesiones</w:t>
            </w:r>
          </w:p>
        </w:tc>
        <w:tc>
          <w:tcPr>
            <w:tcW w:w="1371" w:type="dxa"/>
          </w:tcPr>
          <w:p>
            <w:pPr>
              <w:pStyle w:val="TableParagraph"/>
              <w:spacing w:before="19"/>
              <w:ind w:right="120"/>
              <w:jc w:val="right"/>
              <w:rPr>
                <w:sz w:val="16"/>
              </w:rPr>
            </w:pPr>
            <w:r>
              <w:rPr>
                <w:spacing w:val="-2"/>
                <w:sz w:val="16"/>
              </w:rPr>
              <w:t>6.019.834,10</w:t>
            </w:r>
          </w:p>
        </w:tc>
        <w:tc>
          <w:tcPr>
            <w:tcW w:w="1230" w:type="dxa"/>
          </w:tcPr>
          <w:p>
            <w:pPr>
              <w:pStyle w:val="TableParagraph"/>
              <w:rPr>
                <w:rFonts w:ascii="Times New Roman"/>
                <w:sz w:val="16"/>
              </w:rPr>
            </w:pPr>
          </w:p>
        </w:tc>
        <w:tc>
          <w:tcPr>
            <w:tcW w:w="3259" w:type="dxa"/>
            <w:gridSpan w:val="3"/>
            <w:tcBorders>
              <w:right w:val="single" w:sz="4" w:space="0" w:color="000000"/>
            </w:tcBorders>
          </w:tcPr>
          <w:p>
            <w:pPr>
              <w:pStyle w:val="TableParagraph"/>
              <w:spacing w:before="19"/>
              <w:ind w:right="51"/>
              <w:jc w:val="right"/>
              <w:rPr>
                <w:sz w:val="16"/>
              </w:rPr>
            </w:pPr>
            <w:r>
              <w:rPr>
                <w:spacing w:val="-2"/>
                <w:sz w:val="16"/>
              </w:rPr>
              <w:t>6.019.834,10</w:t>
            </w:r>
          </w:p>
        </w:tc>
      </w:tr>
      <w:tr>
        <w:trPr>
          <w:trHeight w:val="300" w:hRule="atLeast"/>
        </w:trPr>
        <w:tc>
          <w:tcPr>
            <w:tcW w:w="2782" w:type="dxa"/>
            <w:tcBorders>
              <w:left w:val="single" w:sz="4" w:space="0" w:color="000000"/>
            </w:tcBorders>
          </w:tcPr>
          <w:p>
            <w:pPr>
              <w:pStyle w:val="TableParagraph"/>
              <w:spacing w:before="69"/>
              <w:ind w:left="69"/>
              <w:rPr>
                <w:sz w:val="18"/>
              </w:rPr>
            </w:pPr>
            <w:r>
              <w:rPr>
                <w:sz w:val="18"/>
              </w:rPr>
              <w:t>Patentes,</w:t>
            </w:r>
            <w:r>
              <w:rPr>
                <w:spacing w:val="-4"/>
                <w:sz w:val="18"/>
              </w:rPr>
              <w:t> </w:t>
            </w:r>
            <w:r>
              <w:rPr>
                <w:sz w:val="18"/>
              </w:rPr>
              <w:t>lic,</w:t>
            </w:r>
            <w:r>
              <w:rPr>
                <w:spacing w:val="-1"/>
                <w:sz w:val="18"/>
              </w:rPr>
              <w:t> </w:t>
            </w:r>
            <w:r>
              <w:rPr>
                <w:sz w:val="18"/>
              </w:rPr>
              <w:t>marcas y</w:t>
            </w:r>
            <w:r>
              <w:rPr>
                <w:spacing w:val="-3"/>
                <w:sz w:val="18"/>
              </w:rPr>
              <w:t> </w:t>
            </w:r>
            <w:r>
              <w:rPr>
                <w:spacing w:val="-2"/>
                <w:sz w:val="18"/>
              </w:rPr>
              <w:t>similares</w:t>
            </w:r>
          </w:p>
        </w:tc>
        <w:tc>
          <w:tcPr>
            <w:tcW w:w="1371" w:type="dxa"/>
          </w:tcPr>
          <w:p>
            <w:pPr>
              <w:pStyle w:val="TableParagraph"/>
              <w:spacing w:before="19"/>
              <w:ind w:right="122"/>
              <w:jc w:val="right"/>
              <w:rPr>
                <w:sz w:val="16"/>
              </w:rPr>
            </w:pPr>
            <w:r>
              <w:rPr>
                <w:spacing w:val="-2"/>
                <w:sz w:val="16"/>
              </w:rPr>
              <w:t>3.000,00</w:t>
            </w:r>
          </w:p>
        </w:tc>
        <w:tc>
          <w:tcPr>
            <w:tcW w:w="1230" w:type="dxa"/>
          </w:tcPr>
          <w:p>
            <w:pPr>
              <w:pStyle w:val="TableParagraph"/>
              <w:rPr>
                <w:rFonts w:ascii="Times New Roman"/>
                <w:sz w:val="16"/>
              </w:rPr>
            </w:pPr>
          </w:p>
        </w:tc>
        <w:tc>
          <w:tcPr>
            <w:tcW w:w="3259" w:type="dxa"/>
            <w:gridSpan w:val="3"/>
            <w:tcBorders>
              <w:right w:val="single" w:sz="4" w:space="0" w:color="000000"/>
            </w:tcBorders>
          </w:tcPr>
          <w:p>
            <w:pPr>
              <w:pStyle w:val="TableParagraph"/>
              <w:spacing w:before="19"/>
              <w:ind w:right="54"/>
              <w:jc w:val="right"/>
              <w:rPr>
                <w:sz w:val="16"/>
              </w:rPr>
            </w:pPr>
            <w:r>
              <w:rPr>
                <w:spacing w:val="-2"/>
                <w:sz w:val="16"/>
              </w:rPr>
              <w:t>3.000,00</w:t>
            </w:r>
          </w:p>
        </w:tc>
      </w:tr>
      <w:tr>
        <w:trPr>
          <w:trHeight w:val="310" w:hRule="atLeast"/>
        </w:trPr>
        <w:tc>
          <w:tcPr>
            <w:tcW w:w="2782" w:type="dxa"/>
            <w:tcBorders>
              <w:left w:val="single" w:sz="4" w:space="0" w:color="000000"/>
            </w:tcBorders>
          </w:tcPr>
          <w:p>
            <w:pPr>
              <w:pStyle w:val="TableParagraph"/>
              <w:spacing w:before="77"/>
              <w:ind w:left="69"/>
              <w:rPr>
                <w:sz w:val="18"/>
              </w:rPr>
            </w:pPr>
            <w:r>
              <w:rPr>
                <w:sz w:val="18"/>
              </w:rPr>
              <w:t>Aplicaciones</w:t>
            </w:r>
            <w:r>
              <w:rPr>
                <w:spacing w:val="-5"/>
                <w:sz w:val="18"/>
              </w:rPr>
              <w:t> </w:t>
            </w:r>
            <w:r>
              <w:rPr>
                <w:spacing w:val="-2"/>
                <w:sz w:val="18"/>
              </w:rPr>
              <w:t>informáticas</w:t>
            </w:r>
          </w:p>
        </w:tc>
        <w:tc>
          <w:tcPr>
            <w:tcW w:w="1371" w:type="dxa"/>
          </w:tcPr>
          <w:p>
            <w:pPr>
              <w:pStyle w:val="TableParagraph"/>
              <w:spacing w:before="19"/>
              <w:ind w:right="120"/>
              <w:jc w:val="right"/>
              <w:rPr>
                <w:sz w:val="16"/>
              </w:rPr>
            </w:pPr>
            <w:r>
              <w:rPr>
                <w:spacing w:val="-2"/>
                <w:sz w:val="16"/>
              </w:rPr>
              <w:t>3.152.053,58</w:t>
            </w:r>
          </w:p>
        </w:tc>
        <w:tc>
          <w:tcPr>
            <w:tcW w:w="1230" w:type="dxa"/>
          </w:tcPr>
          <w:p>
            <w:pPr>
              <w:pStyle w:val="TableParagraph"/>
              <w:spacing w:before="19"/>
              <w:ind w:right="163"/>
              <w:jc w:val="right"/>
              <w:rPr>
                <w:sz w:val="16"/>
              </w:rPr>
            </w:pPr>
            <w:r>
              <w:rPr>
                <w:spacing w:val="-2"/>
                <w:sz w:val="16"/>
              </w:rPr>
              <w:t>444.819,20</w:t>
            </w:r>
          </w:p>
        </w:tc>
        <w:tc>
          <w:tcPr>
            <w:tcW w:w="3259" w:type="dxa"/>
            <w:gridSpan w:val="3"/>
            <w:tcBorders>
              <w:right w:val="single" w:sz="4" w:space="0" w:color="000000"/>
            </w:tcBorders>
          </w:tcPr>
          <w:p>
            <w:pPr>
              <w:pStyle w:val="TableParagraph"/>
              <w:spacing w:before="19"/>
              <w:ind w:right="51"/>
              <w:jc w:val="right"/>
              <w:rPr>
                <w:sz w:val="16"/>
              </w:rPr>
            </w:pPr>
            <w:r>
              <w:rPr>
                <w:spacing w:val="-2"/>
                <w:sz w:val="16"/>
              </w:rPr>
              <w:t>3.596.872,78</w:t>
            </w:r>
          </w:p>
        </w:tc>
      </w:tr>
      <w:tr>
        <w:trPr>
          <w:trHeight w:val="342" w:hRule="atLeast"/>
        </w:trPr>
        <w:tc>
          <w:tcPr>
            <w:tcW w:w="2782" w:type="dxa"/>
            <w:tcBorders>
              <w:left w:val="single" w:sz="4" w:space="0" w:color="000000"/>
            </w:tcBorders>
          </w:tcPr>
          <w:p>
            <w:pPr>
              <w:pStyle w:val="TableParagraph"/>
              <w:spacing w:before="80"/>
              <w:ind w:left="69"/>
              <w:rPr>
                <w:sz w:val="18"/>
              </w:rPr>
            </w:pPr>
            <w:r>
              <w:rPr>
                <w:sz w:val="18"/>
              </w:rPr>
              <w:t>Anticipos</w:t>
            </w:r>
            <w:r>
              <w:rPr>
                <w:spacing w:val="-3"/>
                <w:sz w:val="18"/>
              </w:rPr>
              <w:t> </w:t>
            </w:r>
            <w:r>
              <w:rPr>
                <w:sz w:val="18"/>
              </w:rPr>
              <w:t>para</w:t>
            </w:r>
            <w:r>
              <w:rPr>
                <w:spacing w:val="-5"/>
                <w:sz w:val="18"/>
              </w:rPr>
              <w:t> </w:t>
            </w:r>
            <w:r>
              <w:rPr>
                <w:sz w:val="18"/>
              </w:rPr>
              <w:t>inmov.</w:t>
            </w:r>
            <w:r>
              <w:rPr>
                <w:spacing w:val="-3"/>
                <w:sz w:val="18"/>
              </w:rPr>
              <w:t> </w:t>
            </w:r>
            <w:r>
              <w:rPr>
                <w:spacing w:val="-2"/>
                <w:sz w:val="18"/>
              </w:rPr>
              <w:t>Intangibles</w:t>
            </w:r>
          </w:p>
        </w:tc>
        <w:tc>
          <w:tcPr>
            <w:tcW w:w="1371" w:type="dxa"/>
            <w:tcBorders>
              <w:bottom w:val="single" w:sz="8" w:space="0" w:color="000000"/>
            </w:tcBorders>
          </w:tcPr>
          <w:p>
            <w:pPr>
              <w:pStyle w:val="TableParagraph"/>
              <w:spacing w:before="22"/>
              <w:ind w:right="120"/>
              <w:jc w:val="right"/>
              <w:rPr>
                <w:sz w:val="16"/>
              </w:rPr>
            </w:pPr>
            <w:r>
              <w:rPr>
                <w:spacing w:val="-2"/>
                <w:sz w:val="16"/>
              </w:rPr>
              <w:t>30.667.886,28</w:t>
            </w:r>
          </w:p>
        </w:tc>
        <w:tc>
          <w:tcPr>
            <w:tcW w:w="1230" w:type="dxa"/>
            <w:tcBorders>
              <w:bottom w:val="single" w:sz="8" w:space="0" w:color="000000"/>
            </w:tcBorders>
          </w:tcPr>
          <w:p>
            <w:pPr>
              <w:pStyle w:val="TableParagraph"/>
              <w:spacing w:before="22"/>
              <w:ind w:right="160"/>
              <w:jc w:val="right"/>
              <w:rPr>
                <w:sz w:val="16"/>
              </w:rPr>
            </w:pPr>
            <w:r>
              <w:rPr>
                <w:spacing w:val="-2"/>
                <w:sz w:val="16"/>
              </w:rPr>
              <w:t>1.162.078,65</w:t>
            </w:r>
          </w:p>
        </w:tc>
        <w:tc>
          <w:tcPr>
            <w:tcW w:w="3259" w:type="dxa"/>
            <w:gridSpan w:val="3"/>
            <w:tcBorders>
              <w:bottom w:val="single" w:sz="8" w:space="0" w:color="000000"/>
              <w:right w:val="single" w:sz="4" w:space="0" w:color="000000"/>
            </w:tcBorders>
          </w:tcPr>
          <w:p>
            <w:pPr>
              <w:pStyle w:val="TableParagraph"/>
              <w:spacing w:before="22"/>
              <w:ind w:right="52"/>
              <w:jc w:val="right"/>
              <w:rPr>
                <w:sz w:val="16"/>
              </w:rPr>
            </w:pPr>
            <w:r>
              <w:rPr>
                <w:spacing w:val="-2"/>
                <w:sz w:val="16"/>
              </w:rPr>
              <w:t>31.829.964,93</w:t>
            </w:r>
          </w:p>
        </w:tc>
      </w:tr>
      <w:tr>
        <w:trPr>
          <w:trHeight w:val="313" w:hRule="atLeast"/>
        </w:trPr>
        <w:tc>
          <w:tcPr>
            <w:tcW w:w="2782" w:type="dxa"/>
            <w:tcBorders>
              <w:left w:val="single" w:sz="4" w:space="0" w:color="000000"/>
            </w:tcBorders>
          </w:tcPr>
          <w:p>
            <w:pPr>
              <w:pStyle w:val="TableParagraph"/>
              <w:spacing w:before="49"/>
              <w:ind w:right="61"/>
              <w:jc w:val="right"/>
              <w:rPr>
                <w:b/>
                <w:sz w:val="18"/>
              </w:rPr>
            </w:pPr>
            <w:r>
              <w:rPr>
                <w:b/>
                <w:spacing w:val="-2"/>
                <w:sz w:val="18"/>
              </w:rPr>
              <w:t>Total</w:t>
            </w:r>
          </w:p>
        </w:tc>
        <w:tc>
          <w:tcPr>
            <w:tcW w:w="1371" w:type="dxa"/>
            <w:tcBorders>
              <w:top w:val="single" w:sz="8" w:space="0" w:color="000000"/>
              <w:bottom w:val="single" w:sz="8" w:space="0" w:color="000000"/>
            </w:tcBorders>
          </w:tcPr>
          <w:p>
            <w:pPr>
              <w:pStyle w:val="TableParagraph"/>
              <w:spacing w:line="178" w:lineRule="exact"/>
              <w:ind w:right="120"/>
              <w:jc w:val="right"/>
              <w:rPr>
                <w:b/>
                <w:sz w:val="16"/>
              </w:rPr>
            </w:pPr>
            <w:r>
              <w:rPr>
                <w:b/>
                <w:spacing w:val="-2"/>
                <w:sz w:val="16"/>
              </w:rPr>
              <w:t>39.842.773,96</w:t>
            </w:r>
          </w:p>
        </w:tc>
        <w:tc>
          <w:tcPr>
            <w:tcW w:w="1230" w:type="dxa"/>
            <w:tcBorders>
              <w:top w:val="single" w:sz="8" w:space="0" w:color="000000"/>
              <w:bottom w:val="single" w:sz="8" w:space="0" w:color="000000"/>
            </w:tcBorders>
          </w:tcPr>
          <w:p>
            <w:pPr>
              <w:pStyle w:val="TableParagraph"/>
              <w:spacing w:line="178" w:lineRule="exact"/>
              <w:ind w:right="160"/>
              <w:jc w:val="right"/>
              <w:rPr>
                <w:b/>
                <w:sz w:val="16"/>
              </w:rPr>
            </w:pPr>
            <w:r>
              <w:rPr>
                <w:b/>
                <w:spacing w:val="-2"/>
                <w:sz w:val="16"/>
              </w:rPr>
              <w:t>1.606.897,85</w:t>
            </w:r>
          </w:p>
        </w:tc>
        <w:tc>
          <w:tcPr>
            <w:tcW w:w="3259" w:type="dxa"/>
            <w:gridSpan w:val="3"/>
            <w:tcBorders>
              <w:top w:val="single" w:sz="8" w:space="0" w:color="000000"/>
              <w:bottom w:val="single" w:sz="8" w:space="0" w:color="000000"/>
              <w:right w:val="single" w:sz="4" w:space="0" w:color="000000"/>
            </w:tcBorders>
          </w:tcPr>
          <w:p>
            <w:pPr>
              <w:pStyle w:val="TableParagraph"/>
              <w:spacing w:line="178" w:lineRule="exact"/>
              <w:ind w:right="52"/>
              <w:jc w:val="right"/>
              <w:rPr>
                <w:b/>
                <w:sz w:val="16"/>
              </w:rPr>
            </w:pPr>
            <w:r>
              <w:rPr>
                <w:b/>
                <w:spacing w:val="-2"/>
                <w:sz w:val="16"/>
              </w:rPr>
              <w:t>41.449.671,81</w:t>
            </w:r>
          </w:p>
        </w:tc>
      </w:tr>
      <w:tr>
        <w:trPr>
          <w:trHeight w:val="277" w:hRule="atLeast"/>
        </w:trPr>
        <w:tc>
          <w:tcPr>
            <w:tcW w:w="2782" w:type="dxa"/>
            <w:tcBorders>
              <w:left w:val="single" w:sz="4" w:space="0" w:color="000000"/>
            </w:tcBorders>
          </w:tcPr>
          <w:p>
            <w:pPr>
              <w:pStyle w:val="TableParagraph"/>
              <w:spacing w:before="44"/>
              <w:ind w:left="69"/>
              <w:rPr>
                <w:b/>
                <w:i/>
                <w:sz w:val="18"/>
              </w:rPr>
            </w:pPr>
            <w:r>
              <w:rPr>
                <w:b/>
                <w:i/>
                <w:sz w:val="18"/>
                <w:u w:val="single"/>
              </w:rPr>
              <w:t>Amortización</w:t>
            </w:r>
            <w:r>
              <w:rPr>
                <w:b/>
                <w:i/>
                <w:spacing w:val="-7"/>
                <w:sz w:val="18"/>
                <w:u w:val="single"/>
              </w:rPr>
              <w:t> </w:t>
            </w:r>
            <w:r>
              <w:rPr>
                <w:b/>
                <w:i/>
                <w:spacing w:val="-2"/>
                <w:sz w:val="18"/>
                <w:u w:val="single"/>
              </w:rPr>
              <w:t>Acumulada</w:t>
            </w:r>
          </w:p>
        </w:tc>
        <w:tc>
          <w:tcPr>
            <w:tcW w:w="1371" w:type="dxa"/>
            <w:tcBorders>
              <w:top w:val="single" w:sz="8" w:space="0" w:color="000000"/>
            </w:tcBorders>
          </w:tcPr>
          <w:p>
            <w:pPr>
              <w:pStyle w:val="TableParagraph"/>
              <w:rPr>
                <w:rFonts w:ascii="Times New Roman"/>
                <w:sz w:val="16"/>
              </w:rPr>
            </w:pPr>
          </w:p>
        </w:tc>
        <w:tc>
          <w:tcPr>
            <w:tcW w:w="1230" w:type="dxa"/>
            <w:tcBorders>
              <w:top w:val="single" w:sz="8" w:space="0" w:color="000000"/>
            </w:tcBorders>
          </w:tcPr>
          <w:p>
            <w:pPr>
              <w:pStyle w:val="TableParagraph"/>
              <w:rPr>
                <w:rFonts w:ascii="Times New Roman"/>
                <w:sz w:val="16"/>
              </w:rPr>
            </w:pPr>
          </w:p>
        </w:tc>
        <w:tc>
          <w:tcPr>
            <w:tcW w:w="3259" w:type="dxa"/>
            <w:gridSpan w:val="3"/>
            <w:tcBorders>
              <w:top w:val="single" w:sz="8" w:space="0" w:color="000000"/>
              <w:right w:val="single" w:sz="4" w:space="0" w:color="000000"/>
            </w:tcBorders>
          </w:tcPr>
          <w:p>
            <w:pPr>
              <w:pStyle w:val="TableParagraph"/>
              <w:rPr>
                <w:rFonts w:ascii="Times New Roman"/>
                <w:sz w:val="16"/>
              </w:rPr>
            </w:pPr>
          </w:p>
        </w:tc>
      </w:tr>
      <w:tr>
        <w:trPr>
          <w:trHeight w:val="301" w:hRule="atLeast"/>
        </w:trPr>
        <w:tc>
          <w:tcPr>
            <w:tcW w:w="2782" w:type="dxa"/>
            <w:tcBorders>
              <w:left w:val="single" w:sz="4" w:space="0" w:color="000000"/>
            </w:tcBorders>
          </w:tcPr>
          <w:p>
            <w:pPr>
              <w:pStyle w:val="TableParagraph"/>
              <w:spacing w:before="69"/>
              <w:ind w:left="69"/>
              <w:rPr>
                <w:sz w:val="18"/>
              </w:rPr>
            </w:pPr>
            <w:r>
              <w:rPr>
                <w:spacing w:val="-2"/>
                <w:sz w:val="18"/>
              </w:rPr>
              <w:t>Desarrollo</w:t>
            </w:r>
          </w:p>
        </w:tc>
        <w:tc>
          <w:tcPr>
            <w:tcW w:w="1371" w:type="dxa"/>
          </w:tcPr>
          <w:p>
            <w:pPr>
              <w:pStyle w:val="TableParagraph"/>
              <w:spacing w:before="21"/>
              <w:ind w:right="122"/>
              <w:jc w:val="right"/>
              <w:rPr>
                <w:sz w:val="16"/>
              </w:rPr>
            </w:pPr>
            <w:r>
              <w:rPr>
                <w:spacing w:val="-4"/>
                <w:sz w:val="16"/>
              </w:rPr>
              <w:t>0,00</w:t>
            </w:r>
          </w:p>
        </w:tc>
        <w:tc>
          <w:tcPr>
            <w:tcW w:w="1230" w:type="dxa"/>
          </w:tcPr>
          <w:p>
            <w:pPr>
              <w:pStyle w:val="TableParagraph"/>
              <w:rPr>
                <w:rFonts w:ascii="Times New Roman"/>
                <w:sz w:val="16"/>
              </w:rPr>
            </w:pPr>
          </w:p>
        </w:tc>
        <w:tc>
          <w:tcPr>
            <w:tcW w:w="3259" w:type="dxa"/>
            <w:gridSpan w:val="3"/>
            <w:tcBorders>
              <w:right w:val="single" w:sz="4" w:space="0" w:color="000000"/>
            </w:tcBorders>
          </w:tcPr>
          <w:p>
            <w:pPr>
              <w:pStyle w:val="TableParagraph"/>
              <w:spacing w:before="21"/>
              <w:ind w:right="54"/>
              <w:jc w:val="right"/>
              <w:rPr>
                <w:sz w:val="16"/>
              </w:rPr>
            </w:pPr>
            <w:r>
              <w:rPr>
                <w:spacing w:val="-4"/>
                <w:sz w:val="16"/>
              </w:rPr>
              <w:t>0,00</w:t>
            </w:r>
          </w:p>
        </w:tc>
      </w:tr>
      <w:tr>
        <w:trPr>
          <w:trHeight w:val="310" w:hRule="atLeast"/>
        </w:trPr>
        <w:tc>
          <w:tcPr>
            <w:tcW w:w="2782" w:type="dxa"/>
            <w:tcBorders>
              <w:left w:val="single" w:sz="4" w:space="0" w:color="000000"/>
            </w:tcBorders>
          </w:tcPr>
          <w:p>
            <w:pPr>
              <w:pStyle w:val="TableParagraph"/>
              <w:spacing w:before="75"/>
              <w:ind w:left="69"/>
              <w:rPr>
                <w:sz w:val="18"/>
              </w:rPr>
            </w:pPr>
            <w:r>
              <w:rPr>
                <w:spacing w:val="-2"/>
                <w:sz w:val="18"/>
              </w:rPr>
              <w:t>Concesiones</w:t>
            </w:r>
          </w:p>
        </w:tc>
        <w:tc>
          <w:tcPr>
            <w:tcW w:w="1371" w:type="dxa"/>
          </w:tcPr>
          <w:p>
            <w:pPr>
              <w:pStyle w:val="TableParagraph"/>
              <w:spacing w:before="20"/>
              <w:ind w:right="123"/>
              <w:jc w:val="right"/>
              <w:rPr>
                <w:sz w:val="16"/>
              </w:rPr>
            </w:pPr>
            <w:r>
              <w:rPr>
                <w:spacing w:val="-2"/>
                <w:sz w:val="16"/>
              </w:rPr>
              <w:t>(2.638.694,78)</w:t>
            </w:r>
          </w:p>
        </w:tc>
        <w:tc>
          <w:tcPr>
            <w:tcW w:w="1230" w:type="dxa"/>
          </w:tcPr>
          <w:p>
            <w:pPr>
              <w:pStyle w:val="TableParagraph"/>
              <w:spacing w:before="20"/>
              <w:ind w:right="162"/>
              <w:jc w:val="right"/>
              <w:rPr>
                <w:sz w:val="16"/>
              </w:rPr>
            </w:pPr>
            <w:r>
              <w:rPr>
                <w:spacing w:val="-2"/>
                <w:sz w:val="16"/>
              </w:rPr>
              <w:t>(120.396,72)</w:t>
            </w:r>
          </w:p>
        </w:tc>
        <w:tc>
          <w:tcPr>
            <w:tcW w:w="3259" w:type="dxa"/>
            <w:gridSpan w:val="3"/>
            <w:tcBorders>
              <w:right w:val="single" w:sz="4" w:space="0" w:color="000000"/>
            </w:tcBorders>
          </w:tcPr>
          <w:p>
            <w:pPr>
              <w:pStyle w:val="TableParagraph"/>
              <w:spacing w:before="20"/>
              <w:ind w:left="2155"/>
              <w:rPr>
                <w:sz w:val="16"/>
              </w:rPr>
            </w:pPr>
            <w:r>
              <w:rPr>
                <w:spacing w:val="-2"/>
                <w:sz w:val="16"/>
              </w:rPr>
              <w:t>(2.759.091,50)</w:t>
            </w:r>
          </w:p>
        </w:tc>
      </w:tr>
      <w:tr>
        <w:trPr>
          <w:trHeight w:val="341" w:hRule="atLeast"/>
        </w:trPr>
        <w:tc>
          <w:tcPr>
            <w:tcW w:w="2782" w:type="dxa"/>
            <w:tcBorders>
              <w:left w:val="single" w:sz="4" w:space="0" w:color="000000"/>
            </w:tcBorders>
          </w:tcPr>
          <w:p>
            <w:pPr>
              <w:pStyle w:val="TableParagraph"/>
              <w:spacing w:before="79"/>
              <w:ind w:left="69"/>
              <w:rPr>
                <w:sz w:val="18"/>
              </w:rPr>
            </w:pPr>
            <w:r>
              <w:rPr>
                <w:sz w:val="18"/>
              </w:rPr>
              <w:t>Aplicaciones</w:t>
            </w:r>
            <w:r>
              <w:rPr>
                <w:spacing w:val="-5"/>
                <w:sz w:val="18"/>
              </w:rPr>
              <w:t> </w:t>
            </w:r>
            <w:r>
              <w:rPr>
                <w:spacing w:val="-2"/>
                <w:sz w:val="18"/>
              </w:rPr>
              <w:t>informáticas</w:t>
            </w:r>
          </w:p>
        </w:tc>
        <w:tc>
          <w:tcPr>
            <w:tcW w:w="1371" w:type="dxa"/>
            <w:tcBorders>
              <w:bottom w:val="single" w:sz="8" w:space="0" w:color="000000"/>
            </w:tcBorders>
          </w:tcPr>
          <w:p>
            <w:pPr>
              <w:pStyle w:val="TableParagraph"/>
              <w:spacing w:before="23"/>
              <w:ind w:right="123"/>
              <w:jc w:val="right"/>
              <w:rPr>
                <w:sz w:val="16"/>
              </w:rPr>
            </w:pPr>
            <w:r>
              <w:rPr>
                <w:spacing w:val="-2"/>
                <w:sz w:val="16"/>
              </w:rPr>
              <w:t>(2.182.699,86)</w:t>
            </w:r>
          </w:p>
        </w:tc>
        <w:tc>
          <w:tcPr>
            <w:tcW w:w="1230" w:type="dxa"/>
            <w:tcBorders>
              <w:bottom w:val="single" w:sz="8" w:space="0" w:color="000000"/>
            </w:tcBorders>
          </w:tcPr>
          <w:p>
            <w:pPr>
              <w:pStyle w:val="TableParagraph"/>
              <w:spacing w:before="23"/>
              <w:ind w:right="162"/>
              <w:jc w:val="right"/>
              <w:rPr>
                <w:sz w:val="16"/>
              </w:rPr>
            </w:pPr>
            <w:r>
              <w:rPr>
                <w:spacing w:val="-2"/>
                <w:sz w:val="16"/>
              </w:rPr>
              <w:t>(405.864,86)</w:t>
            </w:r>
          </w:p>
        </w:tc>
        <w:tc>
          <w:tcPr>
            <w:tcW w:w="3259" w:type="dxa"/>
            <w:gridSpan w:val="3"/>
            <w:tcBorders>
              <w:bottom w:val="single" w:sz="8" w:space="0" w:color="000000"/>
              <w:right w:val="single" w:sz="4" w:space="0" w:color="000000"/>
            </w:tcBorders>
          </w:tcPr>
          <w:p>
            <w:pPr>
              <w:pStyle w:val="TableParagraph"/>
              <w:spacing w:before="23"/>
              <w:ind w:left="2155"/>
              <w:rPr>
                <w:sz w:val="16"/>
              </w:rPr>
            </w:pPr>
            <w:r>
              <w:rPr>
                <w:spacing w:val="-2"/>
                <w:sz w:val="16"/>
              </w:rPr>
              <w:t>(2.588.564,72)</w:t>
            </w:r>
          </w:p>
        </w:tc>
      </w:tr>
      <w:tr>
        <w:trPr>
          <w:trHeight w:val="316" w:hRule="atLeast"/>
        </w:trPr>
        <w:tc>
          <w:tcPr>
            <w:tcW w:w="2782" w:type="dxa"/>
            <w:tcBorders>
              <w:left w:val="single" w:sz="4" w:space="0" w:color="000000"/>
            </w:tcBorders>
          </w:tcPr>
          <w:p>
            <w:pPr>
              <w:pStyle w:val="TableParagraph"/>
              <w:spacing w:before="49"/>
              <w:ind w:right="61"/>
              <w:jc w:val="right"/>
              <w:rPr>
                <w:b/>
                <w:sz w:val="18"/>
              </w:rPr>
            </w:pPr>
            <w:r>
              <w:rPr>
                <w:b/>
                <w:spacing w:val="-2"/>
                <w:sz w:val="18"/>
              </w:rPr>
              <w:t>Total</w:t>
            </w:r>
          </w:p>
        </w:tc>
        <w:tc>
          <w:tcPr>
            <w:tcW w:w="1371" w:type="dxa"/>
            <w:tcBorders>
              <w:top w:val="single" w:sz="8" w:space="0" w:color="000000"/>
              <w:bottom w:val="single" w:sz="8" w:space="0" w:color="000000"/>
            </w:tcBorders>
          </w:tcPr>
          <w:p>
            <w:pPr>
              <w:pStyle w:val="TableParagraph"/>
              <w:spacing w:line="178" w:lineRule="exact"/>
              <w:ind w:right="123"/>
              <w:jc w:val="right"/>
              <w:rPr>
                <w:b/>
                <w:sz w:val="16"/>
              </w:rPr>
            </w:pPr>
            <w:r>
              <w:rPr>
                <w:b/>
                <w:spacing w:val="-2"/>
                <w:sz w:val="16"/>
              </w:rPr>
              <w:t>(4.821.394,64)</w:t>
            </w:r>
          </w:p>
        </w:tc>
        <w:tc>
          <w:tcPr>
            <w:tcW w:w="1230" w:type="dxa"/>
            <w:tcBorders>
              <w:top w:val="single" w:sz="8" w:space="0" w:color="000000"/>
              <w:bottom w:val="single" w:sz="8" w:space="0" w:color="000000"/>
            </w:tcBorders>
          </w:tcPr>
          <w:p>
            <w:pPr>
              <w:pStyle w:val="TableParagraph"/>
              <w:spacing w:line="178" w:lineRule="exact"/>
              <w:ind w:right="162"/>
              <w:jc w:val="right"/>
              <w:rPr>
                <w:b/>
                <w:sz w:val="16"/>
              </w:rPr>
            </w:pPr>
            <w:r>
              <w:rPr>
                <w:b/>
                <w:spacing w:val="-2"/>
                <w:sz w:val="16"/>
              </w:rPr>
              <w:t>(526.261,58)</w:t>
            </w:r>
          </w:p>
        </w:tc>
        <w:tc>
          <w:tcPr>
            <w:tcW w:w="3259" w:type="dxa"/>
            <w:gridSpan w:val="3"/>
            <w:tcBorders>
              <w:top w:val="single" w:sz="8" w:space="0" w:color="000000"/>
              <w:bottom w:val="single" w:sz="8" w:space="0" w:color="000000"/>
              <w:right w:val="single" w:sz="4" w:space="0" w:color="000000"/>
            </w:tcBorders>
          </w:tcPr>
          <w:p>
            <w:pPr>
              <w:pStyle w:val="TableParagraph"/>
              <w:spacing w:line="178" w:lineRule="exact"/>
              <w:ind w:left="2155"/>
              <w:rPr>
                <w:b/>
                <w:sz w:val="16"/>
              </w:rPr>
            </w:pPr>
            <w:r>
              <w:rPr>
                <w:b/>
                <w:spacing w:val="-2"/>
                <w:sz w:val="16"/>
              </w:rPr>
              <w:t>(5.347.656,22)</w:t>
            </w:r>
          </w:p>
        </w:tc>
      </w:tr>
      <w:tr>
        <w:trPr>
          <w:trHeight w:val="299" w:hRule="atLeast"/>
        </w:trPr>
        <w:tc>
          <w:tcPr>
            <w:tcW w:w="2782" w:type="dxa"/>
            <w:tcBorders>
              <w:left w:val="single" w:sz="4" w:space="0" w:color="000000"/>
              <w:bottom w:val="single" w:sz="4" w:space="0" w:color="000000"/>
            </w:tcBorders>
          </w:tcPr>
          <w:p>
            <w:pPr>
              <w:pStyle w:val="TableParagraph"/>
              <w:spacing w:before="39"/>
              <w:ind w:right="62"/>
              <w:jc w:val="right"/>
              <w:rPr>
                <w:b/>
                <w:sz w:val="18"/>
              </w:rPr>
            </w:pPr>
            <w:r>
              <w:rPr>
                <w:b/>
                <w:spacing w:val="-5"/>
                <w:sz w:val="18"/>
              </w:rPr>
              <w:t>VNC</w:t>
            </w:r>
          </w:p>
        </w:tc>
        <w:tc>
          <w:tcPr>
            <w:tcW w:w="1371" w:type="dxa"/>
            <w:tcBorders>
              <w:top w:val="single" w:sz="8" w:space="0" w:color="000000"/>
              <w:bottom w:val="single" w:sz="4" w:space="0" w:color="000000"/>
            </w:tcBorders>
          </w:tcPr>
          <w:p>
            <w:pPr>
              <w:pStyle w:val="TableParagraph"/>
              <w:spacing w:line="178" w:lineRule="exact"/>
              <w:ind w:right="120"/>
              <w:jc w:val="right"/>
              <w:rPr>
                <w:b/>
                <w:sz w:val="16"/>
              </w:rPr>
            </w:pPr>
            <w:r>
              <w:rPr>
                <w:b/>
                <w:spacing w:val="-2"/>
                <w:sz w:val="16"/>
              </w:rPr>
              <w:t>35.021.379,32</w:t>
            </w:r>
          </w:p>
        </w:tc>
        <w:tc>
          <w:tcPr>
            <w:tcW w:w="1230" w:type="dxa"/>
            <w:tcBorders>
              <w:top w:val="single" w:sz="8" w:space="0" w:color="000000"/>
              <w:bottom w:val="single" w:sz="4" w:space="0" w:color="000000"/>
            </w:tcBorders>
          </w:tcPr>
          <w:p>
            <w:pPr>
              <w:pStyle w:val="TableParagraph"/>
              <w:rPr>
                <w:rFonts w:ascii="Times New Roman"/>
                <w:sz w:val="16"/>
              </w:rPr>
            </w:pPr>
          </w:p>
        </w:tc>
        <w:tc>
          <w:tcPr>
            <w:tcW w:w="3259" w:type="dxa"/>
            <w:gridSpan w:val="3"/>
            <w:tcBorders>
              <w:top w:val="single" w:sz="8" w:space="0" w:color="000000"/>
              <w:bottom w:val="single" w:sz="4" w:space="0" w:color="000000"/>
              <w:right w:val="single" w:sz="4" w:space="0" w:color="000000"/>
            </w:tcBorders>
          </w:tcPr>
          <w:p>
            <w:pPr>
              <w:pStyle w:val="TableParagraph"/>
              <w:spacing w:line="178" w:lineRule="exact"/>
              <w:ind w:right="52"/>
              <w:jc w:val="right"/>
              <w:rPr>
                <w:b/>
                <w:sz w:val="16"/>
              </w:rPr>
            </w:pPr>
            <w:r>
              <w:rPr>
                <w:b/>
                <w:spacing w:val="-2"/>
                <w:sz w:val="16"/>
              </w:rPr>
              <w:t>36.102.015,59</w:t>
            </w:r>
          </w:p>
        </w:tc>
      </w:tr>
    </w:tbl>
    <w:p>
      <w:pPr>
        <w:pStyle w:val="BodyText"/>
        <w:spacing w:before="4"/>
      </w:pPr>
    </w:p>
    <w:tbl>
      <w:tblPr>
        <w:tblW w:w="0" w:type="auto"/>
        <w:jc w:val="left"/>
        <w:tblInd w:w="1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5"/>
        <w:gridCol w:w="1345"/>
        <w:gridCol w:w="1245"/>
        <w:gridCol w:w="837"/>
        <w:gridCol w:w="1183"/>
        <w:gridCol w:w="1274"/>
      </w:tblGrid>
      <w:tr>
        <w:trPr>
          <w:trHeight w:val="599" w:hRule="atLeast"/>
        </w:trPr>
        <w:tc>
          <w:tcPr>
            <w:tcW w:w="2765" w:type="dxa"/>
            <w:tcBorders>
              <w:top w:val="single" w:sz="4" w:space="0" w:color="000000"/>
              <w:left w:val="single" w:sz="4" w:space="0" w:color="000000"/>
            </w:tcBorders>
          </w:tcPr>
          <w:p>
            <w:pPr>
              <w:pStyle w:val="TableParagraph"/>
              <w:spacing w:before="169"/>
              <w:rPr>
                <w:sz w:val="16"/>
              </w:rPr>
            </w:pPr>
          </w:p>
          <w:p>
            <w:pPr>
              <w:pStyle w:val="TableParagraph"/>
              <w:ind w:left="69"/>
              <w:rPr>
                <w:b/>
                <w:i/>
                <w:sz w:val="16"/>
              </w:rPr>
            </w:pPr>
            <w:r>
              <w:rPr>
                <w:b/>
                <w:i/>
                <w:sz w:val="16"/>
                <w:u w:val="single"/>
              </w:rPr>
              <w:t>Costes</w:t>
            </w:r>
            <w:r>
              <w:rPr>
                <w:b/>
                <w:i/>
                <w:spacing w:val="-7"/>
                <w:sz w:val="16"/>
                <w:u w:val="single"/>
              </w:rPr>
              <w:t> </w:t>
            </w:r>
            <w:r>
              <w:rPr>
                <w:b/>
                <w:i/>
                <w:spacing w:val="-2"/>
                <w:sz w:val="16"/>
                <w:u w:val="single"/>
              </w:rPr>
              <w:t>brutos</w:t>
            </w:r>
          </w:p>
        </w:tc>
        <w:tc>
          <w:tcPr>
            <w:tcW w:w="1345" w:type="dxa"/>
            <w:tcBorders>
              <w:top w:val="single" w:sz="4" w:space="0" w:color="000000"/>
              <w:bottom w:val="single" w:sz="4" w:space="0" w:color="000000"/>
            </w:tcBorders>
          </w:tcPr>
          <w:p>
            <w:pPr>
              <w:pStyle w:val="TableParagraph"/>
              <w:spacing w:before="42"/>
              <w:ind w:left="4" w:right="44"/>
              <w:jc w:val="center"/>
              <w:rPr>
                <w:b/>
                <w:sz w:val="18"/>
              </w:rPr>
            </w:pPr>
            <w:r>
              <w:rPr>
                <w:b/>
                <w:spacing w:val="-2"/>
                <w:sz w:val="18"/>
              </w:rPr>
              <w:t>Saldo</w:t>
            </w:r>
          </w:p>
          <w:p>
            <w:pPr>
              <w:pStyle w:val="TableParagraph"/>
              <w:spacing w:before="93"/>
              <w:ind w:right="44"/>
              <w:jc w:val="center"/>
              <w:rPr>
                <w:b/>
                <w:sz w:val="18"/>
              </w:rPr>
            </w:pPr>
            <w:r>
              <w:rPr>
                <w:b/>
                <w:spacing w:val="-2"/>
                <w:sz w:val="18"/>
              </w:rPr>
              <w:t>31/12/2023</w:t>
            </w:r>
          </w:p>
        </w:tc>
        <w:tc>
          <w:tcPr>
            <w:tcW w:w="1245" w:type="dxa"/>
            <w:tcBorders>
              <w:top w:val="single" w:sz="4" w:space="0" w:color="000000"/>
              <w:bottom w:val="single" w:sz="4" w:space="0" w:color="000000"/>
            </w:tcBorders>
          </w:tcPr>
          <w:p>
            <w:pPr>
              <w:pStyle w:val="TableParagraph"/>
              <w:spacing w:before="167"/>
              <w:rPr>
                <w:sz w:val="16"/>
              </w:rPr>
            </w:pPr>
          </w:p>
          <w:p>
            <w:pPr>
              <w:pStyle w:val="TableParagraph"/>
              <w:ind w:left="344"/>
              <w:rPr>
                <w:b/>
                <w:sz w:val="16"/>
              </w:rPr>
            </w:pPr>
            <w:r>
              <w:rPr>
                <w:b/>
                <w:spacing w:val="-2"/>
                <w:sz w:val="16"/>
              </w:rPr>
              <w:t>Altas</w:t>
            </w:r>
          </w:p>
        </w:tc>
        <w:tc>
          <w:tcPr>
            <w:tcW w:w="837" w:type="dxa"/>
            <w:tcBorders>
              <w:top w:val="single" w:sz="4" w:space="0" w:color="000000"/>
              <w:bottom w:val="single" w:sz="4" w:space="0" w:color="000000"/>
            </w:tcBorders>
          </w:tcPr>
          <w:p>
            <w:pPr>
              <w:pStyle w:val="TableParagraph"/>
              <w:spacing w:before="167"/>
              <w:rPr>
                <w:sz w:val="16"/>
              </w:rPr>
            </w:pPr>
          </w:p>
          <w:p>
            <w:pPr>
              <w:pStyle w:val="TableParagraph"/>
              <w:ind w:left="190"/>
              <w:rPr>
                <w:b/>
                <w:sz w:val="16"/>
              </w:rPr>
            </w:pPr>
            <w:r>
              <w:rPr>
                <w:b/>
                <w:spacing w:val="-2"/>
                <w:sz w:val="16"/>
              </w:rPr>
              <w:t>Bajas</w:t>
            </w:r>
          </w:p>
        </w:tc>
        <w:tc>
          <w:tcPr>
            <w:tcW w:w="1183" w:type="dxa"/>
            <w:tcBorders>
              <w:top w:val="single" w:sz="4" w:space="0" w:color="000000"/>
              <w:bottom w:val="single" w:sz="4" w:space="0" w:color="000000"/>
            </w:tcBorders>
          </w:tcPr>
          <w:p>
            <w:pPr>
              <w:pStyle w:val="TableParagraph"/>
              <w:spacing w:before="167"/>
              <w:rPr>
                <w:sz w:val="16"/>
              </w:rPr>
            </w:pPr>
          </w:p>
          <w:p>
            <w:pPr>
              <w:pStyle w:val="TableParagraph"/>
              <w:ind w:left="225"/>
              <w:rPr>
                <w:b/>
                <w:sz w:val="16"/>
              </w:rPr>
            </w:pPr>
            <w:r>
              <w:rPr>
                <w:b/>
                <w:spacing w:val="-2"/>
                <w:sz w:val="16"/>
              </w:rPr>
              <w:t>Traspasos</w:t>
            </w:r>
          </w:p>
        </w:tc>
        <w:tc>
          <w:tcPr>
            <w:tcW w:w="1274" w:type="dxa"/>
            <w:tcBorders>
              <w:top w:val="single" w:sz="4" w:space="0" w:color="000000"/>
              <w:bottom w:val="single" w:sz="4" w:space="0" w:color="000000"/>
              <w:right w:val="single" w:sz="4" w:space="0" w:color="000000"/>
            </w:tcBorders>
          </w:tcPr>
          <w:p>
            <w:pPr>
              <w:pStyle w:val="TableParagraph"/>
              <w:spacing w:before="42"/>
              <w:ind w:left="3" w:right="15"/>
              <w:jc w:val="center"/>
              <w:rPr>
                <w:b/>
                <w:sz w:val="18"/>
              </w:rPr>
            </w:pPr>
            <w:r>
              <w:rPr>
                <w:b/>
                <w:spacing w:val="-2"/>
                <w:sz w:val="18"/>
              </w:rPr>
              <w:t>Saldo</w:t>
            </w:r>
          </w:p>
          <w:p>
            <w:pPr>
              <w:pStyle w:val="TableParagraph"/>
              <w:spacing w:before="93"/>
              <w:ind w:right="15"/>
              <w:jc w:val="center"/>
              <w:rPr>
                <w:b/>
                <w:sz w:val="18"/>
              </w:rPr>
            </w:pPr>
            <w:r>
              <w:rPr>
                <w:b/>
                <w:spacing w:val="-2"/>
                <w:sz w:val="18"/>
              </w:rPr>
              <w:t>31/12/2024</w:t>
            </w:r>
          </w:p>
        </w:tc>
      </w:tr>
      <w:tr>
        <w:trPr>
          <w:trHeight w:val="270" w:hRule="atLeast"/>
        </w:trPr>
        <w:tc>
          <w:tcPr>
            <w:tcW w:w="2765" w:type="dxa"/>
            <w:tcBorders>
              <w:left w:val="single" w:sz="4" w:space="0" w:color="000000"/>
            </w:tcBorders>
          </w:tcPr>
          <w:p>
            <w:pPr>
              <w:pStyle w:val="TableParagraph"/>
              <w:spacing w:before="56"/>
              <w:ind w:left="69"/>
              <w:rPr>
                <w:sz w:val="16"/>
              </w:rPr>
            </w:pPr>
            <w:r>
              <w:rPr>
                <w:spacing w:val="-2"/>
                <w:sz w:val="16"/>
              </w:rPr>
              <w:t>Desarrollo</w:t>
            </w:r>
          </w:p>
        </w:tc>
        <w:tc>
          <w:tcPr>
            <w:tcW w:w="1345" w:type="dxa"/>
            <w:tcBorders>
              <w:top w:val="single" w:sz="4" w:space="0" w:color="000000"/>
            </w:tcBorders>
          </w:tcPr>
          <w:p>
            <w:pPr>
              <w:pStyle w:val="TableParagraph"/>
              <w:spacing w:line="180" w:lineRule="exact"/>
              <w:ind w:right="115"/>
              <w:jc w:val="right"/>
              <w:rPr>
                <w:sz w:val="16"/>
              </w:rPr>
            </w:pPr>
            <w:r>
              <w:rPr>
                <w:spacing w:val="-4"/>
                <w:sz w:val="16"/>
              </w:rPr>
              <w:t>0,00</w:t>
            </w:r>
          </w:p>
        </w:tc>
        <w:tc>
          <w:tcPr>
            <w:tcW w:w="1245" w:type="dxa"/>
            <w:tcBorders>
              <w:top w:val="single" w:sz="4" w:space="0" w:color="000000"/>
            </w:tcBorders>
          </w:tcPr>
          <w:p>
            <w:pPr>
              <w:pStyle w:val="TableParagraph"/>
              <w:rPr>
                <w:rFonts w:ascii="Times New Roman"/>
                <w:sz w:val="16"/>
              </w:rPr>
            </w:pPr>
          </w:p>
        </w:tc>
        <w:tc>
          <w:tcPr>
            <w:tcW w:w="3294" w:type="dxa"/>
            <w:gridSpan w:val="3"/>
            <w:tcBorders>
              <w:top w:val="single" w:sz="4" w:space="0" w:color="000000"/>
              <w:right w:val="single" w:sz="4" w:space="0" w:color="000000"/>
            </w:tcBorders>
          </w:tcPr>
          <w:p>
            <w:pPr>
              <w:pStyle w:val="TableParagraph"/>
              <w:spacing w:line="180" w:lineRule="exact"/>
              <w:ind w:right="63"/>
              <w:jc w:val="right"/>
              <w:rPr>
                <w:sz w:val="16"/>
              </w:rPr>
            </w:pPr>
            <w:r>
              <w:rPr>
                <w:spacing w:val="-4"/>
                <w:sz w:val="16"/>
              </w:rPr>
              <w:t>0,00</w:t>
            </w:r>
          </w:p>
        </w:tc>
      </w:tr>
      <w:tr>
        <w:trPr>
          <w:trHeight w:val="300" w:hRule="atLeast"/>
        </w:trPr>
        <w:tc>
          <w:tcPr>
            <w:tcW w:w="2765" w:type="dxa"/>
            <w:tcBorders>
              <w:left w:val="single" w:sz="4" w:space="0" w:color="000000"/>
            </w:tcBorders>
          </w:tcPr>
          <w:p>
            <w:pPr>
              <w:pStyle w:val="TableParagraph"/>
              <w:spacing w:before="85"/>
              <w:ind w:left="69"/>
              <w:rPr>
                <w:sz w:val="16"/>
              </w:rPr>
            </w:pPr>
            <w:r>
              <w:rPr>
                <w:spacing w:val="-2"/>
                <w:sz w:val="16"/>
              </w:rPr>
              <w:t>Concesiones</w:t>
            </w:r>
          </w:p>
        </w:tc>
        <w:tc>
          <w:tcPr>
            <w:tcW w:w="1345" w:type="dxa"/>
          </w:tcPr>
          <w:p>
            <w:pPr>
              <w:pStyle w:val="TableParagraph"/>
              <w:spacing w:before="25"/>
              <w:ind w:right="113"/>
              <w:jc w:val="right"/>
              <w:rPr>
                <w:sz w:val="16"/>
              </w:rPr>
            </w:pPr>
            <w:r>
              <w:rPr>
                <w:spacing w:val="-2"/>
                <w:sz w:val="16"/>
              </w:rPr>
              <w:t>6.019.834,10</w:t>
            </w:r>
          </w:p>
        </w:tc>
        <w:tc>
          <w:tcPr>
            <w:tcW w:w="1245" w:type="dxa"/>
          </w:tcPr>
          <w:p>
            <w:pPr>
              <w:pStyle w:val="TableParagraph"/>
              <w:rPr>
                <w:rFonts w:ascii="Times New Roman"/>
                <w:sz w:val="16"/>
              </w:rPr>
            </w:pPr>
          </w:p>
        </w:tc>
        <w:tc>
          <w:tcPr>
            <w:tcW w:w="3294" w:type="dxa"/>
            <w:gridSpan w:val="3"/>
            <w:tcBorders>
              <w:right w:val="single" w:sz="4" w:space="0" w:color="000000"/>
            </w:tcBorders>
          </w:tcPr>
          <w:p>
            <w:pPr>
              <w:pStyle w:val="TableParagraph"/>
              <w:spacing w:before="25"/>
              <w:ind w:right="61"/>
              <w:jc w:val="right"/>
              <w:rPr>
                <w:sz w:val="16"/>
              </w:rPr>
            </w:pPr>
            <w:r>
              <w:rPr>
                <w:spacing w:val="-2"/>
                <w:sz w:val="16"/>
              </w:rPr>
              <w:t>6.019.834,10</w:t>
            </w:r>
          </w:p>
        </w:tc>
      </w:tr>
      <w:tr>
        <w:trPr>
          <w:trHeight w:val="300" w:hRule="atLeast"/>
        </w:trPr>
        <w:tc>
          <w:tcPr>
            <w:tcW w:w="2765" w:type="dxa"/>
            <w:tcBorders>
              <w:left w:val="single" w:sz="4" w:space="0" w:color="000000"/>
            </w:tcBorders>
          </w:tcPr>
          <w:p>
            <w:pPr>
              <w:pStyle w:val="TableParagraph"/>
              <w:spacing w:before="85"/>
              <w:ind w:left="69"/>
              <w:rPr>
                <w:sz w:val="16"/>
              </w:rPr>
            </w:pPr>
            <w:r>
              <w:rPr>
                <w:sz w:val="16"/>
              </w:rPr>
              <w:t>Patentes,</w:t>
            </w:r>
            <w:r>
              <w:rPr>
                <w:spacing w:val="-4"/>
                <w:sz w:val="16"/>
              </w:rPr>
              <w:t> </w:t>
            </w:r>
            <w:r>
              <w:rPr>
                <w:sz w:val="16"/>
              </w:rPr>
              <w:t>lic,</w:t>
            </w:r>
            <w:r>
              <w:rPr>
                <w:spacing w:val="-5"/>
                <w:sz w:val="16"/>
              </w:rPr>
              <w:t> </w:t>
            </w:r>
            <w:r>
              <w:rPr>
                <w:sz w:val="16"/>
              </w:rPr>
              <w:t>marcas</w:t>
            </w:r>
            <w:r>
              <w:rPr>
                <w:spacing w:val="-4"/>
                <w:sz w:val="16"/>
              </w:rPr>
              <w:t> </w:t>
            </w:r>
            <w:r>
              <w:rPr>
                <w:sz w:val="16"/>
              </w:rPr>
              <w:t>y</w:t>
            </w:r>
            <w:r>
              <w:rPr>
                <w:spacing w:val="-4"/>
                <w:sz w:val="16"/>
              </w:rPr>
              <w:t> </w:t>
            </w:r>
            <w:r>
              <w:rPr>
                <w:spacing w:val="-2"/>
                <w:sz w:val="16"/>
              </w:rPr>
              <w:t>similares</w:t>
            </w:r>
          </w:p>
        </w:tc>
        <w:tc>
          <w:tcPr>
            <w:tcW w:w="1345" w:type="dxa"/>
          </w:tcPr>
          <w:p>
            <w:pPr>
              <w:pStyle w:val="TableParagraph"/>
              <w:spacing w:before="25"/>
              <w:ind w:right="115"/>
              <w:jc w:val="right"/>
              <w:rPr>
                <w:sz w:val="16"/>
              </w:rPr>
            </w:pPr>
            <w:r>
              <w:rPr>
                <w:spacing w:val="-2"/>
                <w:sz w:val="16"/>
              </w:rPr>
              <w:t>3.000,00</w:t>
            </w:r>
          </w:p>
        </w:tc>
        <w:tc>
          <w:tcPr>
            <w:tcW w:w="1245" w:type="dxa"/>
          </w:tcPr>
          <w:p>
            <w:pPr>
              <w:pStyle w:val="TableParagraph"/>
              <w:rPr>
                <w:rFonts w:ascii="Times New Roman"/>
                <w:sz w:val="16"/>
              </w:rPr>
            </w:pPr>
          </w:p>
        </w:tc>
        <w:tc>
          <w:tcPr>
            <w:tcW w:w="3294" w:type="dxa"/>
            <w:gridSpan w:val="3"/>
            <w:tcBorders>
              <w:right w:val="single" w:sz="4" w:space="0" w:color="000000"/>
            </w:tcBorders>
          </w:tcPr>
          <w:p>
            <w:pPr>
              <w:pStyle w:val="TableParagraph"/>
              <w:spacing w:before="25"/>
              <w:ind w:right="63"/>
              <w:jc w:val="right"/>
              <w:rPr>
                <w:sz w:val="16"/>
              </w:rPr>
            </w:pPr>
            <w:r>
              <w:rPr>
                <w:spacing w:val="-2"/>
                <w:sz w:val="16"/>
              </w:rPr>
              <w:t>3.000,00</w:t>
            </w:r>
          </w:p>
        </w:tc>
      </w:tr>
      <w:tr>
        <w:trPr>
          <w:trHeight w:val="312" w:hRule="atLeast"/>
        </w:trPr>
        <w:tc>
          <w:tcPr>
            <w:tcW w:w="2765" w:type="dxa"/>
            <w:tcBorders>
              <w:left w:val="single" w:sz="4" w:space="0" w:color="000000"/>
            </w:tcBorders>
          </w:tcPr>
          <w:p>
            <w:pPr>
              <w:pStyle w:val="TableParagraph"/>
              <w:spacing w:before="93"/>
              <w:ind w:left="69"/>
              <w:rPr>
                <w:sz w:val="16"/>
              </w:rPr>
            </w:pPr>
            <w:r>
              <w:rPr>
                <w:sz w:val="16"/>
              </w:rPr>
              <w:t>Aplicaciones</w:t>
            </w:r>
            <w:r>
              <w:rPr>
                <w:spacing w:val="-9"/>
                <w:sz w:val="16"/>
              </w:rPr>
              <w:t> </w:t>
            </w:r>
            <w:r>
              <w:rPr>
                <w:spacing w:val="-2"/>
                <w:sz w:val="16"/>
              </w:rPr>
              <w:t>informáticas</w:t>
            </w:r>
          </w:p>
        </w:tc>
        <w:tc>
          <w:tcPr>
            <w:tcW w:w="1345" w:type="dxa"/>
          </w:tcPr>
          <w:p>
            <w:pPr>
              <w:pStyle w:val="TableParagraph"/>
              <w:spacing w:before="25"/>
              <w:ind w:right="113"/>
              <w:jc w:val="right"/>
              <w:rPr>
                <w:sz w:val="16"/>
              </w:rPr>
            </w:pPr>
            <w:r>
              <w:rPr>
                <w:spacing w:val="-2"/>
                <w:sz w:val="16"/>
              </w:rPr>
              <w:t>2.135.896,35</w:t>
            </w:r>
          </w:p>
        </w:tc>
        <w:tc>
          <w:tcPr>
            <w:tcW w:w="1245" w:type="dxa"/>
          </w:tcPr>
          <w:p>
            <w:pPr>
              <w:pStyle w:val="TableParagraph"/>
              <w:spacing w:before="25"/>
              <w:ind w:right="182"/>
              <w:jc w:val="right"/>
              <w:rPr>
                <w:sz w:val="16"/>
              </w:rPr>
            </w:pPr>
            <w:r>
              <w:rPr>
                <w:spacing w:val="-2"/>
                <w:sz w:val="16"/>
              </w:rPr>
              <w:t>1.016.157,23</w:t>
            </w:r>
          </w:p>
        </w:tc>
        <w:tc>
          <w:tcPr>
            <w:tcW w:w="3294" w:type="dxa"/>
            <w:gridSpan w:val="3"/>
            <w:tcBorders>
              <w:right w:val="single" w:sz="4" w:space="0" w:color="000000"/>
            </w:tcBorders>
          </w:tcPr>
          <w:p>
            <w:pPr>
              <w:pStyle w:val="TableParagraph"/>
              <w:spacing w:before="25"/>
              <w:ind w:right="61"/>
              <w:jc w:val="right"/>
              <w:rPr>
                <w:sz w:val="16"/>
              </w:rPr>
            </w:pPr>
            <w:r>
              <w:rPr>
                <w:spacing w:val="-2"/>
                <w:sz w:val="16"/>
              </w:rPr>
              <w:t>3.152.053,58</w:t>
            </w:r>
          </w:p>
        </w:tc>
      </w:tr>
      <w:tr>
        <w:trPr>
          <w:trHeight w:val="348" w:hRule="atLeast"/>
        </w:trPr>
        <w:tc>
          <w:tcPr>
            <w:tcW w:w="2765" w:type="dxa"/>
            <w:tcBorders>
              <w:left w:val="single" w:sz="4" w:space="0" w:color="000000"/>
            </w:tcBorders>
          </w:tcPr>
          <w:p>
            <w:pPr>
              <w:pStyle w:val="TableParagraph"/>
              <w:spacing w:before="95"/>
              <w:ind w:left="69"/>
              <w:rPr>
                <w:sz w:val="16"/>
              </w:rPr>
            </w:pPr>
            <w:r>
              <w:rPr>
                <w:sz w:val="16"/>
              </w:rPr>
              <w:t>Anticipos</w:t>
            </w:r>
            <w:r>
              <w:rPr>
                <w:spacing w:val="-5"/>
                <w:sz w:val="16"/>
              </w:rPr>
              <w:t> </w:t>
            </w:r>
            <w:r>
              <w:rPr>
                <w:sz w:val="16"/>
              </w:rPr>
              <w:t>para</w:t>
            </w:r>
            <w:r>
              <w:rPr>
                <w:spacing w:val="-5"/>
                <w:sz w:val="16"/>
              </w:rPr>
              <w:t> </w:t>
            </w:r>
            <w:r>
              <w:rPr>
                <w:sz w:val="16"/>
              </w:rPr>
              <w:t>inmov.</w:t>
            </w:r>
            <w:r>
              <w:rPr>
                <w:spacing w:val="-6"/>
                <w:sz w:val="16"/>
              </w:rPr>
              <w:t> </w:t>
            </w:r>
            <w:r>
              <w:rPr>
                <w:spacing w:val="-2"/>
                <w:sz w:val="16"/>
              </w:rPr>
              <w:t>Intangibles</w:t>
            </w:r>
          </w:p>
        </w:tc>
        <w:tc>
          <w:tcPr>
            <w:tcW w:w="1345" w:type="dxa"/>
            <w:tcBorders>
              <w:bottom w:val="single" w:sz="8" w:space="0" w:color="000000"/>
            </w:tcBorders>
          </w:tcPr>
          <w:p>
            <w:pPr>
              <w:pStyle w:val="TableParagraph"/>
              <w:spacing w:before="30"/>
              <w:ind w:right="113"/>
              <w:jc w:val="right"/>
              <w:rPr>
                <w:sz w:val="16"/>
              </w:rPr>
            </w:pPr>
            <w:r>
              <w:rPr>
                <w:spacing w:val="-2"/>
                <w:sz w:val="16"/>
              </w:rPr>
              <w:t>29.856.080,99</w:t>
            </w:r>
          </w:p>
        </w:tc>
        <w:tc>
          <w:tcPr>
            <w:tcW w:w="1245" w:type="dxa"/>
            <w:tcBorders>
              <w:bottom w:val="single" w:sz="8" w:space="0" w:color="000000"/>
            </w:tcBorders>
          </w:tcPr>
          <w:p>
            <w:pPr>
              <w:pStyle w:val="TableParagraph"/>
              <w:spacing w:before="30"/>
              <w:ind w:right="185"/>
              <w:jc w:val="right"/>
              <w:rPr>
                <w:sz w:val="16"/>
              </w:rPr>
            </w:pPr>
            <w:r>
              <w:rPr>
                <w:spacing w:val="-2"/>
                <w:sz w:val="16"/>
              </w:rPr>
              <w:t>811.805,29</w:t>
            </w:r>
          </w:p>
        </w:tc>
        <w:tc>
          <w:tcPr>
            <w:tcW w:w="3294" w:type="dxa"/>
            <w:gridSpan w:val="3"/>
            <w:tcBorders>
              <w:bottom w:val="single" w:sz="8" w:space="0" w:color="000000"/>
              <w:right w:val="single" w:sz="4" w:space="0" w:color="000000"/>
            </w:tcBorders>
          </w:tcPr>
          <w:p>
            <w:pPr>
              <w:pStyle w:val="TableParagraph"/>
              <w:spacing w:before="30"/>
              <w:ind w:right="61"/>
              <w:jc w:val="right"/>
              <w:rPr>
                <w:sz w:val="16"/>
              </w:rPr>
            </w:pPr>
            <w:r>
              <w:rPr>
                <w:spacing w:val="-2"/>
                <w:sz w:val="16"/>
              </w:rPr>
              <w:t>30.667.886,28</w:t>
            </w:r>
          </w:p>
        </w:tc>
      </w:tr>
      <w:tr>
        <w:trPr>
          <w:trHeight w:val="313" w:hRule="atLeast"/>
        </w:trPr>
        <w:tc>
          <w:tcPr>
            <w:tcW w:w="2765" w:type="dxa"/>
            <w:tcBorders>
              <w:left w:val="single" w:sz="4" w:space="0" w:color="000000"/>
            </w:tcBorders>
          </w:tcPr>
          <w:p>
            <w:pPr>
              <w:pStyle w:val="TableParagraph"/>
              <w:spacing w:before="60"/>
              <w:ind w:right="63"/>
              <w:jc w:val="right"/>
              <w:rPr>
                <w:b/>
                <w:sz w:val="16"/>
              </w:rPr>
            </w:pPr>
            <w:r>
              <w:rPr>
                <w:b/>
                <w:spacing w:val="-2"/>
                <w:sz w:val="16"/>
              </w:rPr>
              <w:t>Total</w:t>
            </w:r>
          </w:p>
        </w:tc>
        <w:tc>
          <w:tcPr>
            <w:tcW w:w="1345" w:type="dxa"/>
            <w:tcBorders>
              <w:top w:val="single" w:sz="8" w:space="0" w:color="000000"/>
              <w:bottom w:val="single" w:sz="8" w:space="0" w:color="000000"/>
            </w:tcBorders>
          </w:tcPr>
          <w:p>
            <w:pPr>
              <w:pStyle w:val="TableParagraph"/>
              <w:spacing w:line="178" w:lineRule="exact"/>
              <w:ind w:right="113"/>
              <w:jc w:val="right"/>
              <w:rPr>
                <w:b/>
                <w:sz w:val="16"/>
              </w:rPr>
            </w:pPr>
            <w:r>
              <w:rPr>
                <w:b/>
                <w:spacing w:val="-2"/>
                <w:sz w:val="16"/>
              </w:rPr>
              <w:t>38.014.811,44</w:t>
            </w:r>
          </w:p>
        </w:tc>
        <w:tc>
          <w:tcPr>
            <w:tcW w:w="1245" w:type="dxa"/>
            <w:tcBorders>
              <w:top w:val="single" w:sz="8" w:space="0" w:color="000000"/>
              <w:bottom w:val="single" w:sz="8" w:space="0" w:color="000000"/>
            </w:tcBorders>
          </w:tcPr>
          <w:p>
            <w:pPr>
              <w:pStyle w:val="TableParagraph"/>
              <w:spacing w:line="178" w:lineRule="exact"/>
              <w:ind w:right="182"/>
              <w:jc w:val="right"/>
              <w:rPr>
                <w:b/>
                <w:sz w:val="16"/>
              </w:rPr>
            </w:pPr>
            <w:r>
              <w:rPr>
                <w:b/>
                <w:spacing w:val="-2"/>
                <w:sz w:val="16"/>
              </w:rPr>
              <w:t>1.827.962,52</w:t>
            </w:r>
          </w:p>
        </w:tc>
        <w:tc>
          <w:tcPr>
            <w:tcW w:w="3294" w:type="dxa"/>
            <w:gridSpan w:val="3"/>
            <w:tcBorders>
              <w:top w:val="single" w:sz="8" w:space="0" w:color="000000"/>
              <w:bottom w:val="single" w:sz="8" w:space="0" w:color="000000"/>
              <w:right w:val="single" w:sz="4" w:space="0" w:color="000000"/>
            </w:tcBorders>
          </w:tcPr>
          <w:p>
            <w:pPr>
              <w:pStyle w:val="TableParagraph"/>
              <w:spacing w:line="178" w:lineRule="exact"/>
              <w:ind w:right="61"/>
              <w:jc w:val="right"/>
              <w:rPr>
                <w:b/>
                <w:sz w:val="16"/>
              </w:rPr>
            </w:pPr>
            <w:r>
              <w:rPr>
                <w:b/>
                <w:spacing w:val="-2"/>
                <w:sz w:val="16"/>
              </w:rPr>
              <w:t>39.842.773,96</w:t>
            </w:r>
          </w:p>
        </w:tc>
      </w:tr>
      <w:tr>
        <w:trPr>
          <w:trHeight w:val="271" w:hRule="atLeast"/>
        </w:trPr>
        <w:tc>
          <w:tcPr>
            <w:tcW w:w="2765" w:type="dxa"/>
            <w:tcBorders>
              <w:left w:val="single" w:sz="4" w:space="0" w:color="000000"/>
            </w:tcBorders>
          </w:tcPr>
          <w:p>
            <w:pPr>
              <w:pStyle w:val="TableParagraph"/>
              <w:spacing w:before="56"/>
              <w:ind w:left="69"/>
              <w:rPr>
                <w:b/>
                <w:i/>
                <w:sz w:val="16"/>
              </w:rPr>
            </w:pPr>
            <w:r>
              <w:rPr>
                <w:b/>
                <w:i/>
                <w:sz w:val="16"/>
                <w:u w:val="single"/>
              </w:rPr>
              <w:t>Amortización</w:t>
            </w:r>
            <w:r>
              <w:rPr>
                <w:b/>
                <w:i/>
                <w:spacing w:val="-9"/>
                <w:sz w:val="16"/>
                <w:u w:val="single"/>
              </w:rPr>
              <w:t> </w:t>
            </w:r>
            <w:r>
              <w:rPr>
                <w:b/>
                <w:i/>
                <w:spacing w:val="-2"/>
                <w:sz w:val="16"/>
                <w:u w:val="single"/>
              </w:rPr>
              <w:t>Acumulada</w:t>
            </w:r>
          </w:p>
        </w:tc>
        <w:tc>
          <w:tcPr>
            <w:tcW w:w="1345" w:type="dxa"/>
            <w:tcBorders>
              <w:top w:val="single" w:sz="8" w:space="0" w:color="000000"/>
            </w:tcBorders>
          </w:tcPr>
          <w:p>
            <w:pPr>
              <w:pStyle w:val="TableParagraph"/>
              <w:rPr>
                <w:rFonts w:ascii="Times New Roman"/>
                <w:sz w:val="16"/>
              </w:rPr>
            </w:pPr>
          </w:p>
        </w:tc>
        <w:tc>
          <w:tcPr>
            <w:tcW w:w="1245" w:type="dxa"/>
            <w:tcBorders>
              <w:top w:val="single" w:sz="8" w:space="0" w:color="000000"/>
            </w:tcBorders>
          </w:tcPr>
          <w:p>
            <w:pPr>
              <w:pStyle w:val="TableParagraph"/>
              <w:rPr>
                <w:rFonts w:ascii="Times New Roman"/>
                <w:sz w:val="16"/>
              </w:rPr>
            </w:pPr>
          </w:p>
        </w:tc>
        <w:tc>
          <w:tcPr>
            <w:tcW w:w="3294" w:type="dxa"/>
            <w:gridSpan w:val="3"/>
            <w:tcBorders>
              <w:top w:val="single" w:sz="8" w:space="0" w:color="000000"/>
              <w:right w:val="single" w:sz="4" w:space="0" w:color="000000"/>
            </w:tcBorders>
          </w:tcPr>
          <w:p>
            <w:pPr>
              <w:pStyle w:val="TableParagraph"/>
              <w:rPr>
                <w:rFonts w:ascii="Times New Roman"/>
                <w:sz w:val="16"/>
              </w:rPr>
            </w:pPr>
          </w:p>
        </w:tc>
      </w:tr>
      <w:tr>
        <w:trPr>
          <w:trHeight w:val="300" w:hRule="atLeast"/>
        </w:trPr>
        <w:tc>
          <w:tcPr>
            <w:tcW w:w="2765" w:type="dxa"/>
            <w:tcBorders>
              <w:left w:val="single" w:sz="4" w:space="0" w:color="000000"/>
            </w:tcBorders>
          </w:tcPr>
          <w:p>
            <w:pPr>
              <w:pStyle w:val="TableParagraph"/>
              <w:spacing w:before="84"/>
              <w:ind w:left="69"/>
              <w:rPr>
                <w:sz w:val="16"/>
              </w:rPr>
            </w:pPr>
            <w:r>
              <w:rPr>
                <w:spacing w:val="-2"/>
                <w:sz w:val="16"/>
              </w:rPr>
              <w:t>Desarrollo</w:t>
            </w:r>
          </w:p>
        </w:tc>
        <w:tc>
          <w:tcPr>
            <w:tcW w:w="1345" w:type="dxa"/>
          </w:tcPr>
          <w:p>
            <w:pPr>
              <w:pStyle w:val="TableParagraph"/>
              <w:spacing w:before="27"/>
              <w:ind w:right="115"/>
              <w:jc w:val="right"/>
              <w:rPr>
                <w:sz w:val="16"/>
              </w:rPr>
            </w:pPr>
            <w:r>
              <w:rPr>
                <w:spacing w:val="-4"/>
                <w:sz w:val="16"/>
              </w:rPr>
              <w:t>0,00</w:t>
            </w:r>
          </w:p>
        </w:tc>
        <w:tc>
          <w:tcPr>
            <w:tcW w:w="1245" w:type="dxa"/>
          </w:tcPr>
          <w:p>
            <w:pPr>
              <w:pStyle w:val="TableParagraph"/>
              <w:rPr>
                <w:rFonts w:ascii="Times New Roman"/>
                <w:sz w:val="16"/>
              </w:rPr>
            </w:pPr>
          </w:p>
        </w:tc>
        <w:tc>
          <w:tcPr>
            <w:tcW w:w="3294" w:type="dxa"/>
            <w:gridSpan w:val="3"/>
            <w:tcBorders>
              <w:right w:val="single" w:sz="4" w:space="0" w:color="000000"/>
            </w:tcBorders>
          </w:tcPr>
          <w:p>
            <w:pPr>
              <w:pStyle w:val="TableParagraph"/>
              <w:spacing w:before="27"/>
              <w:ind w:right="63"/>
              <w:jc w:val="right"/>
              <w:rPr>
                <w:sz w:val="16"/>
              </w:rPr>
            </w:pPr>
            <w:r>
              <w:rPr>
                <w:spacing w:val="-4"/>
                <w:sz w:val="16"/>
              </w:rPr>
              <w:t>0,00</w:t>
            </w:r>
          </w:p>
        </w:tc>
      </w:tr>
      <w:tr>
        <w:trPr>
          <w:trHeight w:val="310" w:hRule="atLeast"/>
        </w:trPr>
        <w:tc>
          <w:tcPr>
            <w:tcW w:w="2765" w:type="dxa"/>
            <w:tcBorders>
              <w:left w:val="single" w:sz="4" w:space="0" w:color="000000"/>
            </w:tcBorders>
          </w:tcPr>
          <w:p>
            <w:pPr>
              <w:pStyle w:val="TableParagraph"/>
              <w:spacing w:before="91"/>
              <w:ind w:left="69"/>
              <w:rPr>
                <w:sz w:val="16"/>
              </w:rPr>
            </w:pPr>
            <w:r>
              <w:rPr>
                <w:spacing w:val="-2"/>
                <w:sz w:val="16"/>
              </w:rPr>
              <w:t>Concesiones</w:t>
            </w:r>
          </w:p>
        </w:tc>
        <w:tc>
          <w:tcPr>
            <w:tcW w:w="1345" w:type="dxa"/>
          </w:tcPr>
          <w:p>
            <w:pPr>
              <w:pStyle w:val="TableParagraph"/>
              <w:spacing w:before="27"/>
              <w:ind w:right="116"/>
              <w:jc w:val="right"/>
              <w:rPr>
                <w:sz w:val="16"/>
              </w:rPr>
            </w:pPr>
            <w:r>
              <w:rPr>
                <w:spacing w:val="-2"/>
                <w:sz w:val="16"/>
              </w:rPr>
              <w:t>(2.518.298,06)</w:t>
            </w:r>
          </w:p>
        </w:tc>
        <w:tc>
          <w:tcPr>
            <w:tcW w:w="1245" w:type="dxa"/>
          </w:tcPr>
          <w:p>
            <w:pPr>
              <w:pStyle w:val="TableParagraph"/>
              <w:spacing w:before="27"/>
              <w:ind w:right="185"/>
              <w:jc w:val="right"/>
              <w:rPr>
                <w:sz w:val="16"/>
              </w:rPr>
            </w:pPr>
            <w:r>
              <w:rPr>
                <w:spacing w:val="-2"/>
                <w:sz w:val="16"/>
              </w:rPr>
              <w:t>(120.396,72)</w:t>
            </w:r>
          </w:p>
        </w:tc>
        <w:tc>
          <w:tcPr>
            <w:tcW w:w="3294" w:type="dxa"/>
            <w:gridSpan w:val="3"/>
            <w:tcBorders>
              <w:right w:val="single" w:sz="4" w:space="0" w:color="000000"/>
            </w:tcBorders>
          </w:tcPr>
          <w:p>
            <w:pPr>
              <w:pStyle w:val="TableParagraph"/>
              <w:spacing w:before="27"/>
              <w:ind w:left="2181"/>
              <w:rPr>
                <w:sz w:val="16"/>
              </w:rPr>
            </w:pPr>
            <w:r>
              <w:rPr>
                <w:spacing w:val="-2"/>
                <w:sz w:val="16"/>
              </w:rPr>
              <w:t>(2.638.694,78)</w:t>
            </w:r>
          </w:p>
        </w:tc>
      </w:tr>
      <w:tr>
        <w:trPr>
          <w:trHeight w:val="348" w:hRule="atLeast"/>
        </w:trPr>
        <w:tc>
          <w:tcPr>
            <w:tcW w:w="2765" w:type="dxa"/>
            <w:tcBorders>
              <w:left w:val="single" w:sz="4" w:space="0" w:color="000000"/>
            </w:tcBorders>
          </w:tcPr>
          <w:p>
            <w:pPr>
              <w:pStyle w:val="TableParagraph"/>
              <w:spacing w:before="95"/>
              <w:ind w:left="69"/>
              <w:rPr>
                <w:sz w:val="16"/>
              </w:rPr>
            </w:pPr>
            <w:r>
              <w:rPr>
                <w:sz w:val="16"/>
              </w:rPr>
              <w:t>Aplicaciones</w:t>
            </w:r>
            <w:r>
              <w:rPr>
                <w:spacing w:val="-9"/>
                <w:sz w:val="16"/>
              </w:rPr>
              <w:t> </w:t>
            </w:r>
            <w:r>
              <w:rPr>
                <w:spacing w:val="-2"/>
                <w:sz w:val="16"/>
              </w:rPr>
              <w:t>informáticas</w:t>
            </w:r>
          </w:p>
        </w:tc>
        <w:tc>
          <w:tcPr>
            <w:tcW w:w="1345" w:type="dxa"/>
            <w:tcBorders>
              <w:bottom w:val="single" w:sz="8" w:space="0" w:color="000000"/>
            </w:tcBorders>
          </w:tcPr>
          <w:p>
            <w:pPr>
              <w:pStyle w:val="TableParagraph"/>
              <w:spacing w:before="30"/>
              <w:ind w:right="116"/>
              <w:jc w:val="right"/>
              <w:rPr>
                <w:sz w:val="16"/>
              </w:rPr>
            </w:pPr>
            <w:r>
              <w:rPr>
                <w:spacing w:val="-2"/>
                <w:sz w:val="16"/>
              </w:rPr>
              <w:t>(2.001.782,87)</w:t>
            </w:r>
          </w:p>
        </w:tc>
        <w:tc>
          <w:tcPr>
            <w:tcW w:w="1245" w:type="dxa"/>
            <w:tcBorders>
              <w:bottom w:val="single" w:sz="8" w:space="0" w:color="000000"/>
            </w:tcBorders>
          </w:tcPr>
          <w:p>
            <w:pPr>
              <w:pStyle w:val="TableParagraph"/>
              <w:spacing w:before="30"/>
              <w:ind w:right="185"/>
              <w:jc w:val="right"/>
              <w:rPr>
                <w:sz w:val="16"/>
              </w:rPr>
            </w:pPr>
            <w:r>
              <w:rPr>
                <w:spacing w:val="-2"/>
                <w:sz w:val="16"/>
              </w:rPr>
              <w:t>(180.916,99)</w:t>
            </w:r>
          </w:p>
        </w:tc>
        <w:tc>
          <w:tcPr>
            <w:tcW w:w="3294" w:type="dxa"/>
            <w:gridSpan w:val="3"/>
            <w:tcBorders>
              <w:bottom w:val="single" w:sz="8" w:space="0" w:color="000000"/>
              <w:right w:val="single" w:sz="4" w:space="0" w:color="000000"/>
            </w:tcBorders>
          </w:tcPr>
          <w:p>
            <w:pPr>
              <w:pStyle w:val="TableParagraph"/>
              <w:spacing w:before="30"/>
              <w:ind w:left="2181"/>
              <w:rPr>
                <w:sz w:val="16"/>
              </w:rPr>
            </w:pPr>
            <w:r>
              <w:rPr>
                <w:spacing w:val="-2"/>
                <w:sz w:val="16"/>
              </w:rPr>
              <w:t>(2.182.699,86)</w:t>
            </w:r>
          </w:p>
        </w:tc>
      </w:tr>
      <w:tr>
        <w:trPr>
          <w:trHeight w:val="316" w:hRule="atLeast"/>
        </w:trPr>
        <w:tc>
          <w:tcPr>
            <w:tcW w:w="2765" w:type="dxa"/>
            <w:tcBorders>
              <w:left w:val="single" w:sz="4" w:space="0" w:color="000000"/>
            </w:tcBorders>
          </w:tcPr>
          <w:p>
            <w:pPr>
              <w:pStyle w:val="TableParagraph"/>
              <w:spacing w:before="60"/>
              <w:ind w:right="63"/>
              <w:jc w:val="right"/>
              <w:rPr>
                <w:b/>
                <w:sz w:val="16"/>
              </w:rPr>
            </w:pPr>
            <w:r>
              <w:rPr>
                <w:b/>
                <w:spacing w:val="-2"/>
                <w:sz w:val="16"/>
              </w:rPr>
              <w:t>Total</w:t>
            </w:r>
          </w:p>
        </w:tc>
        <w:tc>
          <w:tcPr>
            <w:tcW w:w="1345" w:type="dxa"/>
            <w:tcBorders>
              <w:top w:val="single" w:sz="8" w:space="0" w:color="000000"/>
              <w:bottom w:val="single" w:sz="8" w:space="0" w:color="000000"/>
            </w:tcBorders>
          </w:tcPr>
          <w:p>
            <w:pPr>
              <w:pStyle w:val="TableParagraph"/>
              <w:spacing w:line="180" w:lineRule="exact"/>
              <w:ind w:right="116"/>
              <w:jc w:val="right"/>
              <w:rPr>
                <w:b/>
                <w:sz w:val="16"/>
              </w:rPr>
            </w:pPr>
            <w:r>
              <w:rPr>
                <w:b/>
                <w:spacing w:val="-2"/>
                <w:sz w:val="16"/>
              </w:rPr>
              <w:t>(4.520.080,93)</w:t>
            </w:r>
          </w:p>
        </w:tc>
        <w:tc>
          <w:tcPr>
            <w:tcW w:w="1245" w:type="dxa"/>
            <w:tcBorders>
              <w:top w:val="single" w:sz="8" w:space="0" w:color="000000"/>
              <w:bottom w:val="single" w:sz="8" w:space="0" w:color="000000"/>
            </w:tcBorders>
          </w:tcPr>
          <w:p>
            <w:pPr>
              <w:pStyle w:val="TableParagraph"/>
              <w:spacing w:line="180" w:lineRule="exact"/>
              <w:ind w:right="185"/>
              <w:jc w:val="right"/>
              <w:rPr>
                <w:b/>
                <w:sz w:val="16"/>
              </w:rPr>
            </w:pPr>
            <w:r>
              <w:rPr>
                <w:b/>
                <w:spacing w:val="-2"/>
                <w:sz w:val="16"/>
              </w:rPr>
              <w:t>(301.313,71)</w:t>
            </w:r>
          </w:p>
        </w:tc>
        <w:tc>
          <w:tcPr>
            <w:tcW w:w="3294" w:type="dxa"/>
            <w:gridSpan w:val="3"/>
            <w:tcBorders>
              <w:top w:val="single" w:sz="8" w:space="0" w:color="000000"/>
              <w:bottom w:val="single" w:sz="8" w:space="0" w:color="000000"/>
              <w:right w:val="single" w:sz="4" w:space="0" w:color="000000"/>
            </w:tcBorders>
          </w:tcPr>
          <w:p>
            <w:pPr>
              <w:pStyle w:val="TableParagraph"/>
              <w:spacing w:line="180" w:lineRule="exact"/>
              <w:ind w:left="2180"/>
              <w:rPr>
                <w:b/>
                <w:sz w:val="16"/>
              </w:rPr>
            </w:pPr>
            <w:r>
              <w:rPr>
                <w:b/>
                <w:spacing w:val="-2"/>
                <w:sz w:val="16"/>
              </w:rPr>
              <w:t>(4.821.394,64)</w:t>
            </w:r>
          </w:p>
        </w:tc>
      </w:tr>
      <w:tr>
        <w:trPr>
          <w:trHeight w:val="299" w:hRule="atLeast"/>
        </w:trPr>
        <w:tc>
          <w:tcPr>
            <w:tcW w:w="2765" w:type="dxa"/>
            <w:tcBorders>
              <w:left w:val="single" w:sz="4" w:space="0" w:color="000000"/>
              <w:bottom w:val="single" w:sz="4" w:space="0" w:color="000000"/>
            </w:tcBorders>
          </w:tcPr>
          <w:p>
            <w:pPr>
              <w:pStyle w:val="TableParagraph"/>
              <w:spacing w:before="51"/>
              <w:ind w:right="61"/>
              <w:jc w:val="right"/>
              <w:rPr>
                <w:b/>
                <w:sz w:val="16"/>
              </w:rPr>
            </w:pPr>
            <w:r>
              <w:rPr>
                <w:b/>
                <w:spacing w:val="-5"/>
                <w:sz w:val="16"/>
              </w:rPr>
              <w:t>VNC</w:t>
            </w:r>
          </w:p>
        </w:tc>
        <w:tc>
          <w:tcPr>
            <w:tcW w:w="1345" w:type="dxa"/>
            <w:tcBorders>
              <w:top w:val="single" w:sz="8" w:space="0" w:color="000000"/>
              <w:bottom w:val="single" w:sz="4" w:space="0" w:color="000000"/>
            </w:tcBorders>
          </w:tcPr>
          <w:p>
            <w:pPr>
              <w:pStyle w:val="TableParagraph"/>
              <w:spacing w:line="178" w:lineRule="exact"/>
              <w:ind w:right="113"/>
              <w:jc w:val="right"/>
              <w:rPr>
                <w:b/>
                <w:sz w:val="16"/>
              </w:rPr>
            </w:pPr>
            <w:r>
              <w:rPr>
                <w:b/>
                <w:spacing w:val="-2"/>
                <w:sz w:val="16"/>
              </w:rPr>
              <w:t>33.494.730,51</w:t>
            </w:r>
          </w:p>
        </w:tc>
        <w:tc>
          <w:tcPr>
            <w:tcW w:w="1245" w:type="dxa"/>
            <w:tcBorders>
              <w:top w:val="single" w:sz="8" w:space="0" w:color="000000"/>
              <w:bottom w:val="single" w:sz="4" w:space="0" w:color="000000"/>
            </w:tcBorders>
          </w:tcPr>
          <w:p>
            <w:pPr>
              <w:pStyle w:val="TableParagraph"/>
              <w:rPr>
                <w:rFonts w:ascii="Times New Roman"/>
                <w:sz w:val="16"/>
              </w:rPr>
            </w:pPr>
          </w:p>
        </w:tc>
        <w:tc>
          <w:tcPr>
            <w:tcW w:w="3294" w:type="dxa"/>
            <w:gridSpan w:val="3"/>
            <w:tcBorders>
              <w:top w:val="single" w:sz="8" w:space="0" w:color="000000"/>
              <w:bottom w:val="single" w:sz="4" w:space="0" w:color="000000"/>
              <w:right w:val="single" w:sz="4" w:space="0" w:color="000000"/>
            </w:tcBorders>
          </w:tcPr>
          <w:p>
            <w:pPr>
              <w:pStyle w:val="TableParagraph"/>
              <w:spacing w:line="178" w:lineRule="exact"/>
              <w:ind w:right="61"/>
              <w:jc w:val="right"/>
              <w:rPr>
                <w:b/>
                <w:sz w:val="16"/>
              </w:rPr>
            </w:pPr>
            <w:r>
              <w:rPr>
                <w:b/>
                <w:spacing w:val="-2"/>
                <w:sz w:val="16"/>
              </w:rPr>
              <w:t>35.021.379,32</w:t>
            </w:r>
          </w:p>
        </w:tc>
      </w:tr>
    </w:tbl>
    <w:p>
      <w:pPr>
        <w:pStyle w:val="BodyText"/>
      </w:pPr>
    </w:p>
    <w:p>
      <w:pPr>
        <w:pStyle w:val="BodyText"/>
        <w:spacing w:before="1"/>
      </w:pPr>
    </w:p>
    <w:p>
      <w:pPr>
        <w:pStyle w:val="ListParagraph"/>
        <w:numPr>
          <w:ilvl w:val="1"/>
          <w:numId w:val="4"/>
        </w:numPr>
        <w:tabs>
          <w:tab w:pos="2246" w:val="left" w:leader="none"/>
          <w:tab w:pos="2248" w:val="left" w:leader="none"/>
        </w:tabs>
        <w:spacing w:line="240" w:lineRule="auto" w:before="0" w:after="0"/>
        <w:ind w:left="2248" w:right="1336" w:hanging="432"/>
        <w:jc w:val="both"/>
        <w:rPr>
          <w:rFonts w:ascii="Tahoma" w:hAnsi="Tahoma"/>
          <w:sz w:val="18"/>
        </w:rPr>
      </w:pPr>
      <w:r>
        <w:rPr>
          <w:rFonts w:ascii="Tahoma" w:hAnsi="Tahoma"/>
          <w:sz w:val="18"/>
        </w:rPr>
        <mc:AlternateContent>
          <mc:Choice Requires="wps">
            <w:drawing>
              <wp:anchor distT="0" distB="0" distL="0" distR="0" allowOverlap="1" layoutInCell="1" locked="0" behindDoc="0" simplePos="0" relativeHeight="15755776">
                <wp:simplePos x="0" y="0"/>
                <wp:positionH relativeFrom="page">
                  <wp:posOffset>6966436</wp:posOffset>
                </wp:positionH>
                <wp:positionV relativeFrom="paragraph">
                  <wp:posOffset>-1549338</wp:posOffset>
                </wp:positionV>
                <wp:extent cx="263525" cy="327596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21.995186pt;width:20.75pt;height:257.95pt;mso-position-horizontal-relative:page;mso-position-vertical-relative:paragraph;z-index:15755776" type="#_x0000_t202" id="docshape10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36</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Con fecha 7 de</w:t>
      </w:r>
      <w:r>
        <w:rPr>
          <w:spacing w:val="-1"/>
          <w:sz w:val="20"/>
        </w:rPr>
        <w:t> </w:t>
      </w:r>
      <w:r>
        <w:rPr>
          <w:sz w:val="20"/>
        </w:rPr>
        <w:t>marzo de 2019</w:t>
      </w:r>
      <w:r>
        <w:rPr>
          <w:spacing w:val="-1"/>
          <w:sz w:val="20"/>
        </w:rPr>
        <w:t> </w:t>
      </w:r>
      <w:r>
        <w:rPr>
          <w:sz w:val="20"/>
        </w:rPr>
        <w:t>se le</w:t>
      </w:r>
      <w:r>
        <w:rPr>
          <w:spacing w:val="-1"/>
          <w:sz w:val="20"/>
        </w:rPr>
        <w:t> </w:t>
      </w:r>
      <w:r>
        <w:rPr>
          <w:sz w:val="20"/>
        </w:rPr>
        <w:t>concedió a la Sociedad</w:t>
      </w:r>
      <w:r>
        <w:rPr>
          <w:spacing w:val="-1"/>
          <w:sz w:val="20"/>
        </w:rPr>
        <w:t> </w:t>
      </w:r>
      <w:r>
        <w:rPr>
          <w:sz w:val="20"/>
        </w:rPr>
        <w:t>la</w:t>
      </w:r>
      <w:r>
        <w:rPr>
          <w:spacing w:val="-1"/>
          <w:sz w:val="20"/>
        </w:rPr>
        <w:t> </w:t>
      </w:r>
      <w:r>
        <w:rPr>
          <w:sz w:val="20"/>
        </w:rPr>
        <w:t>concesión</w:t>
      </w:r>
      <w:r>
        <w:rPr>
          <w:spacing w:val="-1"/>
          <w:sz w:val="20"/>
        </w:rPr>
        <w:t> </w:t>
      </w:r>
      <w:r>
        <w:rPr>
          <w:sz w:val="20"/>
        </w:rPr>
        <w:t>de</w:t>
      </w:r>
      <w:r>
        <w:rPr>
          <w:spacing w:val="-1"/>
          <w:sz w:val="20"/>
        </w:rPr>
        <w:t> </w:t>
      </w:r>
      <w:r>
        <w:rPr>
          <w:sz w:val="20"/>
        </w:rPr>
        <w:t>dominio público por un plazo de 75 años en relación con la superficie precisa para la</w:t>
      </w:r>
      <w:r>
        <w:rPr>
          <w:spacing w:val="40"/>
          <w:sz w:val="20"/>
        </w:rPr>
        <w:t> </w:t>
      </w:r>
      <w:r>
        <w:rPr>
          <w:sz w:val="20"/>
        </w:rPr>
        <w:t>ejecución e implantación del proyecto de construcción de un sistema de autobús de tránsito rápido integrado tipo Bus Rapid Transit “BRT-Metroguagua” en las calles Pío XII, Paseo Blas Cabrera Felipe “Físico” y Avenida José Mesa y López. Con fecha 26 de febrero de 2021 se le concedió</w:t>
      </w:r>
      <w:r>
        <w:rPr>
          <w:spacing w:val="40"/>
          <w:sz w:val="20"/>
        </w:rPr>
        <w:t> </w:t>
      </w:r>
      <w:r>
        <w:rPr>
          <w:sz w:val="20"/>
        </w:rPr>
        <w:t>a la Sociedad otra concesión de dominio público por un plazo de 75 años, en este caso para el tramo correspondiente</w:t>
      </w:r>
      <w:r>
        <w:rPr>
          <w:spacing w:val="80"/>
          <w:sz w:val="20"/>
        </w:rPr>
        <w:t> </w:t>
      </w:r>
      <w:r>
        <w:rPr>
          <w:sz w:val="20"/>
        </w:rPr>
        <w:t>al Parque Santa Catalina tanto en subsuelo como en superficie. En el ejercicio</w:t>
      </w:r>
      <w:r>
        <w:rPr>
          <w:spacing w:val="-1"/>
          <w:sz w:val="20"/>
        </w:rPr>
        <w:t> </w:t>
      </w:r>
      <w:r>
        <w:rPr>
          <w:sz w:val="20"/>
        </w:rPr>
        <w:t>2024 se</w:t>
      </w:r>
      <w:r>
        <w:rPr>
          <w:spacing w:val="-1"/>
          <w:sz w:val="20"/>
        </w:rPr>
        <w:t> </w:t>
      </w:r>
      <w:r>
        <w:rPr>
          <w:sz w:val="20"/>
        </w:rPr>
        <w:t>resolvió el contrato para la construcción del mencionado paso inferior al no ser posible ni ejecutar el contrato conforme al proyecto inicial ni llevar a cabo una modificación de contrato. Dicha obra volverá a ser licitada por</w:t>
      </w:r>
      <w:r>
        <w:rPr>
          <w:spacing w:val="17"/>
          <w:sz w:val="20"/>
        </w:rPr>
        <w:t> </w:t>
      </w:r>
      <w:r>
        <w:rPr>
          <w:sz w:val="20"/>
        </w:rPr>
        <w:t>el ayuntamiento, que ha decretado el</w:t>
      </w:r>
    </w:p>
    <w:p>
      <w:pPr>
        <w:pStyle w:val="ListParagraph"/>
        <w:spacing w:after="0" w:line="240" w:lineRule="auto"/>
        <w:jc w:val="both"/>
        <w:rPr>
          <w:rFonts w:ascii="Tahoma" w:hAnsi="Tahoma"/>
          <w:sz w:val="18"/>
        </w:rPr>
        <w:sectPr>
          <w:pgSz w:w="11910" w:h="16840"/>
          <w:pgMar w:header="286" w:footer="1060" w:top="1920" w:bottom="1260" w:left="360" w:right="360"/>
        </w:sectPr>
      </w:pPr>
    </w:p>
    <w:p>
      <w:pPr>
        <w:pStyle w:val="BodyText"/>
        <w:spacing w:before="201"/>
      </w:pPr>
    </w:p>
    <w:p>
      <w:pPr>
        <w:pStyle w:val="BodyText"/>
        <w:ind w:left="2248" w:right="1336"/>
        <w:jc w:val="both"/>
      </w:pPr>
      <w:r>
        <w:rPr/>
        <w:t>24 de febrero de 2025 la extinción de la concesión otorgada en 2021 a la vez que efectúa una reserva de dominio para adscribir las obras que se ejecuten a Guaguas Municipales. El</w:t>
      </w:r>
      <w:r>
        <w:rPr>
          <w:spacing w:val="-2"/>
        </w:rPr>
        <w:t> </w:t>
      </w:r>
      <w:r>
        <w:rPr/>
        <w:t>proyecto</w:t>
      </w:r>
      <w:r>
        <w:rPr>
          <w:spacing w:val="-4"/>
        </w:rPr>
        <w:t> </w:t>
      </w:r>
      <w:r>
        <w:rPr/>
        <w:t>se pondrá</w:t>
      </w:r>
      <w:r>
        <w:rPr>
          <w:spacing w:val="-2"/>
        </w:rPr>
        <w:t> </w:t>
      </w:r>
      <w:r>
        <w:rPr/>
        <w:t>en</w:t>
      </w:r>
      <w:r>
        <w:rPr>
          <w:spacing w:val="-2"/>
        </w:rPr>
        <w:t> </w:t>
      </w:r>
      <w:r>
        <w:rPr/>
        <w:t>marcha</w:t>
      </w:r>
      <w:r>
        <w:rPr>
          <w:spacing w:val="-2"/>
        </w:rPr>
        <w:t> </w:t>
      </w:r>
      <w:r>
        <w:rPr/>
        <w:t>cuando se</w:t>
      </w:r>
      <w:r>
        <w:rPr>
          <w:spacing w:val="-2"/>
        </w:rPr>
        <w:t> </w:t>
      </w:r>
      <w:r>
        <w:rPr/>
        <w:t>ejecuten los tramos críticos como el Paso Inferior de Santa Catalina, la estación de Hoya de La Plata y el tramo de la Avenida Marítima dependientes de diversas administraciones. En el pleno del Excmo. Ayuntamiento de Las Palmas de Gran Canaria de 8 de febrero de 2017 se aprobó la firma de un crédito con el Banco Europeo de Inversiones (BEI) para la financiación del proyecto (ver nota 9.a.2). Las inversiones realizadas hasta el cierre del ejercicio ascienden a 31.829.964,93 euros (incluidos en el epígrafe Otro inmovilizado intangible) y se corresponden con costes de estudio del proyecto y en mayor medida con costes de obras de acondicionamiento de espacio público contempladas en el proyecto y necesarias para su correcta puesta en marcha. A dicha concesión le es de aplicación lo establecido en la “OM EHA/3362/2010 de 23 de diciembre, por la que se aprueban las normas de adaptación del Plan General de Contabilidad a las empresas concesionarias de infraestructuras públicas”. La Sociedad aplica el modelo activo intangible ya que la contraprestación de la concesión</w:t>
      </w:r>
      <w:r>
        <w:rPr>
          <w:spacing w:val="-3"/>
        </w:rPr>
        <w:t> </w:t>
      </w:r>
      <w:r>
        <w:rPr/>
        <w:t>es</w:t>
      </w:r>
      <w:r>
        <w:rPr>
          <w:spacing w:val="-3"/>
        </w:rPr>
        <w:t> </w:t>
      </w:r>
      <w:r>
        <w:rPr/>
        <w:t>el</w:t>
      </w:r>
      <w:r>
        <w:rPr>
          <w:spacing w:val="-4"/>
        </w:rPr>
        <w:t> </w:t>
      </w:r>
      <w:r>
        <w:rPr/>
        <w:t>derecho</w:t>
      </w:r>
      <w:r>
        <w:rPr>
          <w:spacing w:val="-1"/>
        </w:rPr>
        <w:t> </w:t>
      </w:r>
      <w:r>
        <w:rPr/>
        <w:t>a</w:t>
      </w:r>
      <w:r>
        <w:rPr>
          <w:spacing w:val="-1"/>
        </w:rPr>
        <w:t> </w:t>
      </w:r>
      <w:r>
        <w:rPr/>
        <w:t>cobrar</w:t>
      </w:r>
      <w:r>
        <w:rPr>
          <w:spacing w:val="-2"/>
        </w:rPr>
        <w:t> </w:t>
      </w:r>
      <w:r>
        <w:rPr/>
        <w:t>las</w:t>
      </w:r>
      <w:r>
        <w:rPr>
          <w:spacing w:val="-4"/>
        </w:rPr>
        <w:t> </w:t>
      </w:r>
      <w:r>
        <w:rPr/>
        <w:t>correspondientes</w:t>
      </w:r>
      <w:r>
        <w:rPr>
          <w:spacing w:val="-3"/>
        </w:rPr>
        <w:t> </w:t>
      </w:r>
      <w:r>
        <w:rPr/>
        <w:t>tarifas</w:t>
      </w:r>
      <w:r>
        <w:rPr>
          <w:spacing w:val="-3"/>
        </w:rPr>
        <w:t> </w:t>
      </w:r>
      <w:r>
        <w:rPr/>
        <w:t>en</w:t>
      </w:r>
      <w:r>
        <w:rPr>
          <w:spacing w:val="-4"/>
        </w:rPr>
        <w:t> </w:t>
      </w:r>
      <w:r>
        <w:rPr/>
        <w:t>función</w:t>
      </w:r>
      <w:r>
        <w:rPr>
          <w:spacing w:val="-4"/>
        </w:rPr>
        <w:t> </w:t>
      </w:r>
      <w:r>
        <w:rPr/>
        <w:t>del</w:t>
      </w:r>
      <w:r>
        <w:rPr>
          <w:spacing w:val="-2"/>
        </w:rPr>
        <w:t> </w:t>
      </w:r>
      <w:r>
        <w:rPr/>
        <w:t>grado</w:t>
      </w:r>
      <w:r>
        <w:rPr>
          <w:spacing w:val="-4"/>
        </w:rPr>
        <w:t> </w:t>
      </w:r>
      <w:r>
        <w:rPr/>
        <w:t>de utilización del servicio público. Por todo lo anterior la sociedad recoge tanto en el ejercicio 2024 como en el 2025 el activo intangible correspondiente. Se ha procedido además a la activación de los gastos financieros correspondientes a la financiación específica del BEI. El importe de los gastos financieros activados corresponde a los ejercicios 2024 y 2025, 1.624.044,80 y 1.606.855,79 euros respectivamente.</w:t>
      </w:r>
    </w:p>
    <w:p>
      <w:pPr>
        <w:pStyle w:val="BodyText"/>
      </w:pPr>
    </w:p>
    <w:p>
      <w:pPr>
        <w:pStyle w:val="BodyText"/>
        <w:ind w:left="2248" w:right="1338"/>
        <w:jc w:val="both"/>
      </w:pPr>
      <w:r>
        <w:rPr/>
        <w:t>Asimismo, se han obtenido subvenciones de capital de la Autoridad Única del Transporte de Gran Canaria para este proyecto por importe total 5.313.846,74 euros siendo 1.300.000 euros (2017), 2.000.000 euros (2018) y</w:t>
      </w:r>
      <w:r>
        <w:rPr>
          <w:spacing w:val="-3"/>
        </w:rPr>
        <w:t> </w:t>
      </w:r>
      <w:r>
        <w:rPr/>
        <w:t>2.013.846,74 euros (2019).</w:t>
      </w:r>
    </w:p>
    <w:p>
      <w:pPr>
        <w:pStyle w:val="BodyText"/>
      </w:pPr>
    </w:p>
    <w:p>
      <w:pPr>
        <w:pStyle w:val="BodyText"/>
      </w:pPr>
    </w:p>
    <w:p>
      <w:pPr>
        <w:pStyle w:val="ListParagraph"/>
        <w:numPr>
          <w:ilvl w:val="1"/>
          <w:numId w:val="4"/>
        </w:numPr>
        <w:tabs>
          <w:tab w:pos="2246" w:val="left" w:leader="none"/>
          <w:tab w:pos="2248" w:val="left" w:leader="none"/>
        </w:tabs>
        <w:spacing w:line="240" w:lineRule="auto" w:before="0" w:after="0"/>
        <w:ind w:left="2248" w:right="1341" w:hanging="454"/>
        <w:jc w:val="left"/>
        <w:rPr>
          <w:rFonts w:ascii="Tahoma"/>
          <w:sz w:val="18"/>
        </w:rPr>
      </w:pPr>
      <w:r>
        <w:rPr>
          <w:sz w:val="20"/>
        </w:rPr>
        <w:t>Los</w:t>
      </w:r>
      <w:r>
        <w:rPr>
          <w:spacing w:val="36"/>
          <w:sz w:val="20"/>
        </w:rPr>
        <w:t> </w:t>
      </w:r>
      <w:r>
        <w:rPr>
          <w:sz w:val="20"/>
        </w:rPr>
        <w:t>valores</w:t>
      </w:r>
      <w:r>
        <w:rPr>
          <w:spacing w:val="36"/>
          <w:sz w:val="20"/>
        </w:rPr>
        <w:t> </w:t>
      </w:r>
      <w:r>
        <w:rPr>
          <w:sz w:val="20"/>
        </w:rPr>
        <w:t>de</w:t>
      </w:r>
      <w:r>
        <w:rPr>
          <w:spacing w:val="36"/>
          <w:sz w:val="20"/>
        </w:rPr>
        <w:t> </w:t>
      </w:r>
      <w:r>
        <w:rPr>
          <w:sz w:val="20"/>
        </w:rPr>
        <w:t>los</w:t>
      </w:r>
      <w:r>
        <w:rPr>
          <w:spacing w:val="36"/>
          <w:sz w:val="20"/>
        </w:rPr>
        <w:t> </w:t>
      </w:r>
      <w:r>
        <w:rPr>
          <w:sz w:val="20"/>
        </w:rPr>
        <w:t>activos</w:t>
      </w:r>
      <w:r>
        <w:rPr>
          <w:spacing w:val="36"/>
          <w:sz w:val="20"/>
        </w:rPr>
        <w:t> </w:t>
      </w:r>
      <w:r>
        <w:rPr>
          <w:sz w:val="20"/>
        </w:rPr>
        <w:t>totalmente</w:t>
      </w:r>
      <w:r>
        <w:rPr>
          <w:spacing w:val="33"/>
          <w:sz w:val="20"/>
        </w:rPr>
        <w:t> </w:t>
      </w:r>
      <w:r>
        <w:rPr>
          <w:sz w:val="20"/>
        </w:rPr>
        <w:t>amortizados</w:t>
      </w:r>
      <w:r>
        <w:rPr>
          <w:spacing w:val="38"/>
          <w:sz w:val="20"/>
        </w:rPr>
        <w:t> </w:t>
      </w:r>
      <w:r>
        <w:rPr>
          <w:sz w:val="20"/>
        </w:rPr>
        <w:t>y</w:t>
      </w:r>
      <w:r>
        <w:rPr>
          <w:spacing w:val="34"/>
          <w:sz w:val="20"/>
        </w:rPr>
        <w:t> </w:t>
      </w:r>
      <w:r>
        <w:rPr>
          <w:sz w:val="20"/>
        </w:rPr>
        <w:t>en</w:t>
      </w:r>
      <w:r>
        <w:rPr>
          <w:spacing w:val="33"/>
          <w:sz w:val="20"/>
        </w:rPr>
        <w:t> </w:t>
      </w:r>
      <w:r>
        <w:rPr>
          <w:sz w:val="20"/>
        </w:rPr>
        <w:t>uso</w:t>
      </w:r>
      <w:r>
        <w:rPr>
          <w:spacing w:val="36"/>
          <w:sz w:val="20"/>
        </w:rPr>
        <w:t> </w:t>
      </w:r>
      <w:r>
        <w:rPr>
          <w:sz w:val="20"/>
        </w:rPr>
        <w:t>en</w:t>
      </w:r>
      <w:r>
        <w:rPr>
          <w:spacing w:val="36"/>
          <w:sz w:val="20"/>
        </w:rPr>
        <w:t> </w:t>
      </w:r>
      <w:r>
        <w:rPr>
          <w:sz w:val="20"/>
        </w:rPr>
        <w:t>la</w:t>
      </w:r>
      <w:r>
        <w:rPr>
          <w:spacing w:val="35"/>
          <w:sz w:val="20"/>
        </w:rPr>
        <w:t> </w:t>
      </w:r>
      <w:r>
        <w:rPr>
          <w:sz w:val="20"/>
        </w:rPr>
        <w:t>actividad</w:t>
      </w:r>
      <w:r>
        <w:rPr>
          <w:spacing w:val="36"/>
          <w:sz w:val="20"/>
        </w:rPr>
        <w:t> </w:t>
      </w:r>
      <w:r>
        <w:rPr>
          <w:sz w:val="20"/>
        </w:rPr>
        <w:t>de</w:t>
      </w:r>
      <w:r>
        <w:rPr>
          <w:spacing w:val="33"/>
          <w:sz w:val="20"/>
        </w:rPr>
        <w:t> </w:t>
      </w:r>
      <w:r>
        <w:rPr>
          <w:sz w:val="20"/>
        </w:rPr>
        <w:t>la Sociedad al 31 de diciembre de 2025 y 2024 son los siguientes:</w:t>
      </w:r>
    </w:p>
    <w:p>
      <w:pPr>
        <w:pStyle w:val="BodyText"/>
        <w:spacing w:before="66"/>
      </w:pPr>
    </w:p>
    <w:p>
      <w:pPr>
        <w:tabs>
          <w:tab w:pos="487" w:val="left" w:leader="none"/>
          <w:tab w:pos="1907" w:val="left" w:leader="none"/>
          <w:tab w:pos="2839" w:val="left" w:leader="none"/>
        </w:tabs>
        <w:spacing w:before="0"/>
        <w:ind w:left="0" w:right="2551" w:firstLine="0"/>
        <w:jc w:val="right"/>
        <w:rPr>
          <w:b/>
          <w:sz w:val="20"/>
        </w:rPr>
      </w:pP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pStyle w:val="BodyText"/>
        <w:spacing w:before="13"/>
        <w:rPr>
          <w:b/>
        </w:rPr>
      </w:pPr>
    </w:p>
    <w:p>
      <w:pPr>
        <w:pStyle w:val="BodyText"/>
        <w:tabs>
          <w:tab w:pos="4132" w:val="left" w:leader="none"/>
          <w:tab w:pos="5553" w:val="left" w:leader="none"/>
        </w:tabs>
        <w:ind w:right="2621"/>
        <w:jc w:val="right"/>
      </w:pPr>
      <w:r>
        <w:rPr>
          <w:spacing w:val="-2"/>
        </w:rPr>
        <w:t>Desarrollo</w:t>
      </w:r>
      <w:r>
        <w:rPr/>
        <w:tab/>
      </w:r>
      <w:r>
        <w:rPr>
          <w:spacing w:val="-4"/>
        </w:rPr>
        <w:t>0,00</w:t>
      </w:r>
      <w:r>
        <w:rPr/>
        <w:tab/>
      </w:r>
      <w:r>
        <w:rPr>
          <w:spacing w:val="-4"/>
        </w:rPr>
        <w:t>0,00</w:t>
      </w:r>
    </w:p>
    <w:p>
      <w:pPr>
        <w:pStyle w:val="BodyText"/>
        <w:spacing w:before="1"/>
      </w:pPr>
    </w:p>
    <w:p>
      <w:pPr>
        <w:pStyle w:val="BodyText"/>
        <w:tabs>
          <w:tab w:pos="3170" w:val="left" w:leader="none"/>
          <w:tab w:pos="4771" w:val="left" w:leader="none"/>
        </w:tabs>
        <w:ind w:right="2622"/>
        <w:jc w:val="right"/>
      </w:pPr>
      <w:r>
        <w:rPr/>
        <mc:AlternateContent>
          <mc:Choice Requires="wps">
            <w:drawing>
              <wp:anchor distT="0" distB="0" distL="0" distR="0" allowOverlap="1" layoutInCell="1" locked="0" behindDoc="0" simplePos="0" relativeHeight="15756288">
                <wp:simplePos x="0" y="0"/>
                <wp:positionH relativeFrom="page">
                  <wp:posOffset>6966436</wp:posOffset>
                </wp:positionH>
                <wp:positionV relativeFrom="paragraph">
                  <wp:posOffset>-101625</wp:posOffset>
                </wp:positionV>
                <wp:extent cx="263525" cy="32759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8.001983pt;width:20.75pt;height:257.95pt;mso-position-horizontal-relative:page;mso-position-vertical-relative:paragraph;z-index:15756288" type="#_x0000_t202" id="docshape10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2"/>
        </w:rPr>
        <w:t>Aplicaciones</w:t>
      </w:r>
      <w:r>
        <w:rPr>
          <w:spacing w:val="8"/>
        </w:rPr>
        <w:t> </w:t>
      </w:r>
      <w:r>
        <w:rPr>
          <w:spacing w:val="-2"/>
        </w:rPr>
        <w:t>informáticas</w:t>
      </w:r>
      <w:r>
        <w:rPr/>
        <w:tab/>
      </w:r>
      <w:r>
        <w:rPr>
          <w:spacing w:val="80"/>
          <w:u w:val="single"/>
        </w:rPr>
        <w:t> </w:t>
      </w:r>
      <w:r>
        <w:rPr>
          <w:u w:val="single"/>
        </w:rPr>
        <w:t>1.759.103,19</w:t>
        <w:tab/>
      </w:r>
      <w:r>
        <w:rPr>
          <w:spacing w:val="-2"/>
          <w:u w:val="single"/>
        </w:rPr>
        <w:t>1.876.344,49</w:t>
      </w:r>
    </w:p>
    <w:p>
      <w:pPr>
        <w:pStyle w:val="BodyText"/>
        <w:spacing w:before="8"/>
      </w:pPr>
    </w:p>
    <w:p>
      <w:pPr>
        <w:pStyle w:val="Heading2"/>
        <w:tabs>
          <w:tab w:pos="2337" w:val="left" w:leader="none"/>
        </w:tabs>
        <w:ind w:right="2622"/>
        <w:jc w:val="right"/>
        <w:rPr>
          <w:u w:val="none"/>
        </w:rPr>
      </w:pPr>
      <w:r>
        <w:rPr>
          <w:u w:val="none"/>
        </w:rPr>
        <w:t>TOTAL </w:t>
      </w:r>
      <w:r>
        <w:rPr>
          <w:spacing w:val="39"/>
          <w:u w:val="single"/>
        </w:rPr>
        <w:t>  </w:t>
      </w:r>
      <w:r>
        <w:rPr>
          <w:spacing w:val="-2"/>
          <w:u w:val="single"/>
        </w:rPr>
        <w:t>1.759.103,19</w:t>
      </w:r>
      <w:r>
        <w:rPr>
          <w:u w:val="single"/>
        </w:rPr>
        <w:tab/>
      </w:r>
      <w:r>
        <w:rPr>
          <w:spacing w:val="-2"/>
          <w:u w:val="single"/>
        </w:rPr>
        <w:t>1.876.344,49</w:t>
      </w:r>
    </w:p>
    <w:p>
      <w:pPr>
        <w:pStyle w:val="BodyText"/>
        <w:spacing w:before="10"/>
        <w:rPr>
          <w:b/>
        </w:rPr>
      </w:pPr>
    </w:p>
    <w:p>
      <w:pPr>
        <w:pStyle w:val="ListParagraph"/>
        <w:numPr>
          <w:ilvl w:val="1"/>
          <w:numId w:val="4"/>
        </w:numPr>
        <w:tabs>
          <w:tab w:pos="2246" w:val="left" w:leader="none"/>
          <w:tab w:pos="2248" w:val="left" w:leader="none"/>
        </w:tabs>
        <w:spacing w:line="240" w:lineRule="auto" w:before="0" w:after="0"/>
        <w:ind w:left="2248" w:right="1339" w:hanging="454"/>
        <w:jc w:val="both"/>
        <w:rPr>
          <w:rFonts w:ascii="Tahoma" w:hAnsi="Tahoma"/>
          <w:sz w:val="18"/>
        </w:rPr>
      </w:pPr>
      <w:r>
        <w:rPr>
          <w:sz w:val="20"/>
        </w:rPr>
        <w:t>No se ha producido ninguna circunstancia que haya supuesto una incidencia significativa en el ejercicio presente o a ejercicios futuros que afecten a valores residuales, vidas útiles o métodos de amortización.</w:t>
      </w:r>
    </w:p>
    <w:p>
      <w:pPr>
        <w:pStyle w:val="BodyText"/>
        <w:spacing w:before="2"/>
      </w:pPr>
    </w:p>
    <w:p>
      <w:pPr>
        <w:pStyle w:val="ListParagraph"/>
        <w:numPr>
          <w:ilvl w:val="1"/>
          <w:numId w:val="4"/>
        </w:numPr>
        <w:tabs>
          <w:tab w:pos="2246" w:val="left" w:leader="none"/>
          <w:tab w:pos="2248" w:val="left" w:leader="none"/>
        </w:tabs>
        <w:spacing w:line="240" w:lineRule="auto" w:before="0" w:after="0"/>
        <w:ind w:left="2248" w:right="1339" w:hanging="454"/>
        <w:jc w:val="both"/>
        <w:rPr>
          <w:rFonts w:ascii="Tahoma" w:hAnsi="Tahoma"/>
          <w:sz w:val="18"/>
        </w:rPr>
      </w:pPr>
      <w:r>
        <w:rPr>
          <w:sz w:val="20"/>
        </w:rPr>
        <w:t>Existen elementos englobados dentro del grupo de aplicaciones informáticas subvencionados por 21.700,00 euros. Estos elementos se encuentran totalmente amortizados y la subvención vinculada traspasada a resultado.</w:t>
      </w:r>
    </w:p>
    <w:p>
      <w:pPr>
        <w:pStyle w:val="ListParagraph"/>
        <w:numPr>
          <w:ilvl w:val="1"/>
          <w:numId w:val="4"/>
        </w:numPr>
        <w:tabs>
          <w:tab w:pos="2246" w:val="left" w:leader="none"/>
          <w:tab w:pos="2248" w:val="left" w:leader="none"/>
        </w:tabs>
        <w:spacing w:line="240" w:lineRule="auto" w:before="229" w:after="0"/>
        <w:ind w:left="2248" w:right="1339" w:hanging="454"/>
        <w:jc w:val="both"/>
        <w:rPr>
          <w:rFonts w:ascii="Tahoma"/>
          <w:sz w:val="18"/>
        </w:rPr>
      </w:pPr>
      <w:r>
        <w:rPr>
          <w:sz w:val="20"/>
        </w:rPr>
        <w:t>La Sociedad no ha realizado correcciones valorativas de los bienes de inmovilizado </w:t>
      </w:r>
      <w:r>
        <w:rPr>
          <w:spacing w:val="-2"/>
          <w:sz w:val="20"/>
        </w:rPr>
        <w:t>intangible.</w:t>
      </w:r>
    </w:p>
    <w:p>
      <w:pPr>
        <w:pStyle w:val="BodyText"/>
        <w:spacing w:before="1"/>
      </w:pPr>
    </w:p>
    <w:p>
      <w:pPr>
        <w:pStyle w:val="ListParagraph"/>
        <w:numPr>
          <w:ilvl w:val="1"/>
          <w:numId w:val="4"/>
        </w:numPr>
        <w:tabs>
          <w:tab w:pos="2247" w:val="left" w:leader="none"/>
        </w:tabs>
        <w:spacing w:line="240" w:lineRule="auto" w:before="0" w:after="0"/>
        <w:ind w:left="2247" w:right="0" w:hanging="452"/>
        <w:jc w:val="left"/>
        <w:rPr>
          <w:rFonts w:ascii="Tahoma" w:hAnsi="Tahoma"/>
          <w:sz w:val="18"/>
        </w:rPr>
      </w:pPr>
      <w:r>
        <w:rPr>
          <w:sz w:val="20"/>
        </w:rPr>
        <w:t>No</w:t>
      </w:r>
      <w:r>
        <w:rPr>
          <w:spacing w:val="-8"/>
          <w:sz w:val="20"/>
        </w:rPr>
        <w:t> </w:t>
      </w:r>
      <w:r>
        <w:rPr>
          <w:sz w:val="20"/>
        </w:rPr>
        <w:t>se</w:t>
      </w:r>
      <w:r>
        <w:rPr>
          <w:spacing w:val="-8"/>
          <w:sz w:val="20"/>
        </w:rPr>
        <w:t> </w:t>
      </w:r>
      <w:r>
        <w:rPr>
          <w:sz w:val="20"/>
        </w:rPr>
        <w:t>han</w:t>
      </w:r>
      <w:r>
        <w:rPr>
          <w:spacing w:val="-7"/>
          <w:sz w:val="20"/>
        </w:rPr>
        <w:t> </w:t>
      </w:r>
      <w:r>
        <w:rPr>
          <w:sz w:val="20"/>
        </w:rPr>
        <w:t>producido</w:t>
      </w:r>
      <w:r>
        <w:rPr>
          <w:spacing w:val="-6"/>
          <w:sz w:val="20"/>
        </w:rPr>
        <w:t> </w:t>
      </w:r>
      <w:r>
        <w:rPr>
          <w:sz w:val="20"/>
        </w:rPr>
        <w:t>por</w:t>
      </w:r>
      <w:r>
        <w:rPr>
          <w:spacing w:val="-7"/>
          <w:sz w:val="20"/>
        </w:rPr>
        <w:t> </w:t>
      </w:r>
      <w:r>
        <w:rPr>
          <w:sz w:val="20"/>
        </w:rPr>
        <w:t>enajenación</w:t>
      </w:r>
      <w:r>
        <w:rPr>
          <w:spacing w:val="-6"/>
          <w:sz w:val="20"/>
        </w:rPr>
        <w:t> </w:t>
      </w:r>
      <w:r>
        <w:rPr>
          <w:sz w:val="20"/>
        </w:rPr>
        <w:t>del</w:t>
      </w:r>
      <w:r>
        <w:rPr>
          <w:spacing w:val="-8"/>
          <w:sz w:val="20"/>
        </w:rPr>
        <w:t> </w:t>
      </w:r>
      <w:r>
        <w:rPr>
          <w:sz w:val="20"/>
        </w:rPr>
        <w:t>inmovilizado</w:t>
      </w:r>
      <w:r>
        <w:rPr>
          <w:spacing w:val="-5"/>
          <w:sz w:val="20"/>
        </w:rPr>
        <w:t> </w:t>
      </w:r>
      <w:r>
        <w:rPr>
          <w:spacing w:val="-2"/>
          <w:sz w:val="20"/>
        </w:rPr>
        <w:t>intangible.</w:t>
      </w:r>
    </w:p>
    <w:p>
      <w:pPr>
        <w:pStyle w:val="ListParagraph"/>
        <w:spacing w:after="0" w:line="240" w:lineRule="auto"/>
        <w:jc w:val="left"/>
        <w:rPr>
          <w:rFonts w:ascii="Tahoma" w:hAnsi="Tahoma"/>
          <w:sz w:val="18"/>
        </w:rPr>
        <w:sectPr>
          <w:pgSz w:w="11910" w:h="16840"/>
          <w:pgMar w:header="286" w:footer="1060" w:top="1920" w:bottom="1260" w:left="360" w:right="360"/>
        </w:sectPr>
      </w:pPr>
    </w:p>
    <w:p>
      <w:pPr>
        <w:pStyle w:val="BodyText"/>
        <w:spacing w:before="199"/>
      </w:pPr>
      <w:r>
        <w:rPr/>
        <mc:AlternateContent>
          <mc:Choice Requires="wps">
            <w:drawing>
              <wp:anchor distT="0" distB="0" distL="0" distR="0" allowOverlap="1" layoutInCell="1" locked="0" behindDoc="0" simplePos="0" relativeHeight="15756800">
                <wp:simplePos x="0" y="0"/>
                <wp:positionH relativeFrom="page">
                  <wp:posOffset>6966436</wp:posOffset>
                </wp:positionH>
                <wp:positionV relativeFrom="page">
                  <wp:posOffset>6553363</wp:posOffset>
                </wp:positionV>
                <wp:extent cx="263525" cy="327596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56800" type="#_x0000_t202" id="docshape10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38</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Heading2"/>
        <w:numPr>
          <w:ilvl w:val="0"/>
          <w:numId w:val="4"/>
        </w:numPr>
        <w:tabs>
          <w:tab w:pos="1701" w:val="left" w:leader="none"/>
        </w:tabs>
        <w:spacing w:line="240" w:lineRule="auto" w:before="0" w:after="0"/>
        <w:ind w:left="1701" w:right="0" w:hanging="360"/>
        <w:jc w:val="left"/>
        <w:rPr>
          <w:u w:val="none"/>
        </w:rPr>
      </w:pPr>
      <w:r>
        <w:rPr>
          <w:spacing w:val="-2"/>
          <w:u w:val="single"/>
        </w:rPr>
        <w:t>INMOVILIZADO</w:t>
      </w:r>
      <w:r>
        <w:rPr>
          <w:spacing w:val="7"/>
          <w:u w:val="single"/>
        </w:rPr>
        <w:t> </w:t>
      </w:r>
      <w:r>
        <w:rPr>
          <w:spacing w:val="-2"/>
          <w:u w:val="single"/>
        </w:rPr>
        <w:t>MATERIAL.</w:t>
      </w:r>
    </w:p>
    <w:p>
      <w:pPr>
        <w:pStyle w:val="BodyText"/>
        <w:spacing w:before="1"/>
        <w:rPr>
          <w:b/>
        </w:rPr>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z w:val="20"/>
        </w:rPr>
        <w:t>Los</w:t>
      </w:r>
      <w:r>
        <w:rPr>
          <w:spacing w:val="-5"/>
          <w:sz w:val="20"/>
        </w:rPr>
        <w:t> </w:t>
      </w:r>
      <w:r>
        <w:rPr>
          <w:sz w:val="20"/>
        </w:rPr>
        <w:t>movimientos</w:t>
      </w:r>
      <w:r>
        <w:rPr>
          <w:spacing w:val="-6"/>
          <w:sz w:val="20"/>
        </w:rPr>
        <w:t> </w:t>
      </w:r>
      <w:r>
        <w:rPr>
          <w:sz w:val="20"/>
        </w:rPr>
        <w:t>habidos</w:t>
      </w:r>
      <w:r>
        <w:rPr>
          <w:spacing w:val="-5"/>
          <w:sz w:val="20"/>
        </w:rPr>
        <w:t> </w:t>
      </w:r>
      <w:r>
        <w:rPr>
          <w:sz w:val="20"/>
        </w:rPr>
        <w:t>durante</w:t>
      </w:r>
      <w:r>
        <w:rPr>
          <w:spacing w:val="-6"/>
          <w:sz w:val="20"/>
        </w:rPr>
        <w:t> </w:t>
      </w:r>
      <w:r>
        <w:rPr>
          <w:sz w:val="20"/>
        </w:rPr>
        <w:t>los</w:t>
      </w:r>
      <w:r>
        <w:rPr>
          <w:spacing w:val="-6"/>
          <w:sz w:val="20"/>
        </w:rPr>
        <w:t> </w:t>
      </w:r>
      <w:r>
        <w:rPr>
          <w:sz w:val="20"/>
        </w:rPr>
        <w:t>ejercicios</w:t>
      </w:r>
      <w:r>
        <w:rPr>
          <w:spacing w:val="-6"/>
          <w:sz w:val="20"/>
        </w:rPr>
        <w:t> </w:t>
      </w:r>
      <w:r>
        <w:rPr>
          <w:sz w:val="20"/>
        </w:rPr>
        <w:t>2024</w:t>
      </w:r>
      <w:r>
        <w:rPr>
          <w:spacing w:val="-2"/>
          <w:sz w:val="20"/>
        </w:rPr>
        <w:t> </w:t>
      </w:r>
      <w:r>
        <w:rPr>
          <w:sz w:val="20"/>
        </w:rPr>
        <w:t>y</w:t>
      </w:r>
      <w:r>
        <w:rPr>
          <w:spacing w:val="-8"/>
          <w:sz w:val="20"/>
        </w:rPr>
        <w:t> </w:t>
      </w:r>
      <w:r>
        <w:rPr>
          <w:sz w:val="20"/>
        </w:rPr>
        <w:t>2025</w:t>
      </w:r>
      <w:r>
        <w:rPr>
          <w:spacing w:val="-8"/>
          <w:sz w:val="20"/>
        </w:rPr>
        <w:t> </w:t>
      </w:r>
      <w:r>
        <w:rPr>
          <w:sz w:val="20"/>
        </w:rPr>
        <w:t>han</w:t>
      </w:r>
      <w:r>
        <w:rPr>
          <w:spacing w:val="-7"/>
          <w:sz w:val="20"/>
        </w:rPr>
        <w:t> </w:t>
      </w:r>
      <w:r>
        <w:rPr>
          <w:sz w:val="20"/>
        </w:rPr>
        <w:t>sido</w:t>
      </w:r>
      <w:r>
        <w:rPr>
          <w:spacing w:val="-7"/>
          <w:sz w:val="20"/>
        </w:rPr>
        <w:t> </w:t>
      </w:r>
      <w:r>
        <w:rPr>
          <w:sz w:val="20"/>
        </w:rPr>
        <w:t>los</w:t>
      </w:r>
      <w:r>
        <w:rPr>
          <w:spacing w:val="-6"/>
          <w:sz w:val="20"/>
        </w:rPr>
        <w:t> </w:t>
      </w:r>
      <w:r>
        <w:rPr>
          <w:spacing w:val="-2"/>
          <w:sz w:val="20"/>
        </w:rPr>
        <w:t>siguientes:</w:t>
      </w:r>
    </w:p>
    <w:p>
      <w:pPr>
        <w:pStyle w:val="BodyText"/>
        <w:spacing w:before="3"/>
      </w:pPr>
    </w:p>
    <w:tbl>
      <w:tblPr>
        <w:tblW w:w="0" w:type="auto"/>
        <w:jc w:val="left"/>
        <w:tblInd w:w="1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5"/>
        <w:gridCol w:w="1291"/>
        <w:gridCol w:w="1143"/>
        <w:gridCol w:w="1136"/>
        <w:gridCol w:w="1192"/>
        <w:gridCol w:w="1202"/>
      </w:tblGrid>
      <w:tr>
        <w:trPr>
          <w:trHeight w:val="599" w:hRule="atLeast"/>
        </w:trPr>
        <w:tc>
          <w:tcPr>
            <w:tcW w:w="2765" w:type="dxa"/>
            <w:tcBorders>
              <w:top w:val="single" w:sz="4" w:space="0" w:color="000000"/>
              <w:left w:val="single" w:sz="4" w:space="0" w:color="000000"/>
            </w:tcBorders>
          </w:tcPr>
          <w:p>
            <w:pPr>
              <w:pStyle w:val="TableParagraph"/>
              <w:rPr>
                <w:sz w:val="16"/>
              </w:rPr>
            </w:pPr>
          </w:p>
          <w:p>
            <w:pPr>
              <w:pStyle w:val="TableParagraph"/>
              <w:spacing w:before="43"/>
              <w:rPr>
                <w:sz w:val="16"/>
              </w:rPr>
            </w:pPr>
          </w:p>
          <w:p>
            <w:pPr>
              <w:pStyle w:val="TableParagraph"/>
              <w:spacing w:line="168" w:lineRule="exact"/>
              <w:ind w:left="69"/>
              <w:rPr>
                <w:b/>
                <w:i/>
                <w:sz w:val="16"/>
              </w:rPr>
            </w:pPr>
            <w:r>
              <w:rPr>
                <w:b/>
                <w:i/>
                <w:sz w:val="16"/>
                <w:u w:val="single"/>
              </w:rPr>
              <w:t>Costes</w:t>
            </w:r>
            <w:r>
              <w:rPr>
                <w:b/>
                <w:i/>
                <w:spacing w:val="-7"/>
                <w:sz w:val="16"/>
                <w:u w:val="single"/>
              </w:rPr>
              <w:t> </w:t>
            </w:r>
            <w:r>
              <w:rPr>
                <w:b/>
                <w:i/>
                <w:spacing w:val="-2"/>
                <w:sz w:val="16"/>
                <w:u w:val="single"/>
              </w:rPr>
              <w:t>brutos</w:t>
            </w:r>
          </w:p>
        </w:tc>
        <w:tc>
          <w:tcPr>
            <w:tcW w:w="1291" w:type="dxa"/>
            <w:tcBorders>
              <w:top w:val="single" w:sz="4" w:space="0" w:color="000000"/>
              <w:bottom w:val="single" w:sz="4" w:space="0" w:color="000000"/>
            </w:tcBorders>
          </w:tcPr>
          <w:p>
            <w:pPr>
              <w:pStyle w:val="TableParagraph"/>
              <w:spacing w:line="300" w:lineRule="exact"/>
              <w:ind w:left="213" w:firstLine="182"/>
              <w:rPr>
                <w:b/>
                <w:sz w:val="16"/>
              </w:rPr>
            </w:pPr>
            <w:r>
              <w:rPr>
                <w:b/>
                <w:spacing w:val="-2"/>
                <w:sz w:val="16"/>
              </w:rPr>
              <w:t>Saldo 31/12/2024</w:t>
            </w:r>
          </w:p>
        </w:tc>
        <w:tc>
          <w:tcPr>
            <w:tcW w:w="1143" w:type="dxa"/>
            <w:tcBorders>
              <w:top w:val="single" w:sz="4" w:space="0" w:color="000000"/>
              <w:bottom w:val="single" w:sz="4" w:space="0" w:color="000000"/>
            </w:tcBorders>
          </w:tcPr>
          <w:p>
            <w:pPr>
              <w:pStyle w:val="TableParagraph"/>
              <w:rPr>
                <w:sz w:val="16"/>
              </w:rPr>
            </w:pPr>
          </w:p>
          <w:p>
            <w:pPr>
              <w:pStyle w:val="TableParagraph"/>
              <w:spacing w:before="40"/>
              <w:rPr>
                <w:sz w:val="16"/>
              </w:rPr>
            </w:pPr>
          </w:p>
          <w:p>
            <w:pPr>
              <w:pStyle w:val="TableParagraph"/>
              <w:spacing w:line="171" w:lineRule="exact" w:before="1"/>
              <w:ind w:left="334"/>
              <w:rPr>
                <w:b/>
                <w:sz w:val="16"/>
              </w:rPr>
            </w:pPr>
            <w:r>
              <w:rPr>
                <w:b/>
                <w:spacing w:val="-2"/>
                <w:sz w:val="16"/>
              </w:rPr>
              <w:t>Altas</w:t>
            </w:r>
          </w:p>
        </w:tc>
        <w:tc>
          <w:tcPr>
            <w:tcW w:w="1136" w:type="dxa"/>
            <w:tcBorders>
              <w:top w:val="single" w:sz="4" w:space="0" w:color="000000"/>
              <w:bottom w:val="single" w:sz="4" w:space="0" w:color="000000"/>
            </w:tcBorders>
          </w:tcPr>
          <w:p>
            <w:pPr>
              <w:pStyle w:val="TableParagraph"/>
              <w:rPr>
                <w:sz w:val="16"/>
              </w:rPr>
            </w:pPr>
          </w:p>
          <w:p>
            <w:pPr>
              <w:pStyle w:val="TableParagraph"/>
              <w:spacing w:before="40"/>
              <w:rPr>
                <w:sz w:val="16"/>
              </w:rPr>
            </w:pPr>
          </w:p>
          <w:p>
            <w:pPr>
              <w:pStyle w:val="TableParagraph"/>
              <w:spacing w:line="171" w:lineRule="exact" w:before="1"/>
              <w:ind w:left="314"/>
              <w:rPr>
                <w:b/>
                <w:sz w:val="16"/>
              </w:rPr>
            </w:pPr>
            <w:r>
              <w:rPr>
                <w:b/>
                <w:spacing w:val="-2"/>
                <w:sz w:val="16"/>
              </w:rPr>
              <w:t>Bajas</w:t>
            </w:r>
          </w:p>
        </w:tc>
        <w:tc>
          <w:tcPr>
            <w:tcW w:w="1192" w:type="dxa"/>
            <w:tcBorders>
              <w:top w:val="single" w:sz="4" w:space="0" w:color="000000"/>
              <w:bottom w:val="single" w:sz="4" w:space="0" w:color="000000"/>
            </w:tcBorders>
          </w:tcPr>
          <w:p>
            <w:pPr>
              <w:pStyle w:val="TableParagraph"/>
              <w:rPr>
                <w:sz w:val="16"/>
              </w:rPr>
            </w:pPr>
          </w:p>
          <w:p>
            <w:pPr>
              <w:pStyle w:val="TableParagraph"/>
              <w:spacing w:before="40"/>
              <w:rPr>
                <w:sz w:val="16"/>
              </w:rPr>
            </w:pPr>
          </w:p>
          <w:p>
            <w:pPr>
              <w:pStyle w:val="TableParagraph"/>
              <w:spacing w:line="171" w:lineRule="exact" w:before="1"/>
              <w:ind w:left="132"/>
              <w:rPr>
                <w:b/>
                <w:sz w:val="16"/>
              </w:rPr>
            </w:pPr>
            <w:r>
              <w:rPr>
                <w:b/>
                <w:spacing w:val="-2"/>
                <w:sz w:val="16"/>
              </w:rPr>
              <w:t>Traspasos</w:t>
            </w:r>
          </w:p>
        </w:tc>
        <w:tc>
          <w:tcPr>
            <w:tcW w:w="1202" w:type="dxa"/>
            <w:tcBorders>
              <w:top w:val="single" w:sz="4" w:space="0" w:color="000000"/>
              <w:bottom w:val="single" w:sz="4" w:space="0" w:color="000000"/>
              <w:right w:val="single" w:sz="4" w:space="0" w:color="000000"/>
            </w:tcBorders>
          </w:tcPr>
          <w:p>
            <w:pPr>
              <w:pStyle w:val="TableParagraph"/>
              <w:spacing w:line="300" w:lineRule="exact"/>
              <w:ind w:left="165" w:firstLine="182"/>
              <w:rPr>
                <w:b/>
                <w:sz w:val="16"/>
              </w:rPr>
            </w:pPr>
            <w:r>
              <w:rPr>
                <w:b/>
                <w:spacing w:val="-2"/>
                <w:sz w:val="16"/>
              </w:rPr>
              <w:t>Saldo 31/12/2025</w:t>
            </w:r>
          </w:p>
        </w:tc>
      </w:tr>
      <w:tr>
        <w:trPr>
          <w:trHeight w:val="365" w:hRule="atLeast"/>
        </w:trPr>
        <w:tc>
          <w:tcPr>
            <w:tcW w:w="2765" w:type="dxa"/>
            <w:vMerge w:val="restart"/>
            <w:tcBorders>
              <w:left w:val="single" w:sz="4" w:space="0" w:color="000000"/>
              <w:bottom w:val="single" w:sz="4" w:space="0" w:color="000000"/>
            </w:tcBorders>
          </w:tcPr>
          <w:p>
            <w:pPr>
              <w:pStyle w:val="TableParagraph"/>
              <w:spacing w:line="391" w:lineRule="auto" w:before="113"/>
              <w:ind w:left="69"/>
              <w:rPr>
                <w:sz w:val="16"/>
              </w:rPr>
            </w:pPr>
            <w:r>
              <w:rPr>
                <w:sz w:val="16"/>
              </w:rPr>
              <w:t>Terrenos y construcciones Instalaciones</w:t>
            </w:r>
            <w:r>
              <w:rPr>
                <w:spacing w:val="-12"/>
                <w:sz w:val="16"/>
              </w:rPr>
              <w:t> </w:t>
            </w:r>
            <w:r>
              <w:rPr>
                <w:sz w:val="16"/>
              </w:rPr>
              <w:t>Técnicas</w:t>
            </w:r>
            <w:r>
              <w:rPr>
                <w:spacing w:val="-11"/>
                <w:sz w:val="16"/>
              </w:rPr>
              <w:t> </w:t>
            </w:r>
            <w:r>
              <w:rPr>
                <w:sz w:val="16"/>
              </w:rPr>
              <w:t>y</w:t>
            </w:r>
            <w:r>
              <w:rPr>
                <w:spacing w:val="-11"/>
                <w:sz w:val="16"/>
              </w:rPr>
              <w:t> </w:t>
            </w:r>
            <w:r>
              <w:rPr>
                <w:sz w:val="16"/>
              </w:rPr>
              <w:t>maquinaria Otras instalac, utillaje y mobiliario Elementos de transporte</w:t>
            </w:r>
          </w:p>
          <w:p>
            <w:pPr>
              <w:pStyle w:val="TableParagraph"/>
              <w:ind w:left="69"/>
              <w:rPr>
                <w:sz w:val="16"/>
              </w:rPr>
            </w:pPr>
            <w:r>
              <w:rPr>
                <w:sz w:val="16"/>
              </w:rPr>
              <w:t>Otro </w:t>
            </w:r>
            <w:r>
              <w:rPr>
                <w:spacing w:val="-2"/>
                <w:sz w:val="16"/>
              </w:rPr>
              <w:t>inmovilizado</w:t>
            </w:r>
          </w:p>
          <w:p>
            <w:pPr>
              <w:pStyle w:val="TableParagraph"/>
              <w:spacing w:before="116"/>
              <w:ind w:left="69"/>
              <w:rPr>
                <w:sz w:val="16"/>
              </w:rPr>
            </w:pPr>
            <w:r>
              <w:rPr>
                <w:sz w:val="16"/>
              </w:rPr>
              <w:t>Inmovilizado</w:t>
            </w:r>
            <w:r>
              <w:rPr>
                <w:spacing w:val="-5"/>
                <w:sz w:val="16"/>
              </w:rPr>
              <w:t> </w:t>
            </w:r>
            <w:r>
              <w:rPr>
                <w:sz w:val="16"/>
              </w:rPr>
              <w:t>en</w:t>
            </w:r>
            <w:r>
              <w:rPr>
                <w:spacing w:val="-6"/>
                <w:sz w:val="16"/>
              </w:rPr>
              <w:t> </w:t>
            </w:r>
            <w:r>
              <w:rPr>
                <w:spacing w:val="-2"/>
                <w:sz w:val="16"/>
              </w:rPr>
              <w:t>curso</w:t>
            </w:r>
          </w:p>
          <w:p>
            <w:pPr>
              <w:pStyle w:val="TableParagraph"/>
              <w:spacing w:before="66"/>
              <w:ind w:left="2311"/>
              <w:rPr>
                <w:b/>
                <w:sz w:val="16"/>
              </w:rPr>
            </w:pPr>
            <w:r>
              <w:rPr>
                <w:b/>
                <w:spacing w:val="-2"/>
                <w:sz w:val="16"/>
              </w:rPr>
              <w:t>Total</w:t>
            </w:r>
          </w:p>
          <w:p>
            <w:pPr>
              <w:pStyle w:val="TableParagraph"/>
              <w:spacing w:before="2"/>
              <w:rPr>
                <w:sz w:val="16"/>
              </w:rPr>
            </w:pPr>
          </w:p>
          <w:p>
            <w:pPr>
              <w:pStyle w:val="TableParagraph"/>
              <w:ind w:left="69"/>
              <w:rPr>
                <w:b/>
                <w:i/>
                <w:sz w:val="16"/>
              </w:rPr>
            </w:pPr>
            <w:r>
              <w:rPr>
                <w:b/>
                <w:i/>
                <w:sz w:val="16"/>
                <w:u w:val="single"/>
              </w:rPr>
              <w:t>Amortización</w:t>
            </w:r>
            <w:r>
              <w:rPr>
                <w:b/>
                <w:i/>
                <w:spacing w:val="-9"/>
                <w:sz w:val="16"/>
                <w:u w:val="single"/>
              </w:rPr>
              <w:t> </w:t>
            </w:r>
            <w:r>
              <w:rPr>
                <w:b/>
                <w:i/>
                <w:spacing w:val="-2"/>
                <w:sz w:val="16"/>
                <w:u w:val="single"/>
              </w:rPr>
              <w:t>Acumulada</w:t>
            </w:r>
          </w:p>
          <w:p>
            <w:pPr>
              <w:pStyle w:val="TableParagraph"/>
              <w:spacing w:before="116"/>
              <w:ind w:left="69"/>
              <w:rPr>
                <w:sz w:val="16"/>
              </w:rPr>
            </w:pPr>
            <w:r>
              <w:rPr>
                <w:spacing w:val="-2"/>
                <w:sz w:val="16"/>
              </w:rPr>
              <w:t>Construcciones</w:t>
            </w:r>
          </w:p>
          <w:p>
            <w:pPr>
              <w:pStyle w:val="TableParagraph"/>
              <w:spacing w:line="391" w:lineRule="auto" w:before="116"/>
              <w:ind w:left="69"/>
              <w:rPr>
                <w:sz w:val="16"/>
              </w:rPr>
            </w:pPr>
            <w:r>
              <w:rPr>
                <w:sz w:val="16"/>
              </w:rPr>
              <w:t>Instalaciones</w:t>
            </w:r>
            <w:r>
              <w:rPr>
                <w:spacing w:val="-12"/>
                <w:sz w:val="16"/>
              </w:rPr>
              <w:t> </w:t>
            </w:r>
            <w:r>
              <w:rPr>
                <w:sz w:val="16"/>
              </w:rPr>
              <w:t>Técnicas</w:t>
            </w:r>
            <w:r>
              <w:rPr>
                <w:spacing w:val="-11"/>
                <w:sz w:val="16"/>
              </w:rPr>
              <w:t> </w:t>
            </w:r>
            <w:r>
              <w:rPr>
                <w:sz w:val="16"/>
              </w:rPr>
              <w:t>y</w:t>
            </w:r>
            <w:r>
              <w:rPr>
                <w:spacing w:val="-11"/>
                <w:sz w:val="16"/>
              </w:rPr>
              <w:t> </w:t>
            </w:r>
            <w:r>
              <w:rPr>
                <w:sz w:val="16"/>
              </w:rPr>
              <w:t>maquinaria Otras instalac, utillaje y mobiliario Elementos de transporte</w:t>
            </w:r>
          </w:p>
          <w:p>
            <w:pPr>
              <w:pStyle w:val="TableParagraph"/>
              <w:ind w:left="69"/>
              <w:rPr>
                <w:sz w:val="16"/>
              </w:rPr>
            </w:pPr>
            <w:r>
              <w:rPr>
                <w:sz w:val="16"/>
              </w:rPr>
              <w:t>Otro </w:t>
            </w:r>
            <w:r>
              <w:rPr>
                <w:spacing w:val="-2"/>
                <w:sz w:val="16"/>
              </w:rPr>
              <w:t>inmovilizado</w:t>
            </w:r>
          </w:p>
          <w:p>
            <w:pPr>
              <w:pStyle w:val="TableParagraph"/>
              <w:spacing w:before="66"/>
              <w:ind w:left="2311"/>
              <w:rPr>
                <w:b/>
                <w:sz w:val="16"/>
              </w:rPr>
            </w:pPr>
            <w:r>
              <w:rPr>
                <w:b/>
                <w:spacing w:val="-2"/>
                <w:sz w:val="16"/>
              </w:rPr>
              <w:t>Total</w:t>
            </w:r>
          </w:p>
          <w:p>
            <w:pPr>
              <w:pStyle w:val="TableParagraph"/>
              <w:spacing w:before="128"/>
              <w:ind w:left="69"/>
              <w:rPr>
                <w:b/>
                <w:i/>
                <w:sz w:val="16"/>
              </w:rPr>
            </w:pPr>
            <w:r>
              <w:rPr>
                <w:b/>
                <w:i/>
                <w:spacing w:val="-2"/>
                <w:sz w:val="16"/>
                <w:u w:val="single"/>
              </w:rPr>
              <w:t>Deterioro</w:t>
            </w:r>
          </w:p>
          <w:p>
            <w:pPr>
              <w:pStyle w:val="TableParagraph"/>
              <w:spacing w:before="183"/>
              <w:ind w:left="69"/>
              <w:rPr>
                <w:sz w:val="16"/>
              </w:rPr>
            </w:pPr>
            <w:r>
              <w:rPr>
                <w:sz w:val="16"/>
              </w:rPr>
              <w:t>Elementos</w:t>
            </w:r>
            <w:r>
              <w:rPr>
                <w:spacing w:val="-1"/>
                <w:sz w:val="16"/>
              </w:rPr>
              <w:t> </w:t>
            </w:r>
            <w:r>
              <w:rPr>
                <w:sz w:val="16"/>
              </w:rPr>
              <w:t>de</w:t>
            </w:r>
            <w:r>
              <w:rPr>
                <w:spacing w:val="-5"/>
                <w:sz w:val="16"/>
              </w:rPr>
              <w:t> </w:t>
            </w:r>
            <w:r>
              <w:rPr>
                <w:spacing w:val="-2"/>
                <w:sz w:val="16"/>
              </w:rPr>
              <w:t>transporte</w:t>
            </w:r>
          </w:p>
          <w:p>
            <w:pPr>
              <w:pStyle w:val="TableParagraph"/>
              <w:spacing w:before="66"/>
              <w:ind w:left="2311"/>
              <w:rPr>
                <w:b/>
                <w:sz w:val="16"/>
              </w:rPr>
            </w:pPr>
            <w:r>
              <w:rPr>
                <w:b/>
                <w:spacing w:val="-2"/>
                <w:sz w:val="16"/>
              </w:rPr>
              <w:t>Total</w:t>
            </w:r>
          </w:p>
          <w:p>
            <w:pPr>
              <w:pStyle w:val="TableParagraph"/>
              <w:spacing w:before="128"/>
              <w:ind w:left="2354"/>
              <w:rPr>
                <w:b/>
                <w:sz w:val="16"/>
              </w:rPr>
            </w:pPr>
            <w:r>
              <w:rPr>
                <w:b/>
                <w:spacing w:val="-5"/>
                <w:sz w:val="16"/>
              </w:rPr>
              <w:t>VNC</w:t>
            </w:r>
          </w:p>
        </w:tc>
        <w:tc>
          <w:tcPr>
            <w:tcW w:w="1291" w:type="dxa"/>
            <w:tcBorders>
              <w:top w:val="single" w:sz="4" w:space="0" w:color="000000"/>
            </w:tcBorders>
          </w:tcPr>
          <w:p>
            <w:pPr>
              <w:pStyle w:val="TableParagraph"/>
              <w:spacing w:before="137"/>
              <w:ind w:right="131"/>
              <w:jc w:val="right"/>
              <w:rPr>
                <w:sz w:val="14"/>
              </w:rPr>
            </w:pPr>
            <w:r>
              <w:rPr>
                <w:spacing w:val="-2"/>
                <w:sz w:val="14"/>
              </w:rPr>
              <w:t>14.858.942,00</w:t>
            </w:r>
          </w:p>
        </w:tc>
        <w:tc>
          <w:tcPr>
            <w:tcW w:w="1143" w:type="dxa"/>
            <w:tcBorders>
              <w:top w:val="single" w:sz="4" w:space="0" w:color="000000"/>
            </w:tcBorders>
          </w:tcPr>
          <w:p>
            <w:pPr>
              <w:pStyle w:val="TableParagraph"/>
              <w:rPr>
                <w:rFonts w:ascii="Times New Roman"/>
                <w:sz w:val="14"/>
              </w:rPr>
            </w:pPr>
          </w:p>
        </w:tc>
        <w:tc>
          <w:tcPr>
            <w:tcW w:w="1136" w:type="dxa"/>
            <w:tcBorders>
              <w:top w:val="single" w:sz="4" w:space="0" w:color="000000"/>
            </w:tcBorders>
          </w:tcPr>
          <w:p>
            <w:pPr>
              <w:pStyle w:val="TableParagraph"/>
              <w:rPr>
                <w:rFonts w:ascii="Times New Roman"/>
                <w:sz w:val="14"/>
              </w:rPr>
            </w:pPr>
          </w:p>
        </w:tc>
        <w:tc>
          <w:tcPr>
            <w:tcW w:w="1192" w:type="dxa"/>
            <w:tcBorders>
              <w:top w:val="single" w:sz="4" w:space="0" w:color="000000"/>
            </w:tcBorders>
          </w:tcPr>
          <w:p>
            <w:pPr>
              <w:pStyle w:val="TableParagraph"/>
              <w:rPr>
                <w:rFonts w:ascii="Times New Roman"/>
                <w:sz w:val="14"/>
              </w:rPr>
            </w:pPr>
          </w:p>
        </w:tc>
        <w:tc>
          <w:tcPr>
            <w:tcW w:w="1202" w:type="dxa"/>
            <w:tcBorders>
              <w:top w:val="single" w:sz="4" w:space="0" w:color="000000"/>
              <w:right w:val="single" w:sz="4" w:space="0" w:color="000000"/>
            </w:tcBorders>
          </w:tcPr>
          <w:p>
            <w:pPr>
              <w:pStyle w:val="TableParagraph"/>
              <w:spacing w:before="137"/>
              <w:ind w:right="67"/>
              <w:jc w:val="right"/>
              <w:rPr>
                <w:sz w:val="14"/>
              </w:rPr>
            </w:pPr>
            <w:r>
              <w:rPr>
                <w:spacing w:val="-2"/>
                <w:sz w:val="14"/>
              </w:rPr>
              <w:t>14.858.942,00</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2"/>
              <w:jc w:val="right"/>
              <w:rPr>
                <w:sz w:val="14"/>
              </w:rPr>
            </w:pPr>
            <w:r>
              <w:rPr>
                <w:spacing w:val="-2"/>
                <w:sz w:val="14"/>
              </w:rPr>
              <w:t>3.719.070,36</w:t>
            </w:r>
          </w:p>
        </w:tc>
        <w:tc>
          <w:tcPr>
            <w:tcW w:w="1143" w:type="dxa"/>
          </w:tcPr>
          <w:p>
            <w:pPr>
              <w:pStyle w:val="TableParagraph"/>
              <w:spacing w:before="62"/>
              <w:ind w:right="92"/>
              <w:jc w:val="right"/>
              <w:rPr>
                <w:sz w:val="14"/>
              </w:rPr>
            </w:pPr>
            <w:r>
              <w:rPr>
                <w:spacing w:val="-2"/>
                <w:sz w:val="14"/>
              </w:rPr>
              <w:t>10.647,02</w:t>
            </w:r>
          </w:p>
        </w:tc>
        <w:tc>
          <w:tcPr>
            <w:tcW w:w="1136" w:type="dxa"/>
          </w:tcPr>
          <w:p>
            <w:pPr>
              <w:pStyle w:val="TableParagraph"/>
              <w:rPr>
                <w:rFonts w:ascii="Times New Roman"/>
                <w:sz w:val="14"/>
              </w:rPr>
            </w:pPr>
          </w:p>
        </w:tc>
        <w:tc>
          <w:tcPr>
            <w:tcW w:w="1192" w:type="dxa"/>
          </w:tcPr>
          <w:p>
            <w:pPr>
              <w:pStyle w:val="TableParagraph"/>
              <w:spacing w:before="62"/>
              <w:ind w:right="137"/>
              <w:jc w:val="right"/>
              <w:rPr>
                <w:sz w:val="14"/>
              </w:rPr>
            </w:pPr>
            <w:r>
              <w:rPr>
                <w:spacing w:val="-2"/>
                <w:sz w:val="14"/>
              </w:rPr>
              <w:t>1.609.259,86</w:t>
            </w:r>
          </w:p>
        </w:tc>
        <w:tc>
          <w:tcPr>
            <w:tcW w:w="1202" w:type="dxa"/>
            <w:tcBorders>
              <w:right w:val="single" w:sz="4" w:space="0" w:color="000000"/>
            </w:tcBorders>
          </w:tcPr>
          <w:p>
            <w:pPr>
              <w:pStyle w:val="TableParagraph"/>
              <w:spacing w:before="62"/>
              <w:ind w:right="67"/>
              <w:jc w:val="right"/>
              <w:rPr>
                <w:sz w:val="14"/>
              </w:rPr>
            </w:pPr>
            <w:r>
              <w:rPr>
                <w:spacing w:val="-2"/>
                <w:sz w:val="14"/>
              </w:rPr>
              <w:t>5.338.977,24</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2"/>
              <w:jc w:val="right"/>
              <w:rPr>
                <w:sz w:val="14"/>
              </w:rPr>
            </w:pPr>
            <w:r>
              <w:rPr>
                <w:spacing w:val="-2"/>
                <w:sz w:val="14"/>
              </w:rPr>
              <w:t>1.618.041,26</w:t>
            </w:r>
          </w:p>
        </w:tc>
        <w:tc>
          <w:tcPr>
            <w:tcW w:w="1143" w:type="dxa"/>
          </w:tcPr>
          <w:p>
            <w:pPr>
              <w:pStyle w:val="TableParagraph"/>
              <w:spacing w:before="62"/>
              <w:ind w:right="92"/>
              <w:jc w:val="right"/>
              <w:rPr>
                <w:sz w:val="14"/>
              </w:rPr>
            </w:pPr>
            <w:r>
              <w:rPr>
                <w:spacing w:val="-2"/>
                <w:sz w:val="14"/>
              </w:rPr>
              <w:t>27.230,31</w:t>
            </w:r>
          </w:p>
        </w:tc>
        <w:tc>
          <w:tcPr>
            <w:tcW w:w="1136" w:type="dxa"/>
          </w:tcPr>
          <w:p>
            <w:pPr>
              <w:pStyle w:val="TableParagraph"/>
              <w:rPr>
                <w:rFonts w:ascii="Times New Roman"/>
                <w:sz w:val="14"/>
              </w:rPr>
            </w:pPr>
          </w:p>
        </w:tc>
        <w:tc>
          <w:tcPr>
            <w:tcW w:w="1192" w:type="dxa"/>
          </w:tcPr>
          <w:p>
            <w:pPr>
              <w:pStyle w:val="TableParagraph"/>
              <w:rPr>
                <w:rFonts w:ascii="Times New Roman"/>
                <w:sz w:val="14"/>
              </w:rPr>
            </w:pPr>
          </w:p>
        </w:tc>
        <w:tc>
          <w:tcPr>
            <w:tcW w:w="1202" w:type="dxa"/>
            <w:tcBorders>
              <w:right w:val="single" w:sz="4" w:space="0" w:color="000000"/>
            </w:tcBorders>
          </w:tcPr>
          <w:p>
            <w:pPr>
              <w:pStyle w:val="TableParagraph"/>
              <w:spacing w:before="62"/>
              <w:ind w:right="67"/>
              <w:jc w:val="right"/>
              <w:rPr>
                <w:sz w:val="14"/>
              </w:rPr>
            </w:pPr>
            <w:r>
              <w:rPr>
                <w:spacing w:val="-2"/>
                <w:sz w:val="14"/>
              </w:rPr>
              <w:t>1.645.271,57</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1"/>
              <w:jc w:val="right"/>
              <w:rPr>
                <w:sz w:val="14"/>
              </w:rPr>
            </w:pPr>
            <w:r>
              <w:rPr>
                <w:spacing w:val="-2"/>
                <w:sz w:val="14"/>
              </w:rPr>
              <w:t>76.662.536,44</w:t>
            </w:r>
          </w:p>
        </w:tc>
        <w:tc>
          <w:tcPr>
            <w:tcW w:w="1143" w:type="dxa"/>
          </w:tcPr>
          <w:p>
            <w:pPr>
              <w:pStyle w:val="TableParagraph"/>
              <w:spacing w:before="62"/>
              <w:ind w:right="91"/>
              <w:jc w:val="right"/>
              <w:rPr>
                <w:sz w:val="14"/>
              </w:rPr>
            </w:pPr>
            <w:r>
              <w:rPr>
                <w:spacing w:val="-2"/>
                <w:sz w:val="14"/>
              </w:rPr>
              <w:t>11.608.500,00</w:t>
            </w:r>
          </w:p>
        </w:tc>
        <w:tc>
          <w:tcPr>
            <w:tcW w:w="1136" w:type="dxa"/>
          </w:tcPr>
          <w:p>
            <w:pPr>
              <w:pStyle w:val="TableParagraph"/>
              <w:spacing w:before="62"/>
              <w:ind w:right="125"/>
              <w:jc w:val="right"/>
              <w:rPr>
                <w:sz w:val="14"/>
              </w:rPr>
            </w:pPr>
            <w:r>
              <w:rPr>
                <w:spacing w:val="-2"/>
                <w:sz w:val="14"/>
              </w:rPr>
              <w:t>(2.236.876,89)</w:t>
            </w:r>
          </w:p>
        </w:tc>
        <w:tc>
          <w:tcPr>
            <w:tcW w:w="1192" w:type="dxa"/>
          </w:tcPr>
          <w:p>
            <w:pPr>
              <w:pStyle w:val="TableParagraph"/>
              <w:rPr>
                <w:rFonts w:ascii="Times New Roman"/>
                <w:sz w:val="14"/>
              </w:rPr>
            </w:pPr>
          </w:p>
        </w:tc>
        <w:tc>
          <w:tcPr>
            <w:tcW w:w="1202" w:type="dxa"/>
            <w:tcBorders>
              <w:right w:val="single" w:sz="4" w:space="0" w:color="000000"/>
            </w:tcBorders>
          </w:tcPr>
          <w:p>
            <w:pPr>
              <w:pStyle w:val="TableParagraph"/>
              <w:spacing w:before="62"/>
              <w:ind w:right="67"/>
              <w:jc w:val="right"/>
              <w:rPr>
                <w:sz w:val="14"/>
              </w:rPr>
            </w:pPr>
            <w:r>
              <w:rPr>
                <w:spacing w:val="-2"/>
                <w:sz w:val="14"/>
              </w:rPr>
              <w:t>86.034.159,55</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2"/>
              <w:jc w:val="right"/>
              <w:rPr>
                <w:sz w:val="14"/>
              </w:rPr>
            </w:pPr>
            <w:r>
              <w:rPr>
                <w:spacing w:val="-2"/>
                <w:sz w:val="14"/>
              </w:rPr>
              <w:t>8.043.327,30</w:t>
            </w:r>
          </w:p>
        </w:tc>
        <w:tc>
          <w:tcPr>
            <w:tcW w:w="1143" w:type="dxa"/>
          </w:tcPr>
          <w:p>
            <w:pPr>
              <w:pStyle w:val="TableParagraph"/>
              <w:spacing w:before="62"/>
              <w:ind w:right="91"/>
              <w:jc w:val="right"/>
              <w:rPr>
                <w:sz w:val="14"/>
              </w:rPr>
            </w:pPr>
            <w:r>
              <w:rPr>
                <w:spacing w:val="-2"/>
                <w:sz w:val="14"/>
              </w:rPr>
              <w:t>128.328,29</w:t>
            </w:r>
          </w:p>
        </w:tc>
        <w:tc>
          <w:tcPr>
            <w:tcW w:w="1136" w:type="dxa"/>
          </w:tcPr>
          <w:p>
            <w:pPr>
              <w:pStyle w:val="TableParagraph"/>
              <w:spacing w:before="62"/>
              <w:ind w:right="126"/>
              <w:jc w:val="right"/>
              <w:rPr>
                <w:sz w:val="14"/>
              </w:rPr>
            </w:pPr>
            <w:r>
              <w:rPr>
                <w:spacing w:val="-2"/>
                <w:sz w:val="14"/>
              </w:rPr>
              <w:t>(607,34)</w:t>
            </w:r>
          </w:p>
        </w:tc>
        <w:tc>
          <w:tcPr>
            <w:tcW w:w="1192" w:type="dxa"/>
          </w:tcPr>
          <w:p>
            <w:pPr>
              <w:pStyle w:val="TableParagraph"/>
              <w:rPr>
                <w:rFonts w:ascii="Times New Roman"/>
                <w:sz w:val="14"/>
              </w:rPr>
            </w:pPr>
          </w:p>
        </w:tc>
        <w:tc>
          <w:tcPr>
            <w:tcW w:w="1202" w:type="dxa"/>
            <w:tcBorders>
              <w:right w:val="single" w:sz="4" w:space="0" w:color="000000"/>
            </w:tcBorders>
          </w:tcPr>
          <w:p>
            <w:pPr>
              <w:pStyle w:val="TableParagraph"/>
              <w:spacing w:before="62"/>
              <w:ind w:right="67"/>
              <w:jc w:val="right"/>
              <w:rPr>
                <w:sz w:val="14"/>
              </w:rPr>
            </w:pPr>
            <w:r>
              <w:rPr>
                <w:spacing w:val="-2"/>
                <w:sz w:val="14"/>
              </w:rPr>
              <w:t>8.171.048,25</w:t>
            </w:r>
          </w:p>
        </w:tc>
      </w:tr>
      <w:tr>
        <w:trPr>
          <w:trHeight w:val="224"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bottom w:val="single" w:sz="4" w:space="0" w:color="000000"/>
            </w:tcBorders>
          </w:tcPr>
          <w:p>
            <w:pPr>
              <w:pStyle w:val="TableParagraph"/>
              <w:spacing w:line="142" w:lineRule="exact" w:before="62"/>
              <w:ind w:right="131"/>
              <w:jc w:val="right"/>
              <w:rPr>
                <w:sz w:val="14"/>
              </w:rPr>
            </w:pPr>
            <w:r>
              <w:rPr>
                <w:spacing w:val="-2"/>
                <w:sz w:val="14"/>
              </w:rPr>
              <w:t>886.135,48</w:t>
            </w:r>
          </w:p>
        </w:tc>
        <w:tc>
          <w:tcPr>
            <w:tcW w:w="1143" w:type="dxa"/>
            <w:tcBorders>
              <w:bottom w:val="single" w:sz="4" w:space="0" w:color="000000"/>
            </w:tcBorders>
          </w:tcPr>
          <w:p>
            <w:pPr>
              <w:pStyle w:val="TableParagraph"/>
              <w:spacing w:line="142" w:lineRule="exact" w:before="62"/>
              <w:ind w:right="91"/>
              <w:jc w:val="right"/>
              <w:rPr>
                <w:sz w:val="14"/>
              </w:rPr>
            </w:pPr>
            <w:r>
              <w:rPr>
                <w:spacing w:val="-2"/>
                <w:sz w:val="14"/>
              </w:rPr>
              <w:t>729.374,38</w:t>
            </w:r>
          </w:p>
        </w:tc>
        <w:tc>
          <w:tcPr>
            <w:tcW w:w="1136" w:type="dxa"/>
            <w:tcBorders>
              <w:bottom w:val="single" w:sz="4" w:space="0" w:color="000000"/>
            </w:tcBorders>
          </w:tcPr>
          <w:p>
            <w:pPr>
              <w:pStyle w:val="TableParagraph"/>
              <w:rPr>
                <w:rFonts w:ascii="Times New Roman"/>
                <w:sz w:val="14"/>
              </w:rPr>
            </w:pPr>
          </w:p>
        </w:tc>
        <w:tc>
          <w:tcPr>
            <w:tcW w:w="1192" w:type="dxa"/>
            <w:tcBorders>
              <w:bottom w:val="single" w:sz="4" w:space="0" w:color="000000"/>
            </w:tcBorders>
          </w:tcPr>
          <w:p>
            <w:pPr>
              <w:pStyle w:val="TableParagraph"/>
              <w:spacing w:line="142" w:lineRule="exact" w:before="62"/>
              <w:ind w:left="145"/>
              <w:rPr>
                <w:sz w:val="14"/>
              </w:rPr>
            </w:pPr>
            <w:r>
              <w:rPr>
                <w:spacing w:val="-2"/>
                <w:sz w:val="14"/>
              </w:rPr>
              <w:t>(1.609.259,86)</w:t>
            </w:r>
          </w:p>
        </w:tc>
        <w:tc>
          <w:tcPr>
            <w:tcW w:w="1202" w:type="dxa"/>
            <w:tcBorders>
              <w:bottom w:val="single" w:sz="4" w:space="0" w:color="000000"/>
              <w:right w:val="single" w:sz="4" w:space="0" w:color="000000"/>
            </w:tcBorders>
          </w:tcPr>
          <w:p>
            <w:pPr>
              <w:pStyle w:val="TableParagraph"/>
              <w:spacing w:line="142" w:lineRule="exact" w:before="62"/>
              <w:ind w:right="66"/>
              <w:jc w:val="right"/>
              <w:rPr>
                <w:sz w:val="14"/>
              </w:rPr>
            </w:pPr>
            <w:r>
              <w:rPr>
                <w:spacing w:val="-2"/>
                <w:sz w:val="14"/>
              </w:rPr>
              <w:t>6.250,00</w:t>
            </w:r>
          </w:p>
        </w:tc>
      </w:tr>
      <w:tr>
        <w:trPr>
          <w:trHeight w:val="299"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bottom w:val="single" w:sz="4" w:space="0" w:color="000000"/>
            </w:tcBorders>
          </w:tcPr>
          <w:p>
            <w:pPr>
              <w:pStyle w:val="TableParagraph"/>
              <w:spacing w:line="145" w:lineRule="exact" w:before="135"/>
              <w:ind w:right="132"/>
              <w:jc w:val="right"/>
              <w:rPr>
                <w:b/>
                <w:sz w:val="14"/>
              </w:rPr>
            </w:pPr>
            <w:r>
              <w:rPr>
                <w:b/>
                <w:spacing w:val="-2"/>
                <w:sz w:val="14"/>
              </w:rPr>
              <w:t>105.788.052,84</w:t>
            </w:r>
          </w:p>
        </w:tc>
        <w:tc>
          <w:tcPr>
            <w:tcW w:w="1143" w:type="dxa"/>
            <w:tcBorders>
              <w:top w:val="single" w:sz="4" w:space="0" w:color="000000"/>
              <w:bottom w:val="single" w:sz="4" w:space="0" w:color="000000"/>
            </w:tcBorders>
          </w:tcPr>
          <w:p>
            <w:pPr>
              <w:pStyle w:val="TableParagraph"/>
              <w:spacing w:line="145" w:lineRule="exact" w:before="135"/>
              <w:ind w:right="91"/>
              <w:jc w:val="right"/>
              <w:rPr>
                <w:b/>
                <w:sz w:val="14"/>
              </w:rPr>
            </w:pPr>
            <w:r>
              <w:rPr>
                <w:b/>
                <w:spacing w:val="-2"/>
                <w:sz w:val="14"/>
              </w:rPr>
              <w:t>12.504.080,00</w:t>
            </w:r>
          </w:p>
        </w:tc>
        <w:tc>
          <w:tcPr>
            <w:tcW w:w="1136" w:type="dxa"/>
            <w:tcBorders>
              <w:top w:val="single" w:sz="4" w:space="0" w:color="000000"/>
              <w:bottom w:val="single" w:sz="4" w:space="0" w:color="000000"/>
            </w:tcBorders>
          </w:tcPr>
          <w:p>
            <w:pPr>
              <w:pStyle w:val="TableParagraph"/>
              <w:spacing w:line="145" w:lineRule="exact" w:before="135"/>
              <w:ind w:right="125"/>
              <w:jc w:val="right"/>
              <w:rPr>
                <w:b/>
                <w:sz w:val="14"/>
              </w:rPr>
            </w:pPr>
            <w:r>
              <w:rPr>
                <w:b/>
                <w:spacing w:val="-2"/>
                <w:sz w:val="14"/>
              </w:rPr>
              <w:t>(2.237.484,23)</w:t>
            </w:r>
          </w:p>
        </w:tc>
        <w:tc>
          <w:tcPr>
            <w:tcW w:w="1192" w:type="dxa"/>
            <w:tcBorders>
              <w:top w:val="single" w:sz="4" w:space="0" w:color="000000"/>
              <w:bottom w:val="single" w:sz="4" w:space="0" w:color="000000"/>
            </w:tcBorders>
          </w:tcPr>
          <w:p>
            <w:pPr>
              <w:pStyle w:val="TableParagraph"/>
              <w:spacing w:line="145" w:lineRule="exact" w:before="135"/>
              <w:ind w:right="137"/>
              <w:jc w:val="right"/>
              <w:rPr>
                <w:b/>
                <w:sz w:val="14"/>
              </w:rPr>
            </w:pPr>
            <w:r>
              <w:rPr>
                <w:b/>
                <w:spacing w:val="-4"/>
                <w:sz w:val="14"/>
              </w:rPr>
              <w:t>0,00</w:t>
            </w:r>
          </w:p>
        </w:tc>
        <w:tc>
          <w:tcPr>
            <w:tcW w:w="1202" w:type="dxa"/>
            <w:tcBorders>
              <w:top w:val="single" w:sz="4" w:space="0" w:color="000000"/>
              <w:bottom w:val="single" w:sz="4" w:space="0" w:color="000000"/>
              <w:right w:val="single" w:sz="4" w:space="0" w:color="000000"/>
            </w:tcBorders>
          </w:tcPr>
          <w:p>
            <w:pPr>
              <w:pStyle w:val="TableParagraph"/>
              <w:spacing w:line="145" w:lineRule="exact" w:before="135"/>
              <w:ind w:right="67"/>
              <w:jc w:val="right"/>
              <w:rPr>
                <w:b/>
                <w:sz w:val="14"/>
              </w:rPr>
            </w:pPr>
            <w:r>
              <w:rPr>
                <w:b/>
                <w:spacing w:val="-2"/>
                <w:sz w:val="14"/>
              </w:rPr>
              <w:t>116.054.648,61</w:t>
            </w:r>
          </w:p>
        </w:tc>
      </w:tr>
      <w:tr>
        <w:trPr>
          <w:trHeight w:val="667"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tcBorders>
          </w:tcPr>
          <w:p>
            <w:pPr>
              <w:pStyle w:val="TableParagraph"/>
              <w:rPr>
                <w:sz w:val="14"/>
              </w:rPr>
            </w:pPr>
          </w:p>
          <w:p>
            <w:pPr>
              <w:pStyle w:val="TableParagraph"/>
              <w:spacing w:before="117"/>
              <w:rPr>
                <w:sz w:val="14"/>
              </w:rPr>
            </w:pPr>
          </w:p>
          <w:p>
            <w:pPr>
              <w:pStyle w:val="TableParagraph"/>
              <w:ind w:right="131"/>
              <w:jc w:val="right"/>
              <w:rPr>
                <w:sz w:val="14"/>
              </w:rPr>
            </w:pPr>
            <w:r>
              <w:rPr>
                <w:spacing w:val="-2"/>
                <w:sz w:val="14"/>
              </w:rPr>
              <w:t>(5.294.700,43)</w:t>
            </w:r>
          </w:p>
        </w:tc>
        <w:tc>
          <w:tcPr>
            <w:tcW w:w="1143" w:type="dxa"/>
            <w:tcBorders>
              <w:top w:val="single" w:sz="4" w:space="0" w:color="000000"/>
            </w:tcBorders>
          </w:tcPr>
          <w:p>
            <w:pPr>
              <w:pStyle w:val="TableParagraph"/>
              <w:rPr>
                <w:sz w:val="14"/>
              </w:rPr>
            </w:pPr>
          </w:p>
          <w:p>
            <w:pPr>
              <w:pStyle w:val="TableParagraph"/>
              <w:spacing w:before="117"/>
              <w:rPr>
                <w:sz w:val="14"/>
              </w:rPr>
            </w:pPr>
          </w:p>
          <w:p>
            <w:pPr>
              <w:pStyle w:val="TableParagraph"/>
              <w:ind w:right="91"/>
              <w:jc w:val="right"/>
              <w:rPr>
                <w:sz w:val="14"/>
              </w:rPr>
            </w:pPr>
            <w:r>
              <w:rPr>
                <w:spacing w:val="-2"/>
                <w:sz w:val="14"/>
              </w:rPr>
              <w:t>(350.855,52)</w:t>
            </w:r>
          </w:p>
        </w:tc>
        <w:tc>
          <w:tcPr>
            <w:tcW w:w="1136" w:type="dxa"/>
            <w:tcBorders>
              <w:top w:val="single" w:sz="4" w:space="0" w:color="000000"/>
            </w:tcBorders>
          </w:tcPr>
          <w:p>
            <w:pPr>
              <w:pStyle w:val="TableParagraph"/>
              <w:rPr>
                <w:rFonts w:ascii="Times New Roman"/>
                <w:sz w:val="14"/>
              </w:rPr>
            </w:pPr>
          </w:p>
        </w:tc>
        <w:tc>
          <w:tcPr>
            <w:tcW w:w="1192" w:type="dxa"/>
            <w:vMerge w:val="restart"/>
            <w:tcBorders>
              <w:top w:val="single" w:sz="4" w:space="0" w:color="000000"/>
              <w:bottom w:val="single" w:sz="4" w:space="0" w:color="000000"/>
            </w:tcBorders>
          </w:tcPr>
          <w:p>
            <w:pPr>
              <w:pStyle w:val="TableParagraph"/>
              <w:rPr>
                <w:rFonts w:ascii="Times New Roman"/>
                <w:sz w:val="14"/>
              </w:rPr>
            </w:pPr>
          </w:p>
        </w:tc>
        <w:tc>
          <w:tcPr>
            <w:tcW w:w="1202" w:type="dxa"/>
            <w:tcBorders>
              <w:top w:val="single" w:sz="4" w:space="0" w:color="000000"/>
              <w:right w:val="single" w:sz="4" w:space="0" w:color="000000"/>
            </w:tcBorders>
          </w:tcPr>
          <w:p>
            <w:pPr>
              <w:pStyle w:val="TableParagraph"/>
              <w:rPr>
                <w:sz w:val="14"/>
              </w:rPr>
            </w:pPr>
          </w:p>
          <w:p>
            <w:pPr>
              <w:pStyle w:val="TableParagraph"/>
              <w:spacing w:before="117"/>
              <w:rPr>
                <w:sz w:val="14"/>
              </w:rPr>
            </w:pPr>
          </w:p>
          <w:p>
            <w:pPr>
              <w:pStyle w:val="TableParagraph"/>
              <w:ind w:right="66"/>
              <w:jc w:val="right"/>
              <w:rPr>
                <w:sz w:val="14"/>
              </w:rPr>
            </w:pPr>
            <w:r>
              <w:rPr>
                <w:spacing w:val="-2"/>
                <w:sz w:val="14"/>
              </w:rPr>
              <w:t>(5.645.555,95)</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1"/>
              <w:jc w:val="right"/>
              <w:rPr>
                <w:sz w:val="14"/>
              </w:rPr>
            </w:pPr>
            <w:r>
              <w:rPr>
                <w:spacing w:val="-2"/>
                <w:sz w:val="14"/>
              </w:rPr>
              <w:t>(1.829.900,15)</w:t>
            </w:r>
          </w:p>
        </w:tc>
        <w:tc>
          <w:tcPr>
            <w:tcW w:w="1143" w:type="dxa"/>
          </w:tcPr>
          <w:p>
            <w:pPr>
              <w:pStyle w:val="TableParagraph"/>
              <w:spacing w:before="62"/>
              <w:ind w:right="91"/>
              <w:jc w:val="right"/>
              <w:rPr>
                <w:sz w:val="14"/>
              </w:rPr>
            </w:pPr>
            <w:r>
              <w:rPr>
                <w:spacing w:val="-2"/>
                <w:sz w:val="14"/>
              </w:rPr>
              <w:t>(244.969,05)</w:t>
            </w:r>
          </w:p>
        </w:tc>
        <w:tc>
          <w:tcPr>
            <w:tcW w:w="1136" w:type="dxa"/>
          </w:tcPr>
          <w:p>
            <w:pPr>
              <w:pStyle w:val="TableParagraph"/>
              <w:rPr>
                <w:rFonts w:ascii="Times New Roman"/>
                <w:sz w:val="14"/>
              </w:rPr>
            </w:pPr>
          </w:p>
        </w:tc>
        <w:tc>
          <w:tcPr>
            <w:tcW w:w="1192" w:type="dxa"/>
            <w:vMerge/>
            <w:tcBorders>
              <w:top w:val="nil"/>
              <w:bottom w:val="single" w:sz="4" w:space="0" w:color="000000"/>
            </w:tcBorders>
          </w:tcPr>
          <w:p>
            <w:pPr>
              <w:rPr>
                <w:sz w:val="2"/>
                <w:szCs w:val="2"/>
              </w:rPr>
            </w:pPr>
          </w:p>
        </w:tc>
        <w:tc>
          <w:tcPr>
            <w:tcW w:w="1202" w:type="dxa"/>
            <w:tcBorders>
              <w:right w:val="single" w:sz="4" w:space="0" w:color="000000"/>
            </w:tcBorders>
          </w:tcPr>
          <w:p>
            <w:pPr>
              <w:pStyle w:val="TableParagraph"/>
              <w:spacing w:before="62"/>
              <w:ind w:right="66"/>
              <w:jc w:val="right"/>
              <w:rPr>
                <w:sz w:val="14"/>
              </w:rPr>
            </w:pPr>
            <w:r>
              <w:rPr>
                <w:spacing w:val="-2"/>
                <w:sz w:val="14"/>
              </w:rPr>
              <w:t>(2.074.869,20)</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1"/>
              <w:jc w:val="right"/>
              <w:rPr>
                <w:sz w:val="14"/>
              </w:rPr>
            </w:pPr>
            <w:r>
              <w:rPr>
                <w:spacing w:val="-2"/>
                <w:sz w:val="14"/>
              </w:rPr>
              <w:t>(1.052.181,62)</w:t>
            </w:r>
          </w:p>
        </w:tc>
        <w:tc>
          <w:tcPr>
            <w:tcW w:w="1143" w:type="dxa"/>
          </w:tcPr>
          <w:p>
            <w:pPr>
              <w:pStyle w:val="TableParagraph"/>
              <w:spacing w:before="62"/>
              <w:ind w:right="91"/>
              <w:jc w:val="right"/>
              <w:rPr>
                <w:sz w:val="14"/>
              </w:rPr>
            </w:pPr>
            <w:r>
              <w:rPr>
                <w:spacing w:val="-2"/>
                <w:sz w:val="14"/>
              </w:rPr>
              <w:t>(105.094,21)</w:t>
            </w:r>
          </w:p>
        </w:tc>
        <w:tc>
          <w:tcPr>
            <w:tcW w:w="1136" w:type="dxa"/>
          </w:tcPr>
          <w:p>
            <w:pPr>
              <w:pStyle w:val="TableParagraph"/>
              <w:rPr>
                <w:rFonts w:ascii="Times New Roman"/>
                <w:sz w:val="14"/>
              </w:rPr>
            </w:pPr>
          </w:p>
        </w:tc>
        <w:tc>
          <w:tcPr>
            <w:tcW w:w="1192" w:type="dxa"/>
            <w:vMerge/>
            <w:tcBorders>
              <w:top w:val="nil"/>
              <w:bottom w:val="single" w:sz="4" w:space="0" w:color="000000"/>
            </w:tcBorders>
          </w:tcPr>
          <w:p>
            <w:pPr>
              <w:rPr>
                <w:sz w:val="2"/>
                <w:szCs w:val="2"/>
              </w:rPr>
            </w:pPr>
          </w:p>
        </w:tc>
        <w:tc>
          <w:tcPr>
            <w:tcW w:w="1202" w:type="dxa"/>
            <w:tcBorders>
              <w:right w:val="single" w:sz="4" w:space="0" w:color="000000"/>
            </w:tcBorders>
          </w:tcPr>
          <w:p>
            <w:pPr>
              <w:pStyle w:val="TableParagraph"/>
              <w:spacing w:before="62"/>
              <w:ind w:right="66"/>
              <w:jc w:val="right"/>
              <w:rPr>
                <w:sz w:val="14"/>
              </w:rPr>
            </w:pPr>
            <w:r>
              <w:rPr>
                <w:spacing w:val="-2"/>
                <w:sz w:val="14"/>
              </w:rPr>
              <w:t>(1.157.275,83)</w:t>
            </w:r>
          </w:p>
        </w:tc>
      </w:tr>
      <w:tr>
        <w:trPr>
          <w:trHeight w:val="290" w:hRule="atLeast"/>
        </w:trPr>
        <w:tc>
          <w:tcPr>
            <w:tcW w:w="2765" w:type="dxa"/>
            <w:vMerge/>
            <w:tcBorders>
              <w:top w:val="nil"/>
              <w:left w:val="single" w:sz="4" w:space="0" w:color="000000"/>
              <w:bottom w:val="single" w:sz="4" w:space="0" w:color="000000"/>
            </w:tcBorders>
          </w:tcPr>
          <w:p>
            <w:pPr>
              <w:rPr>
                <w:sz w:val="2"/>
                <w:szCs w:val="2"/>
              </w:rPr>
            </w:pPr>
          </w:p>
        </w:tc>
        <w:tc>
          <w:tcPr>
            <w:tcW w:w="1291" w:type="dxa"/>
          </w:tcPr>
          <w:p>
            <w:pPr>
              <w:pStyle w:val="TableParagraph"/>
              <w:spacing w:before="62"/>
              <w:ind w:right="131"/>
              <w:jc w:val="right"/>
              <w:rPr>
                <w:sz w:val="14"/>
              </w:rPr>
            </w:pPr>
            <w:r>
              <w:rPr>
                <w:spacing w:val="-2"/>
                <w:sz w:val="14"/>
              </w:rPr>
              <w:t>(45.868.064,90)</w:t>
            </w:r>
          </w:p>
        </w:tc>
        <w:tc>
          <w:tcPr>
            <w:tcW w:w="1143" w:type="dxa"/>
          </w:tcPr>
          <w:p>
            <w:pPr>
              <w:pStyle w:val="TableParagraph"/>
              <w:spacing w:before="62"/>
              <w:ind w:right="91"/>
              <w:jc w:val="right"/>
              <w:rPr>
                <w:sz w:val="14"/>
              </w:rPr>
            </w:pPr>
            <w:r>
              <w:rPr>
                <w:spacing w:val="-2"/>
                <w:sz w:val="14"/>
              </w:rPr>
              <w:t>(4.964.647,48)</w:t>
            </w:r>
          </w:p>
        </w:tc>
        <w:tc>
          <w:tcPr>
            <w:tcW w:w="1136" w:type="dxa"/>
          </w:tcPr>
          <w:p>
            <w:pPr>
              <w:pStyle w:val="TableParagraph"/>
              <w:spacing w:before="62"/>
              <w:ind w:right="126"/>
              <w:jc w:val="right"/>
              <w:rPr>
                <w:sz w:val="14"/>
              </w:rPr>
            </w:pPr>
            <w:r>
              <w:rPr>
                <w:spacing w:val="-2"/>
                <w:sz w:val="14"/>
              </w:rPr>
              <w:t>2.236.876,89</w:t>
            </w:r>
          </w:p>
        </w:tc>
        <w:tc>
          <w:tcPr>
            <w:tcW w:w="1192" w:type="dxa"/>
            <w:vMerge/>
            <w:tcBorders>
              <w:top w:val="nil"/>
              <w:bottom w:val="single" w:sz="4" w:space="0" w:color="000000"/>
            </w:tcBorders>
          </w:tcPr>
          <w:p>
            <w:pPr>
              <w:rPr>
                <w:sz w:val="2"/>
                <w:szCs w:val="2"/>
              </w:rPr>
            </w:pPr>
          </w:p>
        </w:tc>
        <w:tc>
          <w:tcPr>
            <w:tcW w:w="1202" w:type="dxa"/>
            <w:tcBorders>
              <w:right w:val="single" w:sz="4" w:space="0" w:color="000000"/>
            </w:tcBorders>
          </w:tcPr>
          <w:p>
            <w:pPr>
              <w:pStyle w:val="TableParagraph"/>
              <w:spacing w:before="62"/>
              <w:ind w:right="66"/>
              <w:jc w:val="right"/>
              <w:rPr>
                <w:sz w:val="14"/>
              </w:rPr>
            </w:pPr>
            <w:r>
              <w:rPr>
                <w:spacing w:val="-2"/>
                <w:sz w:val="14"/>
              </w:rPr>
              <w:t>(48.595.835,49)</w:t>
            </w:r>
          </w:p>
        </w:tc>
      </w:tr>
      <w:tr>
        <w:trPr>
          <w:trHeight w:val="224"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bottom w:val="single" w:sz="4" w:space="0" w:color="000000"/>
            </w:tcBorders>
          </w:tcPr>
          <w:p>
            <w:pPr>
              <w:pStyle w:val="TableParagraph"/>
              <w:spacing w:line="142" w:lineRule="exact" w:before="62"/>
              <w:ind w:right="131"/>
              <w:jc w:val="right"/>
              <w:rPr>
                <w:sz w:val="14"/>
              </w:rPr>
            </w:pPr>
            <w:r>
              <w:rPr>
                <w:spacing w:val="-2"/>
                <w:sz w:val="14"/>
              </w:rPr>
              <w:t>(4.965.094,09)</w:t>
            </w:r>
          </w:p>
        </w:tc>
        <w:tc>
          <w:tcPr>
            <w:tcW w:w="1143" w:type="dxa"/>
            <w:tcBorders>
              <w:bottom w:val="single" w:sz="4" w:space="0" w:color="000000"/>
            </w:tcBorders>
          </w:tcPr>
          <w:p>
            <w:pPr>
              <w:pStyle w:val="TableParagraph"/>
              <w:spacing w:line="142" w:lineRule="exact" w:before="62"/>
              <w:ind w:right="91"/>
              <w:jc w:val="right"/>
              <w:rPr>
                <w:sz w:val="14"/>
              </w:rPr>
            </w:pPr>
            <w:r>
              <w:rPr>
                <w:spacing w:val="-2"/>
                <w:sz w:val="14"/>
              </w:rPr>
              <w:t>(767.596,25)</w:t>
            </w:r>
          </w:p>
        </w:tc>
        <w:tc>
          <w:tcPr>
            <w:tcW w:w="1136" w:type="dxa"/>
            <w:tcBorders>
              <w:bottom w:val="single" w:sz="4" w:space="0" w:color="000000"/>
            </w:tcBorders>
          </w:tcPr>
          <w:p>
            <w:pPr>
              <w:pStyle w:val="TableParagraph"/>
              <w:spacing w:line="142" w:lineRule="exact" w:before="62"/>
              <w:ind w:right="126"/>
              <w:jc w:val="right"/>
              <w:rPr>
                <w:sz w:val="14"/>
              </w:rPr>
            </w:pPr>
            <w:r>
              <w:rPr>
                <w:spacing w:val="-2"/>
                <w:sz w:val="14"/>
              </w:rPr>
              <w:t>607,34</w:t>
            </w:r>
          </w:p>
        </w:tc>
        <w:tc>
          <w:tcPr>
            <w:tcW w:w="1192" w:type="dxa"/>
            <w:vMerge/>
            <w:tcBorders>
              <w:top w:val="nil"/>
              <w:bottom w:val="single" w:sz="4" w:space="0" w:color="000000"/>
            </w:tcBorders>
          </w:tcPr>
          <w:p>
            <w:pPr>
              <w:rPr>
                <w:sz w:val="2"/>
                <w:szCs w:val="2"/>
              </w:rPr>
            </w:pPr>
          </w:p>
        </w:tc>
        <w:tc>
          <w:tcPr>
            <w:tcW w:w="1202" w:type="dxa"/>
            <w:tcBorders>
              <w:bottom w:val="single" w:sz="4" w:space="0" w:color="000000"/>
              <w:right w:val="single" w:sz="4" w:space="0" w:color="000000"/>
            </w:tcBorders>
          </w:tcPr>
          <w:p>
            <w:pPr>
              <w:pStyle w:val="TableParagraph"/>
              <w:spacing w:line="142" w:lineRule="exact" w:before="62"/>
              <w:ind w:right="66"/>
              <w:jc w:val="right"/>
              <w:rPr>
                <w:sz w:val="14"/>
              </w:rPr>
            </w:pPr>
            <w:r>
              <w:rPr>
                <w:spacing w:val="-2"/>
                <w:sz w:val="14"/>
              </w:rPr>
              <w:t>(5.732.083,00)</w:t>
            </w:r>
          </w:p>
        </w:tc>
      </w:tr>
      <w:tr>
        <w:trPr>
          <w:trHeight w:val="299"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bottom w:val="single" w:sz="4" w:space="0" w:color="000000"/>
            </w:tcBorders>
          </w:tcPr>
          <w:p>
            <w:pPr>
              <w:pStyle w:val="TableParagraph"/>
              <w:spacing w:line="145" w:lineRule="exact" w:before="135"/>
              <w:ind w:right="131"/>
              <w:jc w:val="right"/>
              <w:rPr>
                <w:b/>
                <w:sz w:val="14"/>
              </w:rPr>
            </w:pPr>
            <w:r>
              <w:rPr>
                <w:b/>
                <w:spacing w:val="-2"/>
                <w:sz w:val="14"/>
              </w:rPr>
              <w:t>(59.009.941,19)</w:t>
            </w:r>
          </w:p>
        </w:tc>
        <w:tc>
          <w:tcPr>
            <w:tcW w:w="1143" w:type="dxa"/>
            <w:tcBorders>
              <w:top w:val="single" w:sz="4" w:space="0" w:color="000000"/>
              <w:bottom w:val="single" w:sz="4" w:space="0" w:color="000000"/>
            </w:tcBorders>
          </w:tcPr>
          <w:p>
            <w:pPr>
              <w:pStyle w:val="TableParagraph"/>
              <w:spacing w:line="145" w:lineRule="exact" w:before="135"/>
              <w:ind w:right="91"/>
              <w:jc w:val="right"/>
              <w:rPr>
                <w:b/>
                <w:sz w:val="14"/>
              </w:rPr>
            </w:pPr>
            <w:r>
              <w:rPr>
                <w:b/>
                <w:spacing w:val="-2"/>
                <w:sz w:val="14"/>
              </w:rPr>
              <w:t>(6.433.162,51)</w:t>
            </w:r>
          </w:p>
        </w:tc>
        <w:tc>
          <w:tcPr>
            <w:tcW w:w="1136" w:type="dxa"/>
            <w:tcBorders>
              <w:top w:val="single" w:sz="4" w:space="0" w:color="000000"/>
              <w:bottom w:val="single" w:sz="4" w:space="0" w:color="000000"/>
            </w:tcBorders>
          </w:tcPr>
          <w:p>
            <w:pPr>
              <w:pStyle w:val="TableParagraph"/>
              <w:spacing w:line="145" w:lineRule="exact" w:before="135"/>
              <w:ind w:right="126"/>
              <w:jc w:val="right"/>
              <w:rPr>
                <w:b/>
                <w:sz w:val="14"/>
              </w:rPr>
            </w:pPr>
            <w:r>
              <w:rPr>
                <w:b/>
                <w:spacing w:val="-2"/>
                <w:sz w:val="14"/>
              </w:rPr>
              <w:t>2.237.484,23</w:t>
            </w:r>
          </w:p>
        </w:tc>
        <w:tc>
          <w:tcPr>
            <w:tcW w:w="1192" w:type="dxa"/>
            <w:tcBorders>
              <w:top w:val="single" w:sz="4" w:space="0" w:color="000000"/>
              <w:bottom w:val="single" w:sz="4" w:space="0" w:color="000000"/>
            </w:tcBorders>
          </w:tcPr>
          <w:p>
            <w:pPr>
              <w:pStyle w:val="TableParagraph"/>
              <w:rPr>
                <w:rFonts w:ascii="Times New Roman"/>
                <w:sz w:val="14"/>
              </w:rPr>
            </w:pPr>
          </w:p>
        </w:tc>
        <w:tc>
          <w:tcPr>
            <w:tcW w:w="1202" w:type="dxa"/>
            <w:tcBorders>
              <w:top w:val="single" w:sz="4" w:space="0" w:color="000000"/>
              <w:bottom w:val="single" w:sz="4" w:space="0" w:color="000000"/>
              <w:right w:val="single" w:sz="4" w:space="0" w:color="000000"/>
            </w:tcBorders>
          </w:tcPr>
          <w:p>
            <w:pPr>
              <w:pStyle w:val="TableParagraph"/>
              <w:spacing w:line="145" w:lineRule="exact" w:before="135"/>
              <w:ind w:right="66"/>
              <w:jc w:val="right"/>
              <w:rPr>
                <w:b/>
                <w:sz w:val="14"/>
              </w:rPr>
            </w:pPr>
            <w:r>
              <w:rPr>
                <w:b/>
                <w:spacing w:val="-2"/>
                <w:sz w:val="14"/>
              </w:rPr>
              <w:t>(63.205.619,47)</w:t>
            </w:r>
          </w:p>
        </w:tc>
      </w:tr>
      <w:tr>
        <w:trPr>
          <w:trHeight w:val="299" w:hRule="atLeast"/>
        </w:trPr>
        <w:tc>
          <w:tcPr>
            <w:tcW w:w="2765" w:type="dxa"/>
            <w:vMerge/>
            <w:tcBorders>
              <w:top w:val="nil"/>
              <w:left w:val="single" w:sz="4" w:space="0" w:color="000000"/>
              <w:bottom w:val="single" w:sz="4" w:space="0" w:color="000000"/>
            </w:tcBorders>
          </w:tcPr>
          <w:p>
            <w:pPr>
              <w:rPr>
                <w:sz w:val="2"/>
                <w:szCs w:val="2"/>
              </w:rPr>
            </w:pPr>
          </w:p>
        </w:tc>
        <w:tc>
          <w:tcPr>
            <w:tcW w:w="5964" w:type="dxa"/>
            <w:gridSpan w:val="5"/>
            <w:tcBorders>
              <w:top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bottom w:val="single" w:sz="4" w:space="0" w:color="000000"/>
            </w:tcBorders>
          </w:tcPr>
          <w:p>
            <w:pPr>
              <w:pStyle w:val="TableParagraph"/>
              <w:spacing w:line="142" w:lineRule="exact" w:before="137"/>
              <w:ind w:right="131"/>
              <w:jc w:val="right"/>
              <w:rPr>
                <w:sz w:val="14"/>
              </w:rPr>
            </w:pPr>
            <w:r>
              <w:rPr>
                <w:spacing w:val="-4"/>
                <w:sz w:val="14"/>
              </w:rPr>
              <w:t>0,00</w:t>
            </w:r>
          </w:p>
        </w:tc>
        <w:tc>
          <w:tcPr>
            <w:tcW w:w="1143" w:type="dxa"/>
            <w:tcBorders>
              <w:top w:val="single" w:sz="4" w:space="0" w:color="000000"/>
              <w:bottom w:val="single" w:sz="4" w:space="0" w:color="000000"/>
            </w:tcBorders>
          </w:tcPr>
          <w:p>
            <w:pPr>
              <w:pStyle w:val="TableParagraph"/>
              <w:rPr>
                <w:rFonts w:ascii="Times New Roman"/>
                <w:sz w:val="14"/>
              </w:rPr>
            </w:pPr>
          </w:p>
        </w:tc>
        <w:tc>
          <w:tcPr>
            <w:tcW w:w="1136" w:type="dxa"/>
            <w:tcBorders>
              <w:top w:val="single" w:sz="4" w:space="0" w:color="000000"/>
              <w:bottom w:val="single" w:sz="4" w:space="0" w:color="000000"/>
            </w:tcBorders>
          </w:tcPr>
          <w:p>
            <w:pPr>
              <w:pStyle w:val="TableParagraph"/>
              <w:rPr>
                <w:rFonts w:ascii="Times New Roman"/>
                <w:sz w:val="14"/>
              </w:rPr>
            </w:pPr>
          </w:p>
        </w:tc>
        <w:tc>
          <w:tcPr>
            <w:tcW w:w="1192" w:type="dxa"/>
            <w:tcBorders>
              <w:top w:val="single" w:sz="4" w:space="0" w:color="000000"/>
              <w:bottom w:val="single" w:sz="4" w:space="0" w:color="000000"/>
            </w:tcBorders>
          </w:tcPr>
          <w:p>
            <w:pPr>
              <w:pStyle w:val="TableParagraph"/>
              <w:rPr>
                <w:rFonts w:ascii="Times New Roman"/>
                <w:sz w:val="14"/>
              </w:rPr>
            </w:pPr>
          </w:p>
        </w:tc>
        <w:tc>
          <w:tcPr>
            <w:tcW w:w="1202" w:type="dxa"/>
            <w:tcBorders>
              <w:top w:val="single" w:sz="4" w:space="0" w:color="000000"/>
              <w:bottom w:val="single" w:sz="4" w:space="0" w:color="000000"/>
              <w:right w:val="single" w:sz="4" w:space="0" w:color="000000"/>
            </w:tcBorders>
          </w:tcPr>
          <w:p>
            <w:pPr>
              <w:pStyle w:val="TableParagraph"/>
              <w:spacing w:line="142" w:lineRule="exact" w:before="137"/>
              <w:ind w:right="66"/>
              <w:jc w:val="right"/>
              <w:rPr>
                <w:sz w:val="14"/>
              </w:rPr>
            </w:pPr>
            <w:r>
              <w:rPr>
                <w:spacing w:val="-4"/>
                <w:sz w:val="14"/>
              </w:rPr>
              <w:t>0,00</w:t>
            </w:r>
          </w:p>
        </w:tc>
      </w:tr>
      <w:tr>
        <w:trPr>
          <w:trHeight w:val="299"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bottom w:val="single" w:sz="4" w:space="0" w:color="000000"/>
            </w:tcBorders>
          </w:tcPr>
          <w:p>
            <w:pPr>
              <w:pStyle w:val="TableParagraph"/>
              <w:spacing w:line="145" w:lineRule="exact" w:before="135"/>
              <w:ind w:right="131"/>
              <w:jc w:val="right"/>
              <w:rPr>
                <w:b/>
                <w:sz w:val="14"/>
              </w:rPr>
            </w:pPr>
            <w:r>
              <w:rPr>
                <w:b/>
                <w:spacing w:val="-4"/>
                <w:sz w:val="14"/>
              </w:rPr>
              <w:t>0,00</w:t>
            </w:r>
          </w:p>
        </w:tc>
        <w:tc>
          <w:tcPr>
            <w:tcW w:w="1143" w:type="dxa"/>
            <w:tcBorders>
              <w:top w:val="single" w:sz="4" w:space="0" w:color="000000"/>
              <w:bottom w:val="single" w:sz="4" w:space="0" w:color="000000"/>
            </w:tcBorders>
          </w:tcPr>
          <w:p>
            <w:pPr>
              <w:pStyle w:val="TableParagraph"/>
              <w:rPr>
                <w:rFonts w:ascii="Times New Roman"/>
                <w:sz w:val="14"/>
              </w:rPr>
            </w:pPr>
          </w:p>
        </w:tc>
        <w:tc>
          <w:tcPr>
            <w:tcW w:w="1136" w:type="dxa"/>
            <w:tcBorders>
              <w:top w:val="single" w:sz="4" w:space="0" w:color="000000"/>
              <w:bottom w:val="single" w:sz="4" w:space="0" w:color="000000"/>
            </w:tcBorders>
          </w:tcPr>
          <w:p>
            <w:pPr>
              <w:pStyle w:val="TableParagraph"/>
              <w:rPr>
                <w:rFonts w:ascii="Times New Roman"/>
                <w:sz w:val="14"/>
              </w:rPr>
            </w:pPr>
          </w:p>
        </w:tc>
        <w:tc>
          <w:tcPr>
            <w:tcW w:w="1192" w:type="dxa"/>
            <w:tcBorders>
              <w:top w:val="single" w:sz="4" w:space="0" w:color="000000"/>
              <w:bottom w:val="single" w:sz="4" w:space="0" w:color="000000"/>
            </w:tcBorders>
          </w:tcPr>
          <w:p>
            <w:pPr>
              <w:pStyle w:val="TableParagraph"/>
              <w:rPr>
                <w:rFonts w:ascii="Times New Roman"/>
                <w:sz w:val="14"/>
              </w:rPr>
            </w:pPr>
          </w:p>
        </w:tc>
        <w:tc>
          <w:tcPr>
            <w:tcW w:w="1202" w:type="dxa"/>
            <w:tcBorders>
              <w:top w:val="single" w:sz="4" w:space="0" w:color="000000"/>
              <w:bottom w:val="single" w:sz="4" w:space="0" w:color="000000"/>
              <w:right w:val="single" w:sz="4" w:space="0" w:color="000000"/>
            </w:tcBorders>
          </w:tcPr>
          <w:p>
            <w:pPr>
              <w:pStyle w:val="TableParagraph"/>
              <w:spacing w:line="145" w:lineRule="exact" w:before="135"/>
              <w:ind w:right="66"/>
              <w:jc w:val="right"/>
              <w:rPr>
                <w:b/>
                <w:sz w:val="14"/>
              </w:rPr>
            </w:pPr>
            <w:r>
              <w:rPr>
                <w:b/>
                <w:spacing w:val="-4"/>
                <w:sz w:val="14"/>
              </w:rPr>
              <w:t>0,00</w:t>
            </w:r>
          </w:p>
        </w:tc>
      </w:tr>
      <w:tr>
        <w:trPr>
          <w:trHeight w:val="302" w:hRule="atLeast"/>
        </w:trPr>
        <w:tc>
          <w:tcPr>
            <w:tcW w:w="2765" w:type="dxa"/>
            <w:vMerge/>
            <w:tcBorders>
              <w:top w:val="nil"/>
              <w:left w:val="single" w:sz="4" w:space="0" w:color="000000"/>
              <w:bottom w:val="single" w:sz="4" w:space="0" w:color="000000"/>
            </w:tcBorders>
          </w:tcPr>
          <w:p>
            <w:pPr>
              <w:rPr>
                <w:sz w:val="2"/>
                <w:szCs w:val="2"/>
              </w:rPr>
            </w:pPr>
          </w:p>
        </w:tc>
        <w:tc>
          <w:tcPr>
            <w:tcW w:w="1291" w:type="dxa"/>
            <w:tcBorders>
              <w:top w:val="single" w:sz="4" w:space="0" w:color="000000"/>
              <w:bottom w:val="single" w:sz="4" w:space="0" w:color="000000"/>
            </w:tcBorders>
          </w:tcPr>
          <w:p>
            <w:pPr>
              <w:pStyle w:val="TableParagraph"/>
              <w:spacing w:line="147" w:lineRule="exact" w:before="135"/>
              <w:ind w:right="131"/>
              <w:jc w:val="right"/>
              <w:rPr>
                <w:b/>
                <w:sz w:val="14"/>
              </w:rPr>
            </w:pPr>
            <w:r>
              <w:rPr>
                <w:b/>
                <w:spacing w:val="-2"/>
                <w:sz w:val="14"/>
              </w:rPr>
              <w:t>46.778.111,65</w:t>
            </w:r>
          </w:p>
        </w:tc>
        <w:tc>
          <w:tcPr>
            <w:tcW w:w="1143" w:type="dxa"/>
            <w:tcBorders>
              <w:top w:val="single" w:sz="4" w:space="0" w:color="000000"/>
              <w:bottom w:val="single" w:sz="4" w:space="0" w:color="000000"/>
            </w:tcBorders>
          </w:tcPr>
          <w:p>
            <w:pPr>
              <w:pStyle w:val="TableParagraph"/>
              <w:rPr>
                <w:rFonts w:ascii="Times New Roman"/>
                <w:sz w:val="14"/>
              </w:rPr>
            </w:pPr>
          </w:p>
        </w:tc>
        <w:tc>
          <w:tcPr>
            <w:tcW w:w="1136" w:type="dxa"/>
            <w:tcBorders>
              <w:top w:val="single" w:sz="4" w:space="0" w:color="000000"/>
              <w:bottom w:val="single" w:sz="4" w:space="0" w:color="000000"/>
            </w:tcBorders>
          </w:tcPr>
          <w:p>
            <w:pPr>
              <w:pStyle w:val="TableParagraph"/>
              <w:rPr>
                <w:rFonts w:ascii="Times New Roman"/>
                <w:sz w:val="14"/>
              </w:rPr>
            </w:pPr>
          </w:p>
        </w:tc>
        <w:tc>
          <w:tcPr>
            <w:tcW w:w="1192" w:type="dxa"/>
            <w:tcBorders>
              <w:top w:val="single" w:sz="4" w:space="0" w:color="000000"/>
              <w:bottom w:val="single" w:sz="4" w:space="0" w:color="000000"/>
            </w:tcBorders>
          </w:tcPr>
          <w:p>
            <w:pPr>
              <w:pStyle w:val="TableParagraph"/>
              <w:rPr>
                <w:rFonts w:ascii="Times New Roman"/>
                <w:sz w:val="14"/>
              </w:rPr>
            </w:pPr>
          </w:p>
        </w:tc>
        <w:tc>
          <w:tcPr>
            <w:tcW w:w="1202" w:type="dxa"/>
            <w:tcBorders>
              <w:top w:val="single" w:sz="4" w:space="0" w:color="000000"/>
              <w:bottom w:val="single" w:sz="4" w:space="0" w:color="000000"/>
              <w:right w:val="single" w:sz="4" w:space="0" w:color="000000"/>
            </w:tcBorders>
          </w:tcPr>
          <w:p>
            <w:pPr>
              <w:pStyle w:val="TableParagraph"/>
              <w:spacing w:line="147" w:lineRule="exact" w:before="135"/>
              <w:ind w:right="67"/>
              <w:jc w:val="right"/>
              <w:rPr>
                <w:b/>
                <w:sz w:val="14"/>
              </w:rPr>
            </w:pPr>
            <w:r>
              <w:rPr>
                <w:b/>
                <w:spacing w:val="-2"/>
                <w:sz w:val="14"/>
              </w:rPr>
              <w:t>52.849.029,14</w:t>
            </w:r>
          </w:p>
        </w:tc>
      </w:tr>
    </w:tbl>
    <w:p>
      <w:pPr>
        <w:pStyle w:val="BodyText"/>
        <w:spacing w:before="2" w:after="1"/>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5"/>
        <w:gridCol w:w="1291"/>
        <w:gridCol w:w="1143"/>
        <w:gridCol w:w="1136"/>
        <w:gridCol w:w="1131"/>
        <w:gridCol w:w="1262"/>
      </w:tblGrid>
      <w:tr>
        <w:trPr>
          <w:trHeight w:val="602" w:hRule="atLeast"/>
        </w:trPr>
        <w:tc>
          <w:tcPr>
            <w:tcW w:w="2765" w:type="dxa"/>
            <w:tcBorders>
              <w:bottom w:val="nil"/>
              <w:right w:val="nil"/>
            </w:tcBorders>
          </w:tcPr>
          <w:p>
            <w:pPr>
              <w:pStyle w:val="TableParagraph"/>
              <w:rPr>
                <w:sz w:val="16"/>
              </w:rPr>
            </w:pPr>
          </w:p>
          <w:p>
            <w:pPr>
              <w:pStyle w:val="TableParagraph"/>
              <w:spacing w:before="45"/>
              <w:rPr>
                <w:sz w:val="16"/>
              </w:rPr>
            </w:pPr>
          </w:p>
          <w:p>
            <w:pPr>
              <w:pStyle w:val="TableParagraph"/>
              <w:spacing w:line="168" w:lineRule="exact"/>
              <w:ind w:left="69"/>
              <w:rPr>
                <w:b/>
                <w:i/>
                <w:sz w:val="16"/>
              </w:rPr>
            </w:pPr>
            <w:r>
              <w:rPr>
                <w:b/>
                <w:i/>
                <w:sz w:val="16"/>
                <w:u w:val="single"/>
              </w:rPr>
              <w:t>Costes</w:t>
            </w:r>
            <w:r>
              <w:rPr>
                <w:b/>
                <w:i/>
                <w:spacing w:val="-7"/>
                <w:sz w:val="16"/>
                <w:u w:val="single"/>
              </w:rPr>
              <w:t> </w:t>
            </w:r>
            <w:r>
              <w:rPr>
                <w:b/>
                <w:i/>
                <w:spacing w:val="-2"/>
                <w:sz w:val="16"/>
                <w:u w:val="single"/>
              </w:rPr>
              <w:t>brutos</w:t>
            </w:r>
          </w:p>
        </w:tc>
        <w:tc>
          <w:tcPr>
            <w:tcW w:w="1291" w:type="dxa"/>
            <w:tcBorders>
              <w:left w:val="nil"/>
              <w:right w:val="nil"/>
            </w:tcBorders>
          </w:tcPr>
          <w:p>
            <w:pPr>
              <w:pStyle w:val="TableParagraph"/>
              <w:spacing w:line="300" w:lineRule="exact"/>
              <w:ind w:left="213" w:firstLine="182"/>
              <w:rPr>
                <w:b/>
                <w:sz w:val="16"/>
              </w:rPr>
            </w:pPr>
            <w:r>
              <w:rPr>
                <w:b/>
                <w:spacing w:val="-2"/>
                <w:sz w:val="16"/>
              </w:rPr>
              <w:t>Saldo 31/12/2023</w:t>
            </w:r>
          </w:p>
        </w:tc>
        <w:tc>
          <w:tcPr>
            <w:tcW w:w="1143" w:type="dxa"/>
            <w:tcBorders>
              <w:left w:val="nil"/>
              <w:right w:val="nil"/>
            </w:tcBorders>
          </w:tcPr>
          <w:p>
            <w:pPr>
              <w:pStyle w:val="TableParagraph"/>
              <w:rPr>
                <w:sz w:val="16"/>
              </w:rPr>
            </w:pPr>
          </w:p>
          <w:p>
            <w:pPr>
              <w:pStyle w:val="TableParagraph"/>
              <w:spacing w:before="43"/>
              <w:rPr>
                <w:sz w:val="16"/>
              </w:rPr>
            </w:pPr>
          </w:p>
          <w:p>
            <w:pPr>
              <w:pStyle w:val="TableParagraph"/>
              <w:spacing w:line="171" w:lineRule="exact"/>
              <w:ind w:right="83"/>
              <w:jc w:val="center"/>
              <w:rPr>
                <w:b/>
                <w:sz w:val="16"/>
              </w:rPr>
            </w:pPr>
            <w:r>
              <w:rPr>
                <w:b/>
                <w:spacing w:val="-2"/>
                <w:sz w:val="16"/>
              </w:rPr>
              <w:t>Altas</w:t>
            </w:r>
          </w:p>
        </w:tc>
        <w:tc>
          <w:tcPr>
            <w:tcW w:w="1136" w:type="dxa"/>
            <w:tcBorders>
              <w:left w:val="nil"/>
              <w:right w:val="nil"/>
            </w:tcBorders>
          </w:tcPr>
          <w:p>
            <w:pPr>
              <w:pStyle w:val="TableParagraph"/>
              <w:rPr>
                <w:sz w:val="16"/>
              </w:rPr>
            </w:pPr>
          </w:p>
          <w:p>
            <w:pPr>
              <w:pStyle w:val="TableParagraph"/>
              <w:spacing w:before="43"/>
              <w:rPr>
                <w:sz w:val="16"/>
              </w:rPr>
            </w:pPr>
          </w:p>
          <w:p>
            <w:pPr>
              <w:pStyle w:val="TableParagraph"/>
              <w:spacing w:line="171" w:lineRule="exact"/>
              <w:ind w:left="314"/>
              <w:rPr>
                <w:b/>
                <w:sz w:val="16"/>
              </w:rPr>
            </w:pPr>
            <w:r>
              <w:rPr>
                <w:b/>
                <w:spacing w:val="-2"/>
                <w:sz w:val="16"/>
              </w:rPr>
              <w:t>Bajas</w:t>
            </w:r>
          </w:p>
        </w:tc>
        <w:tc>
          <w:tcPr>
            <w:tcW w:w="1131" w:type="dxa"/>
            <w:tcBorders>
              <w:left w:val="nil"/>
              <w:right w:val="nil"/>
            </w:tcBorders>
          </w:tcPr>
          <w:p>
            <w:pPr>
              <w:pStyle w:val="TableParagraph"/>
              <w:rPr>
                <w:sz w:val="16"/>
              </w:rPr>
            </w:pPr>
          </w:p>
          <w:p>
            <w:pPr>
              <w:pStyle w:val="TableParagraph"/>
              <w:spacing w:before="43"/>
              <w:rPr>
                <w:sz w:val="16"/>
              </w:rPr>
            </w:pPr>
          </w:p>
          <w:p>
            <w:pPr>
              <w:pStyle w:val="TableParagraph"/>
              <w:spacing w:line="171" w:lineRule="exact"/>
              <w:ind w:left="132"/>
              <w:rPr>
                <w:b/>
                <w:sz w:val="16"/>
              </w:rPr>
            </w:pPr>
            <w:r>
              <w:rPr>
                <w:b/>
                <w:spacing w:val="-2"/>
                <w:sz w:val="16"/>
              </w:rPr>
              <w:t>Traspasos</w:t>
            </w:r>
          </w:p>
        </w:tc>
        <w:tc>
          <w:tcPr>
            <w:tcW w:w="1262" w:type="dxa"/>
            <w:tcBorders>
              <w:left w:val="nil"/>
            </w:tcBorders>
          </w:tcPr>
          <w:p>
            <w:pPr>
              <w:pStyle w:val="TableParagraph"/>
              <w:spacing w:line="300" w:lineRule="exact"/>
              <w:ind w:left="226" w:firstLine="182"/>
              <w:rPr>
                <w:b/>
                <w:sz w:val="16"/>
              </w:rPr>
            </w:pPr>
            <w:r>
              <w:rPr>
                <w:b/>
                <w:spacing w:val="-2"/>
                <w:sz w:val="16"/>
              </w:rPr>
              <w:t>Saldo 31/12/2024</w:t>
            </w:r>
          </w:p>
        </w:tc>
      </w:tr>
      <w:tr>
        <w:trPr>
          <w:trHeight w:val="1799" w:hRule="atLeast"/>
        </w:trPr>
        <w:tc>
          <w:tcPr>
            <w:tcW w:w="2765" w:type="dxa"/>
            <w:vMerge w:val="restart"/>
            <w:tcBorders>
              <w:top w:val="nil"/>
              <w:right w:val="nil"/>
            </w:tcBorders>
          </w:tcPr>
          <w:p>
            <w:pPr>
              <w:pStyle w:val="TableParagraph"/>
              <w:spacing w:line="391" w:lineRule="auto" w:before="111"/>
              <w:ind w:left="69"/>
              <w:rPr>
                <w:sz w:val="16"/>
              </w:rPr>
            </w:pPr>
            <w:r>
              <w:rPr>
                <w:sz w:val="16"/>
              </w:rPr>
              <w:t>Terrenos y construcciones Instalaciones</w:t>
            </w:r>
            <w:r>
              <w:rPr>
                <w:spacing w:val="-12"/>
                <w:sz w:val="16"/>
              </w:rPr>
              <w:t> </w:t>
            </w:r>
            <w:r>
              <w:rPr>
                <w:sz w:val="16"/>
              </w:rPr>
              <w:t>Técnicas</w:t>
            </w:r>
            <w:r>
              <w:rPr>
                <w:spacing w:val="-11"/>
                <w:sz w:val="16"/>
              </w:rPr>
              <w:t> </w:t>
            </w:r>
            <w:r>
              <w:rPr>
                <w:sz w:val="16"/>
              </w:rPr>
              <w:t>y</w:t>
            </w:r>
            <w:r>
              <w:rPr>
                <w:spacing w:val="-11"/>
                <w:sz w:val="16"/>
              </w:rPr>
              <w:t> </w:t>
            </w:r>
            <w:r>
              <w:rPr>
                <w:sz w:val="16"/>
              </w:rPr>
              <w:t>maquinaria Otras instalac, utillaje y mobiliario Elementos de transporte</w:t>
            </w:r>
          </w:p>
          <w:p>
            <w:pPr>
              <w:pStyle w:val="TableParagraph"/>
              <w:ind w:left="69"/>
              <w:rPr>
                <w:sz w:val="16"/>
              </w:rPr>
            </w:pPr>
            <w:r>
              <w:rPr>
                <w:sz w:val="16"/>
              </w:rPr>
              <w:t>Otro </w:t>
            </w:r>
            <w:r>
              <w:rPr>
                <w:spacing w:val="-2"/>
                <w:sz w:val="16"/>
              </w:rPr>
              <w:t>inmovilizado</w:t>
            </w:r>
          </w:p>
          <w:p>
            <w:pPr>
              <w:pStyle w:val="TableParagraph"/>
              <w:spacing w:before="116"/>
              <w:ind w:left="69"/>
              <w:rPr>
                <w:sz w:val="16"/>
              </w:rPr>
            </w:pPr>
            <w:r>
              <w:rPr>
                <w:sz w:val="16"/>
              </w:rPr>
              <w:t>Inmovilizado</w:t>
            </w:r>
            <w:r>
              <w:rPr>
                <w:spacing w:val="-5"/>
                <w:sz w:val="16"/>
              </w:rPr>
              <w:t> </w:t>
            </w:r>
            <w:r>
              <w:rPr>
                <w:sz w:val="16"/>
              </w:rPr>
              <w:t>en</w:t>
            </w:r>
            <w:r>
              <w:rPr>
                <w:spacing w:val="-6"/>
                <w:sz w:val="16"/>
              </w:rPr>
              <w:t> </w:t>
            </w:r>
            <w:r>
              <w:rPr>
                <w:spacing w:val="-2"/>
                <w:sz w:val="16"/>
              </w:rPr>
              <w:t>curso</w:t>
            </w:r>
          </w:p>
          <w:p>
            <w:pPr>
              <w:pStyle w:val="TableParagraph"/>
              <w:spacing w:before="66"/>
              <w:ind w:left="2311"/>
              <w:rPr>
                <w:b/>
                <w:sz w:val="16"/>
              </w:rPr>
            </w:pPr>
            <w:r>
              <w:rPr>
                <w:b/>
                <w:spacing w:val="-2"/>
                <w:sz w:val="16"/>
              </w:rPr>
              <w:t>Total</w:t>
            </w:r>
          </w:p>
          <w:p>
            <w:pPr>
              <w:pStyle w:val="TableParagraph"/>
              <w:spacing w:before="2"/>
              <w:rPr>
                <w:sz w:val="16"/>
              </w:rPr>
            </w:pPr>
          </w:p>
          <w:p>
            <w:pPr>
              <w:pStyle w:val="TableParagraph"/>
              <w:ind w:left="69"/>
              <w:rPr>
                <w:b/>
                <w:i/>
                <w:sz w:val="16"/>
              </w:rPr>
            </w:pPr>
            <w:r>
              <w:rPr>
                <w:b/>
                <w:i/>
                <w:sz w:val="16"/>
                <w:u w:val="single"/>
              </w:rPr>
              <w:t>Amortización</w:t>
            </w:r>
            <w:r>
              <w:rPr>
                <w:b/>
                <w:i/>
                <w:spacing w:val="-9"/>
                <w:sz w:val="16"/>
                <w:u w:val="single"/>
              </w:rPr>
              <w:t> </w:t>
            </w:r>
            <w:r>
              <w:rPr>
                <w:b/>
                <w:i/>
                <w:spacing w:val="-2"/>
                <w:sz w:val="16"/>
                <w:u w:val="single"/>
              </w:rPr>
              <w:t>Acumulada</w:t>
            </w:r>
          </w:p>
          <w:p>
            <w:pPr>
              <w:pStyle w:val="TableParagraph"/>
              <w:spacing w:before="116"/>
              <w:ind w:left="69"/>
              <w:rPr>
                <w:sz w:val="16"/>
              </w:rPr>
            </w:pPr>
            <w:r>
              <w:rPr>
                <w:spacing w:val="-2"/>
                <w:sz w:val="16"/>
              </w:rPr>
              <w:t>Construcciones</w:t>
            </w:r>
          </w:p>
          <w:p>
            <w:pPr>
              <w:pStyle w:val="TableParagraph"/>
              <w:spacing w:line="391" w:lineRule="auto" w:before="116"/>
              <w:ind w:left="69"/>
              <w:rPr>
                <w:sz w:val="16"/>
              </w:rPr>
            </w:pPr>
            <w:r>
              <w:rPr>
                <w:sz w:val="16"/>
              </w:rPr>
              <w:t>Instalaciones</w:t>
            </w:r>
            <w:r>
              <w:rPr>
                <w:spacing w:val="-12"/>
                <w:sz w:val="16"/>
              </w:rPr>
              <w:t> </w:t>
            </w:r>
            <w:r>
              <w:rPr>
                <w:sz w:val="16"/>
              </w:rPr>
              <w:t>Técnicas</w:t>
            </w:r>
            <w:r>
              <w:rPr>
                <w:spacing w:val="-11"/>
                <w:sz w:val="16"/>
              </w:rPr>
              <w:t> </w:t>
            </w:r>
            <w:r>
              <w:rPr>
                <w:sz w:val="16"/>
              </w:rPr>
              <w:t>y</w:t>
            </w:r>
            <w:r>
              <w:rPr>
                <w:spacing w:val="-11"/>
                <w:sz w:val="16"/>
              </w:rPr>
              <w:t> </w:t>
            </w:r>
            <w:r>
              <w:rPr>
                <w:sz w:val="16"/>
              </w:rPr>
              <w:t>maquinaria Otras instalac, utillaje y mobiliario Elementos de transporte</w:t>
            </w:r>
          </w:p>
          <w:p>
            <w:pPr>
              <w:pStyle w:val="TableParagraph"/>
              <w:ind w:left="69"/>
              <w:rPr>
                <w:sz w:val="16"/>
              </w:rPr>
            </w:pPr>
            <w:r>
              <w:rPr>
                <w:sz w:val="16"/>
              </w:rPr>
              <w:t>Otro </w:t>
            </w:r>
            <w:r>
              <w:rPr>
                <w:spacing w:val="-2"/>
                <w:sz w:val="16"/>
              </w:rPr>
              <w:t>inmovilizado</w:t>
            </w:r>
          </w:p>
          <w:p>
            <w:pPr>
              <w:pStyle w:val="TableParagraph"/>
              <w:spacing w:before="66"/>
              <w:ind w:left="2311"/>
              <w:rPr>
                <w:b/>
                <w:sz w:val="16"/>
              </w:rPr>
            </w:pPr>
            <w:r>
              <w:rPr>
                <w:b/>
                <w:spacing w:val="-2"/>
                <w:sz w:val="16"/>
              </w:rPr>
              <w:t>Total</w:t>
            </w:r>
          </w:p>
          <w:p>
            <w:pPr>
              <w:pStyle w:val="TableParagraph"/>
              <w:spacing w:before="130"/>
              <w:ind w:left="69"/>
              <w:rPr>
                <w:b/>
                <w:i/>
                <w:sz w:val="16"/>
              </w:rPr>
            </w:pPr>
            <w:r>
              <w:rPr>
                <w:b/>
                <w:i/>
                <w:spacing w:val="-2"/>
                <w:sz w:val="16"/>
                <w:u w:val="single"/>
              </w:rPr>
              <w:t>Deterioro</w:t>
            </w:r>
          </w:p>
          <w:p>
            <w:pPr>
              <w:pStyle w:val="TableParagraph"/>
              <w:tabs>
                <w:tab w:pos="2302" w:val="left" w:leader="none"/>
              </w:tabs>
              <w:spacing w:before="181"/>
              <w:ind w:left="69"/>
              <w:rPr>
                <w:b/>
                <w:sz w:val="16"/>
              </w:rPr>
            </w:pPr>
            <w:r>
              <w:rPr>
                <w:sz w:val="16"/>
              </w:rPr>
              <w:t>Elementos</w:t>
            </w:r>
            <w:r>
              <w:rPr>
                <w:spacing w:val="-1"/>
                <w:sz w:val="16"/>
              </w:rPr>
              <w:t> </w:t>
            </w:r>
            <w:r>
              <w:rPr>
                <w:sz w:val="16"/>
              </w:rPr>
              <w:t>de</w:t>
            </w:r>
            <w:r>
              <w:rPr>
                <w:spacing w:val="-5"/>
                <w:sz w:val="16"/>
              </w:rPr>
              <w:t> </w:t>
            </w:r>
            <w:r>
              <w:rPr>
                <w:spacing w:val="-2"/>
                <w:sz w:val="16"/>
              </w:rPr>
              <w:t>transporte</w:t>
            </w:r>
            <w:r>
              <w:rPr>
                <w:sz w:val="16"/>
              </w:rPr>
              <w:tab/>
            </w:r>
            <w:r>
              <w:rPr>
                <w:b/>
                <w:spacing w:val="-4"/>
                <w:sz w:val="16"/>
              </w:rPr>
              <w:t>Total</w:t>
            </w:r>
          </w:p>
          <w:p>
            <w:pPr>
              <w:pStyle w:val="TableParagraph"/>
              <w:spacing w:before="68"/>
              <w:ind w:left="2354"/>
              <w:rPr>
                <w:b/>
                <w:sz w:val="16"/>
              </w:rPr>
            </w:pPr>
            <w:r>
              <w:rPr>
                <w:b/>
                <w:spacing w:val="-5"/>
                <w:sz w:val="16"/>
              </w:rPr>
              <w:t>VNC</w:t>
            </w:r>
          </w:p>
        </w:tc>
        <w:tc>
          <w:tcPr>
            <w:tcW w:w="1291" w:type="dxa"/>
            <w:tcBorders>
              <w:left w:val="nil"/>
              <w:right w:val="nil"/>
            </w:tcBorders>
          </w:tcPr>
          <w:p>
            <w:pPr>
              <w:pStyle w:val="TableParagraph"/>
              <w:spacing w:before="137"/>
              <w:ind w:left="263"/>
              <w:rPr>
                <w:sz w:val="14"/>
              </w:rPr>
            </w:pPr>
            <w:r>
              <w:rPr>
                <w:spacing w:val="-2"/>
                <w:sz w:val="14"/>
              </w:rPr>
              <w:t>14.273.902,01</w:t>
            </w:r>
          </w:p>
          <w:p>
            <w:pPr>
              <w:pStyle w:val="TableParagraph"/>
              <w:spacing w:before="139"/>
              <w:ind w:left="340"/>
              <w:rPr>
                <w:sz w:val="14"/>
              </w:rPr>
            </w:pPr>
            <w:r>
              <w:rPr>
                <w:spacing w:val="-2"/>
                <w:sz w:val="14"/>
              </w:rPr>
              <w:t>2.174.563,28</w:t>
            </w:r>
          </w:p>
          <w:p>
            <w:pPr>
              <w:pStyle w:val="TableParagraph"/>
              <w:spacing w:before="139"/>
              <w:ind w:left="340"/>
              <w:rPr>
                <w:sz w:val="14"/>
              </w:rPr>
            </w:pPr>
            <w:r>
              <w:rPr>
                <w:spacing w:val="-2"/>
                <w:sz w:val="14"/>
              </w:rPr>
              <w:t>1.487.151,75</w:t>
            </w:r>
          </w:p>
          <w:p>
            <w:pPr>
              <w:pStyle w:val="TableParagraph"/>
              <w:spacing w:before="139"/>
              <w:ind w:left="263"/>
              <w:rPr>
                <w:sz w:val="14"/>
              </w:rPr>
            </w:pPr>
            <w:r>
              <w:rPr>
                <w:spacing w:val="-2"/>
                <w:sz w:val="14"/>
              </w:rPr>
              <w:t>70.867.312,88</w:t>
            </w:r>
          </w:p>
          <w:p>
            <w:pPr>
              <w:pStyle w:val="TableParagraph"/>
              <w:spacing w:before="139"/>
              <w:ind w:left="340"/>
              <w:rPr>
                <w:sz w:val="14"/>
              </w:rPr>
            </w:pPr>
            <w:r>
              <w:rPr>
                <w:spacing w:val="-2"/>
                <w:sz w:val="14"/>
              </w:rPr>
              <w:t>6.161.101,51</w:t>
            </w:r>
          </w:p>
          <w:p>
            <w:pPr>
              <w:pStyle w:val="TableParagraph"/>
              <w:spacing w:line="142" w:lineRule="exact" w:before="139"/>
              <w:ind w:left="458"/>
              <w:rPr>
                <w:sz w:val="14"/>
              </w:rPr>
            </w:pPr>
            <w:r>
              <w:rPr>
                <w:spacing w:val="-2"/>
                <w:sz w:val="14"/>
              </w:rPr>
              <w:t>379.434,93</w:t>
            </w:r>
          </w:p>
        </w:tc>
        <w:tc>
          <w:tcPr>
            <w:tcW w:w="1143" w:type="dxa"/>
            <w:tcBorders>
              <w:left w:val="nil"/>
              <w:right w:val="nil"/>
            </w:tcBorders>
          </w:tcPr>
          <w:p>
            <w:pPr>
              <w:pStyle w:val="TableParagraph"/>
              <w:spacing w:before="137"/>
              <w:ind w:right="91"/>
              <w:jc w:val="right"/>
              <w:rPr>
                <w:sz w:val="14"/>
              </w:rPr>
            </w:pPr>
            <w:r>
              <w:rPr>
                <w:spacing w:val="-2"/>
                <w:sz w:val="14"/>
              </w:rPr>
              <w:t>585.039,99</w:t>
            </w:r>
          </w:p>
          <w:p>
            <w:pPr>
              <w:pStyle w:val="TableParagraph"/>
              <w:spacing w:before="139"/>
              <w:ind w:right="91"/>
              <w:jc w:val="right"/>
              <w:rPr>
                <w:sz w:val="14"/>
              </w:rPr>
            </w:pPr>
            <w:r>
              <w:rPr>
                <w:spacing w:val="-2"/>
                <w:sz w:val="14"/>
              </w:rPr>
              <w:t>1.544.507,08</w:t>
            </w:r>
          </w:p>
          <w:p>
            <w:pPr>
              <w:pStyle w:val="TableParagraph"/>
              <w:spacing w:before="139"/>
              <w:ind w:right="91"/>
              <w:jc w:val="right"/>
              <w:rPr>
                <w:sz w:val="14"/>
              </w:rPr>
            </w:pPr>
            <w:r>
              <w:rPr>
                <w:spacing w:val="-2"/>
                <w:sz w:val="14"/>
              </w:rPr>
              <w:t>130.889,51</w:t>
            </w:r>
          </w:p>
          <w:p>
            <w:pPr>
              <w:pStyle w:val="TableParagraph"/>
              <w:spacing w:before="139"/>
              <w:ind w:right="91"/>
              <w:jc w:val="right"/>
              <w:rPr>
                <w:sz w:val="14"/>
              </w:rPr>
            </w:pPr>
            <w:r>
              <w:rPr>
                <w:spacing w:val="-2"/>
                <w:sz w:val="14"/>
              </w:rPr>
              <w:t>9.863.470,60</w:t>
            </w:r>
          </w:p>
          <w:p>
            <w:pPr>
              <w:pStyle w:val="TableParagraph"/>
              <w:spacing w:before="139"/>
              <w:ind w:right="91"/>
              <w:jc w:val="right"/>
              <w:rPr>
                <w:sz w:val="14"/>
              </w:rPr>
            </w:pPr>
            <w:r>
              <w:rPr>
                <w:spacing w:val="-2"/>
                <w:sz w:val="14"/>
              </w:rPr>
              <w:t>1.882.225,79</w:t>
            </w:r>
          </w:p>
          <w:p>
            <w:pPr>
              <w:pStyle w:val="TableParagraph"/>
              <w:spacing w:line="142" w:lineRule="exact" w:before="139"/>
              <w:ind w:left="350"/>
              <w:rPr>
                <w:sz w:val="14"/>
              </w:rPr>
            </w:pPr>
            <w:r>
              <w:rPr>
                <w:spacing w:val="-2"/>
                <w:sz w:val="14"/>
              </w:rPr>
              <w:t>506.700,55</w:t>
            </w:r>
          </w:p>
        </w:tc>
        <w:tc>
          <w:tcPr>
            <w:tcW w:w="1136" w:type="dxa"/>
            <w:tcBorders>
              <w:left w:val="nil"/>
              <w:right w:val="nil"/>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71"/>
              <w:rPr>
                <w:sz w:val="14"/>
              </w:rPr>
            </w:pPr>
          </w:p>
          <w:p>
            <w:pPr>
              <w:pStyle w:val="TableParagraph"/>
              <w:ind w:right="125"/>
              <w:jc w:val="right"/>
              <w:rPr>
                <w:sz w:val="14"/>
              </w:rPr>
            </w:pPr>
            <w:r>
              <w:rPr>
                <w:spacing w:val="-2"/>
                <w:sz w:val="14"/>
              </w:rPr>
              <w:t>(4.068.247,04)</w:t>
            </w:r>
          </w:p>
        </w:tc>
        <w:tc>
          <w:tcPr>
            <w:tcW w:w="2393" w:type="dxa"/>
            <w:gridSpan w:val="2"/>
            <w:tcBorders>
              <w:left w:val="nil"/>
            </w:tcBorders>
          </w:tcPr>
          <w:p>
            <w:pPr>
              <w:pStyle w:val="TableParagraph"/>
              <w:spacing w:before="137"/>
              <w:ind w:left="1426"/>
              <w:rPr>
                <w:sz w:val="14"/>
              </w:rPr>
            </w:pPr>
            <w:r>
              <w:rPr>
                <w:spacing w:val="-2"/>
                <w:sz w:val="14"/>
              </w:rPr>
              <w:t>14.858.942,00</w:t>
            </w:r>
          </w:p>
          <w:p>
            <w:pPr>
              <w:pStyle w:val="TableParagraph"/>
              <w:spacing w:before="139"/>
              <w:ind w:left="1503"/>
              <w:rPr>
                <w:sz w:val="14"/>
              </w:rPr>
            </w:pPr>
            <w:r>
              <w:rPr>
                <w:spacing w:val="-2"/>
                <w:sz w:val="14"/>
              </w:rPr>
              <w:t>3.719.070,36</w:t>
            </w:r>
          </w:p>
          <w:p>
            <w:pPr>
              <w:pStyle w:val="TableParagraph"/>
              <w:spacing w:before="139"/>
              <w:ind w:left="1503"/>
              <w:rPr>
                <w:sz w:val="14"/>
              </w:rPr>
            </w:pPr>
            <w:r>
              <w:rPr>
                <w:spacing w:val="-2"/>
                <w:sz w:val="14"/>
              </w:rPr>
              <w:t>1.618.041,26</w:t>
            </w:r>
          </w:p>
          <w:p>
            <w:pPr>
              <w:pStyle w:val="TableParagraph"/>
              <w:spacing w:before="139"/>
              <w:ind w:left="1426"/>
              <w:rPr>
                <w:sz w:val="14"/>
              </w:rPr>
            </w:pPr>
            <w:r>
              <w:rPr>
                <w:spacing w:val="-2"/>
                <w:sz w:val="14"/>
              </w:rPr>
              <w:t>76,662,536,44</w:t>
            </w:r>
          </w:p>
          <w:p>
            <w:pPr>
              <w:pStyle w:val="TableParagraph"/>
              <w:spacing w:before="139"/>
              <w:ind w:left="1503"/>
              <w:rPr>
                <w:sz w:val="14"/>
              </w:rPr>
            </w:pPr>
            <w:r>
              <w:rPr>
                <w:spacing w:val="-2"/>
                <w:sz w:val="14"/>
              </w:rPr>
              <w:t>8,043,327,30</w:t>
            </w:r>
          </w:p>
          <w:p>
            <w:pPr>
              <w:pStyle w:val="TableParagraph"/>
              <w:spacing w:line="142" w:lineRule="exact" w:before="139"/>
              <w:ind w:right="65"/>
              <w:jc w:val="right"/>
              <w:rPr>
                <w:sz w:val="14"/>
              </w:rPr>
            </w:pPr>
            <w:r>
              <w:rPr>
                <w:spacing w:val="-2"/>
                <w:sz w:val="14"/>
              </w:rPr>
              <w:t>886,135,48</w:t>
            </w:r>
          </w:p>
        </w:tc>
      </w:tr>
      <w:tr>
        <w:trPr>
          <w:trHeight w:val="299" w:hRule="atLeast"/>
        </w:trPr>
        <w:tc>
          <w:tcPr>
            <w:tcW w:w="2765" w:type="dxa"/>
            <w:vMerge/>
            <w:tcBorders>
              <w:top w:val="nil"/>
              <w:right w:val="nil"/>
            </w:tcBorders>
          </w:tcPr>
          <w:p>
            <w:pPr>
              <w:rPr>
                <w:sz w:val="2"/>
                <w:szCs w:val="2"/>
              </w:rPr>
            </w:pPr>
          </w:p>
        </w:tc>
        <w:tc>
          <w:tcPr>
            <w:tcW w:w="1291" w:type="dxa"/>
            <w:tcBorders>
              <w:left w:val="nil"/>
              <w:right w:val="nil"/>
            </w:tcBorders>
          </w:tcPr>
          <w:p>
            <w:pPr>
              <w:pStyle w:val="TableParagraph"/>
              <w:spacing w:line="145" w:lineRule="exact" w:before="135"/>
              <w:ind w:right="131"/>
              <w:jc w:val="right"/>
              <w:rPr>
                <w:b/>
                <w:sz w:val="14"/>
              </w:rPr>
            </w:pPr>
            <w:r>
              <w:rPr>
                <w:b/>
                <w:spacing w:val="-2"/>
                <w:sz w:val="14"/>
              </w:rPr>
              <w:t>95.343.466,36</w:t>
            </w:r>
          </w:p>
        </w:tc>
        <w:tc>
          <w:tcPr>
            <w:tcW w:w="1143" w:type="dxa"/>
            <w:tcBorders>
              <w:left w:val="nil"/>
              <w:right w:val="nil"/>
            </w:tcBorders>
          </w:tcPr>
          <w:p>
            <w:pPr>
              <w:pStyle w:val="TableParagraph"/>
              <w:spacing w:line="145" w:lineRule="exact" w:before="135"/>
              <w:ind w:left="62"/>
              <w:jc w:val="center"/>
              <w:rPr>
                <w:b/>
                <w:sz w:val="14"/>
              </w:rPr>
            </w:pPr>
            <w:r>
              <w:rPr>
                <w:b/>
                <w:spacing w:val="-2"/>
                <w:sz w:val="14"/>
              </w:rPr>
              <w:t>14.512.833,52</w:t>
            </w:r>
          </w:p>
        </w:tc>
        <w:tc>
          <w:tcPr>
            <w:tcW w:w="1136" w:type="dxa"/>
            <w:tcBorders>
              <w:left w:val="nil"/>
              <w:right w:val="nil"/>
            </w:tcBorders>
          </w:tcPr>
          <w:p>
            <w:pPr>
              <w:pStyle w:val="TableParagraph"/>
              <w:spacing w:line="145" w:lineRule="exact" w:before="135"/>
              <w:ind w:right="125"/>
              <w:jc w:val="right"/>
              <w:rPr>
                <w:b/>
                <w:sz w:val="14"/>
              </w:rPr>
            </w:pPr>
            <w:r>
              <w:rPr>
                <w:b/>
                <w:spacing w:val="-2"/>
                <w:sz w:val="14"/>
              </w:rPr>
              <w:t>(4.068.247,04)</w:t>
            </w:r>
          </w:p>
        </w:tc>
        <w:tc>
          <w:tcPr>
            <w:tcW w:w="2393" w:type="dxa"/>
            <w:gridSpan w:val="2"/>
            <w:tcBorders>
              <w:left w:val="nil"/>
            </w:tcBorders>
          </w:tcPr>
          <w:p>
            <w:pPr>
              <w:pStyle w:val="TableParagraph"/>
              <w:spacing w:line="145" w:lineRule="exact" w:before="135"/>
              <w:ind w:left="1347"/>
              <w:rPr>
                <w:b/>
                <w:sz w:val="14"/>
              </w:rPr>
            </w:pPr>
            <w:r>
              <w:rPr>
                <w:b/>
                <w:spacing w:val="-2"/>
                <w:sz w:val="14"/>
              </w:rPr>
              <w:t>105.788.052,84</w:t>
            </w:r>
          </w:p>
        </w:tc>
      </w:tr>
      <w:tr>
        <w:trPr>
          <w:trHeight w:val="1799" w:hRule="atLeast"/>
        </w:trPr>
        <w:tc>
          <w:tcPr>
            <w:tcW w:w="2765" w:type="dxa"/>
            <w:vMerge/>
            <w:tcBorders>
              <w:top w:val="nil"/>
              <w:right w:val="nil"/>
            </w:tcBorders>
          </w:tcPr>
          <w:p>
            <w:pPr>
              <w:rPr>
                <w:sz w:val="2"/>
                <w:szCs w:val="2"/>
              </w:rPr>
            </w:pPr>
          </w:p>
        </w:tc>
        <w:tc>
          <w:tcPr>
            <w:tcW w:w="1291" w:type="dxa"/>
            <w:tcBorders>
              <w:left w:val="nil"/>
              <w:right w:val="nil"/>
            </w:tcBorders>
          </w:tcPr>
          <w:p>
            <w:pPr>
              <w:pStyle w:val="TableParagraph"/>
              <w:rPr>
                <w:sz w:val="14"/>
              </w:rPr>
            </w:pPr>
          </w:p>
          <w:p>
            <w:pPr>
              <w:pStyle w:val="TableParagraph"/>
              <w:spacing w:before="115"/>
              <w:rPr>
                <w:sz w:val="14"/>
              </w:rPr>
            </w:pPr>
          </w:p>
          <w:p>
            <w:pPr>
              <w:pStyle w:val="TableParagraph"/>
              <w:ind w:right="131"/>
              <w:jc w:val="right"/>
              <w:rPr>
                <w:sz w:val="14"/>
              </w:rPr>
            </w:pPr>
            <w:r>
              <w:rPr>
                <w:spacing w:val="-2"/>
                <w:sz w:val="14"/>
              </w:rPr>
              <w:t>(4.953.434,02)</w:t>
            </w:r>
          </w:p>
          <w:p>
            <w:pPr>
              <w:pStyle w:val="TableParagraph"/>
              <w:spacing w:before="139"/>
              <w:ind w:right="131"/>
              <w:jc w:val="right"/>
              <w:rPr>
                <w:sz w:val="14"/>
              </w:rPr>
            </w:pPr>
            <w:r>
              <w:rPr>
                <w:spacing w:val="-2"/>
                <w:sz w:val="14"/>
              </w:rPr>
              <w:t>(1.707.915,12)</w:t>
            </w:r>
          </w:p>
          <w:p>
            <w:pPr>
              <w:pStyle w:val="TableParagraph"/>
              <w:spacing w:before="139"/>
              <w:ind w:right="131"/>
              <w:jc w:val="right"/>
              <w:rPr>
                <w:sz w:val="14"/>
              </w:rPr>
            </w:pPr>
            <w:r>
              <w:rPr>
                <w:spacing w:val="-2"/>
                <w:sz w:val="14"/>
              </w:rPr>
              <w:t>(948.645,17)</w:t>
            </w:r>
          </w:p>
          <w:p>
            <w:pPr>
              <w:pStyle w:val="TableParagraph"/>
              <w:spacing w:before="139"/>
              <w:ind w:right="131"/>
              <w:jc w:val="right"/>
              <w:rPr>
                <w:sz w:val="14"/>
              </w:rPr>
            </w:pPr>
            <w:r>
              <w:rPr>
                <w:spacing w:val="-2"/>
                <w:sz w:val="14"/>
              </w:rPr>
              <w:t>(44.523.920,85)</w:t>
            </w:r>
          </w:p>
          <w:p>
            <w:pPr>
              <w:pStyle w:val="TableParagraph"/>
              <w:spacing w:line="142" w:lineRule="exact" w:before="139"/>
              <w:ind w:left="249"/>
              <w:rPr>
                <w:sz w:val="14"/>
              </w:rPr>
            </w:pPr>
            <w:r>
              <w:rPr>
                <w:spacing w:val="-2"/>
                <w:sz w:val="14"/>
              </w:rPr>
              <w:t>(4.492.339,40)</w:t>
            </w:r>
          </w:p>
        </w:tc>
        <w:tc>
          <w:tcPr>
            <w:tcW w:w="1143" w:type="dxa"/>
            <w:tcBorders>
              <w:left w:val="nil"/>
              <w:right w:val="nil"/>
            </w:tcBorders>
          </w:tcPr>
          <w:p>
            <w:pPr>
              <w:pStyle w:val="TableParagraph"/>
              <w:rPr>
                <w:sz w:val="14"/>
              </w:rPr>
            </w:pPr>
          </w:p>
          <w:p>
            <w:pPr>
              <w:pStyle w:val="TableParagraph"/>
              <w:spacing w:before="115"/>
              <w:rPr>
                <w:sz w:val="14"/>
              </w:rPr>
            </w:pPr>
          </w:p>
          <w:p>
            <w:pPr>
              <w:pStyle w:val="TableParagraph"/>
              <w:ind w:right="91"/>
              <w:jc w:val="right"/>
              <w:rPr>
                <w:sz w:val="14"/>
              </w:rPr>
            </w:pPr>
            <w:r>
              <w:rPr>
                <w:spacing w:val="-2"/>
                <w:sz w:val="14"/>
              </w:rPr>
              <w:t>(341.266,41)</w:t>
            </w:r>
          </w:p>
          <w:p>
            <w:pPr>
              <w:pStyle w:val="TableParagraph"/>
              <w:spacing w:before="139"/>
              <w:ind w:right="91"/>
              <w:jc w:val="right"/>
              <w:rPr>
                <w:sz w:val="14"/>
              </w:rPr>
            </w:pPr>
            <w:r>
              <w:rPr>
                <w:spacing w:val="-2"/>
                <w:sz w:val="14"/>
              </w:rPr>
              <w:t>(121.985,03)</w:t>
            </w:r>
          </w:p>
          <w:p>
            <w:pPr>
              <w:pStyle w:val="TableParagraph"/>
              <w:spacing w:before="139"/>
              <w:ind w:right="91"/>
              <w:jc w:val="right"/>
              <w:rPr>
                <w:sz w:val="14"/>
              </w:rPr>
            </w:pPr>
            <w:r>
              <w:rPr>
                <w:spacing w:val="-2"/>
                <w:sz w:val="14"/>
              </w:rPr>
              <w:t>(103.536,45)</w:t>
            </w:r>
          </w:p>
          <w:p>
            <w:pPr>
              <w:pStyle w:val="TableParagraph"/>
              <w:spacing w:before="139"/>
              <w:ind w:right="91"/>
              <w:jc w:val="right"/>
              <w:rPr>
                <w:sz w:val="14"/>
              </w:rPr>
            </w:pPr>
            <w:r>
              <w:rPr>
                <w:spacing w:val="-2"/>
                <w:sz w:val="14"/>
              </w:rPr>
              <w:t>(5.021.672,35</w:t>
            </w:r>
            <w:r>
              <w:rPr>
                <w:color w:val="006FC0"/>
                <w:spacing w:val="-2"/>
                <w:sz w:val="14"/>
              </w:rPr>
              <w:t>)</w:t>
            </w:r>
          </w:p>
          <w:p>
            <w:pPr>
              <w:pStyle w:val="TableParagraph"/>
              <w:spacing w:line="142" w:lineRule="exact" w:before="139"/>
              <w:ind w:left="256"/>
              <w:rPr>
                <w:sz w:val="14"/>
              </w:rPr>
            </w:pPr>
            <w:r>
              <w:rPr>
                <w:spacing w:val="-2"/>
                <w:sz w:val="14"/>
              </w:rPr>
              <w:t>(472.754,69)</w:t>
            </w:r>
          </w:p>
        </w:tc>
        <w:tc>
          <w:tcPr>
            <w:tcW w:w="1136" w:type="dxa"/>
            <w:tcBorders>
              <w:left w:val="nil"/>
              <w:right w:val="nil"/>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49"/>
              <w:rPr>
                <w:sz w:val="14"/>
              </w:rPr>
            </w:pPr>
          </w:p>
          <w:p>
            <w:pPr>
              <w:pStyle w:val="TableParagraph"/>
              <w:ind w:right="126"/>
              <w:jc w:val="right"/>
              <w:rPr>
                <w:sz w:val="14"/>
              </w:rPr>
            </w:pPr>
            <w:r>
              <w:rPr>
                <w:spacing w:val="-2"/>
                <w:sz w:val="14"/>
              </w:rPr>
              <w:t>3.677.528,30</w:t>
            </w:r>
          </w:p>
        </w:tc>
        <w:tc>
          <w:tcPr>
            <w:tcW w:w="2393" w:type="dxa"/>
            <w:gridSpan w:val="2"/>
            <w:tcBorders>
              <w:left w:val="nil"/>
            </w:tcBorders>
          </w:tcPr>
          <w:p>
            <w:pPr>
              <w:pStyle w:val="TableParagraph"/>
              <w:rPr>
                <w:sz w:val="14"/>
              </w:rPr>
            </w:pPr>
          </w:p>
          <w:p>
            <w:pPr>
              <w:pStyle w:val="TableParagraph"/>
              <w:spacing w:before="115"/>
              <w:rPr>
                <w:sz w:val="14"/>
              </w:rPr>
            </w:pPr>
          </w:p>
          <w:p>
            <w:pPr>
              <w:pStyle w:val="TableParagraph"/>
              <w:ind w:left="1412"/>
              <w:rPr>
                <w:sz w:val="14"/>
              </w:rPr>
            </w:pPr>
            <w:r>
              <w:rPr>
                <w:spacing w:val="-2"/>
                <w:sz w:val="14"/>
              </w:rPr>
              <w:t>(5.294.700,43)</w:t>
            </w:r>
          </w:p>
          <w:p>
            <w:pPr>
              <w:pStyle w:val="TableParagraph"/>
              <w:spacing w:before="139"/>
              <w:ind w:left="1412"/>
              <w:rPr>
                <w:sz w:val="14"/>
              </w:rPr>
            </w:pPr>
            <w:r>
              <w:rPr>
                <w:spacing w:val="-2"/>
                <w:sz w:val="14"/>
              </w:rPr>
              <w:t>(1.829.900,15)</w:t>
            </w:r>
          </w:p>
          <w:p>
            <w:pPr>
              <w:pStyle w:val="TableParagraph"/>
              <w:spacing w:before="139"/>
              <w:ind w:left="1412"/>
              <w:rPr>
                <w:sz w:val="14"/>
              </w:rPr>
            </w:pPr>
            <w:r>
              <w:rPr>
                <w:spacing w:val="-2"/>
                <w:sz w:val="14"/>
              </w:rPr>
              <w:t>(1.052.181,62)</w:t>
            </w:r>
          </w:p>
          <w:p>
            <w:pPr>
              <w:pStyle w:val="TableParagraph"/>
              <w:spacing w:before="139"/>
              <w:ind w:left="1333"/>
              <w:rPr>
                <w:sz w:val="14"/>
              </w:rPr>
            </w:pPr>
            <w:r>
              <w:rPr>
                <w:spacing w:val="-2"/>
                <w:sz w:val="14"/>
              </w:rPr>
              <w:t>(45.868.064,90)</w:t>
            </w:r>
          </w:p>
          <w:p>
            <w:pPr>
              <w:pStyle w:val="TableParagraph"/>
              <w:spacing w:line="142" w:lineRule="exact" w:before="139"/>
              <w:ind w:left="1412"/>
              <w:rPr>
                <w:sz w:val="14"/>
              </w:rPr>
            </w:pPr>
            <w:r>
              <w:rPr>
                <w:spacing w:val="-2"/>
                <w:sz w:val="14"/>
              </w:rPr>
              <w:t>(4.965.094,09)</w:t>
            </w:r>
          </w:p>
        </w:tc>
      </w:tr>
      <w:tr>
        <w:trPr>
          <w:trHeight w:val="299" w:hRule="atLeast"/>
        </w:trPr>
        <w:tc>
          <w:tcPr>
            <w:tcW w:w="2765" w:type="dxa"/>
            <w:vMerge/>
            <w:tcBorders>
              <w:top w:val="nil"/>
              <w:right w:val="nil"/>
            </w:tcBorders>
          </w:tcPr>
          <w:p>
            <w:pPr>
              <w:rPr>
                <w:sz w:val="2"/>
                <w:szCs w:val="2"/>
              </w:rPr>
            </w:pPr>
          </w:p>
        </w:tc>
        <w:tc>
          <w:tcPr>
            <w:tcW w:w="1291" w:type="dxa"/>
            <w:tcBorders>
              <w:left w:val="nil"/>
              <w:right w:val="nil"/>
            </w:tcBorders>
          </w:tcPr>
          <w:p>
            <w:pPr>
              <w:pStyle w:val="TableParagraph"/>
              <w:spacing w:line="145" w:lineRule="exact" w:before="135"/>
              <w:ind w:right="131"/>
              <w:jc w:val="right"/>
              <w:rPr>
                <w:b/>
                <w:sz w:val="14"/>
              </w:rPr>
            </w:pPr>
            <w:r>
              <w:rPr>
                <w:b/>
                <w:spacing w:val="-2"/>
                <w:sz w:val="14"/>
              </w:rPr>
              <w:t>(56.626.254,56)</w:t>
            </w:r>
          </w:p>
        </w:tc>
        <w:tc>
          <w:tcPr>
            <w:tcW w:w="1143" w:type="dxa"/>
            <w:tcBorders>
              <w:left w:val="nil"/>
              <w:right w:val="nil"/>
            </w:tcBorders>
          </w:tcPr>
          <w:p>
            <w:pPr>
              <w:pStyle w:val="TableParagraph"/>
              <w:spacing w:line="145" w:lineRule="exact" w:before="135"/>
              <w:ind w:left="131" w:right="83"/>
              <w:jc w:val="center"/>
              <w:rPr>
                <w:b/>
                <w:sz w:val="14"/>
              </w:rPr>
            </w:pPr>
            <w:r>
              <w:rPr>
                <w:b/>
                <w:spacing w:val="-2"/>
                <w:sz w:val="14"/>
              </w:rPr>
              <w:t>(6.061.214,93)</w:t>
            </w:r>
          </w:p>
        </w:tc>
        <w:tc>
          <w:tcPr>
            <w:tcW w:w="1136" w:type="dxa"/>
            <w:tcBorders>
              <w:left w:val="nil"/>
              <w:right w:val="nil"/>
            </w:tcBorders>
          </w:tcPr>
          <w:p>
            <w:pPr>
              <w:pStyle w:val="TableParagraph"/>
              <w:spacing w:line="145" w:lineRule="exact" w:before="135"/>
              <w:ind w:right="126"/>
              <w:jc w:val="right"/>
              <w:rPr>
                <w:b/>
                <w:sz w:val="14"/>
              </w:rPr>
            </w:pPr>
            <w:r>
              <w:rPr>
                <w:b/>
                <w:spacing w:val="-2"/>
                <w:sz w:val="14"/>
              </w:rPr>
              <w:t>3.677.528,30</w:t>
            </w:r>
          </w:p>
        </w:tc>
        <w:tc>
          <w:tcPr>
            <w:tcW w:w="2393" w:type="dxa"/>
            <w:gridSpan w:val="2"/>
            <w:tcBorders>
              <w:left w:val="nil"/>
            </w:tcBorders>
          </w:tcPr>
          <w:p>
            <w:pPr>
              <w:pStyle w:val="TableParagraph"/>
              <w:spacing w:line="145" w:lineRule="exact" w:before="135"/>
              <w:ind w:left="1333"/>
              <w:rPr>
                <w:b/>
                <w:sz w:val="14"/>
              </w:rPr>
            </w:pPr>
            <w:r>
              <w:rPr>
                <w:b/>
                <w:spacing w:val="-2"/>
                <w:sz w:val="14"/>
              </w:rPr>
              <w:t>(59.009.941,19)</w:t>
            </w:r>
          </w:p>
        </w:tc>
      </w:tr>
      <w:tr>
        <w:trPr>
          <w:trHeight w:val="299" w:hRule="atLeast"/>
        </w:trPr>
        <w:tc>
          <w:tcPr>
            <w:tcW w:w="2765" w:type="dxa"/>
            <w:vMerge/>
            <w:tcBorders>
              <w:top w:val="nil"/>
              <w:right w:val="nil"/>
            </w:tcBorders>
          </w:tcPr>
          <w:p>
            <w:pPr>
              <w:rPr>
                <w:sz w:val="2"/>
                <w:szCs w:val="2"/>
              </w:rPr>
            </w:pPr>
          </w:p>
        </w:tc>
        <w:tc>
          <w:tcPr>
            <w:tcW w:w="5963" w:type="dxa"/>
            <w:gridSpan w:val="5"/>
            <w:tcBorders>
              <w:left w:val="nil"/>
            </w:tcBorders>
          </w:tcPr>
          <w:p>
            <w:pPr>
              <w:pStyle w:val="TableParagraph"/>
              <w:rPr>
                <w:rFonts w:ascii="Times New Roman"/>
                <w:sz w:val="14"/>
              </w:rPr>
            </w:pPr>
          </w:p>
        </w:tc>
      </w:tr>
      <w:tr>
        <w:trPr>
          <w:trHeight w:val="302" w:hRule="atLeast"/>
        </w:trPr>
        <w:tc>
          <w:tcPr>
            <w:tcW w:w="2765" w:type="dxa"/>
            <w:vMerge/>
            <w:tcBorders>
              <w:top w:val="nil"/>
              <w:right w:val="nil"/>
            </w:tcBorders>
          </w:tcPr>
          <w:p>
            <w:pPr>
              <w:rPr>
                <w:sz w:val="2"/>
                <w:szCs w:val="2"/>
              </w:rPr>
            </w:pPr>
          </w:p>
        </w:tc>
        <w:tc>
          <w:tcPr>
            <w:tcW w:w="1291" w:type="dxa"/>
            <w:tcBorders>
              <w:left w:val="nil"/>
              <w:right w:val="nil"/>
            </w:tcBorders>
          </w:tcPr>
          <w:p>
            <w:pPr>
              <w:pStyle w:val="TableParagraph"/>
              <w:spacing w:line="147" w:lineRule="exact" w:before="135"/>
              <w:ind w:right="131"/>
              <w:jc w:val="right"/>
              <w:rPr>
                <w:b/>
                <w:sz w:val="14"/>
              </w:rPr>
            </w:pPr>
            <w:r>
              <w:rPr>
                <w:b/>
                <w:spacing w:val="-2"/>
                <w:sz w:val="14"/>
              </w:rPr>
              <w:t>(428.350,68)</w:t>
            </w:r>
          </w:p>
        </w:tc>
        <w:tc>
          <w:tcPr>
            <w:tcW w:w="1143" w:type="dxa"/>
            <w:tcBorders>
              <w:left w:val="nil"/>
              <w:right w:val="nil"/>
            </w:tcBorders>
          </w:tcPr>
          <w:p>
            <w:pPr>
              <w:pStyle w:val="TableParagraph"/>
              <w:rPr>
                <w:rFonts w:ascii="Times New Roman"/>
                <w:sz w:val="14"/>
              </w:rPr>
            </w:pPr>
          </w:p>
        </w:tc>
        <w:tc>
          <w:tcPr>
            <w:tcW w:w="1136" w:type="dxa"/>
            <w:tcBorders>
              <w:left w:val="nil"/>
              <w:right w:val="nil"/>
            </w:tcBorders>
          </w:tcPr>
          <w:p>
            <w:pPr>
              <w:pStyle w:val="TableParagraph"/>
              <w:spacing w:line="147" w:lineRule="exact" w:before="135"/>
              <w:ind w:right="125"/>
              <w:jc w:val="right"/>
              <w:rPr>
                <w:b/>
                <w:sz w:val="14"/>
              </w:rPr>
            </w:pPr>
            <w:r>
              <w:rPr>
                <w:b/>
                <w:spacing w:val="-2"/>
                <w:sz w:val="14"/>
              </w:rPr>
              <w:t>428.350,68</w:t>
            </w:r>
          </w:p>
        </w:tc>
        <w:tc>
          <w:tcPr>
            <w:tcW w:w="2393" w:type="dxa"/>
            <w:gridSpan w:val="2"/>
            <w:tcBorders>
              <w:left w:val="nil"/>
            </w:tcBorders>
          </w:tcPr>
          <w:p>
            <w:pPr>
              <w:pStyle w:val="TableParagraph"/>
              <w:spacing w:line="147" w:lineRule="exact" w:before="135"/>
              <w:ind w:right="65"/>
              <w:jc w:val="right"/>
              <w:rPr>
                <w:b/>
                <w:sz w:val="14"/>
              </w:rPr>
            </w:pPr>
            <w:r>
              <w:rPr>
                <w:b/>
                <w:spacing w:val="-4"/>
                <w:sz w:val="14"/>
              </w:rPr>
              <w:t>0,00</w:t>
            </w:r>
          </w:p>
        </w:tc>
      </w:tr>
      <w:tr>
        <w:trPr>
          <w:trHeight w:val="299" w:hRule="atLeast"/>
        </w:trPr>
        <w:tc>
          <w:tcPr>
            <w:tcW w:w="2765" w:type="dxa"/>
            <w:vMerge/>
            <w:tcBorders>
              <w:top w:val="nil"/>
              <w:right w:val="nil"/>
            </w:tcBorders>
          </w:tcPr>
          <w:p>
            <w:pPr>
              <w:rPr>
                <w:sz w:val="2"/>
                <w:szCs w:val="2"/>
              </w:rPr>
            </w:pPr>
          </w:p>
        </w:tc>
        <w:tc>
          <w:tcPr>
            <w:tcW w:w="1291" w:type="dxa"/>
            <w:tcBorders>
              <w:left w:val="nil"/>
              <w:right w:val="nil"/>
            </w:tcBorders>
          </w:tcPr>
          <w:p>
            <w:pPr>
              <w:pStyle w:val="TableParagraph"/>
              <w:spacing w:line="145" w:lineRule="exact" w:before="135"/>
              <w:ind w:right="131"/>
              <w:jc w:val="right"/>
              <w:rPr>
                <w:b/>
                <w:sz w:val="14"/>
              </w:rPr>
            </w:pPr>
            <w:r>
              <w:rPr>
                <w:b/>
                <w:spacing w:val="-2"/>
                <w:sz w:val="14"/>
              </w:rPr>
              <w:t>38.288.861,12</w:t>
            </w:r>
          </w:p>
        </w:tc>
        <w:tc>
          <w:tcPr>
            <w:tcW w:w="1143" w:type="dxa"/>
            <w:tcBorders>
              <w:left w:val="nil"/>
              <w:right w:val="nil"/>
            </w:tcBorders>
          </w:tcPr>
          <w:p>
            <w:pPr>
              <w:pStyle w:val="TableParagraph"/>
              <w:rPr>
                <w:rFonts w:ascii="Times New Roman"/>
                <w:sz w:val="14"/>
              </w:rPr>
            </w:pPr>
          </w:p>
        </w:tc>
        <w:tc>
          <w:tcPr>
            <w:tcW w:w="1136" w:type="dxa"/>
            <w:tcBorders>
              <w:left w:val="nil"/>
              <w:right w:val="nil"/>
            </w:tcBorders>
          </w:tcPr>
          <w:p>
            <w:pPr>
              <w:pStyle w:val="TableParagraph"/>
              <w:rPr>
                <w:rFonts w:ascii="Times New Roman"/>
                <w:sz w:val="14"/>
              </w:rPr>
            </w:pPr>
          </w:p>
        </w:tc>
        <w:tc>
          <w:tcPr>
            <w:tcW w:w="2393" w:type="dxa"/>
            <w:gridSpan w:val="2"/>
            <w:tcBorders>
              <w:left w:val="nil"/>
            </w:tcBorders>
          </w:tcPr>
          <w:p>
            <w:pPr>
              <w:pStyle w:val="TableParagraph"/>
              <w:spacing w:line="145" w:lineRule="exact" w:before="135"/>
              <w:ind w:left="1426"/>
              <w:rPr>
                <w:b/>
                <w:sz w:val="14"/>
              </w:rPr>
            </w:pPr>
            <w:r>
              <w:rPr>
                <w:b/>
                <w:spacing w:val="-2"/>
                <w:sz w:val="14"/>
              </w:rPr>
              <w:t>46.778.111,65</w:t>
            </w:r>
          </w:p>
        </w:tc>
      </w:tr>
    </w:tbl>
    <w:p>
      <w:pPr>
        <w:pStyle w:val="TableParagraph"/>
        <w:spacing w:after="0" w:line="145" w:lineRule="exact"/>
        <w:rPr>
          <w:b/>
          <w:sz w:val="14"/>
        </w:rPr>
        <w:sectPr>
          <w:pgSz w:w="11910" w:h="16840"/>
          <w:pgMar w:header="286" w:footer="1060" w:top="1920" w:bottom="1260" w:left="360" w:right="360"/>
        </w:sectPr>
      </w:pPr>
    </w:p>
    <w:p>
      <w:pPr>
        <w:pStyle w:val="BodyText"/>
      </w:pPr>
    </w:p>
    <w:p>
      <w:pPr>
        <w:pStyle w:val="BodyText"/>
        <w:spacing w:before="199"/>
      </w:pPr>
    </w:p>
    <w:p>
      <w:pPr>
        <w:pStyle w:val="ListParagraph"/>
        <w:numPr>
          <w:ilvl w:val="1"/>
          <w:numId w:val="4"/>
        </w:numPr>
        <w:tabs>
          <w:tab w:pos="2246" w:val="left" w:leader="none"/>
          <w:tab w:pos="2248" w:val="left" w:leader="none"/>
        </w:tabs>
        <w:spacing w:line="240" w:lineRule="auto" w:before="0" w:after="0"/>
        <w:ind w:left="2248" w:right="1340" w:hanging="454"/>
        <w:jc w:val="both"/>
        <w:rPr>
          <w:rFonts w:ascii="Tahoma"/>
          <w:sz w:val="18"/>
        </w:rPr>
      </w:pPr>
      <w:r>
        <w:rPr>
          <w:sz w:val="20"/>
        </w:rPr>
        <w:t>Las bajas se corresponden con elementos de transporte que estaban, mayoritariamente, totalmente amortizados.</w:t>
      </w:r>
    </w:p>
    <w:p>
      <w:pPr>
        <w:pStyle w:val="BodyText"/>
        <w:spacing w:before="1"/>
      </w:pPr>
    </w:p>
    <w:p>
      <w:pPr>
        <w:pStyle w:val="ListParagraph"/>
        <w:numPr>
          <w:ilvl w:val="1"/>
          <w:numId w:val="4"/>
        </w:numPr>
        <w:tabs>
          <w:tab w:pos="2246" w:val="left" w:leader="none"/>
          <w:tab w:pos="2248" w:val="left" w:leader="none"/>
        </w:tabs>
        <w:spacing w:line="240" w:lineRule="auto" w:before="1" w:after="0"/>
        <w:ind w:left="2248" w:right="1337" w:hanging="454"/>
        <w:jc w:val="both"/>
        <w:rPr>
          <w:rFonts w:ascii="Tahoma" w:hAnsi="Tahoma"/>
          <w:sz w:val="18"/>
        </w:rPr>
      </w:pPr>
      <w:r>
        <w:rPr>
          <w:sz w:val="20"/>
        </w:rPr>
        <w:t>La Sociedad registró en el ejercicio 2023 deterioro de inmovilizado material por los tres vehículos híbridos adquiridos en el ejercicio 2018 debido a que por su alto porcentaje de inmovilización se programó su baja en julio 2024 con la llegada de nuevos vehículos, ascendiendo el deterioro a 428.350,68 euros. Finalmente se</w:t>
      </w:r>
      <w:r>
        <w:rPr>
          <w:spacing w:val="80"/>
          <w:sz w:val="20"/>
        </w:rPr>
        <w:t> </w:t>
      </w:r>
      <w:r>
        <w:rPr>
          <w:sz w:val="20"/>
        </w:rPr>
        <w:t>dieron de baja en diciembre de 2024.</w:t>
      </w:r>
    </w:p>
    <w:p>
      <w:pPr>
        <w:pStyle w:val="BodyText"/>
      </w:pPr>
    </w:p>
    <w:p>
      <w:pPr>
        <w:pStyle w:val="ListParagraph"/>
        <w:numPr>
          <w:ilvl w:val="1"/>
          <w:numId w:val="4"/>
        </w:numPr>
        <w:tabs>
          <w:tab w:pos="2246" w:val="left" w:leader="none"/>
          <w:tab w:pos="2248" w:val="left" w:leader="none"/>
        </w:tabs>
        <w:spacing w:line="240" w:lineRule="auto" w:before="0" w:after="0"/>
        <w:ind w:left="2248" w:right="1340" w:hanging="454"/>
        <w:jc w:val="both"/>
        <w:rPr>
          <w:rFonts w:ascii="Tahoma" w:hAnsi="Tahoma"/>
          <w:sz w:val="18"/>
        </w:rPr>
      </w:pPr>
      <w:r>
        <w:rPr>
          <w:sz w:val="20"/>
        </w:rPr>
        <w:t>La Sociedad ha recibido subvenciones para la adquisición de inmovilizado, por importe de 61.539.051,93 euros, de las cuales quedan pendientes de aplicar a resultados al 31 de diciembre un importe de 17.303.130,88 euros.</w:t>
      </w:r>
    </w:p>
    <w:p>
      <w:pPr>
        <w:pStyle w:val="ListParagraph"/>
        <w:numPr>
          <w:ilvl w:val="1"/>
          <w:numId w:val="4"/>
        </w:numPr>
        <w:tabs>
          <w:tab w:pos="2246" w:val="left" w:leader="none"/>
          <w:tab w:pos="2248" w:val="left" w:leader="none"/>
        </w:tabs>
        <w:spacing w:line="240" w:lineRule="auto" w:before="229" w:after="0"/>
        <w:ind w:left="2248" w:right="1337" w:hanging="454"/>
        <w:jc w:val="both"/>
        <w:rPr>
          <w:rFonts w:ascii="Tahoma" w:hAnsi="Tahoma"/>
          <w:sz w:val="18"/>
        </w:rPr>
      </w:pPr>
      <w:r>
        <w:rPr>
          <w:sz w:val="20"/>
        </w:rPr>
        <w:t>El epígrafe de terrenos y construcciones se corresponde mayoritariamente con el valor de las construcciones realizadas en las cocheras. El terreno fue cedido por el Excmo. Ayuntamiento de Las Palmas de Gran Canaria mediante contrato de “concesión administrativa” el 23 de enero de 2003 por un plazo de cincuenta años, incluida en el inmovilizado intangible.</w:t>
      </w:r>
    </w:p>
    <w:p>
      <w:pPr>
        <w:pStyle w:val="BodyText"/>
      </w:pPr>
    </w:p>
    <w:p>
      <w:pPr>
        <w:pStyle w:val="ListParagraph"/>
        <w:numPr>
          <w:ilvl w:val="1"/>
          <w:numId w:val="4"/>
        </w:numPr>
        <w:tabs>
          <w:tab w:pos="2246" w:val="left" w:leader="none"/>
          <w:tab w:pos="2248" w:val="left" w:leader="none"/>
        </w:tabs>
        <w:spacing w:line="240" w:lineRule="auto" w:before="0" w:after="0"/>
        <w:ind w:left="2248" w:right="1341" w:hanging="454"/>
        <w:jc w:val="both"/>
        <w:rPr>
          <w:rFonts w:ascii="Tahoma"/>
          <w:sz w:val="18"/>
        </w:rPr>
      </w:pPr>
      <w:r>
        <w:rPr>
          <w:sz w:val="20"/>
        </w:rPr>
        <w:t>Los valores de los activos totalmente amortizados y en uso en la actividad de la Sociedad al 31 de diciembre de 2024 y 2025 son los siguientes:</w:t>
      </w:r>
    </w:p>
    <w:p>
      <w:pPr>
        <w:pStyle w:val="BodyText"/>
        <w:spacing w:before="68"/>
      </w:pPr>
    </w:p>
    <w:p>
      <w:pPr>
        <w:pStyle w:val="Heading3"/>
        <w:tabs>
          <w:tab w:pos="3191" w:val="left" w:leader="none"/>
          <w:tab w:pos="3708" w:val="left" w:leader="none"/>
          <w:tab w:pos="5158" w:val="left" w:leader="none"/>
          <w:tab w:pos="6091" w:val="left" w:leader="none"/>
        </w:tabs>
        <w:spacing w:before="1"/>
        <w:ind w:left="0" w:right="2510"/>
        <w:jc w:val="right"/>
      </w:pPr>
      <w:r>
        <w:rPr/>
        <w:t>Totalmente</w:t>
      </w:r>
      <w:r>
        <w:rPr>
          <w:spacing w:val="-13"/>
        </w:rPr>
        <w:t> </w:t>
      </w:r>
      <w:r>
        <w:rPr>
          <w:spacing w:val="-2"/>
        </w:rPr>
        <w:t>amortizados</w:t>
      </w:r>
      <w:r>
        <w:rPr/>
        <w:tab/>
      </w:r>
      <w:r>
        <w:rPr>
          <w:rFonts w:ascii="Times New Roman"/>
          <w:b w:val="0"/>
          <w:u w:val="single"/>
        </w:rPr>
        <w:tab/>
      </w:r>
      <w:r>
        <w:rPr>
          <w:spacing w:val="-4"/>
          <w:u w:val="single"/>
        </w:rPr>
        <w:t>2025</w:t>
      </w:r>
      <w:r>
        <w:rPr>
          <w:u w:val="single"/>
        </w:rPr>
        <w:tab/>
      </w:r>
      <w:r>
        <w:rPr>
          <w:spacing w:val="-4"/>
          <w:u w:val="single"/>
        </w:rPr>
        <w:t>2024</w:t>
      </w:r>
      <w:r>
        <w:rPr>
          <w:u w:val="single"/>
        </w:rPr>
        <w:tab/>
      </w:r>
    </w:p>
    <w:p>
      <w:pPr>
        <w:pStyle w:val="BodyText"/>
        <w:spacing w:before="4"/>
        <w:rPr>
          <w:b/>
          <w:sz w:val="17"/>
        </w:rPr>
      </w:pPr>
    </w:p>
    <w:tbl>
      <w:tblPr>
        <w:tblW w:w="0" w:type="auto"/>
        <w:jc w:val="left"/>
        <w:tblInd w:w="2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5"/>
        <w:gridCol w:w="1525"/>
        <w:gridCol w:w="1398"/>
      </w:tblGrid>
      <w:tr>
        <w:trPr>
          <w:trHeight w:val="275" w:hRule="atLeast"/>
        </w:trPr>
        <w:tc>
          <w:tcPr>
            <w:tcW w:w="3195" w:type="dxa"/>
          </w:tcPr>
          <w:p>
            <w:pPr>
              <w:pStyle w:val="TableParagraph"/>
              <w:spacing w:line="213" w:lineRule="exact" w:before="42"/>
              <w:ind w:left="50"/>
              <w:rPr>
                <w:sz w:val="20"/>
              </w:rPr>
            </w:pPr>
            <w:r>
              <w:rPr>
                <w:spacing w:val="-2"/>
                <w:sz w:val="20"/>
              </w:rPr>
              <w:t>Construcciones</w:t>
            </w:r>
          </w:p>
        </w:tc>
        <w:tc>
          <w:tcPr>
            <w:tcW w:w="1525" w:type="dxa"/>
          </w:tcPr>
          <w:p>
            <w:pPr>
              <w:pStyle w:val="TableParagraph"/>
              <w:spacing w:line="213" w:lineRule="exact" w:before="42"/>
              <w:ind w:right="70"/>
              <w:jc w:val="right"/>
              <w:rPr>
                <w:sz w:val="20"/>
              </w:rPr>
            </w:pPr>
            <w:r>
              <w:rPr>
                <w:spacing w:val="-2"/>
                <w:sz w:val="20"/>
              </w:rPr>
              <w:t>167.820,78</w:t>
            </w:r>
          </w:p>
        </w:tc>
        <w:tc>
          <w:tcPr>
            <w:tcW w:w="1398" w:type="dxa"/>
          </w:tcPr>
          <w:p>
            <w:pPr>
              <w:pStyle w:val="TableParagraph"/>
              <w:spacing w:line="213" w:lineRule="exact" w:before="42"/>
              <w:ind w:right="50"/>
              <w:jc w:val="right"/>
              <w:rPr>
                <w:sz w:val="20"/>
              </w:rPr>
            </w:pPr>
            <w:r>
              <w:rPr>
                <w:spacing w:val="-2"/>
                <w:sz w:val="20"/>
              </w:rPr>
              <w:t>167.799,22</w:t>
            </w:r>
          </w:p>
        </w:tc>
      </w:tr>
      <w:tr>
        <w:trPr>
          <w:trHeight w:val="229" w:hRule="atLeast"/>
        </w:trPr>
        <w:tc>
          <w:tcPr>
            <w:tcW w:w="3195" w:type="dxa"/>
          </w:tcPr>
          <w:p>
            <w:pPr>
              <w:pStyle w:val="TableParagraph"/>
              <w:spacing w:line="209" w:lineRule="exact"/>
              <w:ind w:left="50"/>
              <w:rPr>
                <w:sz w:val="20"/>
              </w:rPr>
            </w:pPr>
            <w:r>
              <w:rPr>
                <w:sz w:val="20"/>
              </w:rPr>
              <w:t>Instalaciones</w:t>
            </w:r>
            <w:r>
              <w:rPr>
                <w:spacing w:val="-10"/>
                <w:sz w:val="20"/>
              </w:rPr>
              <w:t> </w:t>
            </w:r>
            <w:r>
              <w:rPr>
                <w:sz w:val="20"/>
              </w:rPr>
              <w:t>Técnicas</w:t>
            </w:r>
            <w:r>
              <w:rPr>
                <w:spacing w:val="-6"/>
                <w:sz w:val="20"/>
              </w:rPr>
              <w:t> </w:t>
            </w:r>
            <w:r>
              <w:rPr>
                <w:spacing w:val="-10"/>
                <w:sz w:val="20"/>
              </w:rPr>
              <w:t>y</w:t>
            </w:r>
          </w:p>
        </w:tc>
        <w:tc>
          <w:tcPr>
            <w:tcW w:w="1525" w:type="dxa"/>
          </w:tcPr>
          <w:p>
            <w:pPr>
              <w:pStyle w:val="TableParagraph"/>
              <w:rPr>
                <w:rFonts w:ascii="Times New Roman"/>
                <w:sz w:val="16"/>
              </w:rPr>
            </w:pPr>
          </w:p>
        </w:tc>
        <w:tc>
          <w:tcPr>
            <w:tcW w:w="1398" w:type="dxa"/>
          </w:tcPr>
          <w:p>
            <w:pPr>
              <w:pStyle w:val="TableParagraph"/>
              <w:rPr>
                <w:rFonts w:ascii="Times New Roman"/>
                <w:sz w:val="16"/>
              </w:rPr>
            </w:pPr>
          </w:p>
        </w:tc>
      </w:tr>
      <w:tr>
        <w:trPr>
          <w:trHeight w:val="345" w:hRule="atLeast"/>
        </w:trPr>
        <w:tc>
          <w:tcPr>
            <w:tcW w:w="3195" w:type="dxa"/>
          </w:tcPr>
          <w:p>
            <w:pPr>
              <w:pStyle w:val="TableParagraph"/>
              <w:spacing w:line="227" w:lineRule="exact"/>
              <w:ind w:left="50"/>
              <w:rPr>
                <w:sz w:val="20"/>
              </w:rPr>
            </w:pPr>
            <w:r>
              <w:rPr>
                <w:spacing w:val="-2"/>
                <w:sz w:val="20"/>
              </w:rPr>
              <w:t>maquinaria</w:t>
            </w:r>
          </w:p>
        </w:tc>
        <w:tc>
          <w:tcPr>
            <w:tcW w:w="1525" w:type="dxa"/>
          </w:tcPr>
          <w:p>
            <w:pPr>
              <w:pStyle w:val="TableParagraph"/>
              <w:spacing w:line="227" w:lineRule="exact"/>
              <w:ind w:right="68"/>
              <w:jc w:val="right"/>
              <w:rPr>
                <w:sz w:val="20"/>
              </w:rPr>
            </w:pPr>
            <w:r>
              <w:rPr>
                <w:spacing w:val="-2"/>
                <w:sz w:val="20"/>
              </w:rPr>
              <w:t>1.457.591,88</w:t>
            </w:r>
          </w:p>
        </w:tc>
        <w:tc>
          <w:tcPr>
            <w:tcW w:w="1398" w:type="dxa"/>
          </w:tcPr>
          <w:p>
            <w:pPr>
              <w:pStyle w:val="TableParagraph"/>
              <w:spacing w:line="227" w:lineRule="exact"/>
              <w:ind w:right="47"/>
              <w:jc w:val="right"/>
              <w:rPr>
                <w:sz w:val="20"/>
              </w:rPr>
            </w:pPr>
            <w:r>
              <w:rPr>
                <w:spacing w:val="-2"/>
                <w:sz w:val="20"/>
              </w:rPr>
              <w:t>1.381.504,47</w:t>
            </w:r>
          </w:p>
        </w:tc>
      </w:tr>
      <w:tr>
        <w:trPr>
          <w:trHeight w:val="460" w:hRule="atLeast"/>
        </w:trPr>
        <w:tc>
          <w:tcPr>
            <w:tcW w:w="3195" w:type="dxa"/>
          </w:tcPr>
          <w:p>
            <w:pPr>
              <w:pStyle w:val="TableParagraph"/>
              <w:spacing w:before="112"/>
              <w:ind w:left="50"/>
              <w:rPr>
                <w:sz w:val="20"/>
              </w:rPr>
            </w:pPr>
            <w:r>
              <w:rPr>
                <w:sz w:val="20"/>
              </w:rPr>
              <w:t>Otras</w:t>
            </w:r>
            <w:r>
              <w:rPr>
                <w:spacing w:val="-6"/>
                <w:sz w:val="20"/>
              </w:rPr>
              <w:t> </w:t>
            </w:r>
            <w:r>
              <w:rPr>
                <w:sz w:val="20"/>
              </w:rPr>
              <w:t>instalac,</w:t>
            </w:r>
            <w:r>
              <w:rPr>
                <w:spacing w:val="-7"/>
                <w:sz w:val="20"/>
              </w:rPr>
              <w:t> </w:t>
            </w:r>
            <w:r>
              <w:rPr>
                <w:sz w:val="20"/>
              </w:rPr>
              <w:t>utillaje</w:t>
            </w:r>
            <w:r>
              <w:rPr>
                <w:spacing w:val="-2"/>
                <w:sz w:val="20"/>
              </w:rPr>
              <w:t> </w:t>
            </w:r>
            <w:r>
              <w:rPr>
                <w:sz w:val="20"/>
              </w:rPr>
              <w:t>y</w:t>
            </w:r>
            <w:r>
              <w:rPr>
                <w:spacing w:val="-11"/>
                <w:sz w:val="20"/>
              </w:rPr>
              <w:t> </w:t>
            </w:r>
            <w:r>
              <w:rPr>
                <w:spacing w:val="-2"/>
                <w:sz w:val="20"/>
              </w:rPr>
              <w:t>mobiliario</w:t>
            </w:r>
          </w:p>
        </w:tc>
        <w:tc>
          <w:tcPr>
            <w:tcW w:w="1525" w:type="dxa"/>
          </w:tcPr>
          <w:p>
            <w:pPr>
              <w:pStyle w:val="TableParagraph"/>
              <w:spacing w:before="112"/>
              <w:ind w:right="70"/>
              <w:jc w:val="right"/>
              <w:rPr>
                <w:sz w:val="20"/>
              </w:rPr>
            </w:pPr>
            <w:r>
              <w:rPr>
                <w:spacing w:val="-2"/>
                <w:sz w:val="20"/>
              </w:rPr>
              <w:t>642.669,64</w:t>
            </w:r>
          </w:p>
        </w:tc>
        <w:tc>
          <w:tcPr>
            <w:tcW w:w="1398" w:type="dxa"/>
          </w:tcPr>
          <w:p>
            <w:pPr>
              <w:pStyle w:val="TableParagraph"/>
              <w:spacing w:before="112"/>
              <w:ind w:right="50"/>
              <w:jc w:val="right"/>
              <w:rPr>
                <w:sz w:val="20"/>
              </w:rPr>
            </w:pPr>
            <w:r>
              <w:rPr>
                <w:spacing w:val="-2"/>
                <w:sz w:val="20"/>
              </w:rPr>
              <w:t>572.968,60</w:t>
            </w:r>
          </w:p>
        </w:tc>
      </w:tr>
      <w:tr>
        <w:trPr>
          <w:trHeight w:val="391" w:hRule="atLeast"/>
        </w:trPr>
        <w:tc>
          <w:tcPr>
            <w:tcW w:w="3195" w:type="dxa"/>
          </w:tcPr>
          <w:p>
            <w:pPr>
              <w:pStyle w:val="TableParagraph"/>
              <w:spacing w:before="112"/>
              <w:ind w:left="50"/>
              <w:rPr>
                <w:sz w:val="20"/>
              </w:rPr>
            </w:pPr>
            <w:r>
              <w:rPr>
                <w:sz w:val="20"/>
              </w:rPr>
              <w:t>Elementos</w:t>
            </w:r>
            <w:r>
              <w:rPr>
                <w:spacing w:val="-8"/>
                <w:sz w:val="20"/>
              </w:rPr>
              <w:t> </w:t>
            </w:r>
            <w:r>
              <w:rPr>
                <w:sz w:val="20"/>
              </w:rPr>
              <w:t>de</w:t>
            </w:r>
            <w:r>
              <w:rPr>
                <w:spacing w:val="-10"/>
                <w:sz w:val="20"/>
              </w:rPr>
              <w:t> </w:t>
            </w:r>
            <w:r>
              <w:rPr>
                <w:spacing w:val="-2"/>
                <w:sz w:val="20"/>
              </w:rPr>
              <w:t>transporte</w:t>
            </w:r>
          </w:p>
        </w:tc>
        <w:tc>
          <w:tcPr>
            <w:tcW w:w="1525" w:type="dxa"/>
          </w:tcPr>
          <w:p>
            <w:pPr>
              <w:pStyle w:val="TableParagraph"/>
              <w:spacing w:before="112"/>
              <w:ind w:right="69"/>
              <w:jc w:val="right"/>
              <w:rPr>
                <w:sz w:val="20"/>
              </w:rPr>
            </w:pPr>
            <w:r>
              <w:rPr>
                <w:spacing w:val="-2"/>
                <w:sz w:val="20"/>
              </w:rPr>
              <w:t>27.301.461,85</w:t>
            </w:r>
          </w:p>
        </w:tc>
        <w:tc>
          <w:tcPr>
            <w:tcW w:w="1398" w:type="dxa"/>
          </w:tcPr>
          <w:p>
            <w:pPr>
              <w:pStyle w:val="TableParagraph"/>
              <w:spacing w:before="112"/>
              <w:ind w:right="49"/>
              <w:jc w:val="right"/>
              <w:rPr>
                <w:sz w:val="20"/>
              </w:rPr>
            </w:pPr>
            <w:r>
              <w:rPr>
                <w:spacing w:val="-2"/>
                <w:sz w:val="20"/>
              </w:rPr>
              <w:t>27.496.106,83</w:t>
            </w:r>
          </w:p>
        </w:tc>
      </w:tr>
    </w:tbl>
    <w:p>
      <w:pPr>
        <w:pStyle w:val="BodyText"/>
        <w:tabs>
          <w:tab w:pos="3191" w:val="left" w:leader="none"/>
          <w:tab w:pos="3544" w:val="left" w:leader="none"/>
          <w:tab w:pos="4850" w:val="left" w:leader="none"/>
        </w:tabs>
        <w:spacing w:before="181"/>
        <w:ind w:right="2583"/>
        <w:jc w:val="right"/>
      </w:pPr>
      <w:r>
        <w:rPr/>
        <mc:AlternateContent>
          <mc:Choice Requires="wps">
            <w:drawing>
              <wp:anchor distT="0" distB="0" distL="0" distR="0" allowOverlap="1" layoutInCell="1" locked="0" behindDoc="0" simplePos="0" relativeHeight="15757312">
                <wp:simplePos x="0" y="0"/>
                <wp:positionH relativeFrom="page">
                  <wp:posOffset>6966436</wp:posOffset>
                </wp:positionH>
                <wp:positionV relativeFrom="paragraph">
                  <wp:posOffset>305944</wp:posOffset>
                </wp:positionV>
                <wp:extent cx="263525" cy="327596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24.09012pt;width:20.75pt;height:257.95pt;mso-position-horizontal-relative:page;mso-position-vertical-relative:paragraph;z-index:15757312" type="#_x0000_t202" id="docshape10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39</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Otro</w:t>
      </w:r>
      <w:r>
        <w:rPr>
          <w:spacing w:val="-4"/>
        </w:rPr>
        <w:t> </w:t>
      </w:r>
      <w:r>
        <w:rPr>
          <w:spacing w:val="-2"/>
        </w:rPr>
        <w:t>inmovilizado</w:t>
      </w:r>
      <w:r>
        <w:rPr/>
        <w:tab/>
      </w:r>
      <w:r>
        <w:rPr>
          <w:rFonts w:ascii="Times New Roman"/>
          <w:u w:val="single"/>
        </w:rPr>
        <w:tab/>
      </w:r>
      <w:r>
        <w:rPr>
          <w:spacing w:val="-2"/>
          <w:u w:val="single"/>
        </w:rPr>
        <w:t>4.089.532,7</w:t>
      </w:r>
      <w:r>
        <w:rPr>
          <w:u w:val="single"/>
        </w:rPr>
        <w:tab/>
      </w:r>
      <w:r>
        <w:rPr>
          <w:spacing w:val="-2"/>
          <w:u w:val="single"/>
        </w:rPr>
        <w:t>4.052.359,88</w:t>
      </w:r>
    </w:p>
    <w:p>
      <w:pPr>
        <w:pStyle w:val="BodyText"/>
        <w:spacing w:before="8"/>
      </w:pPr>
    </w:p>
    <w:p>
      <w:pPr>
        <w:pStyle w:val="Heading2"/>
        <w:ind w:right="2585"/>
        <w:jc w:val="right"/>
        <w:rPr>
          <w:u w:val="none"/>
        </w:rPr>
      </w:pPr>
      <w:r>
        <w:rPr>
          <w:u w:val="none"/>
        </w:rPr>
        <w:t>TOTAL </w:t>
      </w:r>
      <w:r>
        <w:rPr>
          <w:spacing w:val="53"/>
          <w:w w:val="150"/>
          <w:u w:val="single"/>
        </w:rPr>
        <w:t> </w:t>
      </w:r>
      <w:r>
        <w:rPr>
          <w:u w:val="single"/>
        </w:rPr>
        <w:t>33.659.076,85</w:t>
      </w:r>
      <w:r>
        <w:rPr>
          <w:spacing w:val="75"/>
          <w:u w:val="single"/>
        </w:rPr>
        <w:t> </w:t>
      </w:r>
      <w:r>
        <w:rPr>
          <w:spacing w:val="-2"/>
          <w:u w:val="single"/>
        </w:rPr>
        <w:t>33.670.739,00</w:t>
      </w:r>
    </w:p>
    <w:p>
      <w:pPr>
        <w:pStyle w:val="BodyText"/>
        <w:rPr>
          <w:b/>
        </w:rPr>
      </w:pPr>
    </w:p>
    <w:p>
      <w:pPr>
        <w:pStyle w:val="BodyText"/>
        <w:spacing w:before="13"/>
        <w:rPr>
          <w:b/>
        </w:rPr>
      </w:pPr>
    </w:p>
    <w:p>
      <w:pPr>
        <w:pStyle w:val="ListParagraph"/>
        <w:numPr>
          <w:ilvl w:val="1"/>
          <w:numId w:val="4"/>
        </w:numPr>
        <w:tabs>
          <w:tab w:pos="2246" w:val="left" w:leader="none"/>
          <w:tab w:pos="2248" w:val="left" w:leader="none"/>
        </w:tabs>
        <w:spacing w:line="240" w:lineRule="auto" w:before="0" w:after="0"/>
        <w:ind w:left="2248" w:right="1334" w:hanging="454"/>
        <w:jc w:val="both"/>
        <w:rPr>
          <w:rFonts w:ascii="Tahoma" w:hAnsi="Tahoma"/>
          <w:sz w:val="18"/>
        </w:rPr>
      </w:pPr>
      <w:r>
        <w:rPr>
          <w:sz w:val="20"/>
        </w:rPr>
        <w:t>Los activos inmovilizados se hallan cubiertos por los riesgos de incendio, robo, etc., mediante varias pólizas de seguros al corriente en el pago de las correspondientes </w:t>
      </w:r>
      <w:r>
        <w:rPr>
          <w:spacing w:val="-2"/>
          <w:sz w:val="20"/>
        </w:rPr>
        <w:t>primas.</w:t>
      </w:r>
    </w:p>
    <w:p>
      <w:pPr>
        <w:pStyle w:val="ListParagraph"/>
        <w:numPr>
          <w:ilvl w:val="1"/>
          <w:numId w:val="4"/>
        </w:numPr>
        <w:tabs>
          <w:tab w:pos="2246" w:val="left" w:leader="none"/>
          <w:tab w:pos="2248" w:val="left" w:leader="none"/>
        </w:tabs>
        <w:spacing w:line="240" w:lineRule="auto" w:before="229" w:after="0"/>
        <w:ind w:left="2248" w:right="1339" w:hanging="454"/>
        <w:jc w:val="both"/>
        <w:rPr>
          <w:rFonts w:ascii="Tahoma" w:hAnsi="Tahoma"/>
          <w:sz w:val="18"/>
        </w:rPr>
      </w:pPr>
      <w:r>
        <w:rPr>
          <w:sz w:val="20"/>
        </w:rPr>
        <w:t>Se generó en el ejercicio 2024 una pérdida</w:t>
      </w:r>
      <w:r>
        <w:rPr>
          <w:spacing w:val="-1"/>
          <w:sz w:val="20"/>
        </w:rPr>
        <w:t> </w:t>
      </w:r>
      <w:r>
        <w:rPr>
          <w:sz w:val="20"/>
        </w:rPr>
        <w:t>por enajenación del inmovilizado material de 11.793,00 euros por la baja de tres vehículos que terminaban de amortizarse en abril 2025. En el ejercicio 2025 no se han generado pérdidas por enajenación del inmovilizado material.</w:t>
      </w:r>
    </w:p>
    <w:p>
      <w:pPr>
        <w:pStyle w:val="BodyText"/>
      </w:pPr>
    </w:p>
    <w:p>
      <w:pPr>
        <w:pStyle w:val="ListParagraph"/>
        <w:numPr>
          <w:ilvl w:val="1"/>
          <w:numId w:val="4"/>
        </w:numPr>
        <w:tabs>
          <w:tab w:pos="2247" w:val="left" w:leader="none"/>
        </w:tabs>
        <w:spacing w:line="240" w:lineRule="auto" w:before="0" w:after="0"/>
        <w:ind w:left="2247" w:right="0" w:hanging="452"/>
        <w:jc w:val="left"/>
        <w:rPr>
          <w:rFonts w:ascii="Tahoma"/>
          <w:sz w:val="18"/>
        </w:rPr>
      </w:pPr>
      <w:r>
        <w:rPr>
          <w:spacing w:val="-4"/>
          <w:sz w:val="20"/>
        </w:rPr>
        <w:t>No</w:t>
      </w:r>
      <w:r>
        <w:rPr>
          <w:spacing w:val="-3"/>
          <w:sz w:val="20"/>
        </w:rPr>
        <w:t> </w:t>
      </w:r>
      <w:r>
        <w:rPr>
          <w:spacing w:val="-4"/>
          <w:sz w:val="20"/>
        </w:rPr>
        <w:t>se</w:t>
      </w:r>
      <w:r>
        <w:rPr>
          <w:spacing w:val="-3"/>
          <w:sz w:val="20"/>
        </w:rPr>
        <w:t> </w:t>
      </w:r>
      <w:r>
        <w:rPr>
          <w:spacing w:val="-4"/>
          <w:sz w:val="20"/>
        </w:rPr>
        <w:t>han</w:t>
      </w:r>
      <w:r>
        <w:rPr>
          <w:spacing w:val="-2"/>
          <w:sz w:val="20"/>
        </w:rPr>
        <w:t> </w:t>
      </w:r>
      <w:r>
        <w:rPr>
          <w:spacing w:val="-4"/>
          <w:sz w:val="20"/>
        </w:rPr>
        <w:t>capitalizado</w:t>
      </w:r>
      <w:r>
        <w:rPr>
          <w:spacing w:val="-5"/>
          <w:sz w:val="20"/>
        </w:rPr>
        <w:t> </w:t>
      </w:r>
      <w:r>
        <w:rPr>
          <w:spacing w:val="-4"/>
          <w:sz w:val="20"/>
        </w:rPr>
        <w:t>gastos financieros</w:t>
      </w:r>
      <w:r>
        <w:rPr>
          <w:spacing w:val="-1"/>
          <w:sz w:val="20"/>
        </w:rPr>
        <w:t> </w:t>
      </w:r>
      <w:r>
        <w:rPr>
          <w:spacing w:val="-4"/>
          <w:sz w:val="20"/>
        </w:rPr>
        <w:t>en</w:t>
      </w:r>
      <w:r>
        <w:rPr>
          <w:spacing w:val="-3"/>
          <w:sz w:val="20"/>
        </w:rPr>
        <w:t> </w:t>
      </w:r>
      <w:r>
        <w:rPr>
          <w:spacing w:val="-4"/>
          <w:sz w:val="20"/>
        </w:rPr>
        <w:t>el</w:t>
      </w:r>
      <w:r>
        <w:rPr>
          <w:spacing w:val="-5"/>
          <w:sz w:val="20"/>
        </w:rPr>
        <w:t> </w:t>
      </w:r>
      <w:r>
        <w:rPr>
          <w:spacing w:val="-4"/>
          <w:sz w:val="20"/>
        </w:rPr>
        <w:t>ejercicio 2025</w:t>
      </w:r>
      <w:r>
        <w:rPr>
          <w:spacing w:val="-3"/>
          <w:sz w:val="20"/>
        </w:rPr>
        <w:t> </w:t>
      </w:r>
      <w:r>
        <w:rPr>
          <w:spacing w:val="-4"/>
          <w:sz w:val="20"/>
        </w:rPr>
        <w:t>ni</w:t>
      </w:r>
      <w:r>
        <w:rPr>
          <w:spacing w:val="-5"/>
          <w:sz w:val="20"/>
        </w:rPr>
        <w:t> </w:t>
      </w:r>
      <w:r>
        <w:rPr>
          <w:spacing w:val="-4"/>
          <w:sz w:val="20"/>
        </w:rPr>
        <w:t>en</w:t>
      </w:r>
      <w:r>
        <w:rPr>
          <w:spacing w:val="-2"/>
          <w:sz w:val="20"/>
        </w:rPr>
        <w:t> </w:t>
      </w:r>
      <w:r>
        <w:rPr>
          <w:spacing w:val="-4"/>
          <w:sz w:val="20"/>
        </w:rPr>
        <w:t>el</w:t>
      </w:r>
      <w:r>
        <w:rPr>
          <w:spacing w:val="-5"/>
          <w:sz w:val="20"/>
        </w:rPr>
        <w:t> </w:t>
      </w:r>
      <w:r>
        <w:rPr>
          <w:spacing w:val="-4"/>
          <w:sz w:val="20"/>
        </w:rPr>
        <w:t>ejercicio</w:t>
      </w:r>
      <w:r>
        <w:rPr>
          <w:spacing w:val="-3"/>
          <w:sz w:val="20"/>
        </w:rPr>
        <w:t> </w:t>
      </w:r>
      <w:r>
        <w:rPr>
          <w:spacing w:val="-4"/>
          <w:sz w:val="20"/>
        </w:rPr>
        <w:t>2024.</w:t>
      </w:r>
    </w:p>
    <w:p>
      <w:pPr>
        <w:pStyle w:val="ListParagraph"/>
        <w:spacing w:after="0" w:line="240" w:lineRule="auto"/>
        <w:jc w:val="left"/>
        <w:rPr>
          <w:rFonts w:ascii="Tahoma"/>
          <w:sz w:val="18"/>
        </w:rPr>
        <w:sectPr>
          <w:pgSz w:w="11910" w:h="16840"/>
          <w:pgMar w:header="286" w:footer="1060" w:top="1920" w:bottom="1260" w:left="360" w:right="360"/>
        </w:sectPr>
      </w:pPr>
    </w:p>
    <w:p>
      <w:pPr>
        <w:pStyle w:val="BodyText"/>
        <w:spacing w:before="199"/>
      </w:pPr>
    </w:p>
    <w:p>
      <w:pPr>
        <w:pStyle w:val="Heading2"/>
        <w:numPr>
          <w:ilvl w:val="0"/>
          <w:numId w:val="4"/>
        </w:numPr>
        <w:tabs>
          <w:tab w:pos="1701" w:val="left" w:leader="none"/>
        </w:tabs>
        <w:spacing w:line="240" w:lineRule="auto" w:before="0" w:after="0"/>
        <w:ind w:left="1701" w:right="0" w:hanging="360"/>
        <w:jc w:val="left"/>
        <w:rPr>
          <w:u w:val="none"/>
        </w:rPr>
      </w:pPr>
      <w:r>
        <w:rPr>
          <w:spacing w:val="-5"/>
          <w:u w:val="single"/>
        </w:rPr>
        <w:t>INVERSIONES</w:t>
      </w:r>
      <w:r>
        <w:rPr>
          <w:spacing w:val="2"/>
          <w:u w:val="single"/>
        </w:rPr>
        <w:t> </w:t>
      </w:r>
      <w:r>
        <w:rPr>
          <w:spacing w:val="-2"/>
          <w:u w:val="single"/>
        </w:rPr>
        <w:t>INMOBILIARIAS</w:t>
      </w:r>
    </w:p>
    <w:p>
      <w:pPr>
        <w:pStyle w:val="BodyText"/>
        <w:spacing w:before="1"/>
        <w:rPr>
          <w:b/>
        </w:rPr>
      </w:pPr>
    </w:p>
    <w:p>
      <w:pPr>
        <w:pStyle w:val="ListParagraph"/>
        <w:numPr>
          <w:ilvl w:val="1"/>
          <w:numId w:val="4"/>
        </w:numPr>
        <w:tabs>
          <w:tab w:pos="2247" w:val="left" w:leader="none"/>
        </w:tabs>
        <w:spacing w:line="240" w:lineRule="auto" w:before="0" w:after="3"/>
        <w:ind w:left="2247" w:right="0" w:hanging="452"/>
        <w:jc w:val="left"/>
        <w:rPr>
          <w:rFonts w:ascii="Tahoma"/>
          <w:sz w:val="18"/>
        </w:rPr>
      </w:pPr>
      <w:r>
        <w:rPr>
          <w:sz w:val="20"/>
        </w:rPr>
        <w:t>Los</w:t>
      </w:r>
      <w:r>
        <w:rPr>
          <w:spacing w:val="-5"/>
          <w:sz w:val="20"/>
        </w:rPr>
        <w:t> </w:t>
      </w:r>
      <w:r>
        <w:rPr>
          <w:sz w:val="20"/>
        </w:rPr>
        <w:t>movimientos</w:t>
      </w:r>
      <w:r>
        <w:rPr>
          <w:spacing w:val="-6"/>
          <w:sz w:val="20"/>
        </w:rPr>
        <w:t> </w:t>
      </w:r>
      <w:r>
        <w:rPr>
          <w:sz w:val="20"/>
        </w:rPr>
        <w:t>habidos</w:t>
      </w:r>
      <w:r>
        <w:rPr>
          <w:spacing w:val="-5"/>
          <w:sz w:val="20"/>
        </w:rPr>
        <w:t> </w:t>
      </w:r>
      <w:r>
        <w:rPr>
          <w:sz w:val="20"/>
        </w:rPr>
        <w:t>durante</w:t>
      </w:r>
      <w:r>
        <w:rPr>
          <w:spacing w:val="-6"/>
          <w:sz w:val="20"/>
        </w:rPr>
        <w:t> </w:t>
      </w:r>
      <w:r>
        <w:rPr>
          <w:sz w:val="20"/>
        </w:rPr>
        <w:t>los</w:t>
      </w:r>
      <w:r>
        <w:rPr>
          <w:spacing w:val="-6"/>
          <w:sz w:val="20"/>
        </w:rPr>
        <w:t> </w:t>
      </w:r>
      <w:r>
        <w:rPr>
          <w:sz w:val="20"/>
        </w:rPr>
        <w:t>ejercicios</w:t>
      </w:r>
      <w:r>
        <w:rPr>
          <w:spacing w:val="-6"/>
          <w:sz w:val="20"/>
        </w:rPr>
        <w:t> </w:t>
      </w:r>
      <w:r>
        <w:rPr>
          <w:sz w:val="20"/>
        </w:rPr>
        <w:t>2024</w:t>
      </w:r>
      <w:r>
        <w:rPr>
          <w:spacing w:val="-2"/>
          <w:sz w:val="20"/>
        </w:rPr>
        <w:t> </w:t>
      </w:r>
      <w:r>
        <w:rPr>
          <w:sz w:val="20"/>
        </w:rPr>
        <w:t>y</w:t>
      </w:r>
      <w:r>
        <w:rPr>
          <w:spacing w:val="-8"/>
          <w:sz w:val="20"/>
        </w:rPr>
        <w:t> </w:t>
      </w:r>
      <w:r>
        <w:rPr>
          <w:sz w:val="20"/>
        </w:rPr>
        <w:t>2025</w:t>
      </w:r>
      <w:r>
        <w:rPr>
          <w:spacing w:val="-8"/>
          <w:sz w:val="20"/>
        </w:rPr>
        <w:t> </w:t>
      </w:r>
      <w:r>
        <w:rPr>
          <w:sz w:val="20"/>
        </w:rPr>
        <w:t>han</w:t>
      </w:r>
      <w:r>
        <w:rPr>
          <w:spacing w:val="-7"/>
          <w:sz w:val="20"/>
        </w:rPr>
        <w:t> </w:t>
      </w:r>
      <w:r>
        <w:rPr>
          <w:sz w:val="20"/>
        </w:rPr>
        <w:t>sido</w:t>
      </w:r>
      <w:r>
        <w:rPr>
          <w:spacing w:val="-7"/>
          <w:sz w:val="20"/>
        </w:rPr>
        <w:t> </w:t>
      </w:r>
      <w:r>
        <w:rPr>
          <w:sz w:val="20"/>
        </w:rPr>
        <w:t>los</w:t>
      </w:r>
      <w:r>
        <w:rPr>
          <w:spacing w:val="-6"/>
          <w:sz w:val="20"/>
        </w:rPr>
        <w:t> </w:t>
      </w:r>
      <w:r>
        <w:rPr>
          <w:spacing w:val="-2"/>
          <w:sz w:val="20"/>
        </w:rPr>
        <w:t>siguientes:</w:t>
      </w: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0"/>
        <w:gridCol w:w="1463"/>
        <w:gridCol w:w="1239"/>
        <w:gridCol w:w="882"/>
        <w:gridCol w:w="1192"/>
        <w:gridCol w:w="1200"/>
      </w:tblGrid>
      <w:tr>
        <w:trPr>
          <w:trHeight w:val="599" w:hRule="atLeast"/>
        </w:trPr>
        <w:tc>
          <w:tcPr>
            <w:tcW w:w="2750" w:type="dxa"/>
            <w:tcBorders>
              <w:bottom w:val="nil"/>
              <w:right w:val="nil"/>
            </w:tcBorders>
          </w:tcPr>
          <w:p>
            <w:pPr>
              <w:pStyle w:val="TableParagraph"/>
              <w:rPr>
                <w:sz w:val="16"/>
              </w:rPr>
            </w:pPr>
          </w:p>
          <w:p>
            <w:pPr>
              <w:pStyle w:val="TableParagraph"/>
              <w:spacing w:before="45"/>
              <w:rPr>
                <w:sz w:val="16"/>
              </w:rPr>
            </w:pPr>
          </w:p>
          <w:p>
            <w:pPr>
              <w:pStyle w:val="TableParagraph"/>
              <w:spacing w:line="166" w:lineRule="exact"/>
              <w:ind w:left="69"/>
              <w:rPr>
                <w:b/>
                <w:i/>
                <w:sz w:val="16"/>
              </w:rPr>
            </w:pPr>
            <w:r>
              <w:rPr>
                <w:b/>
                <w:i/>
                <w:sz w:val="16"/>
                <w:u w:val="single"/>
              </w:rPr>
              <w:t>Costes</w:t>
            </w:r>
            <w:r>
              <w:rPr>
                <w:b/>
                <w:i/>
                <w:spacing w:val="-7"/>
                <w:sz w:val="16"/>
                <w:u w:val="single"/>
              </w:rPr>
              <w:t> </w:t>
            </w:r>
            <w:r>
              <w:rPr>
                <w:b/>
                <w:i/>
                <w:spacing w:val="-2"/>
                <w:sz w:val="16"/>
                <w:u w:val="single"/>
              </w:rPr>
              <w:t>brutos</w:t>
            </w:r>
          </w:p>
        </w:tc>
        <w:tc>
          <w:tcPr>
            <w:tcW w:w="1463" w:type="dxa"/>
            <w:tcBorders>
              <w:left w:val="nil"/>
              <w:right w:val="nil"/>
            </w:tcBorders>
          </w:tcPr>
          <w:p>
            <w:pPr>
              <w:pStyle w:val="TableParagraph"/>
              <w:spacing w:line="300" w:lineRule="exact"/>
              <w:ind w:left="242" w:firstLine="182"/>
              <w:rPr>
                <w:b/>
                <w:sz w:val="16"/>
              </w:rPr>
            </w:pPr>
            <w:r>
              <w:rPr>
                <w:b/>
                <w:spacing w:val="-2"/>
                <w:sz w:val="16"/>
              </w:rPr>
              <w:t>Saldo 31/12/2024</w:t>
            </w:r>
          </w:p>
        </w:tc>
        <w:tc>
          <w:tcPr>
            <w:tcW w:w="1239"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57"/>
              <w:rPr>
                <w:b/>
                <w:sz w:val="16"/>
              </w:rPr>
            </w:pPr>
            <w:r>
              <w:rPr>
                <w:b/>
                <w:spacing w:val="-2"/>
                <w:sz w:val="16"/>
              </w:rPr>
              <w:t>Altas</w:t>
            </w:r>
          </w:p>
        </w:tc>
        <w:tc>
          <w:tcPr>
            <w:tcW w:w="882"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29"/>
              <w:rPr>
                <w:b/>
                <w:sz w:val="16"/>
              </w:rPr>
            </w:pPr>
            <w:r>
              <w:rPr>
                <w:b/>
                <w:spacing w:val="-2"/>
                <w:sz w:val="16"/>
              </w:rPr>
              <w:t>Bajas</w:t>
            </w:r>
          </w:p>
        </w:tc>
        <w:tc>
          <w:tcPr>
            <w:tcW w:w="1192"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37"/>
              <w:rPr>
                <w:b/>
                <w:sz w:val="16"/>
              </w:rPr>
            </w:pPr>
            <w:r>
              <w:rPr>
                <w:b/>
                <w:spacing w:val="-2"/>
                <w:sz w:val="16"/>
              </w:rPr>
              <w:t>Traspasos</w:t>
            </w:r>
          </w:p>
        </w:tc>
        <w:tc>
          <w:tcPr>
            <w:tcW w:w="1200" w:type="dxa"/>
            <w:tcBorders>
              <w:left w:val="nil"/>
            </w:tcBorders>
          </w:tcPr>
          <w:p>
            <w:pPr>
              <w:pStyle w:val="TableParagraph"/>
              <w:spacing w:line="300" w:lineRule="exact"/>
              <w:ind w:left="163" w:firstLine="182"/>
              <w:rPr>
                <w:b/>
                <w:sz w:val="16"/>
              </w:rPr>
            </w:pPr>
            <w:r>
              <w:rPr>
                <w:b/>
                <w:spacing w:val="-2"/>
                <w:sz w:val="16"/>
              </w:rPr>
              <w:t>Saldo 31/12/2025</w:t>
            </w:r>
          </w:p>
        </w:tc>
      </w:tr>
      <w:tr>
        <w:trPr>
          <w:trHeight w:val="599" w:hRule="atLeast"/>
        </w:trPr>
        <w:tc>
          <w:tcPr>
            <w:tcW w:w="2750" w:type="dxa"/>
            <w:vMerge w:val="restart"/>
            <w:tcBorders>
              <w:top w:val="nil"/>
              <w:right w:val="nil"/>
            </w:tcBorders>
          </w:tcPr>
          <w:p>
            <w:pPr>
              <w:pStyle w:val="TableParagraph"/>
              <w:spacing w:line="300" w:lineRule="exact" w:before="23"/>
              <w:ind w:left="69" w:right="997"/>
              <w:rPr>
                <w:sz w:val="16"/>
              </w:rPr>
            </w:pPr>
            <w:r>
              <w:rPr>
                <w:spacing w:val="-2"/>
                <w:sz w:val="16"/>
              </w:rPr>
              <w:t>Terrenos Construcciones</w:t>
            </w:r>
          </w:p>
          <w:p>
            <w:pPr>
              <w:pStyle w:val="TableParagraph"/>
              <w:spacing w:before="40"/>
              <w:ind w:left="2299"/>
              <w:rPr>
                <w:b/>
                <w:sz w:val="16"/>
              </w:rPr>
            </w:pPr>
            <w:r>
              <w:rPr>
                <w:b/>
                <w:spacing w:val="-2"/>
                <w:sz w:val="16"/>
              </w:rPr>
              <w:t>Total</w:t>
            </w:r>
          </w:p>
          <w:p>
            <w:pPr>
              <w:pStyle w:val="TableParagraph"/>
              <w:spacing w:before="1"/>
              <w:rPr>
                <w:sz w:val="16"/>
              </w:rPr>
            </w:pPr>
          </w:p>
          <w:p>
            <w:pPr>
              <w:pStyle w:val="TableParagraph"/>
              <w:ind w:left="69"/>
              <w:rPr>
                <w:b/>
                <w:i/>
                <w:sz w:val="16"/>
              </w:rPr>
            </w:pPr>
            <w:r>
              <w:rPr>
                <w:b/>
                <w:i/>
                <w:sz w:val="16"/>
                <w:u w:val="single"/>
              </w:rPr>
              <w:t>Amortización</w:t>
            </w:r>
            <w:r>
              <w:rPr>
                <w:b/>
                <w:i/>
                <w:spacing w:val="-9"/>
                <w:sz w:val="16"/>
                <w:u w:val="single"/>
              </w:rPr>
              <w:t> </w:t>
            </w:r>
            <w:r>
              <w:rPr>
                <w:b/>
                <w:i/>
                <w:spacing w:val="-2"/>
                <w:sz w:val="16"/>
                <w:u w:val="single"/>
              </w:rPr>
              <w:t>Acumulada</w:t>
            </w:r>
          </w:p>
          <w:p>
            <w:pPr>
              <w:pStyle w:val="TableParagraph"/>
              <w:spacing w:line="300" w:lineRule="atLeast"/>
              <w:ind w:left="69" w:right="997"/>
              <w:rPr>
                <w:sz w:val="16"/>
              </w:rPr>
            </w:pPr>
            <w:r>
              <w:rPr>
                <w:spacing w:val="-2"/>
                <w:sz w:val="16"/>
              </w:rPr>
              <w:t>Terrenos Construcciones</w:t>
            </w:r>
          </w:p>
          <w:p>
            <w:pPr>
              <w:pStyle w:val="TableParagraph"/>
              <w:spacing w:before="66"/>
              <w:ind w:left="2299"/>
              <w:rPr>
                <w:b/>
                <w:sz w:val="16"/>
              </w:rPr>
            </w:pPr>
            <w:r>
              <w:rPr>
                <w:b/>
                <w:spacing w:val="-2"/>
                <w:sz w:val="16"/>
              </w:rPr>
              <w:t>Total</w:t>
            </w:r>
          </w:p>
          <w:p>
            <w:pPr>
              <w:pStyle w:val="TableParagraph"/>
              <w:spacing w:before="125"/>
              <w:ind w:left="2342"/>
              <w:rPr>
                <w:b/>
                <w:sz w:val="16"/>
              </w:rPr>
            </w:pPr>
            <w:r>
              <w:rPr>
                <w:b/>
                <w:spacing w:val="-5"/>
                <w:sz w:val="16"/>
              </w:rPr>
              <w:t>VNC</w:t>
            </w:r>
          </w:p>
        </w:tc>
        <w:tc>
          <w:tcPr>
            <w:tcW w:w="1463" w:type="dxa"/>
            <w:tcBorders>
              <w:left w:val="nil"/>
              <w:right w:val="nil"/>
            </w:tcBorders>
          </w:tcPr>
          <w:p>
            <w:pPr>
              <w:pStyle w:val="TableParagraph"/>
              <w:spacing w:before="113"/>
              <w:ind w:left="501"/>
              <w:rPr>
                <w:sz w:val="16"/>
              </w:rPr>
            </w:pPr>
            <w:r>
              <w:rPr>
                <w:spacing w:val="-2"/>
                <w:sz w:val="16"/>
              </w:rPr>
              <w:t>20.891,65</w:t>
            </w:r>
          </w:p>
          <w:p>
            <w:pPr>
              <w:pStyle w:val="TableParagraph"/>
              <w:spacing w:line="166" w:lineRule="exact" w:before="116"/>
              <w:ind w:left="413"/>
              <w:rPr>
                <w:sz w:val="16"/>
              </w:rPr>
            </w:pPr>
            <w:r>
              <w:rPr>
                <w:spacing w:val="-2"/>
                <w:sz w:val="16"/>
              </w:rPr>
              <w:t>141.381,65</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before="113"/>
              <w:ind w:left="2494"/>
              <w:rPr>
                <w:sz w:val="16"/>
              </w:rPr>
            </w:pPr>
            <w:r>
              <w:rPr>
                <w:spacing w:val="-2"/>
                <w:sz w:val="16"/>
              </w:rPr>
              <w:t>20.891,65</w:t>
            </w:r>
          </w:p>
          <w:p>
            <w:pPr>
              <w:pStyle w:val="TableParagraph"/>
              <w:spacing w:line="166" w:lineRule="exact" w:before="116"/>
              <w:ind w:left="2405"/>
              <w:rPr>
                <w:sz w:val="16"/>
              </w:rPr>
            </w:pPr>
            <w:r>
              <w:rPr>
                <w:spacing w:val="-2"/>
                <w:sz w:val="16"/>
              </w:rPr>
              <w:t>141.381,65</w:t>
            </w:r>
          </w:p>
        </w:tc>
      </w:tr>
      <w:tr>
        <w:trPr>
          <w:trHeight w:val="302"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11"/>
              <w:ind w:right="246"/>
              <w:jc w:val="right"/>
              <w:rPr>
                <w:b/>
                <w:sz w:val="16"/>
              </w:rPr>
            </w:pPr>
            <w:r>
              <w:rPr>
                <w:b/>
                <w:spacing w:val="-2"/>
                <w:sz w:val="16"/>
              </w:rPr>
              <w:t>162.273,30</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line="171" w:lineRule="exact" w:before="111"/>
              <w:ind w:right="59"/>
              <w:jc w:val="right"/>
              <w:rPr>
                <w:b/>
                <w:sz w:val="16"/>
              </w:rPr>
            </w:pPr>
            <w:r>
              <w:rPr>
                <w:b/>
                <w:spacing w:val="-2"/>
                <w:sz w:val="16"/>
              </w:rPr>
              <w:t>162.273,30</w:t>
            </w:r>
          </w:p>
        </w:tc>
      </w:tr>
      <w:tr>
        <w:trPr>
          <w:trHeight w:val="8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right="245"/>
              <w:jc w:val="right"/>
              <w:rPr>
                <w:sz w:val="16"/>
              </w:rPr>
            </w:pPr>
            <w:r>
              <w:rPr>
                <w:spacing w:val="-2"/>
                <w:sz w:val="16"/>
              </w:rPr>
              <w:t>(62.914,92)</w:t>
            </w:r>
          </w:p>
        </w:tc>
        <w:tc>
          <w:tcPr>
            <w:tcW w:w="1239" w:type="dxa"/>
            <w:tcBorders>
              <w:left w:val="nil"/>
              <w:righ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left="289"/>
              <w:rPr>
                <w:sz w:val="16"/>
              </w:rPr>
            </w:pPr>
            <w:r>
              <w:rPr>
                <w:spacing w:val="-2"/>
                <w:sz w:val="16"/>
              </w:rPr>
              <w:t>(2.827,68)</w:t>
            </w:r>
          </w:p>
        </w:tc>
        <w:tc>
          <w:tcPr>
            <w:tcW w:w="3274" w:type="dxa"/>
            <w:gridSpan w:val="3"/>
            <w:tcBorders>
              <w:lef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right="59"/>
              <w:jc w:val="right"/>
              <w:rPr>
                <w:sz w:val="16"/>
              </w:rPr>
            </w:pPr>
            <w:r>
              <w:rPr>
                <w:spacing w:val="-2"/>
                <w:sz w:val="16"/>
              </w:rPr>
              <w:t>(65.742,60)</w:t>
            </w:r>
          </w:p>
        </w:tc>
      </w:tr>
      <w:tr>
        <w:trPr>
          <w:trHeight w:val="2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09"/>
              <w:ind w:right="246"/>
              <w:jc w:val="right"/>
              <w:rPr>
                <w:b/>
                <w:sz w:val="16"/>
              </w:rPr>
            </w:pPr>
            <w:r>
              <w:rPr>
                <w:b/>
                <w:spacing w:val="-2"/>
                <w:sz w:val="16"/>
              </w:rPr>
              <w:t>(62.914,92)</w:t>
            </w:r>
          </w:p>
        </w:tc>
        <w:tc>
          <w:tcPr>
            <w:tcW w:w="1239" w:type="dxa"/>
            <w:tcBorders>
              <w:left w:val="nil"/>
              <w:right w:val="nil"/>
            </w:tcBorders>
          </w:tcPr>
          <w:p>
            <w:pPr>
              <w:pStyle w:val="TableParagraph"/>
              <w:spacing w:line="171" w:lineRule="exact" w:before="109"/>
              <w:ind w:left="289"/>
              <w:rPr>
                <w:b/>
                <w:sz w:val="16"/>
              </w:rPr>
            </w:pPr>
            <w:r>
              <w:rPr>
                <w:b/>
                <w:spacing w:val="-2"/>
                <w:sz w:val="16"/>
              </w:rPr>
              <w:t>(2.827,68)</w:t>
            </w:r>
          </w:p>
        </w:tc>
        <w:tc>
          <w:tcPr>
            <w:tcW w:w="3274" w:type="dxa"/>
            <w:gridSpan w:val="3"/>
            <w:tcBorders>
              <w:left w:val="nil"/>
            </w:tcBorders>
          </w:tcPr>
          <w:p>
            <w:pPr>
              <w:pStyle w:val="TableParagraph"/>
              <w:spacing w:line="171" w:lineRule="exact" w:before="109"/>
              <w:ind w:right="59"/>
              <w:jc w:val="right"/>
              <w:rPr>
                <w:b/>
                <w:sz w:val="16"/>
              </w:rPr>
            </w:pPr>
            <w:r>
              <w:rPr>
                <w:b/>
                <w:spacing w:val="-2"/>
                <w:sz w:val="16"/>
              </w:rPr>
              <w:t>(65.742,60)</w:t>
            </w:r>
          </w:p>
        </w:tc>
      </w:tr>
      <w:tr>
        <w:trPr>
          <w:trHeight w:val="2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09"/>
              <w:ind w:right="245"/>
              <w:jc w:val="right"/>
              <w:rPr>
                <w:b/>
                <w:sz w:val="16"/>
              </w:rPr>
            </w:pPr>
            <w:r>
              <w:rPr>
                <w:b/>
                <w:spacing w:val="-2"/>
                <w:sz w:val="16"/>
              </w:rPr>
              <w:t>99.358,38</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line="171" w:lineRule="exact" w:before="109"/>
              <w:ind w:right="59"/>
              <w:jc w:val="right"/>
              <w:rPr>
                <w:b/>
                <w:sz w:val="16"/>
              </w:rPr>
            </w:pPr>
            <w:r>
              <w:rPr>
                <w:b/>
                <w:spacing w:val="-2"/>
                <w:sz w:val="16"/>
              </w:rPr>
              <w:t>96.530,70</w:t>
            </w:r>
          </w:p>
        </w:tc>
      </w:tr>
    </w:tbl>
    <w:p>
      <w:pPr>
        <w:pStyle w:val="BodyText"/>
        <w:spacing w:before="3"/>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0"/>
        <w:gridCol w:w="1463"/>
        <w:gridCol w:w="1239"/>
        <w:gridCol w:w="882"/>
        <w:gridCol w:w="1192"/>
        <w:gridCol w:w="1200"/>
      </w:tblGrid>
      <w:tr>
        <w:trPr>
          <w:trHeight w:val="599" w:hRule="atLeast"/>
        </w:trPr>
        <w:tc>
          <w:tcPr>
            <w:tcW w:w="2750" w:type="dxa"/>
            <w:tcBorders>
              <w:bottom w:val="nil"/>
              <w:right w:val="nil"/>
            </w:tcBorders>
          </w:tcPr>
          <w:p>
            <w:pPr>
              <w:pStyle w:val="TableParagraph"/>
              <w:rPr>
                <w:sz w:val="16"/>
              </w:rPr>
            </w:pPr>
          </w:p>
          <w:p>
            <w:pPr>
              <w:pStyle w:val="TableParagraph"/>
              <w:spacing w:before="45"/>
              <w:rPr>
                <w:sz w:val="16"/>
              </w:rPr>
            </w:pPr>
          </w:p>
          <w:p>
            <w:pPr>
              <w:pStyle w:val="TableParagraph"/>
              <w:spacing w:line="166" w:lineRule="exact"/>
              <w:ind w:left="69"/>
              <w:rPr>
                <w:b/>
                <w:i/>
                <w:sz w:val="16"/>
              </w:rPr>
            </w:pPr>
            <w:r>
              <w:rPr>
                <w:b/>
                <w:i/>
                <w:sz w:val="16"/>
                <w:u w:val="single"/>
              </w:rPr>
              <w:t>Costes</w:t>
            </w:r>
            <w:r>
              <w:rPr>
                <w:b/>
                <w:i/>
                <w:spacing w:val="-7"/>
                <w:sz w:val="16"/>
                <w:u w:val="single"/>
              </w:rPr>
              <w:t> </w:t>
            </w:r>
            <w:r>
              <w:rPr>
                <w:b/>
                <w:i/>
                <w:spacing w:val="-2"/>
                <w:sz w:val="16"/>
                <w:u w:val="single"/>
              </w:rPr>
              <w:t>brutos</w:t>
            </w:r>
          </w:p>
        </w:tc>
        <w:tc>
          <w:tcPr>
            <w:tcW w:w="1463" w:type="dxa"/>
            <w:tcBorders>
              <w:left w:val="nil"/>
              <w:right w:val="nil"/>
            </w:tcBorders>
          </w:tcPr>
          <w:p>
            <w:pPr>
              <w:pStyle w:val="TableParagraph"/>
              <w:spacing w:line="300" w:lineRule="exact"/>
              <w:ind w:left="242" w:firstLine="182"/>
              <w:rPr>
                <w:b/>
                <w:sz w:val="16"/>
              </w:rPr>
            </w:pPr>
            <w:r>
              <w:rPr>
                <w:b/>
                <w:spacing w:val="-2"/>
                <w:sz w:val="16"/>
              </w:rPr>
              <w:t>Saldo 31/12/2023</w:t>
            </w:r>
          </w:p>
        </w:tc>
        <w:tc>
          <w:tcPr>
            <w:tcW w:w="1239"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57"/>
              <w:rPr>
                <w:b/>
                <w:sz w:val="16"/>
              </w:rPr>
            </w:pPr>
            <w:r>
              <w:rPr>
                <w:b/>
                <w:spacing w:val="-2"/>
                <w:sz w:val="16"/>
              </w:rPr>
              <w:t>Altas</w:t>
            </w:r>
          </w:p>
        </w:tc>
        <w:tc>
          <w:tcPr>
            <w:tcW w:w="882"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29"/>
              <w:rPr>
                <w:b/>
                <w:sz w:val="16"/>
              </w:rPr>
            </w:pPr>
            <w:r>
              <w:rPr>
                <w:b/>
                <w:spacing w:val="-2"/>
                <w:sz w:val="16"/>
              </w:rPr>
              <w:t>Bajas</w:t>
            </w:r>
          </w:p>
        </w:tc>
        <w:tc>
          <w:tcPr>
            <w:tcW w:w="1192" w:type="dxa"/>
            <w:tcBorders>
              <w:left w:val="nil"/>
              <w:right w:val="nil"/>
            </w:tcBorders>
          </w:tcPr>
          <w:p>
            <w:pPr>
              <w:pStyle w:val="TableParagraph"/>
              <w:rPr>
                <w:sz w:val="16"/>
              </w:rPr>
            </w:pPr>
          </w:p>
          <w:p>
            <w:pPr>
              <w:pStyle w:val="TableParagraph"/>
              <w:spacing w:before="43"/>
              <w:rPr>
                <w:sz w:val="16"/>
              </w:rPr>
            </w:pPr>
          </w:p>
          <w:p>
            <w:pPr>
              <w:pStyle w:val="TableParagraph"/>
              <w:spacing w:line="168" w:lineRule="exact"/>
              <w:ind w:left="237"/>
              <w:rPr>
                <w:b/>
                <w:sz w:val="16"/>
              </w:rPr>
            </w:pPr>
            <w:r>
              <w:rPr>
                <w:b/>
                <w:spacing w:val="-2"/>
                <w:sz w:val="16"/>
              </w:rPr>
              <w:t>Traspasos</w:t>
            </w:r>
          </w:p>
        </w:tc>
        <w:tc>
          <w:tcPr>
            <w:tcW w:w="1200" w:type="dxa"/>
            <w:tcBorders>
              <w:left w:val="nil"/>
            </w:tcBorders>
          </w:tcPr>
          <w:p>
            <w:pPr>
              <w:pStyle w:val="TableParagraph"/>
              <w:spacing w:line="300" w:lineRule="exact"/>
              <w:ind w:left="163" w:firstLine="182"/>
              <w:rPr>
                <w:b/>
                <w:sz w:val="16"/>
              </w:rPr>
            </w:pPr>
            <w:r>
              <w:rPr>
                <w:b/>
                <w:spacing w:val="-2"/>
                <w:sz w:val="16"/>
              </w:rPr>
              <w:t>Saldo 31/12/2024</w:t>
            </w:r>
          </w:p>
        </w:tc>
      </w:tr>
      <w:tr>
        <w:trPr>
          <w:trHeight w:val="599" w:hRule="atLeast"/>
        </w:trPr>
        <w:tc>
          <w:tcPr>
            <w:tcW w:w="2750" w:type="dxa"/>
            <w:vMerge w:val="restart"/>
            <w:tcBorders>
              <w:top w:val="nil"/>
              <w:right w:val="nil"/>
            </w:tcBorders>
          </w:tcPr>
          <w:p>
            <w:pPr>
              <w:pStyle w:val="TableParagraph"/>
              <w:spacing w:line="300" w:lineRule="exact" w:before="23"/>
              <w:ind w:left="69" w:right="997"/>
              <w:rPr>
                <w:sz w:val="16"/>
              </w:rPr>
            </w:pPr>
            <w:r>
              <w:rPr>
                <w:spacing w:val="-2"/>
                <w:sz w:val="16"/>
              </w:rPr>
              <w:t>Terrenos Construcciones</w:t>
            </w:r>
          </w:p>
          <w:p>
            <w:pPr>
              <w:pStyle w:val="TableParagraph"/>
              <w:spacing w:before="40"/>
              <w:ind w:left="2299"/>
              <w:rPr>
                <w:b/>
                <w:sz w:val="16"/>
              </w:rPr>
            </w:pPr>
            <w:r>
              <w:rPr>
                <w:b/>
                <w:spacing w:val="-2"/>
                <w:sz w:val="16"/>
              </w:rPr>
              <w:t>Total</w:t>
            </w:r>
          </w:p>
          <w:p>
            <w:pPr>
              <w:pStyle w:val="TableParagraph"/>
              <w:spacing w:before="1"/>
              <w:rPr>
                <w:sz w:val="16"/>
              </w:rPr>
            </w:pPr>
          </w:p>
          <w:p>
            <w:pPr>
              <w:pStyle w:val="TableParagraph"/>
              <w:ind w:left="69"/>
              <w:rPr>
                <w:b/>
                <w:i/>
                <w:sz w:val="16"/>
              </w:rPr>
            </w:pPr>
            <w:r>
              <w:rPr>
                <w:b/>
                <w:i/>
                <w:sz w:val="16"/>
                <w:u w:val="single"/>
              </w:rPr>
              <w:t>Amortización</w:t>
            </w:r>
            <w:r>
              <w:rPr>
                <w:b/>
                <w:i/>
                <w:spacing w:val="-9"/>
                <w:sz w:val="16"/>
                <w:u w:val="single"/>
              </w:rPr>
              <w:t> </w:t>
            </w:r>
            <w:r>
              <w:rPr>
                <w:b/>
                <w:i/>
                <w:spacing w:val="-2"/>
                <w:sz w:val="16"/>
                <w:u w:val="single"/>
              </w:rPr>
              <w:t>Acumulada</w:t>
            </w:r>
          </w:p>
          <w:p>
            <w:pPr>
              <w:pStyle w:val="TableParagraph"/>
              <w:spacing w:line="300" w:lineRule="atLeast"/>
              <w:ind w:left="69" w:right="997"/>
              <w:rPr>
                <w:sz w:val="16"/>
              </w:rPr>
            </w:pPr>
            <w:r>
              <w:rPr>
                <w:spacing w:val="-2"/>
                <w:sz w:val="16"/>
              </w:rPr>
              <w:t>Terrenos Construcciones</w:t>
            </w:r>
          </w:p>
          <w:p>
            <w:pPr>
              <w:pStyle w:val="TableParagraph"/>
              <w:spacing w:before="66"/>
              <w:ind w:left="2299"/>
              <w:rPr>
                <w:b/>
                <w:sz w:val="16"/>
              </w:rPr>
            </w:pPr>
            <w:r>
              <w:rPr>
                <w:b/>
                <w:spacing w:val="-2"/>
                <w:sz w:val="16"/>
              </w:rPr>
              <w:t>Total</w:t>
            </w:r>
          </w:p>
          <w:p>
            <w:pPr>
              <w:pStyle w:val="TableParagraph"/>
              <w:spacing w:before="125"/>
              <w:ind w:left="2342"/>
              <w:rPr>
                <w:b/>
                <w:sz w:val="16"/>
              </w:rPr>
            </w:pPr>
            <w:r>
              <w:rPr>
                <w:b/>
                <w:spacing w:val="-5"/>
                <w:sz w:val="16"/>
              </w:rPr>
              <w:t>VNC</w:t>
            </w:r>
          </w:p>
        </w:tc>
        <w:tc>
          <w:tcPr>
            <w:tcW w:w="1463" w:type="dxa"/>
            <w:tcBorders>
              <w:left w:val="nil"/>
              <w:right w:val="nil"/>
            </w:tcBorders>
          </w:tcPr>
          <w:p>
            <w:pPr>
              <w:pStyle w:val="TableParagraph"/>
              <w:spacing w:before="113"/>
              <w:ind w:left="501"/>
              <w:rPr>
                <w:sz w:val="16"/>
              </w:rPr>
            </w:pPr>
            <w:r>
              <w:rPr>
                <w:spacing w:val="-2"/>
                <w:sz w:val="16"/>
              </w:rPr>
              <w:t>20.891,65</w:t>
            </w:r>
          </w:p>
          <w:p>
            <w:pPr>
              <w:pStyle w:val="TableParagraph"/>
              <w:spacing w:line="166" w:lineRule="exact" w:before="116"/>
              <w:ind w:left="413"/>
              <w:rPr>
                <w:sz w:val="16"/>
              </w:rPr>
            </w:pPr>
            <w:r>
              <w:rPr>
                <w:spacing w:val="-2"/>
                <w:sz w:val="16"/>
              </w:rPr>
              <w:t>141.381,65</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before="113"/>
              <w:ind w:left="2494"/>
              <w:rPr>
                <w:sz w:val="16"/>
              </w:rPr>
            </w:pPr>
            <w:r>
              <w:rPr>
                <w:spacing w:val="-2"/>
                <w:sz w:val="16"/>
              </w:rPr>
              <w:t>20.891,65</w:t>
            </w:r>
          </w:p>
          <w:p>
            <w:pPr>
              <w:pStyle w:val="TableParagraph"/>
              <w:spacing w:line="166" w:lineRule="exact" w:before="116"/>
              <w:ind w:left="2405"/>
              <w:rPr>
                <w:sz w:val="16"/>
              </w:rPr>
            </w:pPr>
            <w:r>
              <w:rPr>
                <w:spacing w:val="-2"/>
                <w:sz w:val="16"/>
              </w:rPr>
              <w:t>141.381,65</w:t>
            </w:r>
          </w:p>
        </w:tc>
      </w:tr>
      <w:tr>
        <w:trPr>
          <w:trHeight w:val="302"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11"/>
              <w:ind w:right="246"/>
              <w:jc w:val="right"/>
              <w:rPr>
                <w:b/>
                <w:sz w:val="16"/>
              </w:rPr>
            </w:pPr>
            <w:r>
              <w:rPr>
                <w:b/>
                <w:spacing w:val="-2"/>
                <w:sz w:val="16"/>
              </w:rPr>
              <w:t>162.273,30</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line="171" w:lineRule="exact" w:before="111"/>
              <w:ind w:right="59"/>
              <w:jc w:val="right"/>
              <w:rPr>
                <w:b/>
                <w:sz w:val="16"/>
              </w:rPr>
            </w:pPr>
            <w:r>
              <w:rPr>
                <w:b/>
                <w:spacing w:val="-2"/>
                <w:sz w:val="16"/>
              </w:rPr>
              <w:t>162.273,30</w:t>
            </w:r>
          </w:p>
        </w:tc>
      </w:tr>
      <w:tr>
        <w:trPr>
          <w:trHeight w:val="8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right="245"/>
              <w:jc w:val="right"/>
              <w:rPr>
                <w:sz w:val="16"/>
              </w:rPr>
            </w:pPr>
            <w:r>
              <w:rPr>
                <w:spacing w:val="-2"/>
                <w:sz w:val="16"/>
              </w:rPr>
              <w:t>(60.087,29)</w:t>
            </w:r>
          </w:p>
        </w:tc>
        <w:tc>
          <w:tcPr>
            <w:tcW w:w="1239" w:type="dxa"/>
            <w:tcBorders>
              <w:left w:val="nil"/>
              <w:righ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left="289"/>
              <w:rPr>
                <w:sz w:val="16"/>
              </w:rPr>
            </w:pPr>
            <w:r>
              <w:rPr>
                <w:spacing w:val="-2"/>
                <w:sz w:val="16"/>
              </w:rPr>
              <w:t>(2.827,63)</w:t>
            </w:r>
          </w:p>
        </w:tc>
        <w:tc>
          <w:tcPr>
            <w:tcW w:w="3274" w:type="dxa"/>
            <w:gridSpan w:val="3"/>
            <w:tcBorders>
              <w:left w:val="nil"/>
            </w:tcBorders>
          </w:tcPr>
          <w:p>
            <w:pPr>
              <w:pStyle w:val="TableParagraph"/>
              <w:rPr>
                <w:sz w:val="16"/>
              </w:rPr>
            </w:pPr>
          </w:p>
          <w:p>
            <w:pPr>
              <w:pStyle w:val="TableParagraph"/>
              <w:rPr>
                <w:sz w:val="16"/>
              </w:rPr>
            </w:pPr>
          </w:p>
          <w:p>
            <w:pPr>
              <w:pStyle w:val="TableParagraph"/>
              <w:spacing w:before="159"/>
              <w:rPr>
                <w:sz w:val="16"/>
              </w:rPr>
            </w:pPr>
          </w:p>
          <w:p>
            <w:pPr>
              <w:pStyle w:val="TableParagraph"/>
              <w:spacing w:line="168" w:lineRule="exact"/>
              <w:ind w:right="59"/>
              <w:jc w:val="right"/>
              <w:rPr>
                <w:sz w:val="16"/>
              </w:rPr>
            </w:pPr>
            <w:r>
              <w:rPr>
                <w:spacing w:val="-2"/>
                <w:sz w:val="16"/>
              </w:rPr>
              <w:t>(62.914,92)</w:t>
            </w:r>
          </w:p>
        </w:tc>
      </w:tr>
      <w:tr>
        <w:trPr>
          <w:trHeight w:val="2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09"/>
              <w:ind w:right="246"/>
              <w:jc w:val="right"/>
              <w:rPr>
                <w:b/>
                <w:sz w:val="16"/>
              </w:rPr>
            </w:pPr>
            <w:r>
              <w:rPr>
                <w:b/>
                <w:spacing w:val="-2"/>
                <w:sz w:val="16"/>
              </w:rPr>
              <w:t>(60.087,29)</w:t>
            </w:r>
          </w:p>
        </w:tc>
        <w:tc>
          <w:tcPr>
            <w:tcW w:w="1239" w:type="dxa"/>
            <w:tcBorders>
              <w:left w:val="nil"/>
              <w:right w:val="nil"/>
            </w:tcBorders>
          </w:tcPr>
          <w:p>
            <w:pPr>
              <w:pStyle w:val="TableParagraph"/>
              <w:spacing w:line="171" w:lineRule="exact" w:before="109"/>
              <w:ind w:left="289"/>
              <w:rPr>
                <w:b/>
                <w:sz w:val="16"/>
              </w:rPr>
            </w:pPr>
            <w:r>
              <w:rPr>
                <w:b/>
                <w:spacing w:val="-2"/>
                <w:sz w:val="16"/>
              </w:rPr>
              <w:t>(2.827,63)</w:t>
            </w:r>
          </w:p>
        </w:tc>
        <w:tc>
          <w:tcPr>
            <w:tcW w:w="3274" w:type="dxa"/>
            <w:gridSpan w:val="3"/>
            <w:tcBorders>
              <w:left w:val="nil"/>
            </w:tcBorders>
          </w:tcPr>
          <w:p>
            <w:pPr>
              <w:pStyle w:val="TableParagraph"/>
              <w:spacing w:line="171" w:lineRule="exact" w:before="109"/>
              <w:ind w:right="59"/>
              <w:jc w:val="right"/>
              <w:rPr>
                <w:b/>
                <w:sz w:val="16"/>
              </w:rPr>
            </w:pPr>
            <w:r>
              <w:rPr>
                <w:b/>
                <w:spacing w:val="-2"/>
                <w:sz w:val="16"/>
              </w:rPr>
              <w:t>(62.914,92)</w:t>
            </w:r>
          </w:p>
        </w:tc>
      </w:tr>
      <w:tr>
        <w:trPr>
          <w:trHeight w:val="299" w:hRule="atLeast"/>
        </w:trPr>
        <w:tc>
          <w:tcPr>
            <w:tcW w:w="2750" w:type="dxa"/>
            <w:vMerge/>
            <w:tcBorders>
              <w:top w:val="nil"/>
              <w:right w:val="nil"/>
            </w:tcBorders>
          </w:tcPr>
          <w:p>
            <w:pPr>
              <w:rPr>
                <w:sz w:val="2"/>
                <w:szCs w:val="2"/>
              </w:rPr>
            </w:pPr>
          </w:p>
        </w:tc>
        <w:tc>
          <w:tcPr>
            <w:tcW w:w="1463" w:type="dxa"/>
            <w:tcBorders>
              <w:left w:val="nil"/>
              <w:right w:val="nil"/>
            </w:tcBorders>
          </w:tcPr>
          <w:p>
            <w:pPr>
              <w:pStyle w:val="TableParagraph"/>
              <w:spacing w:line="171" w:lineRule="exact" w:before="109"/>
              <w:ind w:right="246"/>
              <w:jc w:val="right"/>
              <w:rPr>
                <w:b/>
                <w:sz w:val="16"/>
              </w:rPr>
            </w:pPr>
            <w:r>
              <w:rPr>
                <w:b/>
                <w:spacing w:val="-2"/>
                <w:sz w:val="16"/>
              </w:rPr>
              <w:t>102.186,01</w:t>
            </w:r>
          </w:p>
        </w:tc>
        <w:tc>
          <w:tcPr>
            <w:tcW w:w="1239" w:type="dxa"/>
            <w:tcBorders>
              <w:left w:val="nil"/>
              <w:right w:val="nil"/>
            </w:tcBorders>
          </w:tcPr>
          <w:p>
            <w:pPr>
              <w:pStyle w:val="TableParagraph"/>
              <w:rPr>
                <w:rFonts w:ascii="Times New Roman"/>
                <w:sz w:val="16"/>
              </w:rPr>
            </w:pPr>
          </w:p>
        </w:tc>
        <w:tc>
          <w:tcPr>
            <w:tcW w:w="3274" w:type="dxa"/>
            <w:gridSpan w:val="3"/>
            <w:tcBorders>
              <w:left w:val="nil"/>
            </w:tcBorders>
          </w:tcPr>
          <w:p>
            <w:pPr>
              <w:pStyle w:val="TableParagraph"/>
              <w:spacing w:line="171" w:lineRule="exact" w:before="109"/>
              <w:ind w:right="59"/>
              <w:jc w:val="right"/>
              <w:rPr>
                <w:b/>
                <w:sz w:val="16"/>
              </w:rPr>
            </w:pPr>
            <w:r>
              <w:rPr>
                <w:b/>
                <w:spacing w:val="-2"/>
                <w:sz w:val="16"/>
              </w:rPr>
              <w:t>99.358,38</w:t>
            </w:r>
          </w:p>
        </w:tc>
      </w:tr>
    </w:tbl>
    <w:p>
      <w:pPr>
        <w:pStyle w:val="BodyText"/>
      </w:pPr>
    </w:p>
    <w:p>
      <w:pPr>
        <w:pStyle w:val="BodyText"/>
        <w:ind w:left="1701" w:right="1308"/>
      </w:pPr>
      <w:r>
        <w:rPr/>
        <w:t>Durante</w:t>
      </w:r>
      <w:r>
        <w:rPr>
          <w:spacing w:val="40"/>
        </w:rPr>
        <w:t> </w:t>
      </w:r>
      <w:r>
        <w:rPr/>
        <w:t>el</w:t>
      </w:r>
      <w:r>
        <w:rPr>
          <w:spacing w:val="40"/>
        </w:rPr>
        <w:t> </w:t>
      </w:r>
      <w:r>
        <w:rPr/>
        <w:t>ejercicio</w:t>
      </w:r>
      <w:r>
        <w:rPr>
          <w:spacing w:val="40"/>
        </w:rPr>
        <w:t> </w:t>
      </w:r>
      <w:r>
        <w:rPr/>
        <w:t>2024</w:t>
      </w:r>
      <w:r>
        <w:rPr>
          <w:spacing w:val="40"/>
        </w:rPr>
        <w:t> </w:t>
      </w:r>
      <w:r>
        <w:rPr/>
        <w:t>y</w:t>
      </w:r>
      <w:r>
        <w:rPr>
          <w:spacing w:val="40"/>
        </w:rPr>
        <w:t> </w:t>
      </w:r>
      <w:r>
        <w:rPr/>
        <w:t>el</w:t>
      </w:r>
      <w:r>
        <w:rPr>
          <w:spacing w:val="40"/>
        </w:rPr>
        <w:t> </w:t>
      </w:r>
      <w:r>
        <w:rPr/>
        <w:t>ejercicio</w:t>
      </w:r>
      <w:r>
        <w:rPr>
          <w:spacing w:val="40"/>
        </w:rPr>
        <w:t> </w:t>
      </w:r>
      <w:r>
        <w:rPr/>
        <w:t>2025</w:t>
      </w:r>
      <w:r>
        <w:rPr>
          <w:spacing w:val="40"/>
        </w:rPr>
        <w:t> </w:t>
      </w:r>
      <w:r>
        <w:rPr/>
        <w:t>no</w:t>
      </w:r>
      <w:r>
        <w:rPr>
          <w:spacing w:val="40"/>
        </w:rPr>
        <w:t> </w:t>
      </w:r>
      <w:r>
        <w:rPr/>
        <w:t>han</w:t>
      </w:r>
      <w:r>
        <w:rPr>
          <w:spacing w:val="40"/>
        </w:rPr>
        <w:t> </w:t>
      </w:r>
      <w:r>
        <w:rPr/>
        <w:t>habido</w:t>
      </w:r>
      <w:r>
        <w:rPr>
          <w:spacing w:val="40"/>
        </w:rPr>
        <w:t> </w:t>
      </w:r>
      <w:r>
        <w:rPr/>
        <w:t>ingresos</w:t>
      </w:r>
      <w:r>
        <w:rPr>
          <w:spacing w:val="40"/>
        </w:rPr>
        <w:t> </w:t>
      </w:r>
      <w:r>
        <w:rPr/>
        <w:t>derivados</w:t>
      </w:r>
      <w:r>
        <w:rPr>
          <w:spacing w:val="40"/>
        </w:rPr>
        <w:t> </w:t>
      </w:r>
      <w:r>
        <w:rPr/>
        <w:t>de</w:t>
      </w:r>
      <w:r>
        <w:rPr>
          <w:spacing w:val="40"/>
        </w:rPr>
        <w:t> </w:t>
      </w:r>
      <w:r>
        <w:rPr/>
        <w:t>las inversiones inmobiliarias.</w:t>
      </w:r>
    </w:p>
    <w:p>
      <w:pPr>
        <w:pStyle w:val="Heading2"/>
        <w:numPr>
          <w:ilvl w:val="0"/>
          <w:numId w:val="4"/>
        </w:numPr>
        <w:tabs>
          <w:tab w:pos="1701" w:val="left" w:leader="none"/>
        </w:tabs>
        <w:spacing w:line="240" w:lineRule="auto" w:before="229" w:after="0"/>
        <w:ind w:left="1701" w:right="0" w:hanging="360"/>
        <w:jc w:val="left"/>
        <w:rPr>
          <w:u w:val="none"/>
        </w:rPr>
      </w:pPr>
      <w:r>
        <w:rPr/>
        <mc:AlternateContent>
          <mc:Choice Requires="wps">
            <w:drawing>
              <wp:anchor distT="0" distB="0" distL="0" distR="0" allowOverlap="1" layoutInCell="1" locked="0" behindDoc="0" simplePos="0" relativeHeight="15757824">
                <wp:simplePos x="0" y="0"/>
                <wp:positionH relativeFrom="page">
                  <wp:posOffset>6966436</wp:posOffset>
                </wp:positionH>
                <wp:positionV relativeFrom="paragraph">
                  <wp:posOffset>139773</wp:posOffset>
                </wp:positionV>
                <wp:extent cx="263525" cy="327596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1.005791pt;width:20.75pt;height:257.95pt;mso-position-horizontal-relative:page;mso-position-vertical-relative:paragraph;z-index:15757824" type="#_x0000_t202" id="docshape10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2"/>
          <w:u w:val="single"/>
        </w:rPr>
        <w:t>ARRENDAMIENTOS.</w:t>
      </w:r>
    </w:p>
    <w:p>
      <w:pPr>
        <w:pStyle w:val="BodyText"/>
        <w:rPr>
          <w:b/>
        </w:rPr>
      </w:pPr>
    </w:p>
    <w:p>
      <w:pPr>
        <w:pStyle w:val="BodyText"/>
        <w:spacing w:before="1"/>
        <w:ind w:left="1701"/>
        <w:jc w:val="both"/>
      </w:pPr>
      <w:r>
        <w:rPr>
          <w:spacing w:val="-2"/>
        </w:rPr>
        <w:t>Arrendamientos</w:t>
      </w:r>
      <w:r>
        <w:rPr>
          <w:spacing w:val="9"/>
        </w:rPr>
        <w:t> </w:t>
      </w:r>
      <w:r>
        <w:rPr>
          <w:spacing w:val="-2"/>
        </w:rPr>
        <w:t>Operativos</w:t>
      </w:r>
    </w:p>
    <w:p>
      <w:pPr>
        <w:pStyle w:val="BodyText"/>
      </w:pPr>
    </w:p>
    <w:p>
      <w:pPr>
        <w:pStyle w:val="BodyText"/>
        <w:ind w:left="1768" w:right="1336"/>
        <w:jc w:val="both"/>
      </w:pPr>
      <w:r>
        <w:rPr/>
        <w:t>La</w:t>
      </w:r>
      <w:r>
        <w:rPr>
          <w:spacing w:val="-1"/>
        </w:rPr>
        <w:t> </w:t>
      </w:r>
      <w:r>
        <w:rPr/>
        <w:t>información</w:t>
      </w:r>
      <w:r>
        <w:rPr>
          <w:spacing w:val="-4"/>
        </w:rPr>
        <w:t> </w:t>
      </w:r>
      <w:r>
        <w:rPr/>
        <w:t>de</w:t>
      </w:r>
      <w:r>
        <w:rPr>
          <w:spacing w:val="-1"/>
        </w:rPr>
        <w:t> </w:t>
      </w:r>
      <w:r>
        <w:rPr/>
        <w:t>los</w:t>
      </w:r>
      <w:r>
        <w:rPr>
          <w:spacing w:val="-2"/>
        </w:rPr>
        <w:t> </w:t>
      </w:r>
      <w:r>
        <w:rPr/>
        <w:t>arrendamientos</w:t>
      </w:r>
      <w:r>
        <w:rPr>
          <w:spacing w:val="-2"/>
        </w:rPr>
        <w:t> </w:t>
      </w:r>
      <w:r>
        <w:rPr/>
        <w:t>operativos</w:t>
      </w:r>
      <w:r>
        <w:rPr>
          <w:spacing w:val="-2"/>
        </w:rPr>
        <w:t> </w:t>
      </w:r>
      <w:r>
        <w:rPr/>
        <w:t>en</w:t>
      </w:r>
      <w:r>
        <w:rPr>
          <w:spacing w:val="-4"/>
        </w:rPr>
        <w:t> </w:t>
      </w:r>
      <w:r>
        <w:rPr/>
        <w:t>los</w:t>
      </w:r>
      <w:r>
        <w:rPr>
          <w:spacing w:val="-3"/>
        </w:rPr>
        <w:t> </w:t>
      </w:r>
      <w:r>
        <w:rPr/>
        <w:t>que</w:t>
      </w:r>
      <w:r>
        <w:rPr>
          <w:spacing w:val="-3"/>
        </w:rPr>
        <w:t> </w:t>
      </w:r>
      <w:r>
        <w:rPr/>
        <w:t>la</w:t>
      </w:r>
      <w:r>
        <w:rPr>
          <w:spacing w:val="-1"/>
        </w:rPr>
        <w:t> </w:t>
      </w:r>
      <w:r>
        <w:rPr/>
        <w:t>Sociedad</w:t>
      </w:r>
      <w:r>
        <w:rPr>
          <w:spacing w:val="-1"/>
        </w:rPr>
        <w:t> </w:t>
      </w:r>
      <w:r>
        <w:rPr/>
        <w:t>es</w:t>
      </w:r>
      <w:r>
        <w:rPr>
          <w:spacing w:val="-2"/>
        </w:rPr>
        <w:t> </w:t>
      </w:r>
      <w:r>
        <w:rPr/>
        <w:t>arrendataria</w:t>
      </w:r>
      <w:r>
        <w:rPr>
          <w:spacing w:val="-3"/>
        </w:rPr>
        <w:t> </w:t>
      </w:r>
      <w:r>
        <w:rPr/>
        <w:t>es la siguiente:</w:t>
      </w:r>
    </w:p>
    <w:p>
      <w:pPr>
        <w:pStyle w:val="BodyText"/>
        <w:spacing w:before="2"/>
      </w:pPr>
    </w:p>
    <w:tbl>
      <w:tblPr>
        <w:tblW w:w="0" w:type="auto"/>
        <w:jc w:val="left"/>
        <w:tblInd w:w="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2165"/>
        <w:gridCol w:w="2035"/>
      </w:tblGrid>
      <w:tr>
        <w:trPr>
          <w:trHeight w:val="585" w:hRule="atLeast"/>
        </w:trPr>
        <w:tc>
          <w:tcPr>
            <w:tcW w:w="3559" w:type="dxa"/>
          </w:tcPr>
          <w:p>
            <w:pPr>
              <w:pStyle w:val="TableParagraph"/>
              <w:spacing w:line="228" w:lineRule="exact" w:before="109"/>
              <w:ind w:left="424" w:firstLine="21"/>
              <w:rPr>
                <w:b/>
                <w:sz w:val="20"/>
              </w:rPr>
            </w:pPr>
            <w:r>
              <w:rPr>
                <w:b/>
                <w:sz w:val="20"/>
              </w:rPr>
              <w:t>Arrendamientos</w:t>
            </w:r>
            <w:r>
              <w:rPr>
                <w:b/>
                <w:spacing w:val="-14"/>
                <w:sz w:val="20"/>
              </w:rPr>
              <w:t> </w:t>
            </w:r>
            <w:r>
              <w:rPr>
                <w:b/>
                <w:sz w:val="20"/>
              </w:rPr>
              <w:t>operativos: Información</w:t>
            </w:r>
            <w:r>
              <w:rPr>
                <w:b/>
                <w:spacing w:val="-10"/>
                <w:sz w:val="20"/>
              </w:rPr>
              <w:t> </w:t>
            </w:r>
            <w:r>
              <w:rPr>
                <w:b/>
                <w:sz w:val="20"/>
              </w:rPr>
              <w:t>del</w:t>
            </w:r>
            <w:r>
              <w:rPr>
                <w:b/>
                <w:spacing w:val="-8"/>
                <w:sz w:val="20"/>
              </w:rPr>
              <w:t> </w:t>
            </w:r>
            <w:r>
              <w:rPr>
                <w:b/>
                <w:spacing w:val="-2"/>
                <w:sz w:val="20"/>
              </w:rPr>
              <w:t>arrendatario</w:t>
            </w:r>
          </w:p>
        </w:tc>
        <w:tc>
          <w:tcPr>
            <w:tcW w:w="2165" w:type="dxa"/>
          </w:tcPr>
          <w:p>
            <w:pPr>
              <w:pStyle w:val="TableParagraph"/>
              <w:spacing w:before="172"/>
              <w:ind w:left="5"/>
              <w:jc w:val="center"/>
              <w:rPr>
                <w:b/>
                <w:sz w:val="20"/>
              </w:rPr>
            </w:pPr>
            <w:r>
              <w:rPr>
                <w:b/>
                <w:spacing w:val="-4"/>
                <w:sz w:val="20"/>
              </w:rPr>
              <w:t>2025</w:t>
            </w:r>
          </w:p>
        </w:tc>
        <w:tc>
          <w:tcPr>
            <w:tcW w:w="2035" w:type="dxa"/>
          </w:tcPr>
          <w:p>
            <w:pPr>
              <w:pStyle w:val="TableParagraph"/>
              <w:spacing w:before="172"/>
              <w:ind w:left="7" w:right="2"/>
              <w:jc w:val="center"/>
              <w:rPr>
                <w:b/>
                <w:sz w:val="20"/>
              </w:rPr>
            </w:pPr>
            <w:r>
              <w:rPr>
                <w:b/>
                <w:spacing w:val="-4"/>
                <w:sz w:val="20"/>
              </w:rPr>
              <w:t>2024</w:t>
            </w:r>
          </w:p>
        </w:tc>
      </w:tr>
      <w:tr>
        <w:trPr>
          <w:trHeight w:val="690" w:hRule="atLeast"/>
        </w:trPr>
        <w:tc>
          <w:tcPr>
            <w:tcW w:w="3559" w:type="dxa"/>
          </w:tcPr>
          <w:p>
            <w:pPr>
              <w:pStyle w:val="TableParagraph"/>
              <w:spacing w:line="230" w:lineRule="exact"/>
              <w:ind w:left="69"/>
              <w:rPr>
                <w:sz w:val="20"/>
              </w:rPr>
            </w:pPr>
            <w:r>
              <w:rPr>
                <w:sz w:val="20"/>
              </w:rPr>
              <w:t>Importe</w:t>
            </w:r>
            <w:r>
              <w:rPr>
                <w:spacing w:val="-9"/>
                <w:sz w:val="20"/>
              </w:rPr>
              <w:t> </w:t>
            </w:r>
            <w:r>
              <w:rPr>
                <w:sz w:val="20"/>
              </w:rPr>
              <w:t>de</w:t>
            </w:r>
            <w:r>
              <w:rPr>
                <w:spacing w:val="-9"/>
                <w:sz w:val="20"/>
              </w:rPr>
              <w:t> </w:t>
            </w:r>
            <w:r>
              <w:rPr>
                <w:sz w:val="20"/>
              </w:rPr>
              <w:t>los</w:t>
            </w:r>
            <w:r>
              <w:rPr>
                <w:spacing w:val="-4"/>
                <w:sz w:val="20"/>
              </w:rPr>
              <w:t> </w:t>
            </w:r>
            <w:r>
              <w:rPr>
                <w:sz w:val="20"/>
              </w:rPr>
              <w:t>pagos</w:t>
            </w:r>
            <w:r>
              <w:rPr>
                <w:spacing w:val="-7"/>
                <w:sz w:val="20"/>
              </w:rPr>
              <w:t> </w:t>
            </w:r>
            <w:r>
              <w:rPr>
                <w:sz w:val="20"/>
              </w:rPr>
              <w:t>futuros</w:t>
            </w:r>
            <w:r>
              <w:rPr>
                <w:spacing w:val="-9"/>
                <w:sz w:val="20"/>
              </w:rPr>
              <w:t> </w:t>
            </w:r>
            <w:r>
              <w:rPr>
                <w:sz w:val="20"/>
              </w:rPr>
              <w:t>mínimos por arrendamientos operativos no </w:t>
            </w:r>
            <w:r>
              <w:rPr>
                <w:spacing w:val="-2"/>
                <w:sz w:val="20"/>
              </w:rPr>
              <w:t>cancelables</w:t>
            </w:r>
          </w:p>
        </w:tc>
        <w:tc>
          <w:tcPr>
            <w:tcW w:w="2165" w:type="dxa"/>
          </w:tcPr>
          <w:p>
            <w:pPr>
              <w:pStyle w:val="TableParagraph"/>
              <w:rPr>
                <w:rFonts w:ascii="Times New Roman"/>
                <w:sz w:val="16"/>
              </w:rPr>
            </w:pPr>
          </w:p>
        </w:tc>
        <w:tc>
          <w:tcPr>
            <w:tcW w:w="2035" w:type="dxa"/>
          </w:tcPr>
          <w:p>
            <w:pPr>
              <w:pStyle w:val="TableParagraph"/>
              <w:rPr>
                <w:rFonts w:ascii="Times New Roman"/>
                <w:sz w:val="16"/>
              </w:rPr>
            </w:pPr>
          </w:p>
        </w:tc>
      </w:tr>
      <w:tr>
        <w:trPr>
          <w:trHeight w:val="299" w:hRule="atLeast"/>
        </w:trPr>
        <w:tc>
          <w:tcPr>
            <w:tcW w:w="3559" w:type="dxa"/>
          </w:tcPr>
          <w:p>
            <w:pPr>
              <w:pStyle w:val="TableParagraph"/>
              <w:spacing w:line="213" w:lineRule="exact" w:before="66"/>
              <w:ind w:left="69"/>
              <w:rPr>
                <w:sz w:val="20"/>
              </w:rPr>
            </w:pPr>
            <w:r>
              <w:rPr>
                <w:sz w:val="20"/>
              </w:rPr>
              <w:t>_</w:t>
            </w:r>
            <w:r>
              <w:rPr>
                <w:spacing w:val="-6"/>
                <w:sz w:val="20"/>
              </w:rPr>
              <w:t> </w:t>
            </w:r>
            <w:r>
              <w:rPr>
                <w:sz w:val="20"/>
              </w:rPr>
              <w:t>Hasta</w:t>
            </w:r>
            <w:r>
              <w:rPr>
                <w:spacing w:val="-2"/>
                <w:sz w:val="20"/>
              </w:rPr>
              <w:t> </w:t>
            </w:r>
            <w:r>
              <w:rPr>
                <w:sz w:val="20"/>
              </w:rPr>
              <w:t>un</w:t>
            </w:r>
            <w:r>
              <w:rPr>
                <w:spacing w:val="-3"/>
                <w:sz w:val="20"/>
              </w:rPr>
              <w:t> </w:t>
            </w:r>
            <w:r>
              <w:rPr>
                <w:spacing w:val="-5"/>
                <w:sz w:val="20"/>
              </w:rPr>
              <w:t>año</w:t>
            </w:r>
          </w:p>
        </w:tc>
        <w:tc>
          <w:tcPr>
            <w:tcW w:w="2165" w:type="dxa"/>
          </w:tcPr>
          <w:p>
            <w:pPr>
              <w:pStyle w:val="TableParagraph"/>
              <w:spacing w:before="33"/>
              <w:ind w:left="5" w:right="5"/>
              <w:jc w:val="center"/>
              <w:rPr>
                <w:sz w:val="20"/>
              </w:rPr>
            </w:pPr>
            <w:r>
              <w:rPr>
                <w:spacing w:val="-2"/>
                <w:sz w:val="20"/>
              </w:rPr>
              <w:t>15.810,72+</w:t>
            </w:r>
            <w:r>
              <w:rPr>
                <w:spacing w:val="5"/>
                <w:sz w:val="20"/>
              </w:rPr>
              <w:t> </w:t>
            </w:r>
            <w:r>
              <w:rPr>
                <w:spacing w:val="-5"/>
                <w:sz w:val="20"/>
              </w:rPr>
              <w:t>IPC</w:t>
            </w:r>
          </w:p>
        </w:tc>
        <w:tc>
          <w:tcPr>
            <w:tcW w:w="2035" w:type="dxa"/>
          </w:tcPr>
          <w:p>
            <w:pPr>
              <w:pStyle w:val="TableParagraph"/>
              <w:spacing w:before="33"/>
              <w:ind w:left="7" w:right="2"/>
              <w:jc w:val="center"/>
              <w:rPr>
                <w:sz w:val="20"/>
              </w:rPr>
            </w:pPr>
            <w:r>
              <w:rPr>
                <w:spacing w:val="-2"/>
                <w:sz w:val="20"/>
              </w:rPr>
              <w:t>15.810,72+</w:t>
            </w:r>
            <w:r>
              <w:rPr>
                <w:spacing w:val="4"/>
                <w:sz w:val="20"/>
              </w:rPr>
              <w:t> </w:t>
            </w:r>
            <w:r>
              <w:rPr>
                <w:spacing w:val="-5"/>
                <w:sz w:val="20"/>
              </w:rPr>
              <w:t>IPC</w:t>
            </w:r>
          </w:p>
        </w:tc>
      </w:tr>
      <w:tr>
        <w:trPr>
          <w:trHeight w:val="299" w:hRule="atLeast"/>
        </w:trPr>
        <w:tc>
          <w:tcPr>
            <w:tcW w:w="3559" w:type="dxa"/>
          </w:tcPr>
          <w:p>
            <w:pPr>
              <w:pStyle w:val="TableParagraph"/>
              <w:spacing w:line="213" w:lineRule="exact" w:before="66"/>
              <w:ind w:left="69"/>
              <w:rPr>
                <w:sz w:val="20"/>
              </w:rPr>
            </w:pPr>
            <w:r>
              <w:rPr>
                <w:sz w:val="20"/>
              </w:rPr>
              <w:t>_</w:t>
            </w:r>
            <w:r>
              <w:rPr>
                <w:spacing w:val="-5"/>
                <w:sz w:val="20"/>
              </w:rPr>
              <w:t> </w:t>
            </w:r>
            <w:r>
              <w:rPr>
                <w:sz w:val="20"/>
              </w:rPr>
              <w:t>Entre</w:t>
            </w:r>
            <w:r>
              <w:rPr>
                <w:spacing w:val="-5"/>
                <w:sz w:val="20"/>
              </w:rPr>
              <w:t> </w:t>
            </w:r>
            <w:r>
              <w:rPr>
                <w:sz w:val="20"/>
              </w:rPr>
              <w:t>uno</w:t>
            </w:r>
            <w:r>
              <w:rPr>
                <w:spacing w:val="2"/>
                <w:sz w:val="20"/>
              </w:rPr>
              <w:t> </w:t>
            </w:r>
            <w:r>
              <w:rPr>
                <w:sz w:val="20"/>
              </w:rPr>
              <w:t>y</w:t>
            </w:r>
            <w:r>
              <w:rPr>
                <w:spacing w:val="-8"/>
                <w:sz w:val="20"/>
              </w:rPr>
              <w:t> </w:t>
            </w:r>
            <w:r>
              <w:rPr>
                <w:sz w:val="20"/>
              </w:rPr>
              <w:t>cinco</w:t>
            </w:r>
            <w:r>
              <w:rPr>
                <w:spacing w:val="-3"/>
                <w:sz w:val="20"/>
              </w:rPr>
              <w:t> </w:t>
            </w:r>
            <w:r>
              <w:rPr>
                <w:spacing w:val="-4"/>
                <w:sz w:val="20"/>
              </w:rPr>
              <w:t>años</w:t>
            </w:r>
          </w:p>
        </w:tc>
        <w:tc>
          <w:tcPr>
            <w:tcW w:w="2165" w:type="dxa"/>
          </w:tcPr>
          <w:p>
            <w:pPr>
              <w:pStyle w:val="TableParagraph"/>
              <w:spacing w:before="33"/>
              <w:ind w:left="5" w:right="4"/>
              <w:jc w:val="center"/>
              <w:rPr>
                <w:sz w:val="20"/>
              </w:rPr>
            </w:pPr>
            <w:r>
              <w:rPr>
                <w:spacing w:val="-2"/>
                <w:sz w:val="20"/>
              </w:rPr>
              <w:t>79.053,60+IPC</w:t>
            </w:r>
          </w:p>
        </w:tc>
        <w:tc>
          <w:tcPr>
            <w:tcW w:w="2035" w:type="dxa"/>
          </w:tcPr>
          <w:p>
            <w:pPr>
              <w:pStyle w:val="TableParagraph"/>
              <w:spacing w:before="33"/>
              <w:ind w:left="7"/>
              <w:jc w:val="center"/>
              <w:rPr>
                <w:sz w:val="20"/>
              </w:rPr>
            </w:pPr>
            <w:r>
              <w:rPr>
                <w:spacing w:val="-2"/>
                <w:sz w:val="20"/>
              </w:rPr>
              <w:t>79.053,60+IPC</w:t>
            </w:r>
          </w:p>
        </w:tc>
      </w:tr>
      <w:tr>
        <w:trPr>
          <w:trHeight w:val="302" w:hRule="atLeast"/>
        </w:trPr>
        <w:tc>
          <w:tcPr>
            <w:tcW w:w="3559" w:type="dxa"/>
          </w:tcPr>
          <w:p>
            <w:pPr>
              <w:pStyle w:val="TableParagraph"/>
              <w:spacing w:line="213" w:lineRule="exact" w:before="69"/>
              <w:ind w:left="69"/>
              <w:rPr>
                <w:sz w:val="20"/>
              </w:rPr>
            </w:pPr>
            <w:r>
              <w:rPr>
                <w:sz w:val="20"/>
              </w:rPr>
              <w:t>_</w:t>
            </w:r>
            <w:r>
              <w:rPr>
                <w:spacing w:val="-4"/>
                <w:sz w:val="20"/>
              </w:rPr>
              <w:t> </w:t>
            </w:r>
            <w:r>
              <w:rPr>
                <w:sz w:val="20"/>
              </w:rPr>
              <w:t>Más</w:t>
            </w:r>
            <w:r>
              <w:rPr>
                <w:spacing w:val="-2"/>
                <w:sz w:val="20"/>
              </w:rPr>
              <w:t> </w:t>
            </w:r>
            <w:r>
              <w:rPr>
                <w:sz w:val="20"/>
              </w:rPr>
              <w:t>de</w:t>
            </w:r>
            <w:r>
              <w:rPr>
                <w:spacing w:val="-4"/>
                <w:sz w:val="20"/>
              </w:rPr>
              <w:t> </w:t>
            </w:r>
            <w:r>
              <w:rPr>
                <w:sz w:val="20"/>
              </w:rPr>
              <w:t>cinco</w:t>
            </w:r>
            <w:r>
              <w:rPr>
                <w:spacing w:val="-4"/>
                <w:sz w:val="20"/>
              </w:rPr>
              <w:t> años</w:t>
            </w:r>
          </w:p>
        </w:tc>
        <w:tc>
          <w:tcPr>
            <w:tcW w:w="2165" w:type="dxa"/>
          </w:tcPr>
          <w:p>
            <w:pPr>
              <w:pStyle w:val="TableParagraph"/>
              <w:spacing w:before="33"/>
              <w:ind w:left="5" w:right="2"/>
              <w:jc w:val="center"/>
              <w:rPr>
                <w:sz w:val="20"/>
              </w:rPr>
            </w:pPr>
            <w:r>
              <w:rPr>
                <w:sz w:val="20"/>
              </w:rPr>
              <w:t>15.810,72</w:t>
            </w:r>
            <w:r>
              <w:rPr>
                <w:spacing w:val="-13"/>
                <w:sz w:val="20"/>
              </w:rPr>
              <w:t> </w:t>
            </w:r>
            <w:r>
              <w:rPr>
                <w:spacing w:val="-2"/>
                <w:sz w:val="20"/>
              </w:rPr>
              <w:t>anual+IPC</w:t>
            </w:r>
          </w:p>
        </w:tc>
        <w:tc>
          <w:tcPr>
            <w:tcW w:w="2035" w:type="dxa"/>
          </w:tcPr>
          <w:p>
            <w:pPr>
              <w:pStyle w:val="TableParagraph"/>
              <w:spacing w:before="33"/>
              <w:ind w:left="7" w:right="4"/>
              <w:jc w:val="center"/>
              <w:rPr>
                <w:sz w:val="20"/>
              </w:rPr>
            </w:pPr>
            <w:r>
              <w:rPr>
                <w:sz w:val="20"/>
              </w:rPr>
              <w:t>15.810,72</w:t>
            </w:r>
            <w:r>
              <w:rPr>
                <w:spacing w:val="-13"/>
                <w:sz w:val="20"/>
              </w:rPr>
              <w:t> </w:t>
            </w:r>
            <w:r>
              <w:rPr>
                <w:spacing w:val="-2"/>
                <w:sz w:val="20"/>
              </w:rPr>
              <w:t>anual+IPC</w:t>
            </w:r>
          </w:p>
        </w:tc>
      </w:tr>
    </w:tbl>
    <w:p>
      <w:pPr>
        <w:pStyle w:val="BodyText"/>
        <w:spacing w:before="227"/>
        <w:ind w:left="1768" w:right="1337"/>
        <w:jc w:val="both"/>
      </w:pPr>
      <w:r>
        <w:rPr/>
        <w:t>Se corresponde con el Alquiler de los Recintos 4 y 5 sito en el Intercambiador de Santa Catalina en las Palmas de Gran Canaria (Contrato 01/01/2010). Para el ejercicio 2025 la cuota mensual ha sido de 1.317,56 euros.</w:t>
      </w:r>
    </w:p>
    <w:p>
      <w:pPr>
        <w:pStyle w:val="BodyText"/>
        <w:spacing w:after="0"/>
        <w:jc w:val="both"/>
        <w:sectPr>
          <w:pgSz w:w="11910" w:h="16840"/>
          <w:pgMar w:header="286" w:footer="1060" w:top="1920" w:bottom="1260" w:left="360" w:right="360"/>
        </w:sectPr>
      </w:pPr>
    </w:p>
    <w:p>
      <w:pPr>
        <w:pStyle w:val="BodyText"/>
        <w:spacing w:before="201"/>
      </w:pPr>
      <w:r>
        <w:rPr/>
        <mc:AlternateContent>
          <mc:Choice Requires="wps">
            <w:drawing>
              <wp:anchor distT="0" distB="0" distL="0" distR="0" allowOverlap="1" layoutInCell="1" locked="0" behindDoc="0" simplePos="0" relativeHeight="15758336">
                <wp:simplePos x="0" y="0"/>
                <wp:positionH relativeFrom="page">
                  <wp:posOffset>6966436</wp:posOffset>
                </wp:positionH>
                <wp:positionV relativeFrom="page">
                  <wp:posOffset>6553363</wp:posOffset>
                </wp:positionV>
                <wp:extent cx="263525" cy="327596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58336" type="#_x0000_t202" id="docshape10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41</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BodyText"/>
        <w:ind w:right="86"/>
        <w:jc w:val="center"/>
      </w:pPr>
      <w:r>
        <w:rPr/>
        <w:t>Además,</w:t>
      </w:r>
      <w:r>
        <w:rPr>
          <w:spacing w:val="-7"/>
        </w:rPr>
        <w:t> </w:t>
      </w:r>
      <w:r>
        <w:rPr/>
        <w:t>el</w:t>
      </w:r>
      <w:r>
        <w:rPr>
          <w:spacing w:val="-7"/>
        </w:rPr>
        <w:t> </w:t>
      </w:r>
      <w:r>
        <w:rPr/>
        <w:t>canon</w:t>
      </w:r>
      <w:r>
        <w:rPr>
          <w:spacing w:val="-7"/>
        </w:rPr>
        <w:t> </w:t>
      </w:r>
      <w:r>
        <w:rPr/>
        <w:t>Radioeléctrico</w:t>
      </w:r>
      <w:r>
        <w:rPr>
          <w:spacing w:val="-7"/>
        </w:rPr>
        <w:t> </w:t>
      </w:r>
      <w:r>
        <w:rPr/>
        <w:t>en</w:t>
      </w:r>
      <w:r>
        <w:rPr>
          <w:spacing w:val="-7"/>
        </w:rPr>
        <w:t> </w:t>
      </w:r>
      <w:r>
        <w:rPr/>
        <w:t>el</w:t>
      </w:r>
      <w:r>
        <w:rPr>
          <w:spacing w:val="-8"/>
        </w:rPr>
        <w:t> </w:t>
      </w:r>
      <w:r>
        <w:rPr/>
        <w:t>ejercicio</w:t>
      </w:r>
      <w:r>
        <w:rPr>
          <w:spacing w:val="-8"/>
        </w:rPr>
        <w:t> </w:t>
      </w:r>
      <w:r>
        <w:rPr/>
        <w:t>2025</w:t>
      </w:r>
      <w:r>
        <w:rPr>
          <w:spacing w:val="-6"/>
        </w:rPr>
        <w:t> </w:t>
      </w:r>
      <w:r>
        <w:rPr/>
        <w:t>ha</w:t>
      </w:r>
      <w:r>
        <w:rPr>
          <w:spacing w:val="-7"/>
        </w:rPr>
        <w:t> </w:t>
      </w:r>
      <w:r>
        <w:rPr/>
        <w:t>ascendido</w:t>
      </w:r>
      <w:r>
        <w:rPr>
          <w:spacing w:val="-6"/>
        </w:rPr>
        <w:t> </w:t>
      </w:r>
      <w:r>
        <w:rPr/>
        <w:t>a</w:t>
      </w:r>
      <w:r>
        <w:rPr>
          <w:spacing w:val="-7"/>
        </w:rPr>
        <w:t> </w:t>
      </w:r>
      <w:r>
        <w:rPr/>
        <w:t>2.149,59</w:t>
      </w:r>
      <w:r>
        <w:rPr>
          <w:spacing w:val="-8"/>
        </w:rPr>
        <w:t> </w:t>
      </w:r>
      <w:r>
        <w:rPr>
          <w:spacing w:val="-2"/>
        </w:rPr>
        <w:t>euros.</w:t>
      </w:r>
    </w:p>
    <w:p>
      <w:pPr>
        <w:pStyle w:val="BodyText"/>
        <w:spacing w:before="227"/>
      </w:pPr>
    </w:p>
    <w:p>
      <w:pPr>
        <w:pStyle w:val="Heading2"/>
        <w:numPr>
          <w:ilvl w:val="0"/>
          <w:numId w:val="4"/>
        </w:numPr>
        <w:tabs>
          <w:tab w:pos="1701" w:val="left" w:leader="none"/>
        </w:tabs>
        <w:spacing w:line="240" w:lineRule="auto" w:before="0" w:after="0"/>
        <w:ind w:left="1701" w:right="0" w:hanging="360"/>
        <w:jc w:val="left"/>
        <w:rPr>
          <w:u w:val="none"/>
        </w:rPr>
      </w:pPr>
      <w:r>
        <w:rPr>
          <w:spacing w:val="-2"/>
          <w:u w:val="single"/>
        </w:rPr>
        <w:t>INSTRUMENTOS</w:t>
      </w:r>
      <w:r>
        <w:rPr>
          <w:spacing w:val="9"/>
          <w:u w:val="single"/>
        </w:rPr>
        <w:t> </w:t>
      </w:r>
      <w:r>
        <w:rPr>
          <w:spacing w:val="-2"/>
          <w:u w:val="single"/>
        </w:rPr>
        <w:t>FINANCIEROS.</w:t>
      </w:r>
    </w:p>
    <w:p>
      <w:pPr>
        <w:pStyle w:val="BodyText"/>
        <w:spacing w:before="3"/>
        <w:rPr>
          <w:b/>
        </w:rPr>
      </w:pPr>
    </w:p>
    <w:p>
      <w:pPr>
        <w:pStyle w:val="BodyText"/>
        <w:tabs>
          <w:tab w:pos="2285" w:val="left" w:leader="none"/>
        </w:tabs>
        <w:ind w:left="1768" w:right="1336"/>
      </w:pPr>
      <w:r>
        <w:rPr>
          <w:spacing w:val="-4"/>
          <w:u w:val="single"/>
        </w:rPr>
        <w:t>9.1</w:t>
      </w:r>
      <w:r>
        <w:rPr>
          <w:u w:val="single"/>
        </w:rPr>
        <w:tab/>
        <w:t>Información</w:t>
      </w:r>
      <w:r>
        <w:rPr>
          <w:spacing w:val="40"/>
          <w:u w:val="single"/>
        </w:rPr>
        <w:t> </w:t>
      </w:r>
      <w:r>
        <w:rPr>
          <w:u w:val="single"/>
        </w:rPr>
        <w:t>sobre</w:t>
      </w:r>
      <w:r>
        <w:rPr>
          <w:spacing w:val="40"/>
          <w:u w:val="single"/>
        </w:rPr>
        <w:t> </w:t>
      </w:r>
      <w:r>
        <w:rPr>
          <w:u w:val="single"/>
        </w:rPr>
        <w:t>la</w:t>
      </w:r>
      <w:r>
        <w:rPr>
          <w:spacing w:val="40"/>
          <w:u w:val="single"/>
        </w:rPr>
        <w:t> </w:t>
      </w:r>
      <w:r>
        <w:rPr>
          <w:u w:val="single"/>
        </w:rPr>
        <w:t>relevancia</w:t>
      </w:r>
      <w:r>
        <w:rPr>
          <w:spacing w:val="40"/>
          <w:u w:val="single"/>
        </w:rPr>
        <w:t> </w:t>
      </w:r>
      <w:r>
        <w:rPr>
          <w:u w:val="single"/>
        </w:rPr>
        <w:t>de</w:t>
      </w:r>
      <w:r>
        <w:rPr>
          <w:spacing w:val="40"/>
          <w:u w:val="single"/>
        </w:rPr>
        <w:t> </w:t>
      </w:r>
      <w:r>
        <w:rPr>
          <w:u w:val="single"/>
        </w:rPr>
        <w:t>los</w:t>
      </w:r>
      <w:r>
        <w:rPr>
          <w:spacing w:val="40"/>
          <w:u w:val="single"/>
        </w:rPr>
        <w:t> </w:t>
      </w:r>
      <w:r>
        <w:rPr>
          <w:u w:val="single"/>
        </w:rPr>
        <w:t>instrumentos</w:t>
      </w:r>
      <w:r>
        <w:rPr>
          <w:spacing w:val="40"/>
          <w:u w:val="single"/>
        </w:rPr>
        <w:t> </w:t>
      </w:r>
      <w:r>
        <w:rPr>
          <w:u w:val="single"/>
        </w:rPr>
        <w:t>financieros</w:t>
      </w:r>
      <w:r>
        <w:rPr>
          <w:spacing w:val="40"/>
          <w:u w:val="single"/>
        </w:rPr>
        <w:t> </w:t>
      </w:r>
      <w:r>
        <w:rPr>
          <w:u w:val="single"/>
        </w:rPr>
        <w:t>en</w:t>
      </w:r>
      <w:r>
        <w:rPr>
          <w:spacing w:val="40"/>
          <w:u w:val="single"/>
        </w:rPr>
        <w:t> </w:t>
      </w:r>
      <w:r>
        <w:rPr>
          <w:u w:val="single"/>
        </w:rPr>
        <w:t>la</w:t>
      </w:r>
      <w:r>
        <w:rPr>
          <w:spacing w:val="40"/>
          <w:u w:val="single"/>
        </w:rPr>
        <w:t> </w:t>
      </w:r>
      <w:r>
        <w:rPr>
          <w:u w:val="single"/>
        </w:rPr>
        <w:t>situación</w:t>
      </w:r>
      <w:r>
        <w:rPr>
          <w:u w:val="none"/>
        </w:rPr>
        <w:t> </w:t>
      </w:r>
      <w:r>
        <w:rPr>
          <w:u w:val="single"/>
        </w:rPr>
        <w:t>financiera y los resultados de la empresa</w:t>
      </w:r>
    </w:p>
    <w:p>
      <w:pPr>
        <w:pStyle w:val="Heading3"/>
        <w:numPr>
          <w:ilvl w:val="0"/>
          <w:numId w:val="17"/>
        </w:numPr>
        <w:tabs>
          <w:tab w:pos="1906" w:val="left" w:leader="none"/>
        </w:tabs>
        <w:spacing w:line="240" w:lineRule="auto" w:before="228" w:after="0"/>
        <w:ind w:left="1906" w:right="0" w:hanging="282"/>
        <w:jc w:val="left"/>
      </w:pPr>
      <w:r>
        <w:rPr/>
        <w:t>Categorías</w:t>
      </w:r>
      <w:r>
        <w:rPr>
          <w:spacing w:val="-9"/>
        </w:rPr>
        <w:t> </w:t>
      </w:r>
      <w:r>
        <w:rPr/>
        <w:t>de</w:t>
      </w:r>
      <w:r>
        <w:rPr>
          <w:spacing w:val="-6"/>
        </w:rPr>
        <w:t> </w:t>
      </w:r>
      <w:r>
        <w:rPr/>
        <w:t>activos</w:t>
      </w:r>
      <w:r>
        <w:rPr>
          <w:spacing w:val="-8"/>
        </w:rPr>
        <w:t> </w:t>
      </w:r>
      <w:r>
        <w:rPr/>
        <w:t>financieros</w:t>
      </w:r>
      <w:r>
        <w:rPr>
          <w:spacing w:val="-7"/>
        </w:rPr>
        <w:t> </w:t>
      </w:r>
      <w:r>
        <w:rPr/>
        <w:t>y</w:t>
      </w:r>
      <w:r>
        <w:rPr>
          <w:spacing w:val="-10"/>
        </w:rPr>
        <w:t> </w:t>
      </w:r>
      <w:r>
        <w:rPr/>
        <w:t>pasivos</w:t>
      </w:r>
      <w:r>
        <w:rPr>
          <w:spacing w:val="-7"/>
        </w:rPr>
        <w:t> </w:t>
      </w:r>
      <w:r>
        <w:rPr>
          <w:spacing w:val="-2"/>
        </w:rPr>
        <w:t>financieros</w:t>
      </w:r>
    </w:p>
    <w:p>
      <w:pPr>
        <w:pStyle w:val="BodyText"/>
        <w:spacing w:before="1"/>
        <w:rPr>
          <w:b/>
        </w:rPr>
      </w:pPr>
    </w:p>
    <w:p>
      <w:pPr>
        <w:pStyle w:val="BodyText"/>
        <w:ind w:left="1908" w:right="1340"/>
        <w:jc w:val="both"/>
      </w:pPr>
      <w:r>
        <w:rPr/>
        <w:t>El valor en libros de cada una de las categorías de activos financieros y pasivos financieros señalados en la norma de registro y valoración novena, se presentan a </w:t>
      </w:r>
      <w:r>
        <w:rPr>
          <w:spacing w:val="-2"/>
        </w:rPr>
        <w:t>continuación.</w:t>
      </w:r>
    </w:p>
    <w:p>
      <w:pPr>
        <w:pStyle w:val="ListParagraph"/>
        <w:numPr>
          <w:ilvl w:val="1"/>
          <w:numId w:val="17"/>
        </w:numPr>
        <w:tabs>
          <w:tab w:pos="2359" w:val="left" w:leader="none"/>
        </w:tabs>
        <w:spacing w:line="240" w:lineRule="auto" w:before="229" w:after="0"/>
        <w:ind w:left="1908" w:right="1337" w:firstLine="0"/>
        <w:jc w:val="left"/>
        <w:rPr>
          <w:sz w:val="20"/>
        </w:rPr>
      </w:pPr>
      <w:r>
        <w:rPr>
          <w:sz w:val="20"/>
        </w:rPr>
        <w:t>Activos</w:t>
      </w:r>
      <w:r>
        <w:rPr>
          <w:spacing w:val="40"/>
          <w:sz w:val="20"/>
        </w:rPr>
        <w:t> </w:t>
      </w:r>
      <w:r>
        <w:rPr>
          <w:sz w:val="20"/>
        </w:rPr>
        <w:t>financieros,</w:t>
      </w:r>
      <w:r>
        <w:rPr>
          <w:spacing w:val="40"/>
          <w:sz w:val="20"/>
        </w:rPr>
        <w:t> </w:t>
      </w:r>
      <w:r>
        <w:rPr>
          <w:sz w:val="20"/>
        </w:rPr>
        <w:t>salvo</w:t>
      </w:r>
      <w:r>
        <w:rPr>
          <w:spacing w:val="40"/>
          <w:sz w:val="20"/>
        </w:rPr>
        <w:t> </w:t>
      </w:r>
      <w:r>
        <w:rPr>
          <w:sz w:val="20"/>
        </w:rPr>
        <w:t>inversiones</w:t>
      </w:r>
      <w:r>
        <w:rPr>
          <w:spacing w:val="40"/>
          <w:sz w:val="20"/>
        </w:rPr>
        <w:t> </w:t>
      </w:r>
      <w:r>
        <w:rPr>
          <w:sz w:val="20"/>
        </w:rPr>
        <w:t>en</w:t>
      </w:r>
      <w:r>
        <w:rPr>
          <w:spacing w:val="40"/>
          <w:sz w:val="20"/>
        </w:rPr>
        <w:t> </w:t>
      </w:r>
      <w:r>
        <w:rPr>
          <w:sz w:val="20"/>
        </w:rPr>
        <w:t>el</w:t>
      </w:r>
      <w:r>
        <w:rPr>
          <w:spacing w:val="40"/>
          <w:sz w:val="20"/>
        </w:rPr>
        <w:t> </w:t>
      </w:r>
      <w:r>
        <w:rPr>
          <w:sz w:val="20"/>
        </w:rPr>
        <w:t>patrimonio</w:t>
      </w:r>
      <w:r>
        <w:rPr>
          <w:spacing w:val="40"/>
          <w:sz w:val="20"/>
        </w:rPr>
        <w:t> </w:t>
      </w:r>
      <w:r>
        <w:rPr>
          <w:sz w:val="20"/>
        </w:rPr>
        <w:t>de</w:t>
      </w:r>
      <w:r>
        <w:rPr>
          <w:spacing w:val="40"/>
          <w:sz w:val="20"/>
        </w:rPr>
        <w:t> </w:t>
      </w:r>
      <w:r>
        <w:rPr>
          <w:sz w:val="20"/>
        </w:rPr>
        <w:t>empresas</w:t>
      </w:r>
      <w:r>
        <w:rPr>
          <w:spacing w:val="40"/>
          <w:sz w:val="20"/>
        </w:rPr>
        <w:t> </w:t>
      </w:r>
      <w:r>
        <w:rPr>
          <w:sz w:val="20"/>
        </w:rPr>
        <w:t>del</w:t>
      </w:r>
      <w:r>
        <w:rPr>
          <w:spacing w:val="40"/>
          <w:sz w:val="20"/>
        </w:rPr>
        <w:t> </w:t>
      </w:r>
      <w:r>
        <w:rPr>
          <w:sz w:val="20"/>
        </w:rPr>
        <w:t>grupo, multigrupo y asociadas.</w:t>
      </w:r>
    </w:p>
    <w:p>
      <w:pPr>
        <w:pStyle w:val="BodyText"/>
        <w:spacing w:before="2"/>
      </w:pPr>
    </w:p>
    <w:p>
      <w:pPr>
        <w:pStyle w:val="BodyText"/>
        <w:ind w:left="1908" w:right="1340"/>
        <w:jc w:val="both"/>
      </w:pPr>
      <w:r>
        <w:rPr/>
        <w:t>El análisis del movimiento durante el ejercicio para cada clase de activos financieros no corrientes es el siguiente:</w:t>
      </w:r>
    </w:p>
    <w:p>
      <w:pPr>
        <w:pStyle w:val="BodyText"/>
        <w:spacing w:before="1"/>
      </w:pPr>
    </w:p>
    <w:tbl>
      <w:tblPr>
        <w:tblW w:w="0" w:type="auto"/>
        <w:jc w:val="left"/>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7"/>
        <w:gridCol w:w="1685"/>
        <w:gridCol w:w="1599"/>
        <w:gridCol w:w="1066"/>
        <w:gridCol w:w="1460"/>
      </w:tblGrid>
      <w:tr>
        <w:trPr>
          <w:trHeight w:val="299" w:hRule="atLeast"/>
        </w:trPr>
        <w:tc>
          <w:tcPr>
            <w:tcW w:w="2837" w:type="dxa"/>
            <w:vMerge w:val="restart"/>
            <w:tcBorders>
              <w:top w:val="nil"/>
              <w:left w:val="nil"/>
            </w:tcBorders>
          </w:tcPr>
          <w:p>
            <w:pPr>
              <w:pStyle w:val="TableParagraph"/>
              <w:rPr>
                <w:rFonts w:ascii="Times New Roman"/>
                <w:sz w:val="16"/>
              </w:rPr>
            </w:pPr>
          </w:p>
        </w:tc>
        <w:tc>
          <w:tcPr>
            <w:tcW w:w="5810" w:type="dxa"/>
            <w:gridSpan w:val="4"/>
          </w:tcPr>
          <w:p>
            <w:pPr>
              <w:pStyle w:val="TableParagraph"/>
              <w:spacing w:line="168" w:lineRule="exact" w:before="111"/>
              <w:ind w:left="522"/>
              <w:rPr>
                <w:b/>
                <w:sz w:val="16"/>
              </w:rPr>
            </w:pPr>
            <w:r>
              <w:rPr>
                <w:b/>
                <w:sz w:val="16"/>
              </w:rPr>
              <w:t>Clases</w:t>
            </w:r>
            <w:r>
              <w:rPr>
                <w:b/>
                <w:spacing w:val="-3"/>
                <w:sz w:val="16"/>
              </w:rPr>
              <w:t> </w:t>
            </w:r>
            <w:r>
              <w:rPr>
                <w:b/>
                <w:sz w:val="16"/>
              </w:rPr>
              <w:t>de</w:t>
            </w:r>
            <w:r>
              <w:rPr>
                <w:b/>
                <w:spacing w:val="-4"/>
                <w:sz w:val="16"/>
              </w:rPr>
              <w:t> </w:t>
            </w:r>
            <w:r>
              <w:rPr>
                <w:b/>
                <w:sz w:val="16"/>
              </w:rPr>
              <w:t>activos</w:t>
            </w:r>
            <w:r>
              <w:rPr>
                <w:b/>
                <w:spacing w:val="-6"/>
                <w:sz w:val="16"/>
              </w:rPr>
              <w:t> </w:t>
            </w:r>
            <w:r>
              <w:rPr>
                <w:b/>
                <w:sz w:val="16"/>
              </w:rPr>
              <w:t>financieros</w:t>
            </w:r>
            <w:r>
              <w:rPr>
                <w:b/>
                <w:spacing w:val="-6"/>
                <w:sz w:val="16"/>
              </w:rPr>
              <w:t> </w:t>
            </w:r>
            <w:r>
              <w:rPr>
                <w:b/>
                <w:sz w:val="16"/>
              </w:rPr>
              <w:t>no</w:t>
            </w:r>
            <w:r>
              <w:rPr>
                <w:b/>
                <w:spacing w:val="-1"/>
                <w:sz w:val="16"/>
              </w:rPr>
              <w:t> </w:t>
            </w:r>
            <w:r>
              <w:rPr>
                <w:b/>
                <w:spacing w:val="-2"/>
                <w:sz w:val="16"/>
              </w:rPr>
              <w:t>corrientes</w:t>
            </w:r>
          </w:p>
        </w:tc>
      </w:tr>
      <w:tr>
        <w:trPr>
          <w:trHeight w:val="705" w:hRule="atLeast"/>
        </w:trPr>
        <w:tc>
          <w:tcPr>
            <w:tcW w:w="2837" w:type="dxa"/>
            <w:vMerge/>
            <w:tcBorders>
              <w:top w:val="nil"/>
              <w:left w:val="nil"/>
            </w:tcBorders>
          </w:tcPr>
          <w:p>
            <w:pPr>
              <w:rPr>
                <w:sz w:val="2"/>
                <w:szCs w:val="2"/>
              </w:rPr>
            </w:pPr>
          </w:p>
        </w:tc>
        <w:tc>
          <w:tcPr>
            <w:tcW w:w="1685" w:type="dxa"/>
          </w:tcPr>
          <w:p>
            <w:pPr>
              <w:pStyle w:val="TableParagraph"/>
              <w:spacing w:before="164"/>
              <w:ind w:left="429" w:right="205" w:hanging="212"/>
              <w:rPr>
                <w:b/>
                <w:sz w:val="16"/>
              </w:rPr>
            </w:pPr>
            <w:r>
              <w:rPr>
                <w:b/>
                <w:sz w:val="16"/>
              </w:rPr>
              <w:t>Instrumentos</w:t>
            </w:r>
            <w:r>
              <w:rPr>
                <w:b/>
                <w:spacing w:val="-12"/>
                <w:sz w:val="16"/>
              </w:rPr>
              <w:t> </w:t>
            </w:r>
            <w:r>
              <w:rPr>
                <w:b/>
                <w:sz w:val="16"/>
              </w:rPr>
              <w:t>de </w:t>
            </w:r>
            <w:r>
              <w:rPr>
                <w:b/>
                <w:spacing w:val="-2"/>
                <w:sz w:val="16"/>
              </w:rPr>
              <w:t>patrimonio</w:t>
            </w:r>
          </w:p>
        </w:tc>
        <w:tc>
          <w:tcPr>
            <w:tcW w:w="1599" w:type="dxa"/>
          </w:tcPr>
          <w:p>
            <w:pPr>
              <w:pStyle w:val="TableParagraph"/>
              <w:spacing w:before="73"/>
              <w:ind w:left="85" w:right="74" w:hanging="1"/>
              <w:jc w:val="center"/>
              <w:rPr>
                <w:b/>
                <w:sz w:val="16"/>
              </w:rPr>
            </w:pPr>
            <w:r>
              <w:rPr>
                <w:b/>
                <w:spacing w:val="-2"/>
                <w:sz w:val="16"/>
              </w:rPr>
              <w:t>Valores </w:t>
            </w:r>
            <w:r>
              <w:rPr>
                <w:b/>
                <w:sz w:val="16"/>
              </w:rPr>
              <w:t>representativos</w:t>
            </w:r>
            <w:r>
              <w:rPr>
                <w:b/>
                <w:spacing w:val="-12"/>
                <w:sz w:val="16"/>
              </w:rPr>
              <w:t> </w:t>
            </w:r>
            <w:r>
              <w:rPr>
                <w:b/>
                <w:sz w:val="16"/>
              </w:rPr>
              <w:t>de </w:t>
            </w:r>
            <w:r>
              <w:rPr>
                <w:b/>
                <w:spacing w:val="-4"/>
                <w:sz w:val="16"/>
              </w:rPr>
              <w:t>deuda</w:t>
            </w:r>
          </w:p>
        </w:tc>
        <w:tc>
          <w:tcPr>
            <w:tcW w:w="1066" w:type="dxa"/>
          </w:tcPr>
          <w:p>
            <w:pPr>
              <w:pStyle w:val="TableParagraph"/>
              <w:spacing w:before="73"/>
              <w:ind w:left="87" w:right="72" w:hanging="7"/>
              <w:jc w:val="center"/>
              <w:rPr>
                <w:b/>
                <w:sz w:val="16"/>
              </w:rPr>
            </w:pPr>
            <w:r>
              <w:rPr>
                <w:b/>
                <w:spacing w:val="-2"/>
                <w:sz w:val="16"/>
              </w:rPr>
              <w:t>Créditos, </w:t>
            </w:r>
            <w:r>
              <w:rPr>
                <w:b/>
                <w:sz w:val="16"/>
              </w:rPr>
              <w:t>derivados</w:t>
            </w:r>
            <w:r>
              <w:rPr>
                <w:b/>
                <w:spacing w:val="-12"/>
                <w:sz w:val="16"/>
              </w:rPr>
              <w:t> </w:t>
            </w:r>
            <w:r>
              <w:rPr>
                <w:b/>
                <w:sz w:val="16"/>
              </w:rPr>
              <w:t>y </w:t>
            </w:r>
            <w:r>
              <w:rPr>
                <w:b/>
                <w:spacing w:val="-2"/>
                <w:sz w:val="16"/>
              </w:rPr>
              <w:t>otros</w:t>
            </w:r>
          </w:p>
        </w:tc>
        <w:tc>
          <w:tcPr>
            <w:tcW w:w="1460" w:type="dxa"/>
          </w:tcPr>
          <w:p>
            <w:pPr>
              <w:pStyle w:val="TableParagraph"/>
              <w:spacing w:before="71"/>
              <w:rPr>
                <w:sz w:val="16"/>
              </w:rPr>
            </w:pPr>
          </w:p>
          <w:p>
            <w:pPr>
              <w:pStyle w:val="TableParagraph"/>
              <w:ind w:left="461"/>
              <w:rPr>
                <w:b/>
                <w:sz w:val="16"/>
              </w:rPr>
            </w:pPr>
            <w:r>
              <w:rPr>
                <w:b/>
                <w:spacing w:val="-2"/>
                <w:sz w:val="16"/>
              </w:rPr>
              <w:t>TOTAL</w:t>
            </w:r>
          </w:p>
        </w:tc>
      </w:tr>
      <w:tr>
        <w:trPr>
          <w:trHeight w:val="270" w:hRule="atLeast"/>
        </w:trPr>
        <w:tc>
          <w:tcPr>
            <w:tcW w:w="2837" w:type="dxa"/>
          </w:tcPr>
          <w:p>
            <w:pPr>
              <w:pStyle w:val="TableParagraph"/>
              <w:spacing w:line="171" w:lineRule="exact" w:before="80"/>
              <w:ind w:left="69"/>
              <w:rPr>
                <w:b/>
                <w:sz w:val="16"/>
              </w:rPr>
            </w:pPr>
            <w:r>
              <w:rPr>
                <w:b/>
                <w:sz w:val="16"/>
              </w:rPr>
              <w:t>Saldo</w:t>
            </w:r>
            <w:r>
              <w:rPr>
                <w:b/>
                <w:spacing w:val="-6"/>
                <w:sz w:val="16"/>
              </w:rPr>
              <w:t> </w:t>
            </w:r>
            <w:r>
              <w:rPr>
                <w:b/>
                <w:sz w:val="16"/>
              </w:rPr>
              <w:t>al</w:t>
            </w:r>
            <w:r>
              <w:rPr>
                <w:b/>
                <w:spacing w:val="-3"/>
                <w:sz w:val="16"/>
              </w:rPr>
              <w:t> </w:t>
            </w:r>
            <w:r>
              <w:rPr>
                <w:b/>
                <w:sz w:val="16"/>
              </w:rPr>
              <w:t>inicio</w:t>
            </w:r>
            <w:r>
              <w:rPr>
                <w:b/>
                <w:spacing w:val="-2"/>
                <w:sz w:val="16"/>
              </w:rPr>
              <w:t> </w:t>
            </w:r>
            <w:r>
              <w:rPr>
                <w:b/>
                <w:sz w:val="16"/>
              </w:rPr>
              <w:t>del</w:t>
            </w:r>
            <w:r>
              <w:rPr>
                <w:b/>
                <w:spacing w:val="-1"/>
                <w:sz w:val="16"/>
              </w:rPr>
              <w:t> </w:t>
            </w:r>
            <w:r>
              <w:rPr>
                <w:b/>
                <w:sz w:val="16"/>
              </w:rPr>
              <w:t>ejercicio</w:t>
            </w:r>
            <w:r>
              <w:rPr>
                <w:b/>
                <w:spacing w:val="-3"/>
                <w:sz w:val="16"/>
              </w:rPr>
              <w:t> </w:t>
            </w:r>
            <w:r>
              <w:rPr>
                <w:b/>
                <w:spacing w:val="-4"/>
                <w:sz w:val="16"/>
              </w:rPr>
              <w:t>2024</w:t>
            </w:r>
          </w:p>
        </w:tc>
        <w:tc>
          <w:tcPr>
            <w:tcW w:w="1685" w:type="dxa"/>
          </w:tcPr>
          <w:p>
            <w:pPr>
              <w:pStyle w:val="TableParagraph"/>
              <w:rPr>
                <w:rFonts w:ascii="Times New Roman"/>
                <w:sz w:val="16"/>
              </w:rPr>
            </w:pPr>
          </w:p>
        </w:tc>
        <w:tc>
          <w:tcPr>
            <w:tcW w:w="1599" w:type="dxa"/>
          </w:tcPr>
          <w:p>
            <w:pPr>
              <w:pStyle w:val="TableParagraph"/>
              <w:rPr>
                <w:rFonts w:ascii="Times New Roman"/>
                <w:sz w:val="16"/>
              </w:rPr>
            </w:pPr>
          </w:p>
        </w:tc>
        <w:tc>
          <w:tcPr>
            <w:tcW w:w="1066" w:type="dxa"/>
          </w:tcPr>
          <w:p>
            <w:pPr>
              <w:pStyle w:val="TableParagraph"/>
              <w:spacing w:line="171" w:lineRule="exact" w:before="80"/>
              <w:ind w:left="127"/>
              <w:jc w:val="center"/>
              <w:rPr>
                <w:b/>
                <w:sz w:val="16"/>
              </w:rPr>
            </w:pPr>
            <w:r>
              <w:rPr>
                <w:b/>
                <w:spacing w:val="-2"/>
                <w:sz w:val="16"/>
              </w:rPr>
              <w:t>154.151,62</w:t>
            </w:r>
          </w:p>
        </w:tc>
        <w:tc>
          <w:tcPr>
            <w:tcW w:w="1460" w:type="dxa"/>
          </w:tcPr>
          <w:p>
            <w:pPr>
              <w:pStyle w:val="TableParagraph"/>
              <w:spacing w:line="171" w:lineRule="exact" w:before="80"/>
              <w:ind w:right="60"/>
              <w:jc w:val="right"/>
              <w:rPr>
                <w:b/>
                <w:sz w:val="16"/>
              </w:rPr>
            </w:pPr>
            <w:r>
              <w:rPr>
                <w:b/>
                <w:spacing w:val="-2"/>
                <w:sz w:val="16"/>
              </w:rPr>
              <w:t>154.151,62</w:t>
            </w:r>
          </w:p>
        </w:tc>
      </w:tr>
      <w:tr>
        <w:trPr>
          <w:trHeight w:val="307" w:hRule="atLeast"/>
        </w:trPr>
        <w:tc>
          <w:tcPr>
            <w:tcW w:w="2837" w:type="dxa"/>
            <w:tcBorders>
              <w:bottom w:val="nil"/>
            </w:tcBorders>
          </w:tcPr>
          <w:p>
            <w:pPr>
              <w:pStyle w:val="TableParagraph"/>
              <w:spacing w:before="82"/>
              <w:ind w:left="248"/>
              <w:rPr>
                <w:sz w:val="16"/>
              </w:rPr>
            </w:pPr>
            <w:r>
              <w:rPr>
                <w:sz w:val="16"/>
              </w:rPr>
              <w:t>(+)</w:t>
            </w:r>
            <w:r>
              <w:rPr>
                <w:spacing w:val="-6"/>
                <w:sz w:val="16"/>
              </w:rPr>
              <w:t> </w:t>
            </w:r>
            <w:r>
              <w:rPr>
                <w:spacing w:val="-2"/>
                <w:sz w:val="16"/>
              </w:rPr>
              <w:t>Altas</w:t>
            </w:r>
          </w:p>
        </w:tc>
        <w:tc>
          <w:tcPr>
            <w:tcW w:w="1685" w:type="dxa"/>
            <w:vMerge w:val="restart"/>
          </w:tcPr>
          <w:p>
            <w:pPr>
              <w:pStyle w:val="TableParagraph"/>
              <w:rPr>
                <w:rFonts w:ascii="Times New Roman"/>
                <w:sz w:val="16"/>
              </w:rPr>
            </w:pPr>
          </w:p>
        </w:tc>
        <w:tc>
          <w:tcPr>
            <w:tcW w:w="1599" w:type="dxa"/>
            <w:vMerge w:val="restart"/>
          </w:tcPr>
          <w:p>
            <w:pPr>
              <w:pStyle w:val="TableParagraph"/>
              <w:rPr>
                <w:rFonts w:ascii="Times New Roman"/>
                <w:sz w:val="16"/>
              </w:rPr>
            </w:pPr>
          </w:p>
        </w:tc>
        <w:tc>
          <w:tcPr>
            <w:tcW w:w="1066" w:type="dxa"/>
            <w:tcBorders>
              <w:bottom w:val="nil"/>
            </w:tcBorders>
          </w:tcPr>
          <w:p>
            <w:pPr>
              <w:pStyle w:val="TableParagraph"/>
              <w:spacing w:before="82"/>
              <w:ind w:left="127"/>
              <w:jc w:val="center"/>
              <w:rPr>
                <w:sz w:val="16"/>
              </w:rPr>
            </w:pPr>
            <w:r>
              <w:rPr>
                <w:spacing w:val="-2"/>
                <w:sz w:val="16"/>
              </w:rPr>
              <w:t>480.480,92</w:t>
            </w:r>
          </w:p>
        </w:tc>
        <w:tc>
          <w:tcPr>
            <w:tcW w:w="1460" w:type="dxa"/>
            <w:tcBorders>
              <w:bottom w:val="nil"/>
            </w:tcBorders>
          </w:tcPr>
          <w:p>
            <w:pPr>
              <w:pStyle w:val="TableParagraph"/>
              <w:spacing w:before="82"/>
              <w:ind w:right="60"/>
              <w:jc w:val="right"/>
              <w:rPr>
                <w:sz w:val="16"/>
              </w:rPr>
            </w:pPr>
            <w:r>
              <w:rPr>
                <w:spacing w:val="-2"/>
                <w:sz w:val="16"/>
              </w:rPr>
              <w:t>480.480,92</w:t>
            </w:r>
          </w:p>
        </w:tc>
      </w:tr>
      <w:tr>
        <w:trPr>
          <w:trHeight w:val="493" w:hRule="atLeast"/>
        </w:trPr>
        <w:tc>
          <w:tcPr>
            <w:tcW w:w="2837" w:type="dxa"/>
            <w:tcBorders>
              <w:top w:val="nil"/>
            </w:tcBorders>
          </w:tcPr>
          <w:p>
            <w:pPr>
              <w:pStyle w:val="TableParagraph"/>
              <w:spacing w:line="183" w:lineRule="exact" w:before="36"/>
              <w:ind w:left="248"/>
              <w:rPr>
                <w:sz w:val="16"/>
              </w:rPr>
            </w:pPr>
            <w:r>
              <w:rPr>
                <w:sz w:val="16"/>
              </w:rPr>
              <w:t>(-)</w:t>
            </w:r>
            <w:r>
              <w:rPr>
                <w:spacing w:val="-2"/>
                <w:sz w:val="16"/>
              </w:rPr>
              <w:t> </w:t>
            </w:r>
            <w:r>
              <w:rPr>
                <w:sz w:val="16"/>
              </w:rPr>
              <w:t>Salidas</w:t>
            </w:r>
            <w:r>
              <w:rPr>
                <w:spacing w:val="-1"/>
                <w:sz w:val="16"/>
              </w:rPr>
              <w:t> </w:t>
            </w:r>
            <w:r>
              <w:rPr>
                <w:sz w:val="16"/>
              </w:rPr>
              <w:t>y</w:t>
            </w:r>
            <w:r>
              <w:rPr>
                <w:spacing w:val="-3"/>
                <w:sz w:val="16"/>
              </w:rPr>
              <w:t> </w:t>
            </w:r>
            <w:r>
              <w:rPr>
                <w:spacing w:val="-2"/>
                <w:sz w:val="16"/>
              </w:rPr>
              <w:t>reducciones</w:t>
            </w:r>
          </w:p>
          <w:p>
            <w:pPr>
              <w:pStyle w:val="TableParagraph"/>
              <w:spacing w:line="183" w:lineRule="exact"/>
              <w:ind w:left="160"/>
              <w:rPr>
                <w:sz w:val="16"/>
              </w:rPr>
            </w:pPr>
            <w:r>
              <w:rPr>
                <w:sz w:val="16"/>
              </w:rPr>
              <w:t>(+/-)</w:t>
            </w:r>
            <w:r>
              <w:rPr>
                <w:spacing w:val="-7"/>
                <w:sz w:val="16"/>
              </w:rPr>
              <w:t> </w:t>
            </w:r>
            <w:r>
              <w:rPr>
                <w:sz w:val="16"/>
              </w:rPr>
              <w:t>Traspasos</w:t>
            </w:r>
            <w:r>
              <w:rPr>
                <w:spacing w:val="-3"/>
                <w:sz w:val="16"/>
              </w:rPr>
              <w:t> </w:t>
            </w:r>
            <w:r>
              <w:rPr>
                <w:sz w:val="16"/>
              </w:rPr>
              <w:t>y</w:t>
            </w:r>
            <w:r>
              <w:rPr>
                <w:spacing w:val="-5"/>
                <w:sz w:val="16"/>
              </w:rPr>
              <w:t> </w:t>
            </w:r>
            <w:r>
              <w:rPr>
                <w:sz w:val="16"/>
              </w:rPr>
              <w:t>otras</w:t>
            </w:r>
            <w:r>
              <w:rPr>
                <w:spacing w:val="-1"/>
                <w:sz w:val="16"/>
              </w:rPr>
              <w:t> </w:t>
            </w:r>
            <w:r>
              <w:rPr>
                <w:spacing w:val="-2"/>
                <w:sz w:val="16"/>
              </w:rPr>
              <w:t>variaciones</w:t>
            </w:r>
          </w:p>
        </w:tc>
        <w:tc>
          <w:tcPr>
            <w:tcW w:w="1685" w:type="dxa"/>
            <w:vMerge/>
            <w:tcBorders>
              <w:top w:val="nil"/>
            </w:tcBorders>
          </w:tcPr>
          <w:p>
            <w:pPr>
              <w:rPr>
                <w:sz w:val="2"/>
                <w:szCs w:val="2"/>
              </w:rPr>
            </w:pPr>
          </w:p>
        </w:tc>
        <w:tc>
          <w:tcPr>
            <w:tcW w:w="1599" w:type="dxa"/>
            <w:vMerge/>
            <w:tcBorders>
              <w:top w:val="nil"/>
            </w:tcBorders>
          </w:tcPr>
          <w:p>
            <w:pPr>
              <w:rPr>
                <w:sz w:val="2"/>
                <w:szCs w:val="2"/>
              </w:rPr>
            </w:pPr>
          </w:p>
        </w:tc>
        <w:tc>
          <w:tcPr>
            <w:tcW w:w="1066" w:type="dxa"/>
            <w:tcBorders>
              <w:top w:val="nil"/>
            </w:tcBorders>
          </w:tcPr>
          <w:p>
            <w:pPr>
              <w:pStyle w:val="TableParagraph"/>
              <w:spacing w:before="36"/>
              <w:ind w:left="200"/>
              <w:jc w:val="center"/>
              <w:rPr>
                <w:sz w:val="16"/>
              </w:rPr>
            </w:pPr>
            <w:r>
              <w:rPr>
                <w:spacing w:val="-2"/>
                <w:sz w:val="16"/>
              </w:rPr>
              <w:t>(5.682,66)</w:t>
            </w:r>
          </w:p>
        </w:tc>
        <w:tc>
          <w:tcPr>
            <w:tcW w:w="1460" w:type="dxa"/>
            <w:tcBorders>
              <w:top w:val="nil"/>
            </w:tcBorders>
          </w:tcPr>
          <w:p>
            <w:pPr>
              <w:pStyle w:val="TableParagraph"/>
              <w:spacing w:before="36"/>
              <w:ind w:right="59"/>
              <w:jc w:val="right"/>
              <w:rPr>
                <w:sz w:val="16"/>
              </w:rPr>
            </w:pPr>
            <w:r>
              <w:rPr>
                <w:spacing w:val="-2"/>
                <w:sz w:val="16"/>
              </w:rPr>
              <w:t>(5.682,66)</w:t>
            </w:r>
          </w:p>
        </w:tc>
      </w:tr>
      <w:tr>
        <w:trPr>
          <w:trHeight w:val="268" w:hRule="atLeast"/>
        </w:trPr>
        <w:tc>
          <w:tcPr>
            <w:tcW w:w="2837" w:type="dxa"/>
          </w:tcPr>
          <w:p>
            <w:pPr>
              <w:pStyle w:val="TableParagraph"/>
              <w:spacing w:line="166" w:lineRule="exact" w:before="82"/>
              <w:ind w:left="69"/>
              <w:rPr>
                <w:sz w:val="16"/>
              </w:rPr>
            </w:pPr>
            <w:r>
              <w:rPr>
                <w:sz w:val="16"/>
              </w:rPr>
              <w:t>Saldo</w:t>
            </w:r>
            <w:r>
              <w:rPr>
                <w:spacing w:val="-4"/>
                <w:sz w:val="16"/>
              </w:rPr>
              <w:t> </w:t>
            </w:r>
            <w:r>
              <w:rPr>
                <w:sz w:val="16"/>
              </w:rPr>
              <w:t>final</w:t>
            </w:r>
            <w:r>
              <w:rPr>
                <w:spacing w:val="-2"/>
                <w:sz w:val="16"/>
              </w:rPr>
              <w:t> </w:t>
            </w:r>
            <w:r>
              <w:rPr>
                <w:sz w:val="16"/>
              </w:rPr>
              <w:t>del</w:t>
            </w:r>
            <w:r>
              <w:rPr>
                <w:spacing w:val="-5"/>
                <w:sz w:val="16"/>
              </w:rPr>
              <w:t> </w:t>
            </w:r>
            <w:r>
              <w:rPr>
                <w:sz w:val="16"/>
              </w:rPr>
              <w:t>ejercicio</w:t>
            </w:r>
            <w:r>
              <w:rPr>
                <w:spacing w:val="-6"/>
                <w:sz w:val="16"/>
              </w:rPr>
              <w:t> </w:t>
            </w:r>
            <w:r>
              <w:rPr>
                <w:spacing w:val="-4"/>
                <w:sz w:val="16"/>
              </w:rPr>
              <w:t>2024</w:t>
            </w:r>
          </w:p>
        </w:tc>
        <w:tc>
          <w:tcPr>
            <w:tcW w:w="1685" w:type="dxa"/>
          </w:tcPr>
          <w:p>
            <w:pPr>
              <w:pStyle w:val="TableParagraph"/>
              <w:rPr>
                <w:rFonts w:ascii="Times New Roman"/>
                <w:sz w:val="16"/>
              </w:rPr>
            </w:pPr>
          </w:p>
        </w:tc>
        <w:tc>
          <w:tcPr>
            <w:tcW w:w="1599" w:type="dxa"/>
          </w:tcPr>
          <w:p>
            <w:pPr>
              <w:pStyle w:val="TableParagraph"/>
              <w:rPr>
                <w:rFonts w:ascii="Times New Roman"/>
                <w:sz w:val="16"/>
              </w:rPr>
            </w:pPr>
          </w:p>
        </w:tc>
        <w:tc>
          <w:tcPr>
            <w:tcW w:w="1066" w:type="dxa"/>
          </w:tcPr>
          <w:p>
            <w:pPr>
              <w:pStyle w:val="TableParagraph"/>
              <w:spacing w:line="168" w:lineRule="exact" w:before="80"/>
              <w:ind w:left="127"/>
              <w:jc w:val="center"/>
              <w:rPr>
                <w:b/>
                <w:sz w:val="16"/>
              </w:rPr>
            </w:pPr>
            <w:r>
              <w:rPr>
                <w:b/>
                <w:spacing w:val="-2"/>
                <w:sz w:val="16"/>
              </w:rPr>
              <w:t>628.949,88</w:t>
            </w:r>
          </w:p>
        </w:tc>
        <w:tc>
          <w:tcPr>
            <w:tcW w:w="1460" w:type="dxa"/>
          </w:tcPr>
          <w:p>
            <w:pPr>
              <w:pStyle w:val="TableParagraph"/>
              <w:spacing w:line="168" w:lineRule="exact" w:before="80"/>
              <w:ind w:right="60"/>
              <w:jc w:val="right"/>
              <w:rPr>
                <w:b/>
                <w:sz w:val="16"/>
              </w:rPr>
            </w:pPr>
            <w:r>
              <w:rPr>
                <w:b/>
                <w:spacing w:val="-2"/>
                <w:sz w:val="16"/>
              </w:rPr>
              <w:t>628.949,88</w:t>
            </w:r>
          </w:p>
        </w:tc>
      </w:tr>
      <w:tr>
        <w:trPr>
          <w:trHeight w:val="307" w:hRule="atLeast"/>
        </w:trPr>
        <w:tc>
          <w:tcPr>
            <w:tcW w:w="2837" w:type="dxa"/>
            <w:tcBorders>
              <w:bottom w:val="nil"/>
            </w:tcBorders>
          </w:tcPr>
          <w:p>
            <w:pPr>
              <w:pStyle w:val="TableParagraph"/>
              <w:spacing w:before="82"/>
              <w:ind w:left="248"/>
              <w:rPr>
                <w:sz w:val="16"/>
              </w:rPr>
            </w:pPr>
            <w:r>
              <w:rPr>
                <w:sz w:val="16"/>
              </w:rPr>
              <w:t>(+)</w:t>
            </w:r>
            <w:r>
              <w:rPr>
                <w:spacing w:val="-6"/>
                <w:sz w:val="16"/>
              </w:rPr>
              <w:t> </w:t>
            </w:r>
            <w:r>
              <w:rPr>
                <w:spacing w:val="-2"/>
                <w:sz w:val="16"/>
              </w:rPr>
              <w:t>Altas</w:t>
            </w:r>
          </w:p>
        </w:tc>
        <w:tc>
          <w:tcPr>
            <w:tcW w:w="1685" w:type="dxa"/>
            <w:vMerge w:val="restart"/>
          </w:tcPr>
          <w:p>
            <w:pPr>
              <w:pStyle w:val="TableParagraph"/>
              <w:rPr>
                <w:rFonts w:ascii="Times New Roman"/>
                <w:sz w:val="16"/>
              </w:rPr>
            </w:pPr>
          </w:p>
        </w:tc>
        <w:tc>
          <w:tcPr>
            <w:tcW w:w="1599" w:type="dxa"/>
            <w:vMerge w:val="restart"/>
          </w:tcPr>
          <w:p>
            <w:pPr>
              <w:pStyle w:val="TableParagraph"/>
              <w:rPr>
                <w:rFonts w:ascii="Times New Roman"/>
                <w:sz w:val="16"/>
              </w:rPr>
            </w:pPr>
          </w:p>
        </w:tc>
        <w:tc>
          <w:tcPr>
            <w:tcW w:w="1066" w:type="dxa"/>
            <w:tcBorders>
              <w:bottom w:val="nil"/>
            </w:tcBorders>
          </w:tcPr>
          <w:p>
            <w:pPr>
              <w:pStyle w:val="TableParagraph"/>
              <w:spacing w:before="82"/>
              <w:ind w:left="127"/>
              <w:jc w:val="center"/>
              <w:rPr>
                <w:sz w:val="16"/>
              </w:rPr>
            </w:pPr>
            <w:r>
              <w:rPr>
                <w:spacing w:val="-2"/>
                <w:sz w:val="16"/>
              </w:rPr>
              <w:t>208.589,36</w:t>
            </w:r>
          </w:p>
        </w:tc>
        <w:tc>
          <w:tcPr>
            <w:tcW w:w="1460" w:type="dxa"/>
            <w:tcBorders>
              <w:bottom w:val="nil"/>
            </w:tcBorders>
          </w:tcPr>
          <w:p>
            <w:pPr>
              <w:pStyle w:val="TableParagraph"/>
              <w:spacing w:before="82"/>
              <w:ind w:right="60"/>
              <w:jc w:val="right"/>
              <w:rPr>
                <w:sz w:val="16"/>
              </w:rPr>
            </w:pPr>
            <w:r>
              <w:rPr>
                <w:spacing w:val="-2"/>
                <w:sz w:val="16"/>
              </w:rPr>
              <w:t>208.589,36</w:t>
            </w:r>
          </w:p>
        </w:tc>
      </w:tr>
      <w:tr>
        <w:trPr>
          <w:trHeight w:val="493" w:hRule="atLeast"/>
        </w:trPr>
        <w:tc>
          <w:tcPr>
            <w:tcW w:w="2837" w:type="dxa"/>
            <w:tcBorders>
              <w:top w:val="nil"/>
            </w:tcBorders>
          </w:tcPr>
          <w:p>
            <w:pPr>
              <w:pStyle w:val="TableParagraph"/>
              <w:spacing w:before="36"/>
              <w:ind w:left="248"/>
              <w:rPr>
                <w:sz w:val="16"/>
              </w:rPr>
            </w:pPr>
            <w:r>
              <w:rPr>
                <w:sz w:val="16"/>
              </w:rPr>
              <w:t>(-)</w:t>
            </w:r>
            <w:r>
              <w:rPr>
                <w:spacing w:val="-2"/>
                <w:sz w:val="16"/>
              </w:rPr>
              <w:t> </w:t>
            </w:r>
            <w:r>
              <w:rPr>
                <w:sz w:val="16"/>
              </w:rPr>
              <w:t>Salidas</w:t>
            </w:r>
            <w:r>
              <w:rPr>
                <w:spacing w:val="-1"/>
                <w:sz w:val="16"/>
              </w:rPr>
              <w:t> </w:t>
            </w:r>
            <w:r>
              <w:rPr>
                <w:sz w:val="16"/>
              </w:rPr>
              <w:t>y</w:t>
            </w:r>
            <w:r>
              <w:rPr>
                <w:spacing w:val="-3"/>
                <w:sz w:val="16"/>
              </w:rPr>
              <w:t> </w:t>
            </w:r>
            <w:r>
              <w:rPr>
                <w:spacing w:val="-2"/>
                <w:sz w:val="16"/>
              </w:rPr>
              <w:t>reducciones</w:t>
            </w:r>
          </w:p>
          <w:p>
            <w:pPr>
              <w:pStyle w:val="TableParagraph"/>
              <w:spacing w:before="1"/>
              <w:ind w:left="160"/>
              <w:rPr>
                <w:sz w:val="16"/>
              </w:rPr>
            </w:pPr>
            <w:r>
              <w:rPr>
                <w:sz w:val="16"/>
              </w:rPr>
              <w:t>(+/-)</w:t>
            </w:r>
            <w:r>
              <w:rPr>
                <w:spacing w:val="-7"/>
                <w:sz w:val="16"/>
              </w:rPr>
              <w:t> </w:t>
            </w:r>
            <w:r>
              <w:rPr>
                <w:sz w:val="16"/>
              </w:rPr>
              <w:t>Traspasos</w:t>
            </w:r>
            <w:r>
              <w:rPr>
                <w:spacing w:val="-3"/>
                <w:sz w:val="16"/>
              </w:rPr>
              <w:t> </w:t>
            </w:r>
            <w:r>
              <w:rPr>
                <w:sz w:val="16"/>
              </w:rPr>
              <w:t>y</w:t>
            </w:r>
            <w:r>
              <w:rPr>
                <w:spacing w:val="-5"/>
                <w:sz w:val="16"/>
              </w:rPr>
              <w:t> </w:t>
            </w:r>
            <w:r>
              <w:rPr>
                <w:sz w:val="16"/>
              </w:rPr>
              <w:t>otras</w:t>
            </w:r>
            <w:r>
              <w:rPr>
                <w:spacing w:val="-1"/>
                <w:sz w:val="16"/>
              </w:rPr>
              <w:t> </w:t>
            </w:r>
            <w:r>
              <w:rPr>
                <w:spacing w:val="-2"/>
                <w:sz w:val="16"/>
              </w:rPr>
              <w:t>variaciones</w:t>
            </w:r>
          </w:p>
        </w:tc>
        <w:tc>
          <w:tcPr>
            <w:tcW w:w="1685" w:type="dxa"/>
            <w:vMerge/>
            <w:tcBorders>
              <w:top w:val="nil"/>
            </w:tcBorders>
          </w:tcPr>
          <w:p>
            <w:pPr>
              <w:rPr>
                <w:sz w:val="2"/>
                <w:szCs w:val="2"/>
              </w:rPr>
            </w:pPr>
          </w:p>
        </w:tc>
        <w:tc>
          <w:tcPr>
            <w:tcW w:w="1599" w:type="dxa"/>
            <w:vMerge/>
            <w:tcBorders>
              <w:top w:val="nil"/>
            </w:tcBorders>
          </w:tcPr>
          <w:p>
            <w:pPr>
              <w:rPr>
                <w:sz w:val="2"/>
                <w:szCs w:val="2"/>
              </w:rPr>
            </w:pPr>
          </w:p>
        </w:tc>
        <w:tc>
          <w:tcPr>
            <w:tcW w:w="1066" w:type="dxa"/>
            <w:tcBorders>
              <w:top w:val="nil"/>
            </w:tcBorders>
          </w:tcPr>
          <w:p>
            <w:pPr>
              <w:pStyle w:val="TableParagraph"/>
              <w:spacing w:before="36"/>
              <w:ind w:left="200" w:right="1"/>
              <w:jc w:val="center"/>
              <w:rPr>
                <w:sz w:val="16"/>
              </w:rPr>
            </w:pPr>
            <w:r>
              <w:rPr>
                <w:spacing w:val="-2"/>
                <w:sz w:val="16"/>
              </w:rPr>
              <w:t>(4.901,57)</w:t>
            </w:r>
          </w:p>
        </w:tc>
        <w:tc>
          <w:tcPr>
            <w:tcW w:w="1460" w:type="dxa"/>
            <w:tcBorders>
              <w:top w:val="nil"/>
            </w:tcBorders>
          </w:tcPr>
          <w:p>
            <w:pPr>
              <w:pStyle w:val="TableParagraph"/>
              <w:spacing w:before="36"/>
              <w:ind w:right="59"/>
              <w:jc w:val="right"/>
              <w:rPr>
                <w:sz w:val="16"/>
              </w:rPr>
            </w:pPr>
            <w:r>
              <w:rPr>
                <w:spacing w:val="-2"/>
                <w:sz w:val="16"/>
              </w:rPr>
              <w:t>(4.901,57)</w:t>
            </w:r>
          </w:p>
        </w:tc>
      </w:tr>
      <w:tr>
        <w:trPr>
          <w:trHeight w:val="270" w:hRule="atLeast"/>
        </w:trPr>
        <w:tc>
          <w:tcPr>
            <w:tcW w:w="2837" w:type="dxa"/>
          </w:tcPr>
          <w:p>
            <w:pPr>
              <w:pStyle w:val="TableParagraph"/>
              <w:spacing w:line="171" w:lineRule="exact" w:before="80"/>
              <w:ind w:left="69"/>
              <w:rPr>
                <w:b/>
                <w:sz w:val="16"/>
              </w:rPr>
            </w:pPr>
            <w:r>
              <w:rPr>
                <w:b/>
                <w:sz w:val="16"/>
              </w:rPr>
              <w:t>Saldo</w:t>
            </w:r>
            <w:r>
              <w:rPr>
                <w:b/>
                <w:spacing w:val="-5"/>
                <w:sz w:val="16"/>
              </w:rPr>
              <w:t> </w:t>
            </w:r>
            <w:r>
              <w:rPr>
                <w:b/>
                <w:sz w:val="16"/>
              </w:rPr>
              <w:t>final</w:t>
            </w:r>
            <w:r>
              <w:rPr>
                <w:b/>
                <w:spacing w:val="-5"/>
                <w:sz w:val="16"/>
              </w:rPr>
              <w:t> </w:t>
            </w:r>
            <w:r>
              <w:rPr>
                <w:b/>
                <w:sz w:val="16"/>
              </w:rPr>
              <w:t>del</w:t>
            </w:r>
            <w:r>
              <w:rPr>
                <w:b/>
                <w:spacing w:val="-5"/>
                <w:sz w:val="16"/>
              </w:rPr>
              <w:t> </w:t>
            </w:r>
            <w:r>
              <w:rPr>
                <w:b/>
                <w:sz w:val="16"/>
              </w:rPr>
              <w:t>ejercicio</w:t>
            </w:r>
            <w:r>
              <w:rPr>
                <w:b/>
                <w:spacing w:val="-1"/>
                <w:sz w:val="16"/>
              </w:rPr>
              <w:t> </w:t>
            </w:r>
            <w:r>
              <w:rPr>
                <w:b/>
                <w:spacing w:val="-4"/>
                <w:sz w:val="16"/>
              </w:rPr>
              <w:t>2025</w:t>
            </w:r>
          </w:p>
        </w:tc>
        <w:tc>
          <w:tcPr>
            <w:tcW w:w="1685" w:type="dxa"/>
          </w:tcPr>
          <w:p>
            <w:pPr>
              <w:pStyle w:val="TableParagraph"/>
              <w:rPr>
                <w:rFonts w:ascii="Times New Roman"/>
                <w:sz w:val="16"/>
              </w:rPr>
            </w:pPr>
          </w:p>
        </w:tc>
        <w:tc>
          <w:tcPr>
            <w:tcW w:w="1599" w:type="dxa"/>
          </w:tcPr>
          <w:p>
            <w:pPr>
              <w:pStyle w:val="TableParagraph"/>
              <w:rPr>
                <w:rFonts w:ascii="Times New Roman"/>
                <w:sz w:val="16"/>
              </w:rPr>
            </w:pPr>
          </w:p>
        </w:tc>
        <w:tc>
          <w:tcPr>
            <w:tcW w:w="1066" w:type="dxa"/>
          </w:tcPr>
          <w:p>
            <w:pPr>
              <w:pStyle w:val="TableParagraph"/>
              <w:spacing w:line="171" w:lineRule="exact" w:before="80"/>
              <w:ind w:left="127"/>
              <w:jc w:val="center"/>
              <w:rPr>
                <w:b/>
                <w:sz w:val="16"/>
              </w:rPr>
            </w:pPr>
            <w:r>
              <w:rPr>
                <w:b/>
                <w:spacing w:val="-2"/>
                <w:sz w:val="16"/>
              </w:rPr>
              <w:t>832.637,67</w:t>
            </w:r>
          </w:p>
        </w:tc>
        <w:tc>
          <w:tcPr>
            <w:tcW w:w="1460" w:type="dxa"/>
          </w:tcPr>
          <w:p>
            <w:pPr>
              <w:pStyle w:val="TableParagraph"/>
              <w:spacing w:line="171" w:lineRule="exact" w:before="80"/>
              <w:ind w:right="60"/>
              <w:jc w:val="right"/>
              <w:rPr>
                <w:b/>
                <w:sz w:val="16"/>
              </w:rPr>
            </w:pPr>
            <w:r>
              <w:rPr>
                <w:b/>
                <w:spacing w:val="-2"/>
                <w:sz w:val="16"/>
              </w:rPr>
              <w:t>832.637,67</w:t>
            </w:r>
          </w:p>
        </w:tc>
      </w:tr>
    </w:tbl>
    <w:p>
      <w:pPr>
        <w:pStyle w:val="TableParagraph"/>
        <w:spacing w:after="0" w:line="171" w:lineRule="exact"/>
        <w:jc w:val="right"/>
        <w:rPr>
          <w:b/>
          <w:sz w:val="16"/>
        </w:rPr>
        <w:sectPr>
          <w:pgSz w:w="11910" w:h="16840"/>
          <w:pgMar w:header="286" w:footer="1060" w:top="1920" w:bottom="1260" w:left="360" w:right="360"/>
        </w:sectPr>
      </w:pPr>
    </w:p>
    <w:p>
      <w:pPr>
        <w:pStyle w:val="BodyText"/>
        <w:spacing w:before="201"/>
      </w:pPr>
    </w:p>
    <w:p>
      <w:pPr>
        <w:pStyle w:val="BodyText"/>
        <w:ind w:left="1908" w:right="1340"/>
        <w:jc w:val="both"/>
      </w:pPr>
      <w:r>
        <w:rPr/>
        <w:t>La información de los instrumentos financieros del activo del balance de la Sociedad a largo plazo, clasificados por categorías es:</w:t>
      </w:r>
    </w:p>
    <w:p>
      <w:pPr>
        <w:pStyle w:val="BodyText"/>
        <w:spacing w:before="2"/>
      </w:pPr>
    </w:p>
    <w:tbl>
      <w:tblPr>
        <w:tblW w:w="0" w:type="auto"/>
        <w:jc w:val="left"/>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
        <w:gridCol w:w="2623"/>
        <w:gridCol w:w="578"/>
        <w:gridCol w:w="578"/>
        <w:gridCol w:w="669"/>
        <w:gridCol w:w="662"/>
        <w:gridCol w:w="943"/>
        <w:gridCol w:w="941"/>
        <w:gridCol w:w="941"/>
        <w:gridCol w:w="1155"/>
      </w:tblGrid>
      <w:tr>
        <w:trPr>
          <w:trHeight w:val="268" w:hRule="atLeast"/>
        </w:trPr>
        <w:tc>
          <w:tcPr>
            <w:tcW w:w="2959" w:type="dxa"/>
            <w:gridSpan w:val="2"/>
            <w:vMerge w:val="restart"/>
            <w:tcBorders>
              <w:top w:val="nil"/>
              <w:left w:val="nil"/>
            </w:tcBorders>
          </w:tcPr>
          <w:p>
            <w:pPr>
              <w:pStyle w:val="TableParagraph"/>
              <w:rPr>
                <w:rFonts w:ascii="Times New Roman"/>
                <w:sz w:val="16"/>
              </w:rPr>
            </w:pPr>
          </w:p>
        </w:tc>
        <w:tc>
          <w:tcPr>
            <w:tcW w:w="6467" w:type="dxa"/>
            <w:gridSpan w:val="8"/>
          </w:tcPr>
          <w:p>
            <w:pPr>
              <w:pStyle w:val="TableParagraph"/>
              <w:spacing w:line="178" w:lineRule="exact"/>
              <w:ind w:left="7"/>
              <w:jc w:val="center"/>
              <w:rPr>
                <w:b/>
                <w:sz w:val="16"/>
              </w:rPr>
            </w:pPr>
            <w:r>
              <w:rPr>
                <w:b/>
                <w:spacing w:val="-2"/>
                <w:sz w:val="16"/>
              </w:rPr>
              <w:t>CLASES</w:t>
            </w:r>
          </w:p>
        </w:tc>
      </w:tr>
      <w:tr>
        <w:trPr>
          <w:trHeight w:val="551" w:hRule="atLeast"/>
        </w:trPr>
        <w:tc>
          <w:tcPr>
            <w:tcW w:w="2959" w:type="dxa"/>
            <w:gridSpan w:val="2"/>
            <w:vMerge/>
            <w:tcBorders>
              <w:top w:val="nil"/>
              <w:left w:val="nil"/>
            </w:tcBorders>
          </w:tcPr>
          <w:p>
            <w:pPr>
              <w:rPr>
                <w:sz w:val="2"/>
                <w:szCs w:val="2"/>
              </w:rPr>
            </w:pPr>
          </w:p>
        </w:tc>
        <w:tc>
          <w:tcPr>
            <w:tcW w:w="1156" w:type="dxa"/>
            <w:gridSpan w:val="2"/>
          </w:tcPr>
          <w:p>
            <w:pPr>
              <w:pStyle w:val="TableParagraph"/>
              <w:spacing w:line="237" w:lineRule="auto"/>
              <w:ind w:left="482" w:hanging="413"/>
              <w:rPr>
                <w:b/>
                <w:sz w:val="16"/>
              </w:rPr>
            </w:pPr>
            <w:r>
              <w:rPr>
                <w:b/>
                <w:spacing w:val="-2"/>
                <w:sz w:val="16"/>
              </w:rPr>
              <w:t>Instrumentos </w:t>
            </w:r>
            <w:r>
              <w:rPr>
                <w:b/>
                <w:spacing w:val="-6"/>
                <w:sz w:val="16"/>
              </w:rPr>
              <w:t>de</w:t>
            </w:r>
          </w:p>
          <w:p>
            <w:pPr>
              <w:pStyle w:val="TableParagraph"/>
              <w:spacing w:line="171" w:lineRule="exact"/>
              <w:ind w:left="163"/>
              <w:rPr>
                <w:b/>
                <w:sz w:val="16"/>
              </w:rPr>
            </w:pPr>
            <w:r>
              <w:rPr>
                <w:b/>
                <w:spacing w:val="-2"/>
                <w:sz w:val="16"/>
              </w:rPr>
              <w:t>patrimonio</w:t>
            </w:r>
          </w:p>
        </w:tc>
        <w:tc>
          <w:tcPr>
            <w:tcW w:w="1331" w:type="dxa"/>
            <w:gridSpan w:val="2"/>
          </w:tcPr>
          <w:p>
            <w:pPr>
              <w:pStyle w:val="TableParagraph"/>
              <w:spacing w:line="237" w:lineRule="auto"/>
              <w:ind w:left="70" w:firstLine="307"/>
              <w:rPr>
                <w:b/>
                <w:sz w:val="16"/>
              </w:rPr>
            </w:pPr>
            <w:r>
              <w:rPr>
                <w:b/>
                <w:spacing w:val="-2"/>
                <w:sz w:val="16"/>
              </w:rPr>
              <w:t>Valores representativos</w:t>
            </w:r>
          </w:p>
          <w:p>
            <w:pPr>
              <w:pStyle w:val="TableParagraph"/>
              <w:spacing w:line="171" w:lineRule="exact"/>
              <w:ind w:left="315"/>
              <w:rPr>
                <w:b/>
                <w:sz w:val="16"/>
              </w:rPr>
            </w:pPr>
            <w:r>
              <w:rPr>
                <w:b/>
                <w:sz w:val="16"/>
              </w:rPr>
              <w:t>de</w:t>
            </w:r>
            <w:r>
              <w:rPr>
                <w:b/>
                <w:spacing w:val="1"/>
                <w:sz w:val="16"/>
              </w:rPr>
              <w:t> </w:t>
            </w:r>
            <w:r>
              <w:rPr>
                <w:b/>
                <w:spacing w:val="-2"/>
                <w:sz w:val="16"/>
              </w:rPr>
              <w:t>deuda</w:t>
            </w:r>
          </w:p>
        </w:tc>
        <w:tc>
          <w:tcPr>
            <w:tcW w:w="1884" w:type="dxa"/>
            <w:gridSpan w:val="2"/>
          </w:tcPr>
          <w:p>
            <w:pPr>
              <w:pStyle w:val="TableParagraph"/>
              <w:spacing w:before="85"/>
              <w:ind w:left="729" w:right="194" w:hanging="521"/>
              <w:rPr>
                <w:b/>
                <w:sz w:val="16"/>
              </w:rPr>
            </w:pPr>
            <w:r>
              <w:rPr>
                <w:b/>
                <w:sz w:val="16"/>
              </w:rPr>
              <w:t>Créditos</w:t>
            </w:r>
            <w:r>
              <w:rPr>
                <w:b/>
                <w:spacing w:val="-12"/>
                <w:sz w:val="16"/>
              </w:rPr>
              <w:t> </w:t>
            </w:r>
            <w:r>
              <w:rPr>
                <w:b/>
                <w:sz w:val="16"/>
              </w:rPr>
              <w:t>Derivados </w:t>
            </w:r>
            <w:r>
              <w:rPr>
                <w:b/>
                <w:spacing w:val="-2"/>
                <w:sz w:val="16"/>
              </w:rPr>
              <w:t>Otros</w:t>
            </w:r>
          </w:p>
        </w:tc>
        <w:tc>
          <w:tcPr>
            <w:tcW w:w="2096" w:type="dxa"/>
            <w:gridSpan w:val="2"/>
          </w:tcPr>
          <w:p>
            <w:pPr>
              <w:pStyle w:val="TableParagraph"/>
              <w:spacing w:before="176"/>
              <w:ind w:left="8"/>
              <w:jc w:val="center"/>
              <w:rPr>
                <w:b/>
                <w:sz w:val="16"/>
              </w:rPr>
            </w:pPr>
            <w:r>
              <w:rPr>
                <w:b/>
                <w:spacing w:val="-2"/>
                <w:sz w:val="16"/>
              </w:rPr>
              <w:t>TOTAL</w:t>
            </w:r>
          </w:p>
        </w:tc>
      </w:tr>
      <w:tr>
        <w:trPr>
          <w:trHeight w:val="266" w:hRule="atLeast"/>
        </w:trPr>
        <w:tc>
          <w:tcPr>
            <w:tcW w:w="2959" w:type="dxa"/>
            <w:gridSpan w:val="2"/>
            <w:vMerge/>
            <w:tcBorders>
              <w:top w:val="nil"/>
              <w:left w:val="nil"/>
            </w:tcBorders>
          </w:tcPr>
          <w:p>
            <w:pPr>
              <w:rPr>
                <w:sz w:val="2"/>
                <w:szCs w:val="2"/>
              </w:rPr>
            </w:pPr>
          </w:p>
        </w:tc>
        <w:tc>
          <w:tcPr>
            <w:tcW w:w="578" w:type="dxa"/>
          </w:tcPr>
          <w:p>
            <w:pPr>
              <w:pStyle w:val="TableParagraph"/>
              <w:spacing w:before="34"/>
              <w:ind w:left="110"/>
              <w:rPr>
                <w:b/>
                <w:sz w:val="16"/>
              </w:rPr>
            </w:pPr>
            <w:r>
              <w:rPr>
                <w:b/>
                <w:spacing w:val="-4"/>
                <w:sz w:val="16"/>
              </w:rPr>
              <w:t>2025</w:t>
            </w:r>
          </w:p>
        </w:tc>
        <w:tc>
          <w:tcPr>
            <w:tcW w:w="578" w:type="dxa"/>
          </w:tcPr>
          <w:p>
            <w:pPr>
              <w:pStyle w:val="TableParagraph"/>
              <w:spacing w:before="34"/>
              <w:ind w:left="110"/>
              <w:rPr>
                <w:b/>
                <w:sz w:val="16"/>
              </w:rPr>
            </w:pPr>
            <w:r>
              <w:rPr>
                <w:b/>
                <w:spacing w:val="-4"/>
                <w:sz w:val="16"/>
              </w:rPr>
              <w:t>2024</w:t>
            </w:r>
          </w:p>
        </w:tc>
        <w:tc>
          <w:tcPr>
            <w:tcW w:w="669" w:type="dxa"/>
          </w:tcPr>
          <w:p>
            <w:pPr>
              <w:pStyle w:val="TableParagraph"/>
              <w:spacing w:before="34"/>
              <w:ind w:left="157"/>
              <w:rPr>
                <w:b/>
                <w:sz w:val="16"/>
              </w:rPr>
            </w:pPr>
            <w:r>
              <w:rPr>
                <w:b/>
                <w:spacing w:val="-4"/>
                <w:sz w:val="16"/>
              </w:rPr>
              <w:t>2025</w:t>
            </w:r>
          </w:p>
        </w:tc>
        <w:tc>
          <w:tcPr>
            <w:tcW w:w="662" w:type="dxa"/>
          </w:tcPr>
          <w:p>
            <w:pPr>
              <w:pStyle w:val="TableParagraph"/>
              <w:spacing w:before="34"/>
              <w:ind w:left="154"/>
              <w:rPr>
                <w:b/>
                <w:sz w:val="16"/>
              </w:rPr>
            </w:pPr>
            <w:r>
              <w:rPr>
                <w:b/>
                <w:spacing w:val="-4"/>
                <w:sz w:val="16"/>
              </w:rPr>
              <w:t>2024</w:t>
            </w:r>
          </w:p>
        </w:tc>
        <w:tc>
          <w:tcPr>
            <w:tcW w:w="943" w:type="dxa"/>
          </w:tcPr>
          <w:p>
            <w:pPr>
              <w:pStyle w:val="TableParagraph"/>
              <w:spacing w:before="34"/>
              <w:ind w:left="11"/>
              <w:jc w:val="center"/>
              <w:rPr>
                <w:b/>
                <w:sz w:val="16"/>
              </w:rPr>
            </w:pPr>
            <w:r>
              <w:rPr>
                <w:b/>
                <w:spacing w:val="-4"/>
                <w:sz w:val="16"/>
              </w:rPr>
              <w:t>2025</w:t>
            </w:r>
          </w:p>
        </w:tc>
        <w:tc>
          <w:tcPr>
            <w:tcW w:w="941" w:type="dxa"/>
          </w:tcPr>
          <w:p>
            <w:pPr>
              <w:pStyle w:val="TableParagraph"/>
              <w:spacing w:before="34"/>
              <w:ind w:left="13" w:right="5"/>
              <w:jc w:val="center"/>
              <w:rPr>
                <w:b/>
                <w:sz w:val="16"/>
              </w:rPr>
            </w:pPr>
            <w:r>
              <w:rPr>
                <w:b/>
                <w:spacing w:val="-4"/>
                <w:sz w:val="16"/>
              </w:rPr>
              <w:t>2024</w:t>
            </w:r>
          </w:p>
        </w:tc>
        <w:tc>
          <w:tcPr>
            <w:tcW w:w="941" w:type="dxa"/>
          </w:tcPr>
          <w:p>
            <w:pPr>
              <w:pStyle w:val="TableParagraph"/>
              <w:spacing w:before="34"/>
              <w:ind w:left="13"/>
              <w:jc w:val="center"/>
              <w:rPr>
                <w:b/>
                <w:sz w:val="16"/>
              </w:rPr>
            </w:pPr>
            <w:r>
              <w:rPr>
                <w:b/>
                <w:spacing w:val="-4"/>
                <w:sz w:val="16"/>
              </w:rPr>
              <w:t>2025</w:t>
            </w:r>
          </w:p>
        </w:tc>
        <w:tc>
          <w:tcPr>
            <w:tcW w:w="1155" w:type="dxa"/>
          </w:tcPr>
          <w:p>
            <w:pPr>
              <w:pStyle w:val="TableParagraph"/>
              <w:spacing w:before="34"/>
              <w:ind w:left="9"/>
              <w:jc w:val="center"/>
              <w:rPr>
                <w:b/>
                <w:sz w:val="16"/>
              </w:rPr>
            </w:pPr>
            <w:r>
              <w:rPr>
                <w:b/>
                <w:spacing w:val="-4"/>
                <w:sz w:val="16"/>
              </w:rPr>
              <w:t>2024</w:t>
            </w:r>
          </w:p>
        </w:tc>
      </w:tr>
      <w:tr>
        <w:trPr>
          <w:trHeight w:val="551" w:hRule="atLeast"/>
        </w:trPr>
        <w:tc>
          <w:tcPr>
            <w:tcW w:w="336" w:type="dxa"/>
            <w:vMerge w:val="restart"/>
            <w:textDirection w:val="btLr"/>
          </w:tcPr>
          <w:p>
            <w:pPr>
              <w:pStyle w:val="TableParagraph"/>
              <w:spacing w:before="73"/>
              <w:ind w:left="710"/>
              <w:rPr>
                <w:b/>
                <w:sz w:val="16"/>
              </w:rPr>
            </w:pPr>
            <w:r>
              <w:rPr>
                <w:b/>
                <w:spacing w:val="-2"/>
                <w:sz w:val="16"/>
              </w:rPr>
              <w:t>CATEGORÍAS</w:t>
            </w:r>
          </w:p>
        </w:tc>
        <w:tc>
          <w:tcPr>
            <w:tcW w:w="2623" w:type="dxa"/>
          </w:tcPr>
          <w:p>
            <w:pPr>
              <w:pStyle w:val="TableParagraph"/>
              <w:ind w:left="69"/>
              <w:rPr>
                <w:sz w:val="16"/>
              </w:rPr>
            </w:pPr>
            <w:r>
              <w:rPr>
                <w:sz w:val="16"/>
              </w:rPr>
              <w:t>Activos a valor razonable con cambios</w:t>
            </w:r>
            <w:r>
              <w:rPr>
                <w:spacing w:val="-8"/>
                <w:sz w:val="16"/>
              </w:rPr>
              <w:t> </w:t>
            </w:r>
            <w:r>
              <w:rPr>
                <w:sz w:val="16"/>
              </w:rPr>
              <w:t>en</w:t>
            </w:r>
            <w:r>
              <w:rPr>
                <w:spacing w:val="-12"/>
                <w:sz w:val="16"/>
              </w:rPr>
              <w:t> </w:t>
            </w:r>
            <w:r>
              <w:rPr>
                <w:sz w:val="16"/>
              </w:rPr>
              <w:t>pérdidas</w:t>
            </w:r>
            <w:r>
              <w:rPr>
                <w:spacing w:val="-6"/>
                <w:sz w:val="16"/>
              </w:rPr>
              <w:t> </w:t>
            </w:r>
            <w:r>
              <w:rPr>
                <w:sz w:val="16"/>
              </w:rPr>
              <w:t>y</w:t>
            </w:r>
            <w:r>
              <w:rPr>
                <w:spacing w:val="-11"/>
                <w:sz w:val="16"/>
              </w:rPr>
              <w:t> </w:t>
            </w:r>
            <w:r>
              <w:rPr>
                <w:sz w:val="16"/>
              </w:rPr>
              <w:t>ganancias,</w:t>
            </w:r>
          </w:p>
          <w:p>
            <w:pPr>
              <w:pStyle w:val="TableParagraph"/>
              <w:spacing w:line="166" w:lineRule="exact"/>
              <w:ind w:left="69"/>
              <w:rPr>
                <w:sz w:val="16"/>
              </w:rPr>
            </w:pPr>
            <w:r>
              <w:rPr>
                <w:sz w:val="16"/>
              </w:rPr>
              <w:t>del</w:t>
            </w:r>
            <w:r>
              <w:rPr>
                <w:spacing w:val="-3"/>
                <w:sz w:val="16"/>
              </w:rPr>
              <w:t> </w:t>
            </w:r>
            <w:r>
              <w:rPr>
                <w:spacing w:val="-2"/>
                <w:sz w:val="16"/>
              </w:rPr>
              <w:t>cual:</w:t>
            </w:r>
          </w:p>
        </w:tc>
        <w:tc>
          <w:tcPr>
            <w:tcW w:w="6467" w:type="dxa"/>
            <w:gridSpan w:val="8"/>
          </w:tcPr>
          <w:p>
            <w:pPr>
              <w:pStyle w:val="TableParagraph"/>
              <w:rPr>
                <w:rFonts w:ascii="Times New Roman"/>
                <w:sz w:val="16"/>
              </w:rPr>
            </w:pP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69"/>
              <w:rPr>
                <w:sz w:val="16"/>
              </w:rPr>
            </w:pPr>
            <w:r>
              <w:rPr>
                <w:sz w:val="16"/>
              </w:rPr>
              <w:t>—</w:t>
            </w:r>
            <w:r>
              <w:rPr>
                <w:spacing w:val="-3"/>
                <w:sz w:val="16"/>
              </w:rPr>
              <w:t> </w:t>
            </w:r>
            <w:r>
              <w:rPr>
                <w:sz w:val="16"/>
              </w:rPr>
              <w:t>Cartera</w:t>
            </w:r>
            <w:r>
              <w:rPr>
                <w:spacing w:val="-2"/>
                <w:sz w:val="16"/>
              </w:rPr>
              <w:t> </w:t>
            </w:r>
            <w:r>
              <w:rPr>
                <w:sz w:val="16"/>
              </w:rPr>
              <w:t>de</w:t>
            </w:r>
            <w:r>
              <w:rPr>
                <w:spacing w:val="-2"/>
                <w:sz w:val="16"/>
              </w:rPr>
              <w:t> negociación</w:t>
            </w:r>
          </w:p>
        </w:tc>
        <w:tc>
          <w:tcPr>
            <w:tcW w:w="578" w:type="dxa"/>
          </w:tcPr>
          <w:p>
            <w:pPr>
              <w:pStyle w:val="TableParagraph"/>
              <w:rPr>
                <w:rFonts w:ascii="Times New Roman"/>
                <w:sz w:val="12"/>
              </w:rPr>
            </w:pPr>
          </w:p>
        </w:tc>
        <w:tc>
          <w:tcPr>
            <w:tcW w:w="578" w:type="dxa"/>
          </w:tcPr>
          <w:p>
            <w:pPr>
              <w:pStyle w:val="TableParagraph"/>
              <w:rPr>
                <w:rFonts w:ascii="Times New Roman"/>
                <w:sz w:val="12"/>
              </w:rPr>
            </w:pPr>
          </w:p>
        </w:tc>
        <w:tc>
          <w:tcPr>
            <w:tcW w:w="669" w:type="dxa"/>
          </w:tcPr>
          <w:p>
            <w:pPr>
              <w:pStyle w:val="TableParagraph"/>
              <w:rPr>
                <w:rFonts w:ascii="Times New Roman"/>
                <w:sz w:val="12"/>
              </w:rPr>
            </w:pPr>
          </w:p>
        </w:tc>
        <w:tc>
          <w:tcPr>
            <w:tcW w:w="662" w:type="dxa"/>
          </w:tcPr>
          <w:p>
            <w:pPr>
              <w:pStyle w:val="TableParagraph"/>
              <w:rPr>
                <w:rFonts w:ascii="Times New Roman"/>
                <w:sz w:val="12"/>
              </w:rPr>
            </w:pPr>
          </w:p>
        </w:tc>
        <w:tc>
          <w:tcPr>
            <w:tcW w:w="943" w:type="dxa"/>
          </w:tcPr>
          <w:p>
            <w:pPr>
              <w:pStyle w:val="TableParagraph"/>
              <w:rPr>
                <w:rFonts w:ascii="Times New Roman"/>
                <w:sz w:val="12"/>
              </w:rPr>
            </w:pPr>
          </w:p>
        </w:tc>
        <w:tc>
          <w:tcPr>
            <w:tcW w:w="941" w:type="dxa"/>
          </w:tcPr>
          <w:p>
            <w:pPr>
              <w:pStyle w:val="TableParagraph"/>
              <w:rPr>
                <w:rFonts w:ascii="Times New Roman"/>
                <w:sz w:val="12"/>
              </w:rPr>
            </w:pPr>
          </w:p>
        </w:tc>
        <w:tc>
          <w:tcPr>
            <w:tcW w:w="941" w:type="dxa"/>
          </w:tcPr>
          <w:p>
            <w:pPr>
              <w:pStyle w:val="TableParagraph"/>
              <w:rPr>
                <w:rFonts w:ascii="Times New Roman"/>
                <w:sz w:val="12"/>
              </w:rPr>
            </w:pPr>
          </w:p>
        </w:tc>
        <w:tc>
          <w:tcPr>
            <w:tcW w:w="1155" w:type="dxa"/>
          </w:tcPr>
          <w:p>
            <w:pPr>
              <w:pStyle w:val="TableParagraph"/>
              <w:rPr>
                <w:rFonts w:ascii="Times New Roman"/>
                <w:sz w:val="12"/>
              </w:rPr>
            </w:pP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69"/>
              <w:rPr>
                <w:sz w:val="16"/>
              </w:rPr>
            </w:pPr>
            <w:r>
              <w:rPr>
                <w:sz w:val="16"/>
              </w:rPr>
              <w:t>—</w:t>
            </w:r>
            <w:r>
              <w:rPr>
                <w:spacing w:val="-2"/>
                <w:sz w:val="16"/>
              </w:rPr>
              <w:t> Designados</w:t>
            </w:r>
          </w:p>
        </w:tc>
        <w:tc>
          <w:tcPr>
            <w:tcW w:w="578" w:type="dxa"/>
          </w:tcPr>
          <w:p>
            <w:pPr>
              <w:pStyle w:val="TableParagraph"/>
              <w:rPr>
                <w:rFonts w:ascii="Times New Roman"/>
                <w:sz w:val="12"/>
              </w:rPr>
            </w:pPr>
          </w:p>
        </w:tc>
        <w:tc>
          <w:tcPr>
            <w:tcW w:w="578" w:type="dxa"/>
          </w:tcPr>
          <w:p>
            <w:pPr>
              <w:pStyle w:val="TableParagraph"/>
              <w:rPr>
                <w:rFonts w:ascii="Times New Roman"/>
                <w:sz w:val="12"/>
              </w:rPr>
            </w:pPr>
          </w:p>
        </w:tc>
        <w:tc>
          <w:tcPr>
            <w:tcW w:w="669" w:type="dxa"/>
          </w:tcPr>
          <w:p>
            <w:pPr>
              <w:pStyle w:val="TableParagraph"/>
              <w:rPr>
                <w:rFonts w:ascii="Times New Roman"/>
                <w:sz w:val="12"/>
              </w:rPr>
            </w:pPr>
          </w:p>
        </w:tc>
        <w:tc>
          <w:tcPr>
            <w:tcW w:w="662" w:type="dxa"/>
          </w:tcPr>
          <w:p>
            <w:pPr>
              <w:pStyle w:val="TableParagraph"/>
              <w:rPr>
                <w:rFonts w:ascii="Times New Roman"/>
                <w:sz w:val="12"/>
              </w:rPr>
            </w:pPr>
          </w:p>
        </w:tc>
        <w:tc>
          <w:tcPr>
            <w:tcW w:w="943" w:type="dxa"/>
          </w:tcPr>
          <w:p>
            <w:pPr>
              <w:pStyle w:val="TableParagraph"/>
              <w:rPr>
                <w:rFonts w:ascii="Times New Roman"/>
                <w:sz w:val="12"/>
              </w:rPr>
            </w:pPr>
          </w:p>
        </w:tc>
        <w:tc>
          <w:tcPr>
            <w:tcW w:w="941" w:type="dxa"/>
          </w:tcPr>
          <w:p>
            <w:pPr>
              <w:pStyle w:val="TableParagraph"/>
              <w:rPr>
                <w:rFonts w:ascii="Times New Roman"/>
                <w:sz w:val="12"/>
              </w:rPr>
            </w:pPr>
          </w:p>
        </w:tc>
        <w:tc>
          <w:tcPr>
            <w:tcW w:w="941" w:type="dxa"/>
          </w:tcPr>
          <w:p>
            <w:pPr>
              <w:pStyle w:val="TableParagraph"/>
              <w:rPr>
                <w:rFonts w:ascii="Times New Roman"/>
                <w:sz w:val="12"/>
              </w:rPr>
            </w:pPr>
          </w:p>
        </w:tc>
        <w:tc>
          <w:tcPr>
            <w:tcW w:w="1155" w:type="dxa"/>
          </w:tcPr>
          <w:p>
            <w:pPr>
              <w:pStyle w:val="TableParagraph"/>
              <w:rPr>
                <w:rFonts w:ascii="Times New Roman"/>
                <w:sz w:val="12"/>
              </w:rPr>
            </w:pP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69"/>
              <w:rPr>
                <w:sz w:val="16"/>
              </w:rPr>
            </w:pPr>
            <w:r>
              <w:rPr>
                <w:sz w:val="16"/>
              </w:rPr>
              <w:t>— </w:t>
            </w:r>
            <w:r>
              <w:rPr>
                <w:spacing w:val="-2"/>
                <w:sz w:val="16"/>
              </w:rPr>
              <w:t>Otros</w:t>
            </w:r>
          </w:p>
        </w:tc>
        <w:tc>
          <w:tcPr>
            <w:tcW w:w="578" w:type="dxa"/>
          </w:tcPr>
          <w:p>
            <w:pPr>
              <w:pStyle w:val="TableParagraph"/>
              <w:rPr>
                <w:rFonts w:ascii="Times New Roman"/>
                <w:sz w:val="12"/>
              </w:rPr>
            </w:pPr>
          </w:p>
        </w:tc>
        <w:tc>
          <w:tcPr>
            <w:tcW w:w="578" w:type="dxa"/>
          </w:tcPr>
          <w:p>
            <w:pPr>
              <w:pStyle w:val="TableParagraph"/>
              <w:rPr>
                <w:rFonts w:ascii="Times New Roman"/>
                <w:sz w:val="12"/>
              </w:rPr>
            </w:pPr>
          </w:p>
        </w:tc>
        <w:tc>
          <w:tcPr>
            <w:tcW w:w="669" w:type="dxa"/>
          </w:tcPr>
          <w:p>
            <w:pPr>
              <w:pStyle w:val="TableParagraph"/>
              <w:rPr>
                <w:rFonts w:ascii="Times New Roman"/>
                <w:sz w:val="12"/>
              </w:rPr>
            </w:pPr>
          </w:p>
        </w:tc>
        <w:tc>
          <w:tcPr>
            <w:tcW w:w="662" w:type="dxa"/>
          </w:tcPr>
          <w:p>
            <w:pPr>
              <w:pStyle w:val="TableParagraph"/>
              <w:rPr>
                <w:rFonts w:ascii="Times New Roman"/>
                <w:sz w:val="12"/>
              </w:rPr>
            </w:pPr>
          </w:p>
        </w:tc>
        <w:tc>
          <w:tcPr>
            <w:tcW w:w="943" w:type="dxa"/>
          </w:tcPr>
          <w:p>
            <w:pPr>
              <w:pStyle w:val="TableParagraph"/>
              <w:rPr>
                <w:rFonts w:ascii="Times New Roman"/>
                <w:sz w:val="12"/>
              </w:rPr>
            </w:pPr>
          </w:p>
        </w:tc>
        <w:tc>
          <w:tcPr>
            <w:tcW w:w="941" w:type="dxa"/>
          </w:tcPr>
          <w:p>
            <w:pPr>
              <w:pStyle w:val="TableParagraph"/>
              <w:rPr>
                <w:rFonts w:ascii="Times New Roman"/>
                <w:sz w:val="12"/>
              </w:rPr>
            </w:pPr>
          </w:p>
        </w:tc>
        <w:tc>
          <w:tcPr>
            <w:tcW w:w="941" w:type="dxa"/>
          </w:tcPr>
          <w:p>
            <w:pPr>
              <w:pStyle w:val="TableParagraph"/>
              <w:rPr>
                <w:rFonts w:ascii="Times New Roman"/>
                <w:sz w:val="12"/>
              </w:rPr>
            </w:pPr>
          </w:p>
        </w:tc>
        <w:tc>
          <w:tcPr>
            <w:tcW w:w="1155" w:type="dxa"/>
          </w:tcPr>
          <w:p>
            <w:pPr>
              <w:pStyle w:val="TableParagraph"/>
              <w:rPr>
                <w:rFonts w:ascii="Times New Roman"/>
                <w:sz w:val="12"/>
              </w:rPr>
            </w:pPr>
          </w:p>
        </w:tc>
      </w:tr>
      <w:tr>
        <w:trPr>
          <w:trHeight w:val="369" w:hRule="atLeast"/>
        </w:trPr>
        <w:tc>
          <w:tcPr>
            <w:tcW w:w="336" w:type="dxa"/>
            <w:vMerge/>
            <w:tcBorders>
              <w:top w:val="nil"/>
            </w:tcBorders>
            <w:textDirection w:val="btLr"/>
          </w:tcPr>
          <w:p>
            <w:pPr>
              <w:rPr>
                <w:sz w:val="2"/>
                <w:szCs w:val="2"/>
              </w:rPr>
            </w:pPr>
          </w:p>
        </w:tc>
        <w:tc>
          <w:tcPr>
            <w:tcW w:w="2623" w:type="dxa"/>
          </w:tcPr>
          <w:p>
            <w:pPr>
              <w:pStyle w:val="TableParagraph"/>
              <w:spacing w:line="182" w:lineRule="exact"/>
              <w:ind w:left="69"/>
              <w:rPr>
                <w:sz w:val="16"/>
              </w:rPr>
            </w:pPr>
            <w:r>
              <w:rPr>
                <w:sz w:val="16"/>
              </w:rPr>
              <w:t>Activos</w:t>
            </w:r>
            <w:r>
              <w:rPr>
                <w:spacing w:val="-12"/>
                <w:sz w:val="16"/>
              </w:rPr>
              <w:t> </w:t>
            </w:r>
            <w:r>
              <w:rPr>
                <w:sz w:val="16"/>
              </w:rPr>
              <w:t>financieros</w:t>
            </w:r>
            <w:r>
              <w:rPr>
                <w:spacing w:val="-11"/>
                <w:sz w:val="16"/>
              </w:rPr>
              <w:t> </w:t>
            </w:r>
            <w:r>
              <w:rPr>
                <w:sz w:val="16"/>
              </w:rPr>
              <w:t>a</w:t>
            </w:r>
            <w:r>
              <w:rPr>
                <w:spacing w:val="-11"/>
                <w:sz w:val="16"/>
              </w:rPr>
              <w:t> </w:t>
            </w:r>
            <w:r>
              <w:rPr>
                <w:sz w:val="16"/>
              </w:rPr>
              <w:t>coste </w:t>
            </w:r>
            <w:r>
              <w:rPr>
                <w:spacing w:val="-2"/>
                <w:sz w:val="16"/>
              </w:rPr>
              <w:t>amortizado</w:t>
            </w:r>
          </w:p>
        </w:tc>
        <w:tc>
          <w:tcPr>
            <w:tcW w:w="578" w:type="dxa"/>
          </w:tcPr>
          <w:p>
            <w:pPr>
              <w:pStyle w:val="TableParagraph"/>
              <w:rPr>
                <w:rFonts w:ascii="Times New Roman"/>
                <w:sz w:val="16"/>
              </w:rPr>
            </w:pPr>
          </w:p>
        </w:tc>
        <w:tc>
          <w:tcPr>
            <w:tcW w:w="578" w:type="dxa"/>
          </w:tcPr>
          <w:p>
            <w:pPr>
              <w:pStyle w:val="TableParagraph"/>
              <w:rPr>
                <w:rFonts w:ascii="Times New Roman"/>
                <w:sz w:val="16"/>
              </w:rPr>
            </w:pPr>
          </w:p>
        </w:tc>
        <w:tc>
          <w:tcPr>
            <w:tcW w:w="669" w:type="dxa"/>
          </w:tcPr>
          <w:p>
            <w:pPr>
              <w:pStyle w:val="TableParagraph"/>
              <w:rPr>
                <w:rFonts w:ascii="Times New Roman"/>
                <w:sz w:val="16"/>
              </w:rPr>
            </w:pPr>
          </w:p>
        </w:tc>
        <w:tc>
          <w:tcPr>
            <w:tcW w:w="662" w:type="dxa"/>
          </w:tcPr>
          <w:p>
            <w:pPr>
              <w:pStyle w:val="TableParagraph"/>
              <w:rPr>
                <w:rFonts w:ascii="Times New Roman"/>
                <w:sz w:val="16"/>
              </w:rPr>
            </w:pPr>
          </w:p>
        </w:tc>
        <w:tc>
          <w:tcPr>
            <w:tcW w:w="943" w:type="dxa"/>
          </w:tcPr>
          <w:p>
            <w:pPr>
              <w:pStyle w:val="TableParagraph"/>
              <w:spacing w:line="183" w:lineRule="exact"/>
              <w:ind w:left="11"/>
              <w:jc w:val="center"/>
              <w:rPr>
                <w:sz w:val="16"/>
              </w:rPr>
            </w:pPr>
            <w:r>
              <w:rPr>
                <w:spacing w:val="-2"/>
                <w:sz w:val="16"/>
              </w:rPr>
              <w:t>832.637,67</w:t>
            </w:r>
          </w:p>
        </w:tc>
        <w:tc>
          <w:tcPr>
            <w:tcW w:w="941" w:type="dxa"/>
          </w:tcPr>
          <w:p>
            <w:pPr>
              <w:pStyle w:val="TableParagraph"/>
              <w:spacing w:line="183" w:lineRule="exact"/>
              <w:ind w:left="13" w:right="5"/>
              <w:jc w:val="center"/>
              <w:rPr>
                <w:sz w:val="16"/>
              </w:rPr>
            </w:pPr>
            <w:r>
              <w:rPr>
                <w:spacing w:val="-2"/>
                <w:sz w:val="16"/>
              </w:rPr>
              <w:t>628.949,88</w:t>
            </w:r>
          </w:p>
        </w:tc>
        <w:tc>
          <w:tcPr>
            <w:tcW w:w="941" w:type="dxa"/>
          </w:tcPr>
          <w:p>
            <w:pPr>
              <w:pStyle w:val="TableParagraph"/>
              <w:spacing w:line="180" w:lineRule="exact"/>
              <w:ind w:left="13"/>
              <w:jc w:val="center"/>
              <w:rPr>
                <w:b/>
                <w:sz w:val="16"/>
              </w:rPr>
            </w:pPr>
            <w:r>
              <w:rPr>
                <w:b/>
                <w:spacing w:val="-2"/>
                <w:sz w:val="16"/>
              </w:rPr>
              <w:t>832.637,67</w:t>
            </w:r>
          </w:p>
        </w:tc>
        <w:tc>
          <w:tcPr>
            <w:tcW w:w="1155" w:type="dxa"/>
          </w:tcPr>
          <w:p>
            <w:pPr>
              <w:pStyle w:val="TableParagraph"/>
              <w:spacing w:line="180" w:lineRule="exact"/>
              <w:ind w:right="56"/>
              <w:jc w:val="right"/>
              <w:rPr>
                <w:b/>
                <w:sz w:val="16"/>
              </w:rPr>
            </w:pPr>
            <w:r>
              <w:rPr>
                <w:b/>
                <w:spacing w:val="-2"/>
                <w:sz w:val="16"/>
              </w:rPr>
              <w:t>628.949,88</w:t>
            </w: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69"/>
              <w:rPr>
                <w:sz w:val="16"/>
              </w:rPr>
            </w:pPr>
            <w:r>
              <w:rPr>
                <w:sz w:val="16"/>
              </w:rPr>
              <w:t>Activos</w:t>
            </w:r>
            <w:r>
              <w:rPr>
                <w:spacing w:val="-4"/>
                <w:sz w:val="16"/>
              </w:rPr>
              <w:t> </w:t>
            </w:r>
            <w:r>
              <w:rPr>
                <w:sz w:val="16"/>
              </w:rPr>
              <w:t>financieros</w:t>
            </w:r>
            <w:r>
              <w:rPr>
                <w:spacing w:val="-5"/>
                <w:sz w:val="16"/>
              </w:rPr>
              <w:t> </w:t>
            </w:r>
            <w:r>
              <w:rPr>
                <w:sz w:val="16"/>
              </w:rPr>
              <w:t>a</w:t>
            </w:r>
            <w:r>
              <w:rPr>
                <w:spacing w:val="-5"/>
                <w:sz w:val="16"/>
              </w:rPr>
              <w:t> </w:t>
            </w:r>
            <w:r>
              <w:rPr>
                <w:spacing w:val="-4"/>
                <w:sz w:val="16"/>
              </w:rPr>
              <w:t>coste</w:t>
            </w:r>
          </w:p>
        </w:tc>
        <w:tc>
          <w:tcPr>
            <w:tcW w:w="5312" w:type="dxa"/>
            <w:gridSpan w:val="7"/>
          </w:tcPr>
          <w:p>
            <w:pPr>
              <w:pStyle w:val="TableParagraph"/>
              <w:rPr>
                <w:rFonts w:ascii="Times New Roman"/>
                <w:sz w:val="12"/>
              </w:rPr>
            </w:pPr>
          </w:p>
        </w:tc>
        <w:tc>
          <w:tcPr>
            <w:tcW w:w="1155" w:type="dxa"/>
          </w:tcPr>
          <w:p>
            <w:pPr>
              <w:pStyle w:val="TableParagraph"/>
              <w:rPr>
                <w:rFonts w:ascii="Times New Roman"/>
                <w:sz w:val="12"/>
              </w:rPr>
            </w:pPr>
          </w:p>
        </w:tc>
      </w:tr>
      <w:tr>
        <w:trPr>
          <w:trHeight w:val="369" w:hRule="atLeast"/>
        </w:trPr>
        <w:tc>
          <w:tcPr>
            <w:tcW w:w="336" w:type="dxa"/>
            <w:vMerge/>
            <w:tcBorders>
              <w:top w:val="nil"/>
            </w:tcBorders>
            <w:textDirection w:val="btLr"/>
          </w:tcPr>
          <w:p>
            <w:pPr>
              <w:rPr>
                <w:sz w:val="2"/>
                <w:szCs w:val="2"/>
              </w:rPr>
            </w:pPr>
          </w:p>
        </w:tc>
        <w:tc>
          <w:tcPr>
            <w:tcW w:w="2623" w:type="dxa"/>
          </w:tcPr>
          <w:p>
            <w:pPr>
              <w:pStyle w:val="TableParagraph"/>
              <w:spacing w:line="180" w:lineRule="exact"/>
              <w:ind w:left="69"/>
              <w:rPr>
                <w:sz w:val="16"/>
              </w:rPr>
            </w:pPr>
            <w:r>
              <w:rPr>
                <w:sz w:val="16"/>
              </w:rPr>
              <w:t>Activo</w:t>
            </w:r>
            <w:r>
              <w:rPr>
                <w:spacing w:val="34"/>
                <w:sz w:val="16"/>
              </w:rPr>
              <w:t>  </w:t>
            </w:r>
            <w:r>
              <w:rPr>
                <w:sz w:val="16"/>
              </w:rPr>
              <w:t>a</w:t>
            </w:r>
            <w:r>
              <w:rPr>
                <w:spacing w:val="34"/>
                <w:sz w:val="16"/>
              </w:rPr>
              <w:t>  </w:t>
            </w:r>
            <w:r>
              <w:rPr>
                <w:sz w:val="16"/>
              </w:rPr>
              <w:t>valor</w:t>
            </w:r>
            <w:r>
              <w:rPr>
                <w:spacing w:val="35"/>
                <w:sz w:val="16"/>
              </w:rPr>
              <w:t>  </w:t>
            </w:r>
            <w:r>
              <w:rPr>
                <w:sz w:val="16"/>
              </w:rPr>
              <w:t>razonable</w:t>
            </w:r>
            <w:r>
              <w:rPr>
                <w:spacing w:val="35"/>
                <w:sz w:val="16"/>
              </w:rPr>
              <w:t>  </w:t>
            </w:r>
            <w:r>
              <w:rPr>
                <w:spacing w:val="-5"/>
                <w:sz w:val="16"/>
              </w:rPr>
              <w:t>con</w:t>
            </w:r>
          </w:p>
          <w:p>
            <w:pPr>
              <w:pStyle w:val="TableParagraph"/>
              <w:spacing w:line="168" w:lineRule="exact" w:before="1"/>
              <w:ind w:left="69"/>
              <w:rPr>
                <w:sz w:val="16"/>
              </w:rPr>
            </w:pPr>
            <w:r>
              <w:rPr>
                <w:sz w:val="16"/>
              </w:rPr>
              <w:t>cambios</w:t>
            </w:r>
            <w:r>
              <w:rPr>
                <w:spacing w:val="-4"/>
                <w:sz w:val="16"/>
              </w:rPr>
              <w:t> </w:t>
            </w:r>
            <w:r>
              <w:rPr>
                <w:sz w:val="16"/>
              </w:rPr>
              <w:t>en</w:t>
            </w:r>
            <w:r>
              <w:rPr>
                <w:spacing w:val="-6"/>
                <w:sz w:val="16"/>
              </w:rPr>
              <w:t> </w:t>
            </w:r>
            <w:r>
              <w:rPr>
                <w:sz w:val="16"/>
              </w:rPr>
              <w:t>el</w:t>
            </w:r>
            <w:r>
              <w:rPr>
                <w:spacing w:val="-3"/>
                <w:sz w:val="16"/>
              </w:rPr>
              <w:t> </w:t>
            </w:r>
            <w:r>
              <w:rPr>
                <w:sz w:val="16"/>
              </w:rPr>
              <w:t>patrimonio</w:t>
            </w:r>
            <w:r>
              <w:rPr>
                <w:spacing w:val="-4"/>
                <w:sz w:val="16"/>
              </w:rPr>
              <w:t> neto</w:t>
            </w:r>
          </w:p>
        </w:tc>
        <w:tc>
          <w:tcPr>
            <w:tcW w:w="578" w:type="dxa"/>
          </w:tcPr>
          <w:p>
            <w:pPr>
              <w:pStyle w:val="TableParagraph"/>
              <w:rPr>
                <w:rFonts w:ascii="Times New Roman"/>
                <w:sz w:val="16"/>
              </w:rPr>
            </w:pPr>
          </w:p>
        </w:tc>
        <w:tc>
          <w:tcPr>
            <w:tcW w:w="578" w:type="dxa"/>
          </w:tcPr>
          <w:p>
            <w:pPr>
              <w:pStyle w:val="TableParagraph"/>
              <w:rPr>
                <w:rFonts w:ascii="Times New Roman"/>
                <w:sz w:val="16"/>
              </w:rPr>
            </w:pPr>
          </w:p>
        </w:tc>
        <w:tc>
          <w:tcPr>
            <w:tcW w:w="669" w:type="dxa"/>
          </w:tcPr>
          <w:p>
            <w:pPr>
              <w:pStyle w:val="TableParagraph"/>
              <w:rPr>
                <w:rFonts w:ascii="Times New Roman"/>
                <w:sz w:val="16"/>
              </w:rPr>
            </w:pPr>
          </w:p>
        </w:tc>
        <w:tc>
          <w:tcPr>
            <w:tcW w:w="662" w:type="dxa"/>
          </w:tcPr>
          <w:p>
            <w:pPr>
              <w:pStyle w:val="TableParagraph"/>
              <w:rPr>
                <w:rFonts w:ascii="Times New Roman"/>
                <w:sz w:val="16"/>
              </w:rPr>
            </w:pPr>
          </w:p>
        </w:tc>
        <w:tc>
          <w:tcPr>
            <w:tcW w:w="943" w:type="dxa"/>
          </w:tcPr>
          <w:p>
            <w:pPr>
              <w:pStyle w:val="TableParagraph"/>
              <w:rPr>
                <w:rFonts w:ascii="Times New Roman"/>
                <w:sz w:val="16"/>
              </w:rPr>
            </w:pPr>
          </w:p>
        </w:tc>
        <w:tc>
          <w:tcPr>
            <w:tcW w:w="941" w:type="dxa"/>
          </w:tcPr>
          <w:p>
            <w:pPr>
              <w:pStyle w:val="TableParagraph"/>
              <w:rPr>
                <w:rFonts w:ascii="Times New Roman"/>
                <w:sz w:val="16"/>
              </w:rPr>
            </w:pPr>
          </w:p>
        </w:tc>
        <w:tc>
          <w:tcPr>
            <w:tcW w:w="941" w:type="dxa"/>
          </w:tcPr>
          <w:p>
            <w:pPr>
              <w:pStyle w:val="TableParagraph"/>
              <w:rPr>
                <w:rFonts w:ascii="Times New Roman"/>
                <w:sz w:val="16"/>
              </w:rPr>
            </w:pPr>
          </w:p>
        </w:tc>
        <w:tc>
          <w:tcPr>
            <w:tcW w:w="1155" w:type="dxa"/>
          </w:tcPr>
          <w:p>
            <w:pPr>
              <w:pStyle w:val="TableParagraph"/>
              <w:rPr>
                <w:rFonts w:ascii="Times New Roman"/>
                <w:sz w:val="16"/>
              </w:rPr>
            </w:pP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69"/>
              <w:rPr>
                <w:sz w:val="16"/>
              </w:rPr>
            </w:pPr>
            <w:r>
              <w:rPr>
                <w:sz w:val="16"/>
              </w:rPr>
              <w:t>Derivados</w:t>
            </w:r>
            <w:r>
              <w:rPr>
                <w:spacing w:val="-4"/>
                <w:sz w:val="16"/>
              </w:rPr>
              <w:t> </w:t>
            </w:r>
            <w:r>
              <w:rPr>
                <w:sz w:val="16"/>
              </w:rPr>
              <w:t>de</w:t>
            </w:r>
            <w:r>
              <w:rPr>
                <w:spacing w:val="-4"/>
                <w:sz w:val="16"/>
              </w:rPr>
              <w:t> </w:t>
            </w:r>
            <w:r>
              <w:rPr>
                <w:spacing w:val="-2"/>
                <w:sz w:val="16"/>
              </w:rPr>
              <w:t>cobertura</w:t>
            </w:r>
          </w:p>
        </w:tc>
        <w:tc>
          <w:tcPr>
            <w:tcW w:w="578" w:type="dxa"/>
          </w:tcPr>
          <w:p>
            <w:pPr>
              <w:pStyle w:val="TableParagraph"/>
              <w:rPr>
                <w:rFonts w:ascii="Times New Roman"/>
                <w:sz w:val="12"/>
              </w:rPr>
            </w:pPr>
          </w:p>
        </w:tc>
        <w:tc>
          <w:tcPr>
            <w:tcW w:w="578" w:type="dxa"/>
          </w:tcPr>
          <w:p>
            <w:pPr>
              <w:pStyle w:val="TableParagraph"/>
              <w:rPr>
                <w:rFonts w:ascii="Times New Roman"/>
                <w:sz w:val="12"/>
              </w:rPr>
            </w:pPr>
          </w:p>
        </w:tc>
        <w:tc>
          <w:tcPr>
            <w:tcW w:w="669" w:type="dxa"/>
          </w:tcPr>
          <w:p>
            <w:pPr>
              <w:pStyle w:val="TableParagraph"/>
              <w:rPr>
                <w:rFonts w:ascii="Times New Roman"/>
                <w:sz w:val="12"/>
              </w:rPr>
            </w:pPr>
          </w:p>
        </w:tc>
        <w:tc>
          <w:tcPr>
            <w:tcW w:w="662" w:type="dxa"/>
          </w:tcPr>
          <w:p>
            <w:pPr>
              <w:pStyle w:val="TableParagraph"/>
              <w:rPr>
                <w:rFonts w:ascii="Times New Roman"/>
                <w:sz w:val="12"/>
              </w:rPr>
            </w:pPr>
          </w:p>
        </w:tc>
        <w:tc>
          <w:tcPr>
            <w:tcW w:w="943" w:type="dxa"/>
          </w:tcPr>
          <w:p>
            <w:pPr>
              <w:pStyle w:val="TableParagraph"/>
              <w:rPr>
                <w:rFonts w:ascii="Times New Roman"/>
                <w:sz w:val="12"/>
              </w:rPr>
            </w:pPr>
          </w:p>
        </w:tc>
        <w:tc>
          <w:tcPr>
            <w:tcW w:w="941" w:type="dxa"/>
          </w:tcPr>
          <w:p>
            <w:pPr>
              <w:pStyle w:val="TableParagraph"/>
              <w:rPr>
                <w:rFonts w:ascii="Times New Roman"/>
                <w:sz w:val="12"/>
              </w:rPr>
            </w:pPr>
          </w:p>
        </w:tc>
        <w:tc>
          <w:tcPr>
            <w:tcW w:w="941" w:type="dxa"/>
          </w:tcPr>
          <w:p>
            <w:pPr>
              <w:pStyle w:val="TableParagraph"/>
              <w:rPr>
                <w:rFonts w:ascii="Times New Roman"/>
                <w:sz w:val="12"/>
              </w:rPr>
            </w:pPr>
          </w:p>
        </w:tc>
        <w:tc>
          <w:tcPr>
            <w:tcW w:w="1155" w:type="dxa"/>
          </w:tcPr>
          <w:p>
            <w:pPr>
              <w:pStyle w:val="TableParagraph"/>
              <w:rPr>
                <w:rFonts w:ascii="Times New Roman"/>
                <w:sz w:val="12"/>
              </w:rPr>
            </w:pPr>
          </w:p>
        </w:tc>
      </w:tr>
      <w:tr>
        <w:trPr>
          <w:trHeight w:val="186" w:hRule="atLeast"/>
        </w:trPr>
        <w:tc>
          <w:tcPr>
            <w:tcW w:w="336" w:type="dxa"/>
            <w:vMerge/>
            <w:tcBorders>
              <w:top w:val="nil"/>
            </w:tcBorders>
            <w:textDirection w:val="btLr"/>
          </w:tcPr>
          <w:p>
            <w:pPr>
              <w:rPr>
                <w:sz w:val="2"/>
                <w:szCs w:val="2"/>
              </w:rPr>
            </w:pPr>
          </w:p>
        </w:tc>
        <w:tc>
          <w:tcPr>
            <w:tcW w:w="2623" w:type="dxa"/>
          </w:tcPr>
          <w:p>
            <w:pPr>
              <w:pStyle w:val="TableParagraph"/>
              <w:spacing w:line="167" w:lineRule="exact"/>
              <w:ind w:left="5"/>
              <w:jc w:val="center"/>
              <w:rPr>
                <w:b/>
                <w:sz w:val="16"/>
              </w:rPr>
            </w:pPr>
            <w:r>
              <w:rPr>
                <w:b/>
                <w:spacing w:val="-2"/>
                <w:sz w:val="16"/>
              </w:rPr>
              <w:t>TOTAL</w:t>
            </w:r>
          </w:p>
        </w:tc>
        <w:tc>
          <w:tcPr>
            <w:tcW w:w="578" w:type="dxa"/>
          </w:tcPr>
          <w:p>
            <w:pPr>
              <w:pStyle w:val="TableParagraph"/>
              <w:rPr>
                <w:rFonts w:ascii="Times New Roman"/>
                <w:sz w:val="12"/>
              </w:rPr>
            </w:pPr>
          </w:p>
        </w:tc>
        <w:tc>
          <w:tcPr>
            <w:tcW w:w="578" w:type="dxa"/>
          </w:tcPr>
          <w:p>
            <w:pPr>
              <w:pStyle w:val="TableParagraph"/>
              <w:rPr>
                <w:rFonts w:ascii="Times New Roman"/>
                <w:sz w:val="12"/>
              </w:rPr>
            </w:pPr>
          </w:p>
        </w:tc>
        <w:tc>
          <w:tcPr>
            <w:tcW w:w="669" w:type="dxa"/>
          </w:tcPr>
          <w:p>
            <w:pPr>
              <w:pStyle w:val="TableParagraph"/>
              <w:rPr>
                <w:rFonts w:ascii="Times New Roman"/>
                <w:sz w:val="12"/>
              </w:rPr>
            </w:pPr>
          </w:p>
        </w:tc>
        <w:tc>
          <w:tcPr>
            <w:tcW w:w="662" w:type="dxa"/>
          </w:tcPr>
          <w:p>
            <w:pPr>
              <w:pStyle w:val="TableParagraph"/>
              <w:rPr>
                <w:rFonts w:ascii="Times New Roman"/>
                <w:sz w:val="12"/>
              </w:rPr>
            </w:pPr>
          </w:p>
        </w:tc>
        <w:tc>
          <w:tcPr>
            <w:tcW w:w="943" w:type="dxa"/>
          </w:tcPr>
          <w:p>
            <w:pPr>
              <w:pStyle w:val="TableParagraph"/>
              <w:spacing w:line="167" w:lineRule="exact"/>
              <w:ind w:left="11"/>
              <w:jc w:val="center"/>
              <w:rPr>
                <w:b/>
                <w:sz w:val="16"/>
              </w:rPr>
            </w:pPr>
            <w:r>
              <w:rPr>
                <w:b/>
                <w:spacing w:val="-2"/>
                <w:sz w:val="16"/>
              </w:rPr>
              <w:t>832.637,67</w:t>
            </w:r>
          </w:p>
        </w:tc>
        <w:tc>
          <w:tcPr>
            <w:tcW w:w="941" w:type="dxa"/>
          </w:tcPr>
          <w:p>
            <w:pPr>
              <w:pStyle w:val="TableParagraph"/>
              <w:spacing w:line="167" w:lineRule="exact"/>
              <w:ind w:left="13" w:right="5"/>
              <w:jc w:val="center"/>
              <w:rPr>
                <w:b/>
                <w:sz w:val="16"/>
              </w:rPr>
            </w:pPr>
            <w:r>
              <w:rPr>
                <w:b/>
                <w:spacing w:val="-2"/>
                <w:sz w:val="16"/>
              </w:rPr>
              <w:t>628.949,88</w:t>
            </w:r>
          </w:p>
        </w:tc>
        <w:tc>
          <w:tcPr>
            <w:tcW w:w="941" w:type="dxa"/>
          </w:tcPr>
          <w:p>
            <w:pPr>
              <w:pStyle w:val="TableParagraph"/>
              <w:spacing w:line="167" w:lineRule="exact"/>
              <w:ind w:left="13"/>
              <w:jc w:val="center"/>
              <w:rPr>
                <w:b/>
                <w:sz w:val="16"/>
              </w:rPr>
            </w:pPr>
            <w:r>
              <w:rPr>
                <w:b/>
                <w:spacing w:val="-2"/>
                <w:sz w:val="16"/>
              </w:rPr>
              <w:t>832.637,67</w:t>
            </w:r>
          </w:p>
        </w:tc>
        <w:tc>
          <w:tcPr>
            <w:tcW w:w="1155" w:type="dxa"/>
          </w:tcPr>
          <w:p>
            <w:pPr>
              <w:pStyle w:val="TableParagraph"/>
              <w:spacing w:line="167" w:lineRule="exact"/>
              <w:ind w:right="56"/>
              <w:jc w:val="right"/>
              <w:rPr>
                <w:b/>
                <w:sz w:val="16"/>
              </w:rPr>
            </w:pPr>
            <w:r>
              <w:rPr>
                <w:b/>
                <w:spacing w:val="-2"/>
                <w:sz w:val="16"/>
              </w:rPr>
              <w:t>628.949,88</w:t>
            </w:r>
          </w:p>
        </w:tc>
      </w:tr>
    </w:tbl>
    <w:p>
      <w:pPr>
        <w:pStyle w:val="BodyText"/>
        <w:spacing w:before="4"/>
      </w:pPr>
    </w:p>
    <w:p>
      <w:pPr>
        <w:pStyle w:val="BodyText"/>
        <w:ind w:left="1908" w:right="1340"/>
        <w:jc w:val="both"/>
      </w:pPr>
      <w:r>
        <w:rPr/>
        <w:t>La información de los instrumentos financieros del activo del balance de la Sociedad a corto plazo, sin considerar el efectivo y otros activos equivalente, clasificados por categorías, es la que se muestra a continuación:</w:t>
      </w:r>
    </w:p>
    <w:p>
      <w:pPr>
        <w:pStyle w:val="BodyText"/>
        <w:spacing w:before="2"/>
      </w:pPr>
    </w:p>
    <w:tbl>
      <w:tblPr>
        <w:tblW w:w="0" w:type="auto"/>
        <w:jc w:val="left"/>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
        <w:gridCol w:w="1949"/>
        <w:gridCol w:w="579"/>
        <w:gridCol w:w="577"/>
        <w:gridCol w:w="668"/>
        <w:gridCol w:w="666"/>
        <w:gridCol w:w="1165"/>
        <w:gridCol w:w="1165"/>
        <w:gridCol w:w="1165"/>
        <w:gridCol w:w="1165"/>
      </w:tblGrid>
      <w:tr>
        <w:trPr>
          <w:trHeight w:val="299" w:hRule="atLeast"/>
        </w:trPr>
        <w:tc>
          <w:tcPr>
            <w:tcW w:w="2285" w:type="dxa"/>
            <w:gridSpan w:val="2"/>
            <w:vMerge w:val="restart"/>
            <w:tcBorders>
              <w:top w:val="nil"/>
              <w:left w:val="nil"/>
            </w:tcBorders>
          </w:tcPr>
          <w:p>
            <w:pPr>
              <w:pStyle w:val="TableParagraph"/>
              <w:rPr>
                <w:rFonts w:ascii="Times New Roman"/>
                <w:sz w:val="16"/>
              </w:rPr>
            </w:pPr>
          </w:p>
        </w:tc>
        <w:tc>
          <w:tcPr>
            <w:tcW w:w="7150" w:type="dxa"/>
            <w:gridSpan w:val="8"/>
          </w:tcPr>
          <w:p>
            <w:pPr>
              <w:pStyle w:val="TableParagraph"/>
              <w:spacing w:line="178" w:lineRule="exact"/>
              <w:jc w:val="center"/>
              <w:rPr>
                <w:b/>
                <w:sz w:val="16"/>
              </w:rPr>
            </w:pPr>
            <w:r>
              <w:rPr>
                <w:b/>
                <w:spacing w:val="-2"/>
                <w:sz w:val="16"/>
              </w:rPr>
              <w:t>CLASES</w:t>
            </w:r>
          </w:p>
        </w:tc>
      </w:tr>
      <w:tr>
        <w:trPr>
          <w:trHeight w:val="551" w:hRule="atLeast"/>
        </w:trPr>
        <w:tc>
          <w:tcPr>
            <w:tcW w:w="2285" w:type="dxa"/>
            <w:gridSpan w:val="2"/>
            <w:vMerge/>
            <w:tcBorders>
              <w:top w:val="nil"/>
              <w:left w:val="nil"/>
            </w:tcBorders>
          </w:tcPr>
          <w:p>
            <w:pPr>
              <w:rPr>
                <w:sz w:val="2"/>
                <w:szCs w:val="2"/>
              </w:rPr>
            </w:pPr>
          </w:p>
        </w:tc>
        <w:tc>
          <w:tcPr>
            <w:tcW w:w="1156" w:type="dxa"/>
            <w:gridSpan w:val="2"/>
          </w:tcPr>
          <w:p>
            <w:pPr>
              <w:pStyle w:val="TableParagraph"/>
              <w:ind w:left="482" w:hanging="413"/>
              <w:rPr>
                <w:b/>
                <w:sz w:val="16"/>
              </w:rPr>
            </w:pPr>
            <w:r>
              <w:rPr>
                <w:b/>
                <w:spacing w:val="-2"/>
                <w:sz w:val="16"/>
              </w:rPr>
              <w:t>Instrumentos </w:t>
            </w:r>
            <w:r>
              <w:rPr>
                <w:b/>
                <w:spacing w:val="-6"/>
                <w:sz w:val="16"/>
              </w:rPr>
              <w:t>de</w:t>
            </w:r>
          </w:p>
          <w:p>
            <w:pPr>
              <w:pStyle w:val="TableParagraph"/>
              <w:spacing w:line="168" w:lineRule="exact"/>
              <w:ind w:left="162"/>
              <w:rPr>
                <w:b/>
                <w:sz w:val="16"/>
              </w:rPr>
            </w:pPr>
            <w:r>
              <w:rPr>
                <w:b/>
                <w:spacing w:val="-2"/>
                <w:sz w:val="16"/>
              </w:rPr>
              <w:t>patrimonio</w:t>
            </w:r>
          </w:p>
        </w:tc>
        <w:tc>
          <w:tcPr>
            <w:tcW w:w="1334" w:type="dxa"/>
            <w:gridSpan w:val="2"/>
          </w:tcPr>
          <w:p>
            <w:pPr>
              <w:pStyle w:val="TableParagraph"/>
              <w:ind w:left="67" w:firstLine="307"/>
              <w:rPr>
                <w:b/>
                <w:sz w:val="16"/>
              </w:rPr>
            </w:pPr>
            <w:r>
              <w:rPr>
                <w:b/>
                <w:spacing w:val="-2"/>
                <w:sz w:val="16"/>
              </w:rPr>
              <w:t>Valores representativos</w:t>
            </w:r>
          </w:p>
          <w:p>
            <w:pPr>
              <w:pStyle w:val="TableParagraph"/>
              <w:spacing w:line="168" w:lineRule="exact"/>
              <w:ind w:left="312"/>
              <w:rPr>
                <w:b/>
                <w:sz w:val="16"/>
              </w:rPr>
            </w:pPr>
            <w:r>
              <w:rPr>
                <w:b/>
                <w:sz w:val="16"/>
              </w:rPr>
              <w:t>de</w:t>
            </w:r>
            <w:r>
              <w:rPr>
                <w:b/>
                <w:spacing w:val="1"/>
                <w:sz w:val="16"/>
              </w:rPr>
              <w:t> </w:t>
            </w:r>
            <w:r>
              <w:rPr>
                <w:b/>
                <w:spacing w:val="-2"/>
                <w:sz w:val="16"/>
              </w:rPr>
              <w:t>deuda</w:t>
            </w:r>
          </w:p>
        </w:tc>
        <w:tc>
          <w:tcPr>
            <w:tcW w:w="2330" w:type="dxa"/>
            <w:gridSpan w:val="2"/>
          </w:tcPr>
          <w:p>
            <w:pPr>
              <w:pStyle w:val="TableParagraph"/>
              <w:spacing w:before="178"/>
              <w:ind w:left="190"/>
              <w:rPr>
                <w:b/>
                <w:sz w:val="16"/>
              </w:rPr>
            </w:pPr>
            <w:r>
              <w:rPr>
                <w:b/>
                <w:sz w:val="16"/>
              </w:rPr>
              <w:t>Créditos</w:t>
            </w:r>
            <w:r>
              <w:rPr>
                <w:b/>
                <w:spacing w:val="-8"/>
                <w:sz w:val="16"/>
              </w:rPr>
              <w:t> </w:t>
            </w:r>
            <w:r>
              <w:rPr>
                <w:b/>
                <w:sz w:val="16"/>
              </w:rPr>
              <w:t>Derivados</w:t>
            </w:r>
            <w:r>
              <w:rPr>
                <w:b/>
                <w:spacing w:val="-6"/>
                <w:sz w:val="16"/>
              </w:rPr>
              <w:t> </w:t>
            </w:r>
            <w:r>
              <w:rPr>
                <w:b/>
                <w:spacing w:val="-2"/>
                <w:sz w:val="16"/>
              </w:rPr>
              <w:t>Otros</w:t>
            </w:r>
          </w:p>
        </w:tc>
        <w:tc>
          <w:tcPr>
            <w:tcW w:w="2330" w:type="dxa"/>
            <w:gridSpan w:val="2"/>
          </w:tcPr>
          <w:p>
            <w:pPr>
              <w:pStyle w:val="TableParagraph"/>
              <w:spacing w:before="178"/>
              <w:ind w:right="3"/>
              <w:jc w:val="center"/>
              <w:rPr>
                <w:b/>
                <w:sz w:val="16"/>
              </w:rPr>
            </w:pPr>
            <w:r>
              <w:rPr>
                <w:b/>
                <w:spacing w:val="-2"/>
                <w:sz w:val="16"/>
              </w:rPr>
              <w:t>TOTAL</w:t>
            </w:r>
          </w:p>
        </w:tc>
      </w:tr>
      <w:tr>
        <w:trPr>
          <w:trHeight w:val="299" w:hRule="atLeast"/>
        </w:trPr>
        <w:tc>
          <w:tcPr>
            <w:tcW w:w="2285" w:type="dxa"/>
            <w:gridSpan w:val="2"/>
            <w:vMerge/>
            <w:tcBorders>
              <w:top w:val="nil"/>
              <w:left w:val="nil"/>
            </w:tcBorders>
          </w:tcPr>
          <w:p>
            <w:pPr>
              <w:rPr>
                <w:sz w:val="2"/>
                <w:szCs w:val="2"/>
              </w:rPr>
            </w:pPr>
          </w:p>
        </w:tc>
        <w:tc>
          <w:tcPr>
            <w:tcW w:w="579" w:type="dxa"/>
          </w:tcPr>
          <w:p>
            <w:pPr>
              <w:pStyle w:val="TableParagraph"/>
              <w:spacing w:before="53"/>
              <w:ind w:left="110"/>
              <w:rPr>
                <w:b/>
                <w:sz w:val="16"/>
              </w:rPr>
            </w:pPr>
            <w:r>
              <w:rPr>
                <w:b/>
                <w:spacing w:val="-4"/>
                <w:sz w:val="16"/>
              </w:rPr>
              <w:t>2025</w:t>
            </w:r>
          </w:p>
        </w:tc>
        <w:tc>
          <w:tcPr>
            <w:tcW w:w="577" w:type="dxa"/>
          </w:tcPr>
          <w:p>
            <w:pPr>
              <w:pStyle w:val="TableParagraph"/>
              <w:spacing w:before="53"/>
              <w:ind w:left="107"/>
              <w:rPr>
                <w:b/>
                <w:sz w:val="16"/>
              </w:rPr>
            </w:pPr>
            <w:r>
              <w:rPr>
                <w:b/>
                <w:spacing w:val="-4"/>
                <w:sz w:val="16"/>
              </w:rPr>
              <w:t>2024</w:t>
            </w:r>
          </w:p>
        </w:tc>
        <w:tc>
          <w:tcPr>
            <w:tcW w:w="668" w:type="dxa"/>
          </w:tcPr>
          <w:p>
            <w:pPr>
              <w:pStyle w:val="TableParagraph"/>
              <w:spacing w:before="53"/>
              <w:ind w:left="154"/>
              <w:rPr>
                <w:b/>
                <w:sz w:val="16"/>
              </w:rPr>
            </w:pPr>
            <w:r>
              <w:rPr>
                <w:b/>
                <w:spacing w:val="-4"/>
                <w:sz w:val="16"/>
              </w:rPr>
              <w:t>2025</w:t>
            </w:r>
          </w:p>
        </w:tc>
        <w:tc>
          <w:tcPr>
            <w:tcW w:w="666" w:type="dxa"/>
          </w:tcPr>
          <w:p>
            <w:pPr>
              <w:pStyle w:val="TableParagraph"/>
              <w:spacing w:before="53"/>
              <w:ind w:left="149"/>
              <w:rPr>
                <w:b/>
                <w:sz w:val="16"/>
              </w:rPr>
            </w:pPr>
            <w:r>
              <w:rPr>
                <w:b/>
                <w:spacing w:val="-4"/>
                <w:sz w:val="16"/>
              </w:rPr>
              <w:t>2024</w:t>
            </w:r>
          </w:p>
        </w:tc>
        <w:tc>
          <w:tcPr>
            <w:tcW w:w="1165" w:type="dxa"/>
          </w:tcPr>
          <w:p>
            <w:pPr>
              <w:pStyle w:val="TableParagraph"/>
              <w:spacing w:before="53"/>
              <w:ind w:left="6" w:right="6"/>
              <w:jc w:val="center"/>
              <w:rPr>
                <w:b/>
                <w:sz w:val="16"/>
              </w:rPr>
            </w:pPr>
            <w:r>
              <w:rPr>
                <w:b/>
                <w:spacing w:val="-4"/>
                <w:sz w:val="16"/>
              </w:rPr>
              <w:t>2025</w:t>
            </w:r>
          </w:p>
        </w:tc>
        <w:tc>
          <w:tcPr>
            <w:tcW w:w="1165" w:type="dxa"/>
          </w:tcPr>
          <w:p>
            <w:pPr>
              <w:pStyle w:val="TableParagraph"/>
              <w:spacing w:before="53"/>
              <w:ind w:left="6" w:right="7"/>
              <w:jc w:val="center"/>
              <w:rPr>
                <w:b/>
                <w:sz w:val="16"/>
              </w:rPr>
            </w:pPr>
            <w:r>
              <w:rPr>
                <w:b/>
                <w:spacing w:val="-4"/>
                <w:sz w:val="16"/>
              </w:rPr>
              <w:t>2024</w:t>
            </w:r>
          </w:p>
        </w:tc>
        <w:tc>
          <w:tcPr>
            <w:tcW w:w="1165" w:type="dxa"/>
          </w:tcPr>
          <w:p>
            <w:pPr>
              <w:pStyle w:val="TableParagraph"/>
              <w:spacing w:before="53"/>
              <w:ind w:left="6" w:right="10"/>
              <w:jc w:val="center"/>
              <w:rPr>
                <w:b/>
                <w:sz w:val="16"/>
              </w:rPr>
            </w:pPr>
            <w:r>
              <w:rPr>
                <w:b/>
                <w:spacing w:val="-4"/>
                <w:sz w:val="16"/>
              </w:rPr>
              <w:t>2025</w:t>
            </w:r>
          </w:p>
        </w:tc>
        <w:tc>
          <w:tcPr>
            <w:tcW w:w="1165" w:type="dxa"/>
          </w:tcPr>
          <w:p>
            <w:pPr>
              <w:pStyle w:val="TableParagraph"/>
              <w:spacing w:before="53"/>
              <w:ind w:left="6" w:right="11"/>
              <w:jc w:val="center"/>
              <w:rPr>
                <w:b/>
                <w:sz w:val="16"/>
              </w:rPr>
            </w:pPr>
            <w:r>
              <w:rPr>
                <w:b/>
                <w:spacing w:val="-4"/>
                <w:sz w:val="16"/>
              </w:rPr>
              <w:t>2024</w:t>
            </w:r>
          </w:p>
        </w:tc>
      </w:tr>
      <w:tr>
        <w:trPr>
          <w:trHeight w:val="554" w:hRule="atLeast"/>
        </w:trPr>
        <w:tc>
          <w:tcPr>
            <w:tcW w:w="336" w:type="dxa"/>
            <w:vMerge w:val="restart"/>
            <w:textDirection w:val="btLr"/>
          </w:tcPr>
          <w:p>
            <w:pPr>
              <w:pStyle w:val="TableParagraph"/>
              <w:spacing w:before="73"/>
              <w:ind w:left="1029"/>
              <w:rPr>
                <w:b/>
                <w:sz w:val="16"/>
              </w:rPr>
            </w:pPr>
            <w:r>
              <w:rPr>
                <w:b/>
                <w:spacing w:val="-2"/>
                <w:sz w:val="16"/>
              </w:rPr>
              <w:t>CATEGORÍAS</w:t>
            </w:r>
          </w:p>
        </w:tc>
        <w:tc>
          <w:tcPr>
            <w:tcW w:w="1949" w:type="dxa"/>
          </w:tcPr>
          <w:p>
            <w:pPr>
              <w:pStyle w:val="TableParagraph"/>
              <w:ind w:left="69"/>
              <w:rPr>
                <w:sz w:val="16"/>
              </w:rPr>
            </w:pPr>
            <w:r>
              <w:rPr>
                <w:sz w:val="16"/>
              </w:rPr>
              <w:t>Activos</w:t>
            </w:r>
            <w:r>
              <w:rPr>
                <w:spacing w:val="-12"/>
                <w:sz w:val="16"/>
              </w:rPr>
              <w:t> </w:t>
            </w:r>
            <w:r>
              <w:rPr>
                <w:sz w:val="16"/>
              </w:rPr>
              <w:t>a</w:t>
            </w:r>
            <w:r>
              <w:rPr>
                <w:spacing w:val="-11"/>
                <w:sz w:val="16"/>
              </w:rPr>
              <w:t> </w:t>
            </w:r>
            <w:r>
              <w:rPr>
                <w:sz w:val="16"/>
              </w:rPr>
              <w:t>valor</w:t>
            </w:r>
            <w:r>
              <w:rPr>
                <w:spacing w:val="-11"/>
                <w:sz w:val="16"/>
              </w:rPr>
              <w:t> </w:t>
            </w:r>
            <w:r>
              <w:rPr>
                <w:sz w:val="16"/>
              </w:rPr>
              <w:t>razonable con</w:t>
            </w:r>
            <w:r>
              <w:rPr>
                <w:spacing w:val="-5"/>
                <w:sz w:val="16"/>
              </w:rPr>
              <w:t> </w:t>
            </w:r>
            <w:r>
              <w:rPr>
                <w:sz w:val="16"/>
              </w:rPr>
              <w:t>cambios</w:t>
            </w:r>
            <w:r>
              <w:rPr>
                <w:spacing w:val="-1"/>
                <w:sz w:val="16"/>
              </w:rPr>
              <w:t> </w:t>
            </w:r>
            <w:r>
              <w:rPr>
                <w:sz w:val="16"/>
              </w:rPr>
              <w:t>en</w:t>
            </w:r>
            <w:r>
              <w:rPr>
                <w:spacing w:val="-4"/>
                <w:sz w:val="16"/>
              </w:rPr>
              <w:t> </w:t>
            </w:r>
            <w:r>
              <w:rPr>
                <w:spacing w:val="-2"/>
                <w:sz w:val="16"/>
              </w:rPr>
              <w:t>pérdidas</w:t>
            </w:r>
          </w:p>
          <w:p>
            <w:pPr>
              <w:pStyle w:val="TableParagraph"/>
              <w:spacing w:line="168" w:lineRule="exact"/>
              <w:ind w:left="69"/>
              <w:rPr>
                <w:sz w:val="16"/>
              </w:rPr>
            </w:pPr>
            <w:r>
              <w:rPr>
                <w:sz w:val="16"/>
              </w:rPr>
              <w:t>y</w:t>
            </w:r>
            <w:r>
              <w:rPr>
                <w:spacing w:val="-3"/>
                <w:sz w:val="16"/>
              </w:rPr>
              <w:t> </w:t>
            </w:r>
            <w:r>
              <w:rPr>
                <w:sz w:val="16"/>
              </w:rPr>
              <w:t>ganancias,</w:t>
            </w:r>
            <w:r>
              <w:rPr>
                <w:spacing w:val="-2"/>
                <w:sz w:val="16"/>
              </w:rPr>
              <w:t> </w:t>
            </w:r>
            <w:r>
              <w:rPr>
                <w:sz w:val="16"/>
              </w:rPr>
              <w:t>del</w:t>
            </w:r>
            <w:r>
              <w:rPr>
                <w:spacing w:val="-2"/>
                <w:sz w:val="16"/>
              </w:rPr>
              <w:t> cual:</w:t>
            </w:r>
          </w:p>
        </w:tc>
        <w:tc>
          <w:tcPr>
            <w:tcW w:w="7150" w:type="dxa"/>
            <w:gridSpan w:val="8"/>
          </w:tcPr>
          <w:p>
            <w:pPr>
              <w:pStyle w:val="TableParagraph"/>
              <w:rPr>
                <w:rFonts w:ascii="Times New Roman"/>
                <w:sz w:val="16"/>
              </w:rPr>
            </w:pPr>
          </w:p>
        </w:tc>
      </w:tr>
      <w:tr>
        <w:trPr>
          <w:trHeight w:val="366" w:hRule="atLeast"/>
        </w:trPr>
        <w:tc>
          <w:tcPr>
            <w:tcW w:w="336" w:type="dxa"/>
            <w:vMerge/>
            <w:tcBorders>
              <w:top w:val="nil"/>
            </w:tcBorders>
            <w:textDirection w:val="btLr"/>
          </w:tcPr>
          <w:p>
            <w:pPr>
              <w:rPr>
                <w:sz w:val="2"/>
                <w:szCs w:val="2"/>
              </w:rPr>
            </w:pPr>
          </w:p>
        </w:tc>
        <w:tc>
          <w:tcPr>
            <w:tcW w:w="1949" w:type="dxa"/>
          </w:tcPr>
          <w:p>
            <w:pPr>
              <w:pStyle w:val="TableParagraph"/>
              <w:spacing w:line="182" w:lineRule="exact"/>
              <w:ind w:left="69" w:right="120"/>
              <w:rPr>
                <w:sz w:val="16"/>
              </w:rPr>
            </w:pPr>
            <w:r>
              <w:rPr>
                <w:sz w:val="16"/>
              </w:rPr>
              <w:t>—</w:t>
            </w:r>
            <w:r>
              <w:rPr>
                <w:spacing w:val="-12"/>
                <w:sz w:val="16"/>
              </w:rPr>
              <w:t> </w:t>
            </w:r>
            <w:r>
              <w:rPr>
                <w:sz w:val="16"/>
              </w:rPr>
              <w:t>Cartera</w:t>
            </w:r>
            <w:r>
              <w:rPr>
                <w:spacing w:val="-11"/>
                <w:sz w:val="16"/>
              </w:rPr>
              <w:t> </w:t>
            </w:r>
            <w:r>
              <w:rPr>
                <w:sz w:val="16"/>
              </w:rPr>
              <w:t>d</w:t>
            </w:r>
            <w:r>
              <w:rPr>
                <w:sz w:val="16"/>
              </w:rPr>
              <w:t>e </w:t>
            </w:r>
            <w:r>
              <w:rPr>
                <w:spacing w:val="-2"/>
                <w:sz w:val="16"/>
              </w:rPr>
              <w:t>negociación</w:t>
            </w:r>
          </w:p>
        </w:tc>
        <w:tc>
          <w:tcPr>
            <w:tcW w:w="579" w:type="dxa"/>
          </w:tcPr>
          <w:p>
            <w:pPr>
              <w:pStyle w:val="TableParagraph"/>
              <w:rPr>
                <w:rFonts w:ascii="Times New Roman"/>
                <w:sz w:val="16"/>
              </w:rPr>
            </w:pPr>
          </w:p>
        </w:tc>
        <w:tc>
          <w:tcPr>
            <w:tcW w:w="577" w:type="dxa"/>
          </w:tcPr>
          <w:p>
            <w:pPr>
              <w:pStyle w:val="TableParagraph"/>
              <w:rPr>
                <w:rFonts w:ascii="Times New Roman"/>
                <w:sz w:val="16"/>
              </w:rPr>
            </w:pPr>
          </w:p>
        </w:tc>
        <w:tc>
          <w:tcPr>
            <w:tcW w:w="668" w:type="dxa"/>
          </w:tcPr>
          <w:p>
            <w:pPr>
              <w:pStyle w:val="TableParagraph"/>
              <w:rPr>
                <w:rFonts w:ascii="Times New Roman"/>
                <w:sz w:val="16"/>
              </w:rPr>
            </w:pPr>
          </w:p>
        </w:tc>
        <w:tc>
          <w:tcPr>
            <w:tcW w:w="666"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r>
      <w:tr>
        <w:trPr>
          <w:trHeight w:val="210" w:hRule="atLeast"/>
        </w:trPr>
        <w:tc>
          <w:tcPr>
            <w:tcW w:w="336" w:type="dxa"/>
            <w:vMerge/>
            <w:tcBorders>
              <w:top w:val="nil"/>
            </w:tcBorders>
            <w:textDirection w:val="btLr"/>
          </w:tcPr>
          <w:p>
            <w:pPr>
              <w:rPr>
                <w:sz w:val="2"/>
                <w:szCs w:val="2"/>
              </w:rPr>
            </w:pPr>
          </w:p>
        </w:tc>
        <w:tc>
          <w:tcPr>
            <w:tcW w:w="1949" w:type="dxa"/>
          </w:tcPr>
          <w:p>
            <w:pPr>
              <w:pStyle w:val="TableParagraph"/>
              <w:spacing w:line="180" w:lineRule="exact"/>
              <w:ind w:left="69"/>
              <w:rPr>
                <w:sz w:val="16"/>
              </w:rPr>
            </w:pPr>
            <w:r>
              <w:rPr>
                <w:sz w:val="16"/>
              </w:rPr>
              <w:t>—</w:t>
            </w:r>
            <w:r>
              <w:rPr>
                <w:spacing w:val="-2"/>
                <w:sz w:val="16"/>
              </w:rPr>
              <w:t> Designados</w:t>
            </w:r>
          </w:p>
        </w:tc>
        <w:tc>
          <w:tcPr>
            <w:tcW w:w="579" w:type="dxa"/>
          </w:tcPr>
          <w:p>
            <w:pPr>
              <w:pStyle w:val="TableParagraph"/>
              <w:rPr>
                <w:rFonts w:ascii="Times New Roman"/>
                <w:sz w:val="14"/>
              </w:rPr>
            </w:pPr>
          </w:p>
        </w:tc>
        <w:tc>
          <w:tcPr>
            <w:tcW w:w="577" w:type="dxa"/>
          </w:tcPr>
          <w:p>
            <w:pPr>
              <w:pStyle w:val="TableParagraph"/>
              <w:rPr>
                <w:rFonts w:ascii="Times New Roman"/>
                <w:sz w:val="14"/>
              </w:rPr>
            </w:pPr>
          </w:p>
        </w:tc>
        <w:tc>
          <w:tcPr>
            <w:tcW w:w="668" w:type="dxa"/>
          </w:tcPr>
          <w:p>
            <w:pPr>
              <w:pStyle w:val="TableParagraph"/>
              <w:rPr>
                <w:rFonts w:ascii="Times New Roman"/>
                <w:sz w:val="14"/>
              </w:rPr>
            </w:pPr>
          </w:p>
        </w:tc>
        <w:tc>
          <w:tcPr>
            <w:tcW w:w="666"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r>
      <w:tr>
        <w:trPr>
          <w:trHeight w:val="208" w:hRule="atLeast"/>
        </w:trPr>
        <w:tc>
          <w:tcPr>
            <w:tcW w:w="336" w:type="dxa"/>
            <w:vMerge/>
            <w:tcBorders>
              <w:top w:val="nil"/>
            </w:tcBorders>
            <w:textDirection w:val="btLr"/>
          </w:tcPr>
          <w:p>
            <w:pPr>
              <w:rPr>
                <w:sz w:val="2"/>
                <w:szCs w:val="2"/>
              </w:rPr>
            </w:pPr>
          </w:p>
        </w:tc>
        <w:tc>
          <w:tcPr>
            <w:tcW w:w="1949" w:type="dxa"/>
          </w:tcPr>
          <w:p>
            <w:pPr>
              <w:pStyle w:val="TableParagraph"/>
              <w:spacing w:line="180" w:lineRule="exact"/>
              <w:ind w:left="69"/>
              <w:rPr>
                <w:sz w:val="16"/>
              </w:rPr>
            </w:pPr>
            <w:r>
              <w:rPr>
                <w:sz w:val="16"/>
              </w:rPr>
              <w:t>— </w:t>
            </w:r>
            <w:r>
              <w:rPr>
                <w:spacing w:val="-2"/>
                <w:sz w:val="16"/>
              </w:rPr>
              <w:t>Otros</w:t>
            </w:r>
          </w:p>
        </w:tc>
        <w:tc>
          <w:tcPr>
            <w:tcW w:w="579" w:type="dxa"/>
          </w:tcPr>
          <w:p>
            <w:pPr>
              <w:pStyle w:val="TableParagraph"/>
              <w:rPr>
                <w:rFonts w:ascii="Times New Roman"/>
                <w:sz w:val="14"/>
              </w:rPr>
            </w:pPr>
          </w:p>
        </w:tc>
        <w:tc>
          <w:tcPr>
            <w:tcW w:w="577" w:type="dxa"/>
          </w:tcPr>
          <w:p>
            <w:pPr>
              <w:pStyle w:val="TableParagraph"/>
              <w:rPr>
                <w:rFonts w:ascii="Times New Roman"/>
                <w:sz w:val="14"/>
              </w:rPr>
            </w:pPr>
          </w:p>
        </w:tc>
        <w:tc>
          <w:tcPr>
            <w:tcW w:w="668" w:type="dxa"/>
          </w:tcPr>
          <w:p>
            <w:pPr>
              <w:pStyle w:val="TableParagraph"/>
              <w:rPr>
                <w:rFonts w:ascii="Times New Roman"/>
                <w:sz w:val="14"/>
              </w:rPr>
            </w:pPr>
          </w:p>
        </w:tc>
        <w:tc>
          <w:tcPr>
            <w:tcW w:w="666"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r>
      <w:tr>
        <w:trPr>
          <w:trHeight w:val="369" w:hRule="atLeast"/>
        </w:trPr>
        <w:tc>
          <w:tcPr>
            <w:tcW w:w="336" w:type="dxa"/>
            <w:vMerge/>
            <w:tcBorders>
              <w:top w:val="nil"/>
            </w:tcBorders>
            <w:textDirection w:val="btLr"/>
          </w:tcPr>
          <w:p>
            <w:pPr>
              <w:rPr>
                <w:sz w:val="2"/>
                <w:szCs w:val="2"/>
              </w:rPr>
            </w:pPr>
          </w:p>
        </w:tc>
        <w:tc>
          <w:tcPr>
            <w:tcW w:w="1949" w:type="dxa"/>
          </w:tcPr>
          <w:p>
            <w:pPr>
              <w:pStyle w:val="TableParagraph"/>
              <w:spacing w:line="182" w:lineRule="exact"/>
              <w:ind w:left="69" w:right="120"/>
              <w:rPr>
                <w:sz w:val="16"/>
              </w:rPr>
            </w:pPr>
            <w:r>
              <w:rPr>
                <w:sz w:val="16"/>
              </w:rPr>
              <w:t>Activos</w:t>
            </w:r>
            <w:r>
              <w:rPr>
                <w:spacing w:val="-12"/>
                <w:sz w:val="16"/>
              </w:rPr>
              <w:t> </w:t>
            </w:r>
            <w:r>
              <w:rPr>
                <w:sz w:val="16"/>
              </w:rPr>
              <w:t>financieros</w:t>
            </w:r>
            <w:r>
              <w:rPr>
                <w:spacing w:val="-11"/>
                <w:sz w:val="16"/>
              </w:rPr>
              <w:t> </w:t>
            </w:r>
            <w:r>
              <w:rPr>
                <w:sz w:val="16"/>
              </w:rPr>
              <w:t>a coste amortizado</w:t>
            </w:r>
          </w:p>
        </w:tc>
        <w:tc>
          <w:tcPr>
            <w:tcW w:w="579" w:type="dxa"/>
          </w:tcPr>
          <w:p>
            <w:pPr>
              <w:pStyle w:val="TableParagraph"/>
              <w:rPr>
                <w:rFonts w:ascii="Times New Roman"/>
                <w:sz w:val="16"/>
              </w:rPr>
            </w:pPr>
          </w:p>
        </w:tc>
        <w:tc>
          <w:tcPr>
            <w:tcW w:w="577" w:type="dxa"/>
          </w:tcPr>
          <w:p>
            <w:pPr>
              <w:pStyle w:val="TableParagraph"/>
              <w:rPr>
                <w:rFonts w:ascii="Times New Roman"/>
                <w:sz w:val="16"/>
              </w:rPr>
            </w:pPr>
          </w:p>
        </w:tc>
        <w:tc>
          <w:tcPr>
            <w:tcW w:w="668" w:type="dxa"/>
          </w:tcPr>
          <w:p>
            <w:pPr>
              <w:pStyle w:val="TableParagraph"/>
              <w:rPr>
                <w:rFonts w:ascii="Times New Roman"/>
                <w:sz w:val="16"/>
              </w:rPr>
            </w:pPr>
          </w:p>
        </w:tc>
        <w:tc>
          <w:tcPr>
            <w:tcW w:w="666" w:type="dxa"/>
          </w:tcPr>
          <w:p>
            <w:pPr>
              <w:pStyle w:val="TableParagraph"/>
              <w:rPr>
                <w:rFonts w:ascii="Times New Roman"/>
                <w:sz w:val="16"/>
              </w:rPr>
            </w:pPr>
          </w:p>
        </w:tc>
        <w:tc>
          <w:tcPr>
            <w:tcW w:w="1165" w:type="dxa"/>
          </w:tcPr>
          <w:p>
            <w:pPr>
              <w:pStyle w:val="TableParagraph"/>
              <w:spacing w:line="183" w:lineRule="exact"/>
              <w:ind w:left="10" w:right="5"/>
              <w:jc w:val="center"/>
              <w:rPr>
                <w:sz w:val="16"/>
              </w:rPr>
            </w:pPr>
            <w:r>
              <w:rPr>
                <w:spacing w:val="-2"/>
                <w:sz w:val="16"/>
              </w:rPr>
              <w:t>20.607.273,81</w:t>
            </w:r>
          </w:p>
        </w:tc>
        <w:tc>
          <w:tcPr>
            <w:tcW w:w="1165" w:type="dxa"/>
          </w:tcPr>
          <w:p>
            <w:pPr>
              <w:pStyle w:val="TableParagraph"/>
              <w:spacing w:line="183" w:lineRule="exact"/>
              <w:ind w:left="9" w:right="5"/>
              <w:jc w:val="center"/>
              <w:rPr>
                <w:sz w:val="16"/>
              </w:rPr>
            </w:pPr>
            <w:r>
              <w:rPr>
                <w:spacing w:val="-2"/>
                <w:sz w:val="16"/>
              </w:rPr>
              <w:t>13.137.453,65</w:t>
            </w:r>
          </w:p>
        </w:tc>
        <w:tc>
          <w:tcPr>
            <w:tcW w:w="1165" w:type="dxa"/>
          </w:tcPr>
          <w:p>
            <w:pPr>
              <w:pStyle w:val="TableParagraph"/>
              <w:spacing w:line="180" w:lineRule="exact"/>
              <w:ind w:left="7" w:right="5"/>
              <w:jc w:val="center"/>
              <w:rPr>
                <w:b/>
                <w:sz w:val="16"/>
              </w:rPr>
            </w:pPr>
            <w:r>
              <w:rPr>
                <w:b/>
                <w:spacing w:val="-2"/>
                <w:sz w:val="16"/>
              </w:rPr>
              <w:t>20.607.273,81</w:t>
            </w:r>
          </w:p>
        </w:tc>
        <w:tc>
          <w:tcPr>
            <w:tcW w:w="1165" w:type="dxa"/>
          </w:tcPr>
          <w:p>
            <w:pPr>
              <w:pStyle w:val="TableParagraph"/>
              <w:spacing w:line="180" w:lineRule="exact"/>
              <w:ind w:left="6" w:right="6"/>
              <w:jc w:val="center"/>
              <w:rPr>
                <w:b/>
                <w:sz w:val="16"/>
              </w:rPr>
            </w:pPr>
            <w:r>
              <w:rPr>
                <w:b/>
                <w:spacing w:val="-2"/>
                <w:sz w:val="16"/>
              </w:rPr>
              <w:t>13.137.453,65</w:t>
            </w:r>
          </w:p>
        </w:tc>
      </w:tr>
      <w:tr>
        <w:trPr>
          <w:trHeight w:val="366" w:hRule="atLeast"/>
        </w:trPr>
        <w:tc>
          <w:tcPr>
            <w:tcW w:w="336" w:type="dxa"/>
            <w:vMerge/>
            <w:tcBorders>
              <w:top w:val="nil"/>
            </w:tcBorders>
            <w:textDirection w:val="btLr"/>
          </w:tcPr>
          <w:p>
            <w:pPr>
              <w:rPr>
                <w:sz w:val="2"/>
                <w:szCs w:val="2"/>
              </w:rPr>
            </w:pPr>
          </w:p>
        </w:tc>
        <w:tc>
          <w:tcPr>
            <w:tcW w:w="1949" w:type="dxa"/>
          </w:tcPr>
          <w:p>
            <w:pPr>
              <w:pStyle w:val="TableParagraph"/>
              <w:spacing w:line="180" w:lineRule="exact"/>
              <w:ind w:left="69"/>
              <w:rPr>
                <w:sz w:val="16"/>
              </w:rPr>
            </w:pPr>
            <w:r>
              <w:rPr>
                <w:sz w:val="16"/>
              </w:rPr>
              <w:t>Activos</w:t>
            </w:r>
            <w:r>
              <w:rPr>
                <w:spacing w:val="-6"/>
                <w:sz w:val="16"/>
              </w:rPr>
              <w:t> </w:t>
            </w:r>
            <w:r>
              <w:rPr>
                <w:sz w:val="16"/>
              </w:rPr>
              <w:t>financieros</w:t>
            </w:r>
            <w:r>
              <w:rPr>
                <w:spacing w:val="-6"/>
                <w:sz w:val="16"/>
              </w:rPr>
              <w:t> </w:t>
            </w:r>
            <w:r>
              <w:rPr>
                <w:spacing w:val="-10"/>
                <w:sz w:val="16"/>
              </w:rPr>
              <w:t>a</w:t>
            </w:r>
          </w:p>
          <w:p>
            <w:pPr>
              <w:pStyle w:val="TableParagraph"/>
              <w:spacing w:line="166" w:lineRule="exact" w:before="1"/>
              <w:ind w:left="69"/>
              <w:rPr>
                <w:sz w:val="16"/>
              </w:rPr>
            </w:pPr>
            <w:r>
              <w:rPr>
                <w:spacing w:val="-2"/>
                <w:sz w:val="16"/>
              </w:rPr>
              <w:t>coste</w:t>
            </w:r>
          </w:p>
        </w:tc>
        <w:tc>
          <w:tcPr>
            <w:tcW w:w="5985" w:type="dxa"/>
            <w:gridSpan w:val="7"/>
          </w:tcPr>
          <w:p>
            <w:pPr>
              <w:pStyle w:val="TableParagraph"/>
              <w:rPr>
                <w:rFonts w:ascii="Times New Roman"/>
                <w:sz w:val="16"/>
              </w:rPr>
            </w:pPr>
          </w:p>
        </w:tc>
        <w:tc>
          <w:tcPr>
            <w:tcW w:w="1165" w:type="dxa"/>
          </w:tcPr>
          <w:p>
            <w:pPr>
              <w:pStyle w:val="TableParagraph"/>
              <w:rPr>
                <w:rFonts w:ascii="Times New Roman"/>
                <w:sz w:val="16"/>
              </w:rPr>
            </w:pPr>
          </w:p>
        </w:tc>
      </w:tr>
      <w:tr>
        <w:trPr>
          <w:trHeight w:val="554" w:hRule="atLeast"/>
        </w:trPr>
        <w:tc>
          <w:tcPr>
            <w:tcW w:w="336" w:type="dxa"/>
            <w:vMerge/>
            <w:tcBorders>
              <w:top w:val="nil"/>
            </w:tcBorders>
            <w:textDirection w:val="btLr"/>
          </w:tcPr>
          <w:p>
            <w:pPr>
              <w:rPr>
                <w:sz w:val="2"/>
                <w:szCs w:val="2"/>
              </w:rPr>
            </w:pPr>
          </w:p>
        </w:tc>
        <w:tc>
          <w:tcPr>
            <w:tcW w:w="1949" w:type="dxa"/>
          </w:tcPr>
          <w:p>
            <w:pPr>
              <w:pStyle w:val="TableParagraph"/>
              <w:tabs>
                <w:tab w:pos="545" w:val="left" w:leader="none"/>
                <w:tab w:pos="1360" w:val="left" w:leader="none"/>
                <w:tab w:pos="1756" w:val="left" w:leader="none"/>
              </w:tabs>
              <w:ind w:left="69" w:right="56"/>
              <w:rPr>
                <w:sz w:val="16"/>
              </w:rPr>
            </w:pPr>
            <w:r>
              <w:rPr>
                <w:sz w:val="16"/>
              </w:rPr>
              <w:t>Activos</w:t>
            </w:r>
            <w:r>
              <w:rPr>
                <w:spacing w:val="-4"/>
                <w:sz w:val="16"/>
              </w:rPr>
              <w:t> </w:t>
            </w:r>
            <w:r>
              <w:rPr>
                <w:sz w:val="16"/>
              </w:rPr>
              <w:t>a</w:t>
            </w:r>
            <w:r>
              <w:rPr>
                <w:spacing w:val="-5"/>
                <w:sz w:val="16"/>
              </w:rPr>
              <w:t> </w:t>
            </w:r>
            <w:r>
              <w:rPr>
                <w:sz w:val="16"/>
              </w:rPr>
              <w:t>valor</w:t>
            </w:r>
            <w:r>
              <w:rPr>
                <w:spacing w:val="-6"/>
                <w:sz w:val="16"/>
              </w:rPr>
              <w:t> </w:t>
            </w:r>
            <w:r>
              <w:rPr>
                <w:sz w:val="16"/>
              </w:rPr>
              <w:t>razonable </w:t>
            </w:r>
            <w:r>
              <w:rPr>
                <w:spacing w:val="-5"/>
                <w:sz w:val="16"/>
              </w:rPr>
              <w:t>con</w:t>
            </w:r>
            <w:r>
              <w:rPr>
                <w:sz w:val="16"/>
              </w:rPr>
              <w:tab/>
            </w:r>
            <w:r>
              <w:rPr>
                <w:spacing w:val="-2"/>
                <w:sz w:val="16"/>
              </w:rPr>
              <w:t>cambios</w:t>
            </w:r>
            <w:r>
              <w:rPr>
                <w:sz w:val="16"/>
              </w:rPr>
              <w:tab/>
            </w:r>
            <w:r>
              <w:rPr>
                <w:spacing w:val="-5"/>
                <w:sz w:val="16"/>
              </w:rPr>
              <w:t>en</w:t>
            </w:r>
            <w:r>
              <w:rPr>
                <w:sz w:val="16"/>
              </w:rPr>
              <w:tab/>
            </w:r>
            <w:r>
              <w:rPr>
                <w:spacing w:val="-5"/>
                <w:sz w:val="16"/>
              </w:rPr>
              <w:t>el</w:t>
            </w:r>
          </w:p>
          <w:p>
            <w:pPr>
              <w:pStyle w:val="TableParagraph"/>
              <w:spacing w:line="168" w:lineRule="exact"/>
              <w:ind w:left="69"/>
              <w:rPr>
                <w:sz w:val="16"/>
              </w:rPr>
            </w:pPr>
            <w:r>
              <w:rPr>
                <w:sz w:val="16"/>
              </w:rPr>
              <w:t>patrimonio</w:t>
            </w:r>
            <w:r>
              <w:rPr>
                <w:spacing w:val="-8"/>
                <w:sz w:val="16"/>
              </w:rPr>
              <w:t> </w:t>
            </w:r>
            <w:r>
              <w:rPr>
                <w:spacing w:val="-4"/>
                <w:sz w:val="16"/>
              </w:rPr>
              <w:t>neto</w:t>
            </w:r>
          </w:p>
        </w:tc>
        <w:tc>
          <w:tcPr>
            <w:tcW w:w="579" w:type="dxa"/>
          </w:tcPr>
          <w:p>
            <w:pPr>
              <w:pStyle w:val="TableParagraph"/>
              <w:rPr>
                <w:rFonts w:ascii="Times New Roman"/>
                <w:sz w:val="16"/>
              </w:rPr>
            </w:pPr>
          </w:p>
        </w:tc>
        <w:tc>
          <w:tcPr>
            <w:tcW w:w="577" w:type="dxa"/>
          </w:tcPr>
          <w:p>
            <w:pPr>
              <w:pStyle w:val="TableParagraph"/>
              <w:rPr>
                <w:rFonts w:ascii="Times New Roman"/>
                <w:sz w:val="16"/>
              </w:rPr>
            </w:pPr>
          </w:p>
        </w:tc>
        <w:tc>
          <w:tcPr>
            <w:tcW w:w="668" w:type="dxa"/>
          </w:tcPr>
          <w:p>
            <w:pPr>
              <w:pStyle w:val="TableParagraph"/>
              <w:rPr>
                <w:rFonts w:ascii="Times New Roman"/>
                <w:sz w:val="16"/>
              </w:rPr>
            </w:pPr>
          </w:p>
        </w:tc>
        <w:tc>
          <w:tcPr>
            <w:tcW w:w="666"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c>
          <w:tcPr>
            <w:tcW w:w="1165" w:type="dxa"/>
          </w:tcPr>
          <w:p>
            <w:pPr>
              <w:pStyle w:val="TableParagraph"/>
              <w:rPr>
                <w:rFonts w:ascii="Times New Roman"/>
                <w:sz w:val="16"/>
              </w:rPr>
            </w:pPr>
          </w:p>
        </w:tc>
      </w:tr>
      <w:tr>
        <w:trPr>
          <w:trHeight w:val="208" w:hRule="atLeast"/>
        </w:trPr>
        <w:tc>
          <w:tcPr>
            <w:tcW w:w="336" w:type="dxa"/>
            <w:vMerge/>
            <w:tcBorders>
              <w:top w:val="nil"/>
            </w:tcBorders>
            <w:textDirection w:val="btLr"/>
          </w:tcPr>
          <w:p>
            <w:pPr>
              <w:rPr>
                <w:sz w:val="2"/>
                <w:szCs w:val="2"/>
              </w:rPr>
            </w:pPr>
          </w:p>
        </w:tc>
        <w:tc>
          <w:tcPr>
            <w:tcW w:w="1949" w:type="dxa"/>
          </w:tcPr>
          <w:p>
            <w:pPr>
              <w:pStyle w:val="TableParagraph"/>
              <w:spacing w:line="180" w:lineRule="exact"/>
              <w:ind w:left="69"/>
              <w:rPr>
                <w:sz w:val="16"/>
              </w:rPr>
            </w:pPr>
            <w:r>
              <w:rPr>
                <w:sz w:val="16"/>
              </w:rPr>
              <w:t>Derivados</w:t>
            </w:r>
            <w:r>
              <w:rPr>
                <w:spacing w:val="-4"/>
                <w:sz w:val="16"/>
              </w:rPr>
              <w:t> </w:t>
            </w:r>
            <w:r>
              <w:rPr>
                <w:sz w:val="16"/>
              </w:rPr>
              <w:t>de</w:t>
            </w:r>
            <w:r>
              <w:rPr>
                <w:spacing w:val="-4"/>
                <w:sz w:val="16"/>
              </w:rPr>
              <w:t> </w:t>
            </w:r>
            <w:r>
              <w:rPr>
                <w:spacing w:val="-2"/>
                <w:sz w:val="16"/>
              </w:rPr>
              <w:t>cobertura</w:t>
            </w:r>
          </w:p>
        </w:tc>
        <w:tc>
          <w:tcPr>
            <w:tcW w:w="579" w:type="dxa"/>
          </w:tcPr>
          <w:p>
            <w:pPr>
              <w:pStyle w:val="TableParagraph"/>
              <w:rPr>
                <w:rFonts w:ascii="Times New Roman"/>
                <w:sz w:val="14"/>
              </w:rPr>
            </w:pPr>
          </w:p>
        </w:tc>
        <w:tc>
          <w:tcPr>
            <w:tcW w:w="577" w:type="dxa"/>
          </w:tcPr>
          <w:p>
            <w:pPr>
              <w:pStyle w:val="TableParagraph"/>
              <w:rPr>
                <w:rFonts w:ascii="Times New Roman"/>
                <w:sz w:val="14"/>
              </w:rPr>
            </w:pPr>
          </w:p>
        </w:tc>
        <w:tc>
          <w:tcPr>
            <w:tcW w:w="668" w:type="dxa"/>
          </w:tcPr>
          <w:p>
            <w:pPr>
              <w:pStyle w:val="TableParagraph"/>
              <w:rPr>
                <w:rFonts w:ascii="Times New Roman"/>
                <w:sz w:val="14"/>
              </w:rPr>
            </w:pPr>
          </w:p>
        </w:tc>
        <w:tc>
          <w:tcPr>
            <w:tcW w:w="666"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c>
          <w:tcPr>
            <w:tcW w:w="1165" w:type="dxa"/>
          </w:tcPr>
          <w:p>
            <w:pPr>
              <w:pStyle w:val="TableParagraph"/>
              <w:rPr>
                <w:rFonts w:ascii="Times New Roman"/>
                <w:sz w:val="14"/>
              </w:rPr>
            </w:pPr>
          </w:p>
        </w:tc>
      </w:tr>
      <w:tr>
        <w:trPr>
          <w:trHeight w:val="210" w:hRule="atLeast"/>
        </w:trPr>
        <w:tc>
          <w:tcPr>
            <w:tcW w:w="336" w:type="dxa"/>
            <w:vMerge/>
            <w:tcBorders>
              <w:top w:val="nil"/>
            </w:tcBorders>
            <w:textDirection w:val="btLr"/>
          </w:tcPr>
          <w:p>
            <w:pPr>
              <w:rPr>
                <w:sz w:val="2"/>
                <w:szCs w:val="2"/>
              </w:rPr>
            </w:pPr>
          </w:p>
        </w:tc>
        <w:tc>
          <w:tcPr>
            <w:tcW w:w="1949" w:type="dxa"/>
          </w:tcPr>
          <w:p>
            <w:pPr>
              <w:pStyle w:val="TableParagraph"/>
              <w:spacing w:line="183" w:lineRule="exact" w:before="8"/>
              <w:ind w:left="7"/>
              <w:jc w:val="center"/>
              <w:rPr>
                <w:b/>
                <w:sz w:val="16"/>
              </w:rPr>
            </w:pPr>
            <w:r>
              <w:rPr>
                <w:b/>
                <w:spacing w:val="-2"/>
                <w:sz w:val="16"/>
              </w:rPr>
              <w:t>TOTAL</w:t>
            </w:r>
          </w:p>
        </w:tc>
        <w:tc>
          <w:tcPr>
            <w:tcW w:w="579" w:type="dxa"/>
          </w:tcPr>
          <w:p>
            <w:pPr>
              <w:pStyle w:val="TableParagraph"/>
              <w:rPr>
                <w:rFonts w:ascii="Times New Roman"/>
                <w:sz w:val="14"/>
              </w:rPr>
            </w:pPr>
          </w:p>
        </w:tc>
        <w:tc>
          <w:tcPr>
            <w:tcW w:w="577" w:type="dxa"/>
          </w:tcPr>
          <w:p>
            <w:pPr>
              <w:pStyle w:val="TableParagraph"/>
              <w:rPr>
                <w:rFonts w:ascii="Times New Roman"/>
                <w:sz w:val="14"/>
              </w:rPr>
            </w:pPr>
          </w:p>
        </w:tc>
        <w:tc>
          <w:tcPr>
            <w:tcW w:w="668" w:type="dxa"/>
          </w:tcPr>
          <w:p>
            <w:pPr>
              <w:pStyle w:val="TableParagraph"/>
              <w:rPr>
                <w:rFonts w:ascii="Times New Roman"/>
                <w:sz w:val="14"/>
              </w:rPr>
            </w:pPr>
          </w:p>
        </w:tc>
        <w:tc>
          <w:tcPr>
            <w:tcW w:w="666" w:type="dxa"/>
          </w:tcPr>
          <w:p>
            <w:pPr>
              <w:pStyle w:val="TableParagraph"/>
              <w:rPr>
                <w:rFonts w:ascii="Times New Roman"/>
                <w:sz w:val="14"/>
              </w:rPr>
            </w:pPr>
          </w:p>
        </w:tc>
        <w:tc>
          <w:tcPr>
            <w:tcW w:w="1165" w:type="dxa"/>
          </w:tcPr>
          <w:p>
            <w:pPr>
              <w:pStyle w:val="TableParagraph"/>
              <w:spacing w:line="178" w:lineRule="exact"/>
              <w:ind w:left="11" w:right="5"/>
              <w:jc w:val="center"/>
              <w:rPr>
                <w:b/>
                <w:sz w:val="16"/>
              </w:rPr>
            </w:pPr>
            <w:r>
              <w:rPr>
                <w:b/>
                <w:spacing w:val="-2"/>
                <w:sz w:val="16"/>
              </w:rPr>
              <w:t>20.607.273,81</w:t>
            </w:r>
          </w:p>
        </w:tc>
        <w:tc>
          <w:tcPr>
            <w:tcW w:w="1165" w:type="dxa"/>
          </w:tcPr>
          <w:p>
            <w:pPr>
              <w:pStyle w:val="TableParagraph"/>
              <w:spacing w:line="178" w:lineRule="exact"/>
              <w:ind w:left="9" w:right="5"/>
              <w:jc w:val="center"/>
              <w:rPr>
                <w:b/>
                <w:sz w:val="16"/>
              </w:rPr>
            </w:pPr>
            <w:r>
              <w:rPr>
                <w:b/>
                <w:spacing w:val="-2"/>
                <w:sz w:val="16"/>
              </w:rPr>
              <w:t>13.137.453,65</w:t>
            </w:r>
          </w:p>
        </w:tc>
        <w:tc>
          <w:tcPr>
            <w:tcW w:w="1165" w:type="dxa"/>
          </w:tcPr>
          <w:p>
            <w:pPr>
              <w:pStyle w:val="TableParagraph"/>
              <w:spacing w:line="178" w:lineRule="exact"/>
              <w:ind w:left="7" w:right="5"/>
              <w:jc w:val="center"/>
              <w:rPr>
                <w:b/>
                <w:sz w:val="16"/>
              </w:rPr>
            </w:pPr>
            <w:r>
              <w:rPr>
                <w:b/>
                <w:spacing w:val="-2"/>
                <w:sz w:val="16"/>
              </w:rPr>
              <w:t>20.607.273,81</w:t>
            </w:r>
          </w:p>
        </w:tc>
        <w:tc>
          <w:tcPr>
            <w:tcW w:w="1165" w:type="dxa"/>
          </w:tcPr>
          <w:p>
            <w:pPr>
              <w:pStyle w:val="TableParagraph"/>
              <w:spacing w:line="178" w:lineRule="exact"/>
              <w:ind w:left="6" w:right="6"/>
              <w:jc w:val="center"/>
              <w:rPr>
                <w:b/>
                <w:sz w:val="16"/>
              </w:rPr>
            </w:pPr>
            <w:r>
              <w:rPr>
                <w:b/>
                <w:spacing w:val="-2"/>
                <w:sz w:val="16"/>
              </w:rPr>
              <w:t>13.137.453,65</w:t>
            </w:r>
          </w:p>
        </w:tc>
      </w:tr>
    </w:tbl>
    <w:p>
      <w:pPr>
        <w:pStyle w:val="BodyText"/>
      </w:pPr>
    </w:p>
    <w:p>
      <w:pPr>
        <w:pStyle w:val="BodyText"/>
        <w:spacing w:before="1"/>
      </w:pPr>
    </w:p>
    <w:p>
      <w:pPr>
        <w:spacing w:before="0"/>
        <w:ind w:left="1908" w:right="0" w:firstLine="0"/>
        <w:jc w:val="both"/>
        <w:rPr>
          <w:sz w:val="20"/>
        </w:rPr>
      </w:pPr>
      <w:r>
        <w:rPr>
          <w:sz w:val="20"/>
        </w:rPr>
        <mc:AlternateContent>
          <mc:Choice Requires="wps">
            <w:drawing>
              <wp:anchor distT="0" distB="0" distL="0" distR="0" allowOverlap="1" layoutInCell="1" locked="0" behindDoc="0" simplePos="0" relativeHeight="15758848">
                <wp:simplePos x="0" y="0"/>
                <wp:positionH relativeFrom="page">
                  <wp:posOffset>6966436</wp:posOffset>
                </wp:positionH>
                <wp:positionV relativeFrom="paragraph">
                  <wp:posOffset>-1450278</wp:posOffset>
                </wp:positionV>
                <wp:extent cx="263525" cy="327596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14.195183pt;width:20.75pt;height:257.95pt;mso-position-horizontal-relative:page;mso-position-vertical-relative:paragraph;z-index:15758848" type="#_x0000_t202" id="docshape10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La</w:t>
      </w:r>
      <w:r>
        <w:rPr>
          <w:spacing w:val="-7"/>
          <w:sz w:val="20"/>
        </w:rPr>
        <w:t> </w:t>
      </w:r>
      <w:r>
        <w:rPr>
          <w:sz w:val="20"/>
        </w:rPr>
        <w:t>información</w:t>
      </w:r>
      <w:r>
        <w:rPr>
          <w:spacing w:val="-8"/>
          <w:sz w:val="20"/>
        </w:rPr>
        <w:t> </w:t>
      </w:r>
      <w:r>
        <w:rPr>
          <w:sz w:val="20"/>
        </w:rPr>
        <w:t>del</w:t>
      </w:r>
      <w:r>
        <w:rPr>
          <w:spacing w:val="-6"/>
          <w:sz w:val="20"/>
        </w:rPr>
        <w:t> </w:t>
      </w:r>
      <w:r>
        <w:rPr>
          <w:b/>
          <w:sz w:val="20"/>
        </w:rPr>
        <w:t>efectivo</w:t>
      </w:r>
      <w:r>
        <w:rPr>
          <w:b/>
          <w:spacing w:val="-5"/>
          <w:sz w:val="20"/>
        </w:rPr>
        <w:t> </w:t>
      </w:r>
      <w:r>
        <w:rPr>
          <w:b/>
          <w:sz w:val="20"/>
        </w:rPr>
        <w:t>y</w:t>
      </w:r>
      <w:r>
        <w:rPr>
          <w:b/>
          <w:spacing w:val="-9"/>
          <w:sz w:val="20"/>
        </w:rPr>
        <w:t> </w:t>
      </w:r>
      <w:r>
        <w:rPr>
          <w:b/>
          <w:sz w:val="20"/>
        </w:rPr>
        <w:t>otros</w:t>
      </w:r>
      <w:r>
        <w:rPr>
          <w:b/>
          <w:spacing w:val="-6"/>
          <w:sz w:val="20"/>
        </w:rPr>
        <w:t> </w:t>
      </w:r>
      <w:r>
        <w:rPr>
          <w:b/>
          <w:sz w:val="20"/>
        </w:rPr>
        <w:t>activos</w:t>
      </w:r>
      <w:r>
        <w:rPr>
          <w:b/>
          <w:spacing w:val="-7"/>
          <w:sz w:val="20"/>
        </w:rPr>
        <w:t> </w:t>
      </w:r>
      <w:r>
        <w:rPr>
          <w:b/>
          <w:sz w:val="20"/>
        </w:rPr>
        <w:t>líquidos</w:t>
      </w:r>
      <w:r>
        <w:rPr>
          <w:b/>
          <w:spacing w:val="-7"/>
          <w:sz w:val="20"/>
        </w:rPr>
        <w:t> </w:t>
      </w:r>
      <w:r>
        <w:rPr>
          <w:b/>
          <w:sz w:val="20"/>
        </w:rPr>
        <w:t>equivalentes</w:t>
      </w:r>
      <w:r>
        <w:rPr>
          <w:sz w:val="20"/>
        </w:rPr>
        <w:t>,</w:t>
      </w:r>
      <w:r>
        <w:rPr>
          <w:spacing w:val="-7"/>
          <w:sz w:val="20"/>
        </w:rPr>
        <w:t> </w:t>
      </w:r>
      <w:r>
        <w:rPr>
          <w:sz w:val="20"/>
        </w:rPr>
        <w:t>es</w:t>
      </w:r>
      <w:r>
        <w:rPr>
          <w:spacing w:val="-2"/>
          <w:sz w:val="20"/>
        </w:rPr>
        <w:t> </w:t>
      </w:r>
      <w:r>
        <w:rPr>
          <w:sz w:val="20"/>
        </w:rPr>
        <w:t>la</w:t>
      </w:r>
      <w:r>
        <w:rPr>
          <w:spacing w:val="-7"/>
          <w:sz w:val="20"/>
        </w:rPr>
        <w:t> </w:t>
      </w:r>
      <w:r>
        <w:rPr>
          <w:spacing w:val="-2"/>
          <w:sz w:val="20"/>
        </w:rPr>
        <w:t>siguiente:</w:t>
      </w:r>
    </w:p>
    <w:p>
      <w:pPr>
        <w:pStyle w:val="BodyText"/>
        <w:spacing w:before="3" w:after="1"/>
      </w:pPr>
    </w:p>
    <w:tbl>
      <w:tblPr>
        <w:tblW w:w="0" w:type="auto"/>
        <w:jc w:val="left"/>
        <w:tblInd w:w="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1"/>
        <w:gridCol w:w="1421"/>
        <w:gridCol w:w="1421"/>
      </w:tblGrid>
      <w:tr>
        <w:trPr>
          <w:trHeight w:val="316" w:hRule="atLeast"/>
        </w:trPr>
        <w:tc>
          <w:tcPr>
            <w:tcW w:w="4531" w:type="dxa"/>
            <w:tcBorders>
              <w:top w:val="nil"/>
              <w:left w:val="nil"/>
            </w:tcBorders>
          </w:tcPr>
          <w:p>
            <w:pPr>
              <w:pStyle w:val="TableParagraph"/>
              <w:rPr>
                <w:rFonts w:ascii="Times New Roman"/>
                <w:sz w:val="16"/>
              </w:rPr>
            </w:pPr>
          </w:p>
        </w:tc>
        <w:tc>
          <w:tcPr>
            <w:tcW w:w="1421" w:type="dxa"/>
          </w:tcPr>
          <w:p>
            <w:pPr>
              <w:pStyle w:val="TableParagraph"/>
              <w:spacing w:before="38"/>
              <w:ind w:left="5"/>
              <w:jc w:val="center"/>
              <w:rPr>
                <w:b/>
                <w:sz w:val="20"/>
              </w:rPr>
            </w:pPr>
            <w:r>
              <w:rPr>
                <w:b/>
                <w:spacing w:val="-4"/>
                <w:sz w:val="20"/>
              </w:rPr>
              <w:t>2025</w:t>
            </w:r>
          </w:p>
        </w:tc>
        <w:tc>
          <w:tcPr>
            <w:tcW w:w="1421" w:type="dxa"/>
          </w:tcPr>
          <w:p>
            <w:pPr>
              <w:pStyle w:val="TableParagraph"/>
              <w:spacing w:before="38"/>
              <w:ind w:left="5" w:right="1"/>
              <w:jc w:val="center"/>
              <w:rPr>
                <w:b/>
                <w:sz w:val="20"/>
              </w:rPr>
            </w:pPr>
            <w:r>
              <w:rPr>
                <w:b/>
                <w:spacing w:val="-4"/>
                <w:sz w:val="20"/>
              </w:rPr>
              <w:t>2024</w:t>
            </w:r>
          </w:p>
        </w:tc>
      </w:tr>
      <w:tr>
        <w:trPr>
          <w:trHeight w:val="313" w:hRule="atLeast"/>
        </w:trPr>
        <w:tc>
          <w:tcPr>
            <w:tcW w:w="4531" w:type="dxa"/>
          </w:tcPr>
          <w:p>
            <w:pPr>
              <w:pStyle w:val="TableParagraph"/>
              <w:spacing w:line="227" w:lineRule="exact"/>
              <w:ind w:left="69"/>
              <w:rPr>
                <w:sz w:val="20"/>
              </w:rPr>
            </w:pPr>
            <w:r>
              <w:rPr>
                <w:sz w:val="20"/>
              </w:rPr>
              <w:t>Efectivo</w:t>
            </w:r>
            <w:r>
              <w:rPr>
                <w:spacing w:val="-4"/>
                <w:sz w:val="20"/>
              </w:rPr>
              <w:t> </w:t>
            </w:r>
            <w:r>
              <w:rPr>
                <w:sz w:val="20"/>
              </w:rPr>
              <w:t>y</w:t>
            </w:r>
            <w:r>
              <w:rPr>
                <w:spacing w:val="-9"/>
                <w:sz w:val="20"/>
              </w:rPr>
              <w:t> </w:t>
            </w:r>
            <w:r>
              <w:rPr>
                <w:sz w:val="20"/>
              </w:rPr>
              <w:t>otros</w:t>
            </w:r>
            <w:r>
              <w:rPr>
                <w:spacing w:val="-6"/>
                <w:sz w:val="20"/>
              </w:rPr>
              <w:t> </w:t>
            </w:r>
            <w:r>
              <w:rPr>
                <w:sz w:val="20"/>
              </w:rPr>
              <w:t>activos</w:t>
            </w:r>
            <w:r>
              <w:rPr>
                <w:spacing w:val="-7"/>
                <w:sz w:val="20"/>
              </w:rPr>
              <w:t> </w:t>
            </w:r>
            <w:r>
              <w:rPr>
                <w:sz w:val="20"/>
              </w:rPr>
              <w:t>líquidos</w:t>
            </w:r>
            <w:r>
              <w:rPr>
                <w:spacing w:val="-6"/>
                <w:sz w:val="20"/>
              </w:rPr>
              <w:t> </w:t>
            </w:r>
            <w:r>
              <w:rPr>
                <w:spacing w:val="-2"/>
                <w:sz w:val="20"/>
              </w:rPr>
              <w:t>equivalentes</w:t>
            </w:r>
          </w:p>
        </w:tc>
        <w:tc>
          <w:tcPr>
            <w:tcW w:w="1421" w:type="dxa"/>
          </w:tcPr>
          <w:p>
            <w:pPr>
              <w:pStyle w:val="TableParagraph"/>
              <w:spacing w:line="227" w:lineRule="exact"/>
              <w:ind w:right="61"/>
              <w:jc w:val="right"/>
              <w:rPr>
                <w:sz w:val="20"/>
              </w:rPr>
            </w:pPr>
            <w:r>
              <w:rPr>
                <w:spacing w:val="-2"/>
                <w:sz w:val="20"/>
              </w:rPr>
              <w:t>9.968.848,79</w:t>
            </w:r>
          </w:p>
        </w:tc>
        <w:tc>
          <w:tcPr>
            <w:tcW w:w="1421" w:type="dxa"/>
          </w:tcPr>
          <w:p>
            <w:pPr>
              <w:pStyle w:val="TableParagraph"/>
              <w:spacing w:line="227" w:lineRule="exact"/>
              <w:ind w:right="62"/>
              <w:jc w:val="right"/>
              <w:rPr>
                <w:sz w:val="20"/>
              </w:rPr>
            </w:pPr>
            <w:r>
              <w:rPr>
                <w:spacing w:val="-2"/>
                <w:sz w:val="20"/>
              </w:rPr>
              <w:t>12.850.352,35</w:t>
            </w:r>
          </w:p>
        </w:tc>
      </w:tr>
      <w:tr>
        <w:trPr>
          <w:trHeight w:val="316" w:hRule="atLeast"/>
        </w:trPr>
        <w:tc>
          <w:tcPr>
            <w:tcW w:w="4531" w:type="dxa"/>
          </w:tcPr>
          <w:p>
            <w:pPr>
              <w:pStyle w:val="TableParagraph"/>
              <w:spacing w:line="227" w:lineRule="exact"/>
              <w:ind w:left="69"/>
              <w:rPr>
                <w:sz w:val="20"/>
              </w:rPr>
            </w:pPr>
            <w:r>
              <w:rPr>
                <w:sz w:val="20"/>
              </w:rPr>
              <w:t>1.</w:t>
            </w:r>
            <w:r>
              <w:rPr>
                <w:spacing w:val="-5"/>
                <w:sz w:val="20"/>
              </w:rPr>
              <w:t> </w:t>
            </w:r>
            <w:r>
              <w:rPr>
                <w:spacing w:val="-2"/>
                <w:sz w:val="20"/>
              </w:rPr>
              <w:t>Tesorería</w:t>
            </w:r>
          </w:p>
        </w:tc>
        <w:tc>
          <w:tcPr>
            <w:tcW w:w="1421" w:type="dxa"/>
          </w:tcPr>
          <w:p>
            <w:pPr>
              <w:pStyle w:val="TableParagraph"/>
              <w:spacing w:line="227" w:lineRule="exact"/>
              <w:ind w:right="61"/>
              <w:jc w:val="right"/>
              <w:rPr>
                <w:sz w:val="20"/>
              </w:rPr>
            </w:pPr>
            <w:r>
              <w:rPr>
                <w:spacing w:val="-2"/>
                <w:sz w:val="20"/>
              </w:rPr>
              <w:t>9.944.541,91</w:t>
            </w:r>
          </w:p>
        </w:tc>
        <w:tc>
          <w:tcPr>
            <w:tcW w:w="1421" w:type="dxa"/>
          </w:tcPr>
          <w:p>
            <w:pPr>
              <w:pStyle w:val="TableParagraph"/>
              <w:spacing w:line="227" w:lineRule="exact"/>
              <w:ind w:right="62"/>
              <w:jc w:val="right"/>
              <w:rPr>
                <w:sz w:val="20"/>
              </w:rPr>
            </w:pPr>
            <w:r>
              <w:rPr>
                <w:spacing w:val="-2"/>
                <w:sz w:val="20"/>
              </w:rPr>
              <w:t>12.833.908,79</w:t>
            </w:r>
          </w:p>
        </w:tc>
      </w:tr>
      <w:tr>
        <w:trPr>
          <w:trHeight w:val="313" w:hRule="atLeast"/>
        </w:trPr>
        <w:tc>
          <w:tcPr>
            <w:tcW w:w="4531" w:type="dxa"/>
          </w:tcPr>
          <w:p>
            <w:pPr>
              <w:pStyle w:val="TableParagraph"/>
              <w:spacing w:line="227" w:lineRule="exact"/>
              <w:ind w:left="69"/>
              <w:rPr>
                <w:sz w:val="20"/>
              </w:rPr>
            </w:pPr>
            <w:r>
              <w:rPr>
                <w:sz w:val="20"/>
              </w:rPr>
              <w:t>2.</w:t>
            </w:r>
            <w:r>
              <w:rPr>
                <w:spacing w:val="-8"/>
                <w:sz w:val="20"/>
              </w:rPr>
              <w:t> </w:t>
            </w:r>
            <w:r>
              <w:rPr>
                <w:sz w:val="20"/>
              </w:rPr>
              <w:t>Otros</w:t>
            </w:r>
            <w:r>
              <w:rPr>
                <w:spacing w:val="-7"/>
                <w:sz w:val="20"/>
              </w:rPr>
              <w:t> </w:t>
            </w:r>
            <w:r>
              <w:rPr>
                <w:sz w:val="20"/>
              </w:rPr>
              <w:t>activos</w:t>
            </w:r>
            <w:r>
              <w:rPr>
                <w:spacing w:val="-3"/>
                <w:sz w:val="20"/>
              </w:rPr>
              <w:t> </w:t>
            </w:r>
            <w:r>
              <w:rPr>
                <w:sz w:val="20"/>
              </w:rPr>
              <w:t>líquidos</w:t>
            </w:r>
            <w:r>
              <w:rPr>
                <w:spacing w:val="-6"/>
                <w:sz w:val="20"/>
              </w:rPr>
              <w:t> </w:t>
            </w:r>
            <w:r>
              <w:rPr>
                <w:spacing w:val="-2"/>
                <w:sz w:val="20"/>
              </w:rPr>
              <w:t>equivalentes</w:t>
            </w:r>
          </w:p>
        </w:tc>
        <w:tc>
          <w:tcPr>
            <w:tcW w:w="1421" w:type="dxa"/>
          </w:tcPr>
          <w:p>
            <w:pPr>
              <w:pStyle w:val="TableParagraph"/>
              <w:spacing w:line="227" w:lineRule="exact"/>
              <w:ind w:right="61"/>
              <w:jc w:val="right"/>
              <w:rPr>
                <w:sz w:val="20"/>
              </w:rPr>
            </w:pPr>
            <w:r>
              <w:rPr>
                <w:spacing w:val="-2"/>
                <w:sz w:val="20"/>
              </w:rPr>
              <w:t>24.306,88</w:t>
            </w:r>
          </w:p>
        </w:tc>
        <w:tc>
          <w:tcPr>
            <w:tcW w:w="1421" w:type="dxa"/>
          </w:tcPr>
          <w:p>
            <w:pPr>
              <w:pStyle w:val="TableParagraph"/>
              <w:spacing w:line="227" w:lineRule="exact"/>
              <w:ind w:right="61"/>
              <w:jc w:val="right"/>
              <w:rPr>
                <w:sz w:val="20"/>
              </w:rPr>
            </w:pPr>
            <w:r>
              <w:rPr>
                <w:spacing w:val="-2"/>
                <w:sz w:val="20"/>
              </w:rPr>
              <w:t>16.443,56</w:t>
            </w:r>
          </w:p>
        </w:tc>
      </w:tr>
    </w:tbl>
    <w:p>
      <w:pPr>
        <w:pStyle w:val="BodyText"/>
      </w:pPr>
    </w:p>
    <w:p>
      <w:pPr>
        <w:pStyle w:val="BodyText"/>
        <w:ind w:left="1907" w:right="1336" w:firstLine="112"/>
        <w:jc w:val="both"/>
      </w:pPr>
      <w:r>
        <w:rPr/>
        <w:t>El total de efectivo y</w:t>
      </w:r>
      <w:r>
        <w:rPr>
          <w:spacing w:val="-5"/>
        </w:rPr>
        <w:t> </w:t>
      </w:r>
      <w:r>
        <w:rPr/>
        <w:t>otros activos líquidos equivalentes</w:t>
      </w:r>
      <w:r>
        <w:rPr>
          <w:spacing w:val="-1"/>
        </w:rPr>
        <w:t> </w:t>
      </w:r>
      <w:r>
        <w:rPr/>
        <w:t>se</w:t>
      </w:r>
      <w:r>
        <w:rPr>
          <w:spacing w:val="-3"/>
        </w:rPr>
        <w:t> </w:t>
      </w:r>
      <w:r>
        <w:rPr/>
        <w:t>incluye en el estado</w:t>
      </w:r>
      <w:r>
        <w:rPr>
          <w:spacing w:val="-3"/>
        </w:rPr>
        <w:t> </w:t>
      </w:r>
      <w:r>
        <w:rPr/>
        <w:t>de</w:t>
      </w:r>
      <w:r>
        <w:rPr>
          <w:spacing w:val="-3"/>
        </w:rPr>
        <w:t> </w:t>
      </w:r>
      <w:r>
        <w:rPr/>
        <w:t>flujos de efectivo. Los importes en libros del efectivo y otros activos líquidos equivalentes al efectivo de la Sociedad están denominados en euros.</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ListParagraph"/>
        <w:numPr>
          <w:ilvl w:val="1"/>
          <w:numId w:val="17"/>
        </w:numPr>
        <w:tabs>
          <w:tab w:pos="2304" w:val="left" w:leader="none"/>
        </w:tabs>
        <w:spacing w:line="240" w:lineRule="auto" w:before="0" w:after="0"/>
        <w:ind w:left="2304" w:right="0" w:hanging="397"/>
        <w:jc w:val="left"/>
        <w:rPr>
          <w:sz w:val="20"/>
        </w:rPr>
      </w:pPr>
      <w:r>
        <w:rPr>
          <w:sz w:val="20"/>
        </w:rPr>
        <w:t>Pasivos</w:t>
      </w:r>
      <w:r>
        <w:rPr>
          <w:spacing w:val="-8"/>
          <w:sz w:val="20"/>
        </w:rPr>
        <w:t> </w:t>
      </w:r>
      <w:r>
        <w:rPr>
          <w:spacing w:val="-2"/>
          <w:sz w:val="20"/>
        </w:rPr>
        <w:t>financieros.</w:t>
      </w:r>
    </w:p>
    <w:p>
      <w:pPr>
        <w:pStyle w:val="BodyText"/>
        <w:spacing w:before="1"/>
      </w:pPr>
    </w:p>
    <w:p>
      <w:pPr>
        <w:pStyle w:val="BodyText"/>
        <w:ind w:left="1907" w:right="1308"/>
      </w:pPr>
      <w:r>
        <w:rPr/>
        <w:t>Los</w:t>
      </w:r>
      <w:r>
        <w:rPr>
          <w:spacing w:val="40"/>
        </w:rPr>
        <w:t> </w:t>
      </w:r>
      <w:r>
        <w:rPr/>
        <w:t>instrumentos</w:t>
      </w:r>
      <w:r>
        <w:rPr>
          <w:spacing w:val="40"/>
        </w:rPr>
        <w:t> </w:t>
      </w:r>
      <w:r>
        <w:rPr/>
        <w:t>financieros</w:t>
      </w:r>
      <w:r>
        <w:rPr>
          <w:spacing w:val="40"/>
        </w:rPr>
        <w:t> </w:t>
      </w:r>
      <w:r>
        <w:rPr/>
        <w:t>del</w:t>
      </w:r>
      <w:r>
        <w:rPr>
          <w:spacing w:val="40"/>
        </w:rPr>
        <w:t> </w:t>
      </w:r>
      <w:r>
        <w:rPr/>
        <w:t>pasivo</w:t>
      </w:r>
      <w:r>
        <w:rPr>
          <w:spacing w:val="40"/>
        </w:rPr>
        <w:t> </w:t>
      </w:r>
      <w:r>
        <w:rPr/>
        <w:t>del</w:t>
      </w:r>
      <w:r>
        <w:rPr>
          <w:spacing w:val="40"/>
        </w:rPr>
        <w:t> </w:t>
      </w:r>
      <w:r>
        <w:rPr/>
        <w:t>balance</w:t>
      </w:r>
      <w:r>
        <w:rPr>
          <w:spacing w:val="40"/>
        </w:rPr>
        <w:t> </w:t>
      </w:r>
      <w:r>
        <w:rPr/>
        <w:t>de</w:t>
      </w:r>
      <w:r>
        <w:rPr>
          <w:spacing w:val="40"/>
        </w:rPr>
        <w:t> </w:t>
      </w:r>
      <w:r>
        <w:rPr/>
        <w:t>la</w:t>
      </w:r>
      <w:r>
        <w:rPr>
          <w:spacing w:val="40"/>
        </w:rPr>
        <w:t> </w:t>
      </w:r>
      <w:r>
        <w:rPr/>
        <w:t>Sociedad</w:t>
      </w:r>
      <w:r>
        <w:rPr>
          <w:spacing w:val="40"/>
        </w:rPr>
        <w:t> </w:t>
      </w:r>
      <w:r>
        <w:rPr/>
        <w:t>a</w:t>
      </w:r>
      <w:r>
        <w:rPr>
          <w:spacing w:val="40"/>
        </w:rPr>
        <w:t> </w:t>
      </w:r>
      <w:r>
        <w:rPr/>
        <w:t>largo</w:t>
      </w:r>
      <w:r>
        <w:rPr>
          <w:spacing w:val="40"/>
        </w:rPr>
        <w:t> </w:t>
      </w:r>
      <w:r>
        <w:rPr/>
        <w:t>plazo, clasificados por categorías:</w:t>
      </w:r>
    </w:p>
    <w:p>
      <w:pPr>
        <w:pStyle w:val="BodyText"/>
        <w:spacing w:before="4"/>
      </w:pPr>
    </w:p>
    <w:tbl>
      <w:tblPr>
        <w:tblW w:w="0" w:type="auto"/>
        <w:jc w:val="left"/>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6"/>
        <w:gridCol w:w="1534"/>
        <w:gridCol w:w="1164"/>
        <w:gridCol w:w="1164"/>
        <w:gridCol w:w="511"/>
        <w:gridCol w:w="509"/>
        <w:gridCol w:w="941"/>
        <w:gridCol w:w="941"/>
        <w:gridCol w:w="1164"/>
        <w:gridCol w:w="1164"/>
      </w:tblGrid>
      <w:tr>
        <w:trPr>
          <w:trHeight w:val="642" w:hRule="atLeast"/>
        </w:trPr>
        <w:tc>
          <w:tcPr>
            <w:tcW w:w="1870" w:type="dxa"/>
            <w:gridSpan w:val="2"/>
            <w:vMerge w:val="restart"/>
            <w:tcBorders>
              <w:top w:val="nil"/>
              <w:left w:val="nil"/>
            </w:tcBorders>
          </w:tcPr>
          <w:p>
            <w:pPr>
              <w:pStyle w:val="TableParagraph"/>
              <w:rPr>
                <w:rFonts w:ascii="Times New Roman"/>
                <w:sz w:val="16"/>
              </w:rPr>
            </w:pPr>
          </w:p>
        </w:tc>
        <w:tc>
          <w:tcPr>
            <w:tcW w:w="2328" w:type="dxa"/>
            <w:gridSpan w:val="2"/>
          </w:tcPr>
          <w:p>
            <w:pPr>
              <w:pStyle w:val="TableParagraph"/>
              <w:spacing w:before="156"/>
              <w:ind w:left="930" w:hanging="612"/>
              <w:rPr>
                <w:b/>
                <w:sz w:val="14"/>
              </w:rPr>
            </w:pPr>
            <w:r>
              <w:rPr>
                <w:b/>
                <w:sz w:val="14"/>
              </w:rPr>
              <w:t>Deudas</w:t>
            </w:r>
            <w:r>
              <w:rPr>
                <w:b/>
                <w:spacing w:val="-10"/>
                <w:sz w:val="14"/>
              </w:rPr>
              <w:t> </w:t>
            </w:r>
            <w:r>
              <w:rPr>
                <w:b/>
                <w:sz w:val="14"/>
              </w:rPr>
              <w:t>con</w:t>
            </w:r>
            <w:r>
              <w:rPr>
                <w:b/>
                <w:spacing w:val="-10"/>
                <w:sz w:val="14"/>
              </w:rPr>
              <w:t> </w:t>
            </w:r>
            <w:r>
              <w:rPr>
                <w:b/>
                <w:sz w:val="14"/>
              </w:rPr>
              <w:t>entidades</w:t>
            </w:r>
            <w:r>
              <w:rPr>
                <w:b/>
                <w:spacing w:val="-10"/>
                <w:sz w:val="14"/>
              </w:rPr>
              <w:t> </w:t>
            </w:r>
            <w:r>
              <w:rPr>
                <w:b/>
                <w:sz w:val="14"/>
              </w:rPr>
              <w:t>de</w:t>
            </w:r>
            <w:r>
              <w:rPr>
                <w:b/>
                <w:spacing w:val="40"/>
                <w:sz w:val="14"/>
              </w:rPr>
              <w:t> </w:t>
            </w:r>
            <w:r>
              <w:rPr>
                <w:b/>
                <w:spacing w:val="-2"/>
                <w:sz w:val="14"/>
              </w:rPr>
              <w:t>crédito</w:t>
            </w:r>
          </w:p>
        </w:tc>
        <w:tc>
          <w:tcPr>
            <w:tcW w:w="1020" w:type="dxa"/>
            <w:gridSpan w:val="2"/>
          </w:tcPr>
          <w:p>
            <w:pPr>
              <w:pStyle w:val="TableParagraph"/>
              <w:ind w:left="263" w:right="19" w:hanging="195"/>
              <w:rPr>
                <w:b/>
                <w:sz w:val="14"/>
              </w:rPr>
            </w:pPr>
            <w:r>
              <w:rPr>
                <w:b/>
                <w:spacing w:val="-2"/>
                <w:sz w:val="14"/>
              </w:rPr>
              <w:t>Obligaciones</w:t>
            </w:r>
            <w:r>
              <w:rPr>
                <w:b/>
                <w:spacing w:val="40"/>
                <w:sz w:val="14"/>
              </w:rPr>
              <w:t> </w:t>
            </w:r>
            <w:r>
              <w:rPr>
                <w:b/>
                <w:sz w:val="14"/>
              </w:rPr>
              <w:t>y</w:t>
            </w:r>
            <w:r>
              <w:rPr>
                <w:b/>
                <w:spacing w:val="-4"/>
                <w:sz w:val="14"/>
              </w:rPr>
              <w:t> </w:t>
            </w:r>
            <w:r>
              <w:rPr>
                <w:b/>
                <w:sz w:val="14"/>
              </w:rPr>
              <w:t>otros</w:t>
            </w:r>
            <w:r>
              <w:rPr>
                <w:b/>
                <w:spacing w:val="40"/>
                <w:sz w:val="14"/>
              </w:rPr>
              <w:t> </w:t>
            </w:r>
            <w:r>
              <w:rPr>
                <w:b/>
                <w:spacing w:val="-2"/>
                <w:sz w:val="14"/>
              </w:rPr>
              <w:t>valores</w:t>
            </w:r>
          </w:p>
          <w:p>
            <w:pPr>
              <w:pStyle w:val="TableParagraph"/>
              <w:spacing w:line="144" w:lineRule="exact"/>
              <w:ind w:left="104"/>
              <w:rPr>
                <w:b/>
                <w:sz w:val="14"/>
              </w:rPr>
            </w:pPr>
            <w:r>
              <w:rPr>
                <w:b/>
                <w:spacing w:val="-2"/>
                <w:sz w:val="14"/>
              </w:rPr>
              <w:t>negociables</w:t>
            </w:r>
          </w:p>
        </w:tc>
        <w:tc>
          <w:tcPr>
            <w:tcW w:w="1882" w:type="dxa"/>
            <w:gridSpan w:val="2"/>
          </w:tcPr>
          <w:p>
            <w:pPr>
              <w:pStyle w:val="TableParagraph"/>
              <w:spacing w:before="76"/>
              <w:rPr>
                <w:sz w:val="14"/>
              </w:rPr>
            </w:pPr>
          </w:p>
          <w:p>
            <w:pPr>
              <w:pStyle w:val="TableParagraph"/>
              <w:spacing w:before="1"/>
              <w:ind w:left="347"/>
              <w:rPr>
                <w:b/>
                <w:sz w:val="14"/>
              </w:rPr>
            </w:pPr>
            <w:r>
              <w:rPr>
                <w:b/>
                <w:sz w:val="14"/>
              </w:rPr>
              <w:t>Derivados</w:t>
            </w:r>
            <w:r>
              <w:rPr>
                <w:b/>
                <w:spacing w:val="-3"/>
                <w:sz w:val="14"/>
              </w:rPr>
              <w:t> </w:t>
            </w:r>
            <w:r>
              <w:rPr>
                <w:b/>
                <w:sz w:val="14"/>
              </w:rPr>
              <w:t>y</w:t>
            </w:r>
            <w:r>
              <w:rPr>
                <w:b/>
                <w:spacing w:val="-6"/>
                <w:sz w:val="14"/>
              </w:rPr>
              <w:t> </w:t>
            </w:r>
            <w:r>
              <w:rPr>
                <w:b/>
                <w:spacing w:val="-2"/>
                <w:sz w:val="14"/>
              </w:rPr>
              <w:t>otros</w:t>
            </w:r>
          </w:p>
        </w:tc>
        <w:tc>
          <w:tcPr>
            <w:tcW w:w="2328" w:type="dxa"/>
            <w:gridSpan w:val="2"/>
          </w:tcPr>
          <w:p>
            <w:pPr>
              <w:pStyle w:val="TableParagraph"/>
              <w:spacing w:before="76"/>
              <w:rPr>
                <w:sz w:val="14"/>
              </w:rPr>
            </w:pPr>
          </w:p>
          <w:p>
            <w:pPr>
              <w:pStyle w:val="TableParagraph"/>
              <w:spacing w:before="1"/>
              <w:ind w:left="18" w:right="2"/>
              <w:jc w:val="center"/>
              <w:rPr>
                <w:b/>
                <w:sz w:val="14"/>
              </w:rPr>
            </w:pPr>
            <w:r>
              <w:rPr>
                <w:b/>
                <w:spacing w:val="-2"/>
                <w:sz w:val="14"/>
              </w:rPr>
              <w:t>TOTAL</w:t>
            </w:r>
          </w:p>
        </w:tc>
      </w:tr>
      <w:tr>
        <w:trPr>
          <w:trHeight w:val="301" w:hRule="atLeast"/>
        </w:trPr>
        <w:tc>
          <w:tcPr>
            <w:tcW w:w="1870" w:type="dxa"/>
            <w:gridSpan w:val="2"/>
            <w:vMerge/>
            <w:tcBorders>
              <w:top w:val="nil"/>
              <w:left w:val="nil"/>
            </w:tcBorders>
          </w:tcPr>
          <w:p>
            <w:pPr>
              <w:rPr>
                <w:sz w:val="2"/>
                <w:szCs w:val="2"/>
              </w:rPr>
            </w:pPr>
          </w:p>
        </w:tc>
        <w:tc>
          <w:tcPr>
            <w:tcW w:w="1164" w:type="dxa"/>
          </w:tcPr>
          <w:p>
            <w:pPr>
              <w:pStyle w:val="TableParagraph"/>
              <w:spacing w:before="53"/>
              <w:ind w:left="24" w:right="8"/>
              <w:jc w:val="center"/>
              <w:rPr>
                <w:b/>
                <w:sz w:val="16"/>
              </w:rPr>
            </w:pPr>
            <w:r>
              <w:rPr>
                <w:b/>
                <w:spacing w:val="-4"/>
                <w:sz w:val="16"/>
              </w:rPr>
              <w:t>2025</w:t>
            </w:r>
          </w:p>
        </w:tc>
        <w:tc>
          <w:tcPr>
            <w:tcW w:w="1164" w:type="dxa"/>
          </w:tcPr>
          <w:p>
            <w:pPr>
              <w:pStyle w:val="TableParagraph"/>
              <w:spacing w:before="53"/>
              <w:ind w:left="24" w:right="9"/>
              <w:jc w:val="center"/>
              <w:rPr>
                <w:b/>
                <w:sz w:val="16"/>
              </w:rPr>
            </w:pPr>
            <w:r>
              <w:rPr>
                <w:b/>
                <w:spacing w:val="-4"/>
                <w:sz w:val="16"/>
              </w:rPr>
              <w:t>2024</w:t>
            </w:r>
          </w:p>
        </w:tc>
        <w:tc>
          <w:tcPr>
            <w:tcW w:w="511" w:type="dxa"/>
          </w:tcPr>
          <w:p>
            <w:pPr>
              <w:pStyle w:val="TableParagraph"/>
              <w:spacing w:before="53"/>
              <w:ind w:left="76"/>
              <w:rPr>
                <w:b/>
                <w:sz w:val="16"/>
              </w:rPr>
            </w:pPr>
            <w:r>
              <w:rPr>
                <w:b/>
                <w:spacing w:val="-4"/>
                <w:sz w:val="16"/>
              </w:rPr>
              <w:t>2025</w:t>
            </w:r>
          </w:p>
        </w:tc>
        <w:tc>
          <w:tcPr>
            <w:tcW w:w="509" w:type="dxa"/>
          </w:tcPr>
          <w:p>
            <w:pPr>
              <w:pStyle w:val="TableParagraph"/>
              <w:spacing w:before="53"/>
              <w:ind w:left="76"/>
              <w:rPr>
                <w:b/>
                <w:sz w:val="16"/>
              </w:rPr>
            </w:pPr>
            <w:r>
              <w:rPr>
                <w:b/>
                <w:spacing w:val="-4"/>
                <w:sz w:val="16"/>
              </w:rPr>
              <w:t>2024</w:t>
            </w:r>
          </w:p>
        </w:tc>
        <w:tc>
          <w:tcPr>
            <w:tcW w:w="941" w:type="dxa"/>
          </w:tcPr>
          <w:p>
            <w:pPr>
              <w:pStyle w:val="TableParagraph"/>
              <w:spacing w:before="53"/>
              <w:ind w:left="18"/>
              <w:jc w:val="center"/>
              <w:rPr>
                <w:b/>
                <w:sz w:val="16"/>
              </w:rPr>
            </w:pPr>
            <w:r>
              <w:rPr>
                <w:b/>
                <w:spacing w:val="-4"/>
                <w:sz w:val="16"/>
              </w:rPr>
              <w:t>2025</w:t>
            </w:r>
          </w:p>
        </w:tc>
        <w:tc>
          <w:tcPr>
            <w:tcW w:w="941" w:type="dxa"/>
          </w:tcPr>
          <w:p>
            <w:pPr>
              <w:pStyle w:val="TableParagraph"/>
              <w:spacing w:before="53"/>
              <w:ind w:left="18" w:right="2"/>
              <w:jc w:val="center"/>
              <w:rPr>
                <w:b/>
                <w:sz w:val="16"/>
              </w:rPr>
            </w:pPr>
            <w:r>
              <w:rPr>
                <w:b/>
                <w:spacing w:val="-4"/>
                <w:sz w:val="16"/>
              </w:rPr>
              <w:t>2024</w:t>
            </w:r>
          </w:p>
        </w:tc>
        <w:tc>
          <w:tcPr>
            <w:tcW w:w="1164" w:type="dxa"/>
          </w:tcPr>
          <w:p>
            <w:pPr>
              <w:pStyle w:val="TableParagraph"/>
              <w:spacing w:before="53"/>
              <w:ind w:left="24" w:right="9"/>
              <w:jc w:val="center"/>
              <w:rPr>
                <w:b/>
                <w:sz w:val="16"/>
              </w:rPr>
            </w:pPr>
            <w:r>
              <w:rPr>
                <w:b/>
                <w:spacing w:val="-4"/>
                <w:sz w:val="16"/>
              </w:rPr>
              <w:t>2025</w:t>
            </w:r>
          </w:p>
        </w:tc>
        <w:tc>
          <w:tcPr>
            <w:tcW w:w="1164" w:type="dxa"/>
          </w:tcPr>
          <w:p>
            <w:pPr>
              <w:pStyle w:val="TableParagraph"/>
              <w:spacing w:before="53"/>
              <w:ind w:left="24" w:right="10"/>
              <w:jc w:val="center"/>
              <w:rPr>
                <w:b/>
                <w:sz w:val="16"/>
              </w:rPr>
            </w:pPr>
            <w:r>
              <w:rPr>
                <w:b/>
                <w:spacing w:val="-4"/>
                <w:sz w:val="16"/>
              </w:rPr>
              <w:t>2024</w:t>
            </w:r>
          </w:p>
        </w:tc>
      </w:tr>
      <w:tr>
        <w:trPr>
          <w:trHeight w:val="779" w:hRule="atLeast"/>
        </w:trPr>
        <w:tc>
          <w:tcPr>
            <w:tcW w:w="336" w:type="dxa"/>
            <w:vMerge w:val="restart"/>
            <w:textDirection w:val="btLr"/>
          </w:tcPr>
          <w:p>
            <w:pPr>
              <w:pStyle w:val="TableParagraph"/>
              <w:spacing w:before="72"/>
              <w:ind w:left="911"/>
              <w:rPr>
                <w:b/>
                <w:sz w:val="16"/>
              </w:rPr>
            </w:pPr>
            <w:r>
              <w:rPr>
                <w:b/>
                <w:spacing w:val="-2"/>
                <w:sz w:val="16"/>
              </w:rPr>
              <w:t>CATEGORIAS</w:t>
            </w:r>
          </w:p>
        </w:tc>
        <w:tc>
          <w:tcPr>
            <w:tcW w:w="1534" w:type="dxa"/>
          </w:tcPr>
          <w:p>
            <w:pPr>
              <w:pStyle w:val="TableParagraph"/>
              <w:spacing w:before="108"/>
              <w:ind w:left="69" w:right="47"/>
              <w:jc w:val="both"/>
              <w:rPr>
                <w:sz w:val="16"/>
              </w:rPr>
            </w:pPr>
            <w:r>
              <w:rPr>
                <w:sz w:val="16"/>
              </w:rPr>
              <w:t>Pasivos</w:t>
            </w:r>
            <w:r>
              <w:rPr>
                <w:spacing w:val="-12"/>
                <w:sz w:val="16"/>
              </w:rPr>
              <w:t> </w:t>
            </w:r>
            <w:r>
              <w:rPr>
                <w:sz w:val="16"/>
              </w:rPr>
              <w:t>financieros a coste amortizado o coste</w:t>
            </w:r>
          </w:p>
        </w:tc>
        <w:tc>
          <w:tcPr>
            <w:tcW w:w="1164" w:type="dxa"/>
          </w:tcPr>
          <w:p>
            <w:pPr>
              <w:pStyle w:val="TableParagraph"/>
              <w:spacing w:before="109"/>
              <w:rPr>
                <w:sz w:val="16"/>
              </w:rPr>
            </w:pPr>
          </w:p>
          <w:p>
            <w:pPr>
              <w:pStyle w:val="TableParagraph"/>
              <w:ind w:left="24" w:right="1"/>
              <w:jc w:val="center"/>
              <w:rPr>
                <w:sz w:val="16"/>
              </w:rPr>
            </w:pPr>
            <w:r>
              <w:rPr>
                <w:spacing w:val="-2"/>
                <w:sz w:val="16"/>
              </w:rPr>
              <w:t>65.090.163,27</w:t>
            </w:r>
          </w:p>
        </w:tc>
        <w:tc>
          <w:tcPr>
            <w:tcW w:w="1164" w:type="dxa"/>
          </w:tcPr>
          <w:p>
            <w:pPr>
              <w:pStyle w:val="TableParagraph"/>
              <w:spacing w:before="109"/>
              <w:rPr>
                <w:sz w:val="16"/>
              </w:rPr>
            </w:pPr>
          </w:p>
          <w:p>
            <w:pPr>
              <w:pStyle w:val="TableParagraph"/>
              <w:ind w:left="24" w:right="1"/>
              <w:jc w:val="center"/>
              <w:rPr>
                <w:sz w:val="16"/>
              </w:rPr>
            </w:pPr>
            <w:r>
              <w:rPr>
                <w:spacing w:val="-2"/>
                <w:sz w:val="16"/>
              </w:rPr>
              <w:t>56.928.273,34</w:t>
            </w: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941" w:type="dxa"/>
          </w:tcPr>
          <w:p>
            <w:pPr>
              <w:pStyle w:val="TableParagraph"/>
              <w:spacing w:before="109"/>
              <w:rPr>
                <w:sz w:val="16"/>
              </w:rPr>
            </w:pPr>
          </w:p>
          <w:p>
            <w:pPr>
              <w:pStyle w:val="TableParagraph"/>
              <w:ind w:left="18"/>
              <w:jc w:val="center"/>
              <w:rPr>
                <w:sz w:val="16"/>
              </w:rPr>
            </w:pPr>
            <w:r>
              <w:rPr>
                <w:spacing w:val="-2"/>
                <w:sz w:val="16"/>
              </w:rPr>
              <w:t>350.588,14</w:t>
            </w:r>
          </w:p>
        </w:tc>
        <w:tc>
          <w:tcPr>
            <w:tcW w:w="941" w:type="dxa"/>
          </w:tcPr>
          <w:p>
            <w:pPr>
              <w:pStyle w:val="TableParagraph"/>
              <w:spacing w:before="109"/>
              <w:rPr>
                <w:sz w:val="16"/>
              </w:rPr>
            </w:pPr>
          </w:p>
          <w:p>
            <w:pPr>
              <w:pStyle w:val="TableParagraph"/>
              <w:ind w:left="18" w:right="1"/>
              <w:jc w:val="center"/>
              <w:rPr>
                <w:sz w:val="16"/>
              </w:rPr>
            </w:pPr>
            <w:r>
              <w:rPr>
                <w:spacing w:val="-2"/>
                <w:sz w:val="16"/>
              </w:rPr>
              <w:t>338.326,44</w:t>
            </w:r>
          </w:p>
        </w:tc>
        <w:tc>
          <w:tcPr>
            <w:tcW w:w="1164" w:type="dxa"/>
          </w:tcPr>
          <w:p>
            <w:pPr>
              <w:pStyle w:val="TableParagraph"/>
              <w:spacing w:before="107"/>
              <w:rPr>
                <w:sz w:val="16"/>
              </w:rPr>
            </w:pPr>
          </w:p>
          <w:p>
            <w:pPr>
              <w:pStyle w:val="TableParagraph"/>
              <w:ind w:left="24" w:right="2"/>
              <w:jc w:val="center"/>
              <w:rPr>
                <w:b/>
                <w:sz w:val="16"/>
              </w:rPr>
            </w:pPr>
            <w:r>
              <w:rPr>
                <w:b/>
                <w:spacing w:val="-2"/>
                <w:sz w:val="16"/>
              </w:rPr>
              <w:t>65.440.751,41</w:t>
            </w:r>
          </w:p>
        </w:tc>
        <w:tc>
          <w:tcPr>
            <w:tcW w:w="1164" w:type="dxa"/>
          </w:tcPr>
          <w:p>
            <w:pPr>
              <w:pStyle w:val="TableParagraph"/>
              <w:spacing w:before="107"/>
              <w:rPr>
                <w:sz w:val="16"/>
              </w:rPr>
            </w:pPr>
          </w:p>
          <w:p>
            <w:pPr>
              <w:pStyle w:val="TableParagraph"/>
              <w:ind w:left="24" w:right="2"/>
              <w:jc w:val="center"/>
              <w:rPr>
                <w:b/>
                <w:sz w:val="16"/>
              </w:rPr>
            </w:pPr>
            <w:r>
              <w:rPr>
                <w:b/>
                <w:spacing w:val="-2"/>
                <w:sz w:val="16"/>
              </w:rPr>
              <w:t>57.266.599,78</w:t>
            </w:r>
          </w:p>
        </w:tc>
      </w:tr>
      <w:tr>
        <w:trPr>
          <w:trHeight w:val="299" w:hRule="atLeast"/>
        </w:trPr>
        <w:tc>
          <w:tcPr>
            <w:tcW w:w="336" w:type="dxa"/>
            <w:vMerge/>
            <w:tcBorders>
              <w:top w:val="nil"/>
            </w:tcBorders>
            <w:textDirection w:val="btLr"/>
          </w:tcPr>
          <w:p>
            <w:pPr>
              <w:rPr>
                <w:sz w:val="2"/>
                <w:szCs w:val="2"/>
              </w:rPr>
            </w:pPr>
          </w:p>
        </w:tc>
        <w:tc>
          <w:tcPr>
            <w:tcW w:w="9092" w:type="dxa"/>
            <w:gridSpan w:val="9"/>
          </w:tcPr>
          <w:p>
            <w:pPr>
              <w:pStyle w:val="TableParagraph"/>
              <w:spacing w:before="53"/>
              <w:ind w:left="69"/>
              <w:rPr>
                <w:sz w:val="16"/>
              </w:rPr>
            </w:pPr>
            <w:r>
              <w:rPr>
                <w:sz w:val="16"/>
              </w:rPr>
              <w:t>Pasivos</w:t>
            </w:r>
            <w:r>
              <w:rPr>
                <w:spacing w:val="-5"/>
                <w:sz w:val="16"/>
              </w:rPr>
              <w:t> </w:t>
            </w:r>
            <w:r>
              <w:rPr>
                <w:sz w:val="16"/>
              </w:rPr>
              <w:t>a</w:t>
            </w:r>
            <w:r>
              <w:rPr>
                <w:spacing w:val="-4"/>
                <w:sz w:val="16"/>
              </w:rPr>
              <w:t> </w:t>
            </w:r>
            <w:r>
              <w:rPr>
                <w:sz w:val="16"/>
              </w:rPr>
              <w:t>valor</w:t>
            </w:r>
            <w:r>
              <w:rPr>
                <w:spacing w:val="-3"/>
                <w:sz w:val="16"/>
              </w:rPr>
              <w:t> </w:t>
            </w:r>
            <w:r>
              <w:rPr>
                <w:sz w:val="16"/>
              </w:rPr>
              <w:t>razonable</w:t>
            </w:r>
            <w:r>
              <w:rPr>
                <w:spacing w:val="-6"/>
                <w:sz w:val="16"/>
              </w:rPr>
              <w:t> </w:t>
            </w:r>
            <w:r>
              <w:rPr>
                <w:sz w:val="16"/>
              </w:rPr>
              <w:t>con</w:t>
            </w:r>
            <w:r>
              <w:rPr>
                <w:spacing w:val="-6"/>
                <w:sz w:val="16"/>
              </w:rPr>
              <w:t> </w:t>
            </w:r>
            <w:r>
              <w:rPr>
                <w:sz w:val="16"/>
              </w:rPr>
              <w:t>cambio</w:t>
            </w:r>
            <w:r>
              <w:rPr>
                <w:spacing w:val="-5"/>
                <w:sz w:val="16"/>
              </w:rPr>
              <w:t> </w:t>
            </w:r>
            <w:r>
              <w:rPr>
                <w:sz w:val="16"/>
              </w:rPr>
              <w:t>en</w:t>
            </w:r>
            <w:r>
              <w:rPr>
                <w:spacing w:val="-2"/>
                <w:sz w:val="16"/>
              </w:rPr>
              <w:t> </w:t>
            </w:r>
            <w:r>
              <w:rPr>
                <w:sz w:val="16"/>
              </w:rPr>
              <w:t>pérdidas</w:t>
            </w:r>
            <w:r>
              <w:rPr>
                <w:spacing w:val="-3"/>
                <w:sz w:val="16"/>
              </w:rPr>
              <w:t> </w:t>
            </w:r>
            <w:r>
              <w:rPr>
                <w:sz w:val="16"/>
              </w:rPr>
              <w:t>y</w:t>
            </w:r>
            <w:r>
              <w:rPr>
                <w:spacing w:val="-3"/>
                <w:sz w:val="16"/>
              </w:rPr>
              <w:t> </w:t>
            </w:r>
            <w:r>
              <w:rPr>
                <w:spacing w:val="-2"/>
                <w:sz w:val="16"/>
              </w:rPr>
              <w:t>ganancias:</w:t>
            </w:r>
          </w:p>
        </w:tc>
      </w:tr>
      <w:tr>
        <w:trPr>
          <w:trHeight w:val="397" w:hRule="atLeast"/>
        </w:trPr>
        <w:tc>
          <w:tcPr>
            <w:tcW w:w="336" w:type="dxa"/>
            <w:vMerge/>
            <w:tcBorders>
              <w:top w:val="nil"/>
            </w:tcBorders>
            <w:textDirection w:val="btLr"/>
          </w:tcPr>
          <w:p>
            <w:pPr>
              <w:rPr>
                <w:sz w:val="2"/>
                <w:szCs w:val="2"/>
              </w:rPr>
            </w:pPr>
          </w:p>
        </w:tc>
        <w:tc>
          <w:tcPr>
            <w:tcW w:w="1534" w:type="dxa"/>
          </w:tcPr>
          <w:p>
            <w:pPr>
              <w:pStyle w:val="TableParagraph"/>
              <w:tabs>
                <w:tab w:pos="492" w:val="left" w:leader="none"/>
                <w:tab w:pos="1286" w:val="left" w:leader="none"/>
              </w:tabs>
              <w:spacing w:line="180" w:lineRule="atLeast" w:before="9"/>
              <w:ind w:left="69" w:right="47"/>
              <w:rPr>
                <w:sz w:val="16"/>
              </w:rPr>
            </w:pPr>
            <w:r>
              <w:rPr>
                <w:spacing w:val="-10"/>
                <w:sz w:val="16"/>
              </w:rPr>
              <w:t>—</w:t>
            </w:r>
            <w:r>
              <w:rPr>
                <w:sz w:val="16"/>
              </w:rPr>
              <w:tab/>
            </w:r>
            <w:r>
              <w:rPr>
                <w:spacing w:val="-2"/>
                <w:sz w:val="16"/>
              </w:rPr>
              <w:t>Cartera</w:t>
            </w:r>
            <w:r>
              <w:rPr>
                <w:sz w:val="16"/>
              </w:rPr>
              <w:tab/>
            </w:r>
            <w:r>
              <w:rPr>
                <w:spacing w:val="-6"/>
                <w:sz w:val="16"/>
              </w:rPr>
              <w:t>d</w:t>
            </w:r>
            <w:r>
              <w:rPr>
                <w:spacing w:val="-6"/>
                <w:sz w:val="16"/>
              </w:rPr>
              <w:t>e</w:t>
            </w:r>
            <w:r>
              <w:rPr>
                <w:spacing w:val="-2"/>
                <w:sz w:val="16"/>
              </w:rPr>
              <w:t> negociación</w:t>
            </w: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941" w:type="dxa"/>
          </w:tcPr>
          <w:p>
            <w:pPr>
              <w:pStyle w:val="TableParagraph"/>
              <w:rPr>
                <w:rFonts w:ascii="Times New Roman"/>
                <w:sz w:val="16"/>
              </w:rPr>
            </w:pPr>
          </w:p>
        </w:tc>
        <w:tc>
          <w:tcPr>
            <w:tcW w:w="941"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r>
      <w:tr>
        <w:trPr>
          <w:trHeight w:val="299" w:hRule="atLeast"/>
        </w:trPr>
        <w:tc>
          <w:tcPr>
            <w:tcW w:w="336" w:type="dxa"/>
            <w:vMerge/>
            <w:tcBorders>
              <w:top w:val="nil"/>
            </w:tcBorders>
            <w:textDirection w:val="btLr"/>
          </w:tcPr>
          <w:p>
            <w:pPr>
              <w:rPr>
                <w:sz w:val="2"/>
                <w:szCs w:val="2"/>
              </w:rPr>
            </w:pPr>
          </w:p>
        </w:tc>
        <w:tc>
          <w:tcPr>
            <w:tcW w:w="1534" w:type="dxa"/>
          </w:tcPr>
          <w:p>
            <w:pPr>
              <w:pStyle w:val="TableParagraph"/>
              <w:spacing w:before="53"/>
              <w:ind w:left="69"/>
              <w:rPr>
                <w:sz w:val="16"/>
              </w:rPr>
            </w:pPr>
            <w:r>
              <w:rPr>
                <w:sz w:val="16"/>
              </w:rPr>
              <w:t>—</w:t>
            </w:r>
            <w:r>
              <w:rPr>
                <w:spacing w:val="-2"/>
                <w:sz w:val="16"/>
              </w:rPr>
              <w:t> Designados</w:t>
            </w: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941" w:type="dxa"/>
          </w:tcPr>
          <w:p>
            <w:pPr>
              <w:pStyle w:val="TableParagraph"/>
              <w:rPr>
                <w:rFonts w:ascii="Times New Roman"/>
                <w:sz w:val="16"/>
              </w:rPr>
            </w:pPr>
          </w:p>
        </w:tc>
        <w:tc>
          <w:tcPr>
            <w:tcW w:w="941"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r>
      <w:tr>
        <w:trPr>
          <w:trHeight w:val="299" w:hRule="atLeast"/>
        </w:trPr>
        <w:tc>
          <w:tcPr>
            <w:tcW w:w="336" w:type="dxa"/>
            <w:vMerge/>
            <w:tcBorders>
              <w:top w:val="nil"/>
            </w:tcBorders>
            <w:textDirection w:val="btLr"/>
          </w:tcPr>
          <w:p>
            <w:pPr>
              <w:rPr>
                <w:sz w:val="2"/>
                <w:szCs w:val="2"/>
              </w:rPr>
            </w:pPr>
          </w:p>
        </w:tc>
        <w:tc>
          <w:tcPr>
            <w:tcW w:w="1534" w:type="dxa"/>
          </w:tcPr>
          <w:p>
            <w:pPr>
              <w:pStyle w:val="TableParagraph"/>
              <w:spacing w:before="53"/>
              <w:ind w:left="69"/>
              <w:rPr>
                <w:sz w:val="16"/>
              </w:rPr>
            </w:pPr>
            <w:r>
              <w:rPr>
                <w:sz w:val="16"/>
              </w:rPr>
              <w:t>— </w:t>
            </w:r>
            <w:r>
              <w:rPr>
                <w:spacing w:val="-2"/>
                <w:sz w:val="16"/>
              </w:rPr>
              <w:t>Otros</w:t>
            </w:r>
          </w:p>
        </w:tc>
        <w:tc>
          <w:tcPr>
            <w:tcW w:w="7558" w:type="dxa"/>
            <w:gridSpan w:val="8"/>
          </w:tcPr>
          <w:p>
            <w:pPr>
              <w:pStyle w:val="TableParagraph"/>
              <w:rPr>
                <w:rFonts w:ascii="Times New Roman"/>
                <w:sz w:val="16"/>
              </w:rPr>
            </w:pPr>
          </w:p>
        </w:tc>
      </w:tr>
      <w:tr>
        <w:trPr>
          <w:trHeight w:val="397" w:hRule="atLeast"/>
        </w:trPr>
        <w:tc>
          <w:tcPr>
            <w:tcW w:w="336" w:type="dxa"/>
            <w:vMerge/>
            <w:tcBorders>
              <w:top w:val="nil"/>
            </w:tcBorders>
            <w:textDirection w:val="btLr"/>
          </w:tcPr>
          <w:p>
            <w:pPr>
              <w:rPr>
                <w:sz w:val="2"/>
                <w:szCs w:val="2"/>
              </w:rPr>
            </w:pPr>
          </w:p>
        </w:tc>
        <w:tc>
          <w:tcPr>
            <w:tcW w:w="1534" w:type="dxa"/>
          </w:tcPr>
          <w:p>
            <w:pPr>
              <w:pStyle w:val="TableParagraph"/>
              <w:tabs>
                <w:tab w:pos="1286" w:val="left" w:leader="none"/>
              </w:tabs>
              <w:spacing w:line="180" w:lineRule="atLeast" w:before="9"/>
              <w:ind w:left="69" w:right="49"/>
              <w:rPr>
                <w:sz w:val="16"/>
              </w:rPr>
            </w:pPr>
            <w:r>
              <w:rPr>
                <w:spacing w:val="-2"/>
                <w:sz w:val="16"/>
              </w:rPr>
              <w:t>Derivados</w:t>
            </w:r>
            <w:r>
              <w:rPr>
                <w:sz w:val="16"/>
              </w:rPr>
              <w:tab/>
            </w:r>
            <w:r>
              <w:rPr>
                <w:spacing w:val="-6"/>
                <w:sz w:val="16"/>
              </w:rPr>
              <w:t>de</w:t>
            </w:r>
            <w:r>
              <w:rPr>
                <w:spacing w:val="-2"/>
                <w:sz w:val="16"/>
              </w:rPr>
              <w:t> cobertura</w:t>
            </w: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941" w:type="dxa"/>
          </w:tcPr>
          <w:p>
            <w:pPr>
              <w:pStyle w:val="TableParagraph"/>
              <w:rPr>
                <w:rFonts w:ascii="Times New Roman"/>
                <w:sz w:val="16"/>
              </w:rPr>
            </w:pPr>
          </w:p>
        </w:tc>
        <w:tc>
          <w:tcPr>
            <w:tcW w:w="941"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r>
      <w:tr>
        <w:trPr>
          <w:trHeight w:val="299" w:hRule="atLeast"/>
        </w:trPr>
        <w:tc>
          <w:tcPr>
            <w:tcW w:w="336" w:type="dxa"/>
            <w:vMerge/>
            <w:tcBorders>
              <w:top w:val="nil"/>
            </w:tcBorders>
            <w:textDirection w:val="btLr"/>
          </w:tcPr>
          <w:p>
            <w:pPr>
              <w:rPr>
                <w:sz w:val="2"/>
                <w:szCs w:val="2"/>
              </w:rPr>
            </w:pPr>
          </w:p>
        </w:tc>
        <w:tc>
          <w:tcPr>
            <w:tcW w:w="1534" w:type="dxa"/>
          </w:tcPr>
          <w:p>
            <w:pPr>
              <w:pStyle w:val="TableParagraph"/>
              <w:spacing w:before="51"/>
              <w:ind w:left="498"/>
              <w:rPr>
                <w:b/>
                <w:sz w:val="16"/>
              </w:rPr>
            </w:pPr>
            <w:r>
              <w:rPr>
                <w:b/>
                <w:spacing w:val="-2"/>
                <w:sz w:val="16"/>
              </w:rPr>
              <w:t>TOTAL</w:t>
            </w:r>
          </w:p>
        </w:tc>
        <w:tc>
          <w:tcPr>
            <w:tcW w:w="1164" w:type="dxa"/>
          </w:tcPr>
          <w:p>
            <w:pPr>
              <w:pStyle w:val="TableParagraph"/>
              <w:spacing w:before="51"/>
              <w:ind w:left="24" w:right="1"/>
              <w:jc w:val="center"/>
              <w:rPr>
                <w:b/>
                <w:sz w:val="16"/>
              </w:rPr>
            </w:pPr>
            <w:r>
              <w:rPr>
                <w:b/>
                <w:spacing w:val="-2"/>
                <w:sz w:val="16"/>
              </w:rPr>
              <w:t>65.090.163,27</w:t>
            </w:r>
          </w:p>
        </w:tc>
        <w:tc>
          <w:tcPr>
            <w:tcW w:w="1164" w:type="dxa"/>
          </w:tcPr>
          <w:p>
            <w:pPr>
              <w:pStyle w:val="TableParagraph"/>
              <w:spacing w:before="51"/>
              <w:ind w:left="24" w:right="1"/>
              <w:jc w:val="center"/>
              <w:rPr>
                <w:b/>
                <w:sz w:val="16"/>
              </w:rPr>
            </w:pPr>
            <w:r>
              <w:rPr>
                <w:b/>
                <w:spacing w:val="-2"/>
                <w:sz w:val="16"/>
              </w:rPr>
              <w:t>56.928.273,34</w:t>
            </w: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941" w:type="dxa"/>
          </w:tcPr>
          <w:p>
            <w:pPr>
              <w:pStyle w:val="TableParagraph"/>
              <w:spacing w:before="51"/>
              <w:ind w:left="18"/>
              <w:jc w:val="center"/>
              <w:rPr>
                <w:b/>
                <w:sz w:val="16"/>
              </w:rPr>
            </w:pPr>
            <w:r>
              <w:rPr>
                <w:b/>
                <w:spacing w:val="-2"/>
                <w:sz w:val="16"/>
              </w:rPr>
              <w:t>350.588,14</w:t>
            </w:r>
          </w:p>
        </w:tc>
        <w:tc>
          <w:tcPr>
            <w:tcW w:w="941" w:type="dxa"/>
          </w:tcPr>
          <w:p>
            <w:pPr>
              <w:pStyle w:val="TableParagraph"/>
              <w:spacing w:before="51"/>
              <w:ind w:left="18" w:right="1"/>
              <w:jc w:val="center"/>
              <w:rPr>
                <w:b/>
                <w:sz w:val="16"/>
              </w:rPr>
            </w:pPr>
            <w:r>
              <w:rPr>
                <w:b/>
                <w:spacing w:val="-2"/>
                <w:sz w:val="16"/>
              </w:rPr>
              <w:t>338.326,44</w:t>
            </w:r>
          </w:p>
        </w:tc>
        <w:tc>
          <w:tcPr>
            <w:tcW w:w="1164" w:type="dxa"/>
          </w:tcPr>
          <w:p>
            <w:pPr>
              <w:pStyle w:val="TableParagraph"/>
              <w:spacing w:before="51"/>
              <w:ind w:left="24" w:right="2"/>
              <w:jc w:val="center"/>
              <w:rPr>
                <w:b/>
                <w:sz w:val="16"/>
              </w:rPr>
            </w:pPr>
            <w:r>
              <w:rPr>
                <w:b/>
                <w:spacing w:val="-2"/>
                <w:sz w:val="16"/>
              </w:rPr>
              <w:t>65.440.751,41</w:t>
            </w:r>
          </w:p>
        </w:tc>
        <w:tc>
          <w:tcPr>
            <w:tcW w:w="1164" w:type="dxa"/>
          </w:tcPr>
          <w:p>
            <w:pPr>
              <w:pStyle w:val="TableParagraph"/>
              <w:spacing w:before="51"/>
              <w:ind w:left="24" w:right="2"/>
              <w:jc w:val="center"/>
              <w:rPr>
                <w:b/>
                <w:sz w:val="16"/>
              </w:rPr>
            </w:pPr>
            <w:r>
              <w:rPr>
                <w:b/>
                <w:spacing w:val="-2"/>
                <w:sz w:val="16"/>
              </w:rPr>
              <w:t>57.266.599,78</w:t>
            </w:r>
          </w:p>
        </w:tc>
      </w:tr>
    </w:tbl>
    <w:p>
      <w:pPr>
        <w:pStyle w:val="BodyText"/>
      </w:pPr>
    </w:p>
    <w:p>
      <w:pPr>
        <w:pStyle w:val="BodyText"/>
      </w:pPr>
    </w:p>
    <w:p>
      <w:pPr>
        <w:pStyle w:val="BodyText"/>
        <w:ind w:left="1908" w:right="1308"/>
      </w:pPr>
      <w:r>
        <w:rPr/>
        <mc:AlternateContent>
          <mc:Choice Requires="wps">
            <w:drawing>
              <wp:anchor distT="0" distB="0" distL="0" distR="0" allowOverlap="1" layoutInCell="1" locked="0" behindDoc="0" simplePos="0" relativeHeight="15759360">
                <wp:simplePos x="0" y="0"/>
                <wp:positionH relativeFrom="page">
                  <wp:posOffset>6966436</wp:posOffset>
                </wp:positionH>
                <wp:positionV relativeFrom="paragraph">
                  <wp:posOffset>1405824</wp:posOffset>
                </wp:positionV>
                <wp:extent cx="263525" cy="32759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10.694817pt;width:20.75pt;height:257.95pt;mso-position-horizontal-relative:page;mso-position-vertical-relative:paragraph;z-index:15759360" type="#_x0000_t202" id="docshape11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información de los instrumentos financieros del pasivo del balance de la Sociedad a corto plazo, clasificados por categorías es la siguiente:</w:t>
      </w:r>
    </w:p>
    <w:p>
      <w:pPr>
        <w:pStyle w:val="BodyText"/>
        <w:spacing w:before="2"/>
      </w:pPr>
    </w:p>
    <w:tbl>
      <w:tblPr>
        <w:tblW w:w="0" w:type="auto"/>
        <w:jc w:val="left"/>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6"/>
        <w:gridCol w:w="1176"/>
        <w:gridCol w:w="1164"/>
        <w:gridCol w:w="1075"/>
        <w:gridCol w:w="511"/>
        <w:gridCol w:w="509"/>
        <w:gridCol w:w="1164"/>
        <w:gridCol w:w="1164"/>
        <w:gridCol w:w="1164"/>
        <w:gridCol w:w="1164"/>
      </w:tblGrid>
      <w:tr>
        <w:trPr>
          <w:trHeight w:val="325" w:hRule="atLeast"/>
        </w:trPr>
        <w:tc>
          <w:tcPr>
            <w:tcW w:w="1512" w:type="dxa"/>
            <w:gridSpan w:val="2"/>
            <w:vMerge w:val="restart"/>
            <w:tcBorders>
              <w:top w:val="nil"/>
              <w:left w:val="nil"/>
            </w:tcBorders>
          </w:tcPr>
          <w:p>
            <w:pPr>
              <w:pStyle w:val="TableParagraph"/>
              <w:rPr>
                <w:rFonts w:ascii="Times New Roman"/>
                <w:sz w:val="16"/>
              </w:rPr>
            </w:pPr>
          </w:p>
        </w:tc>
        <w:tc>
          <w:tcPr>
            <w:tcW w:w="7915" w:type="dxa"/>
            <w:gridSpan w:val="8"/>
          </w:tcPr>
          <w:p>
            <w:pPr>
              <w:pStyle w:val="TableParagraph"/>
              <w:spacing w:before="79"/>
              <w:ind w:right="22"/>
              <w:jc w:val="center"/>
              <w:rPr>
                <w:b/>
                <w:sz w:val="14"/>
              </w:rPr>
            </w:pPr>
            <w:r>
              <w:rPr>
                <w:b/>
                <w:spacing w:val="-2"/>
                <w:sz w:val="14"/>
              </w:rPr>
              <w:t>CLASES</w:t>
            </w:r>
          </w:p>
        </w:tc>
      </w:tr>
      <w:tr>
        <w:trPr>
          <w:trHeight w:val="642" w:hRule="atLeast"/>
        </w:trPr>
        <w:tc>
          <w:tcPr>
            <w:tcW w:w="1512" w:type="dxa"/>
            <w:gridSpan w:val="2"/>
            <w:vMerge/>
            <w:tcBorders>
              <w:top w:val="nil"/>
              <w:left w:val="nil"/>
            </w:tcBorders>
          </w:tcPr>
          <w:p>
            <w:pPr>
              <w:rPr>
                <w:sz w:val="2"/>
                <w:szCs w:val="2"/>
              </w:rPr>
            </w:pPr>
          </w:p>
        </w:tc>
        <w:tc>
          <w:tcPr>
            <w:tcW w:w="2239" w:type="dxa"/>
            <w:gridSpan w:val="2"/>
          </w:tcPr>
          <w:p>
            <w:pPr>
              <w:pStyle w:val="TableParagraph"/>
              <w:spacing w:before="156"/>
              <w:ind w:left="885" w:right="255" w:hanging="610"/>
              <w:rPr>
                <w:b/>
                <w:sz w:val="14"/>
              </w:rPr>
            </w:pPr>
            <w:r>
              <w:rPr>
                <w:b/>
                <w:sz w:val="14"/>
              </w:rPr>
              <w:t>Deudas</w:t>
            </w:r>
            <w:r>
              <w:rPr>
                <w:b/>
                <w:spacing w:val="-10"/>
                <w:sz w:val="14"/>
              </w:rPr>
              <w:t> </w:t>
            </w:r>
            <w:r>
              <w:rPr>
                <w:b/>
                <w:sz w:val="14"/>
              </w:rPr>
              <w:t>con</w:t>
            </w:r>
            <w:r>
              <w:rPr>
                <w:b/>
                <w:spacing w:val="-10"/>
                <w:sz w:val="14"/>
              </w:rPr>
              <w:t> </w:t>
            </w:r>
            <w:r>
              <w:rPr>
                <w:b/>
                <w:sz w:val="14"/>
              </w:rPr>
              <w:t>entidades</w:t>
            </w:r>
            <w:r>
              <w:rPr>
                <w:b/>
                <w:spacing w:val="-10"/>
                <w:sz w:val="14"/>
              </w:rPr>
              <w:t> </w:t>
            </w:r>
            <w:r>
              <w:rPr>
                <w:b/>
                <w:sz w:val="14"/>
              </w:rPr>
              <w:t>de</w:t>
            </w:r>
            <w:r>
              <w:rPr>
                <w:b/>
                <w:spacing w:val="40"/>
                <w:sz w:val="14"/>
              </w:rPr>
              <w:t> </w:t>
            </w:r>
            <w:r>
              <w:rPr>
                <w:b/>
                <w:spacing w:val="-2"/>
                <w:sz w:val="14"/>
              </w:rPr>
              <w:t>crédito</w:t>
            </w:r>
          </w:p>
        </w:tc>
        <w:tc>
          <w:tcPr>
            <w:tcW w:w="1020" w:type="dxa"/>
            <w:gridSpan w:val="2"/>
          </w:tcPr>
          <w:p>
            <w:pPr>
              <w:pStyle w:val="TableParagraph"/>
              <w:ind w:left="263" w:right="19" w:hanging="195"/>
              <w:rPr>
                <w:b/>
                <w:sz w:val="14"/>
              </w:rPr>
            </w:pPr>
            <w:r>
              <w:rPr>
                <w:b/>
                <w:spacing w:val="-2"/>
                <w:sz w:val="14"/>
              </w:rPr>
              <w:t>Obligaciones</w:t>
            </w:r>
            <w:r>
              <w:rPr>
                <w:b/>
                <w:spacing w:val="40"/>
                <w:sz w:val="14"/>
              </w:rPr>
              <w:t> </w:t>
            </w:r>
            <w:r>
              <w:rPr>
                <w:b/>
                <w:sz w:val="14"/>
              </w:rPr>
              <w:t>y</w:t>
            </w:r>
            <w:r>
              <w:rPr>
                <w:b/>
                <w:spacing w:val="-4"/>
                <w:sz w:val="14"/>
              </w:rPr>
              <w:t> </w:t>
            </w:r>
            <w:r>
              <w:rPr>
                <w:b/>
                <w:sz w:val="14"/>
              </w:rPr>
              <w:t>otros</w:t>
            </w:r>
            <w:r>
              <w:rPr>
                <w:b/>
                <w:spacing w:val="40"/>
                <w:sz w:val="14"/>
              </w:rPr>
              <w:t> </w:t>
            </w:r>
            <w:r>
              <w:rPr>
                <w:b/>
                <w:spacing w:val="-2"/>
                <w:sz w:val="14"/>
              </w:rPr>
              <w:t>valores</w:t>
            </w:r>
          </w:p>
          <w:p>
            <w:pPr>
              <w:pStyle w:val="TableParagraph"/>
              <w:spacing w:line="144" w:lineRule="exact"/>
              <w:ind w:left="105"/>
              <w:rPr>
                <w:b/>
                <w:sz w:val="14"/>
              </w:rPr>
            </w:pPr>
            <w:r>
              <w:rPr>
                <w:b/>
                <w:spacing w:val="-2"/>
                <w:sz w:val="14"/>
              </w:rPr>
              <w:t>negociables</w:t>
            </w:r>
          </w:p>
        </w:tc>
        <w:tc>
          <w:tcPr>
            <w:tcW w:w="2328" w:type="dxa"/>
            <w:gridSpan w:val="2"/>
          </w:tcPr>
          <w:p>
            <w:pPr>
              <w:pStyle w:val="TableParagraph"/>
              <w:spacing w:before="76"/>
              <w:rPr>
                <w:sz w:val="14"/>
              </w:rPr>
            </w:pPr>
          </w:p>
          <w:p>
            <w:pPr>
              <w:pStyle w:val="TableParagraph"/>
              <w:spacing w:before="1"/>
              <w:ind w:left="571"/>
              <w:rPr>
                <w:b/>
                <w:sz w:val="14"/>
              </w:rPr>
            </w:pPr>
            <w:r>
              <w:rPr>
                <w:b/>
                <w:sz w:val="14"/>
              </w:rPr>
              <w:t>Derivados</w:t>
            </w:r>
            <w:r>
              <w:rPr>
                <w:b/>
                <w:spacing w:val="-3"/>
                <w:sz w:val="14"/>
              </w:rPr>
              <w:t> </w:t>
            </w:r>
            <w:r>
              <w:rPr>
                <w:b/>
                <w:sz w:val="14"/>
              </w:rPr>
              <w:t>y</w:t>
            </w:r>
            <w:r>
              <w:rPr>
                <w:b/>
                <w:spacing w:val="-6"/>
                <w:sz w:val="14"/>
              </w:rPr>
              <w:t> </w:t>
            </w:r>
            <w:r>
              <w:rPr>
                <w:b/>
                <w:spacing w:val="-2"/>
                <w:sz w:val="14"/>
              </w:rPr>
              <w:t>otros</w:t>
            </w:r>
          </w:p>
        </w:tc>
        <w:tc>
          <w:tcPr>
            <w:tcW w:w="2328" w:type="dxa"/>
            <w:gridSpan w:val="2"/>
          </w:tcPr>
          <w:p>
            <w:pPr>
              <w:pStyle w:val="TableParagraph"/>
              <w:spacing w:before="76"/>
              <w:rPr>
                <w:sz w:val="14"/>
              </w:rPr>
            </w:pPr>
          </w:p>
          <w:p>
            <w:pPr>
              <w:pStyle w:val="TableParagraph"/>
              <w:spacing w:before="1"/>
              <w:ind w:left="18"/>
              <w:jc w:val="center"/>
              <w:rPr>
                <w:b/>
                <w:sz w:val="14"/>
              </w:rPr>
            </w:pPr>
            <w:r>
              <w:rPr>
                <w:b/>
                <w:spacing w:val="-2"/>
                <w:sz w:val="14"/>
              </w:rPr>
              <w:t>TOTAL</w:t>
            </w:r>
          </w:p>
        </w:tc>
      </w:tr>
      <w:tr>
        <w:trPr>
          <w:trHeight w:val="301" w:hRule="atLeast"/>
        </w:trPr>
        <w:tc>
          <w:tcPr>
            <w:tcW w:w="1512" w:type="dxa"/>
            <w:gridSpan w:val="2"/>
            <w:vMerge/>
            <w:tcBorders>
              <w:top w:val="nil"/>
              <w:left w:val="nil"/>
            </w:tcBorders>
          </w:tcPr>
          <w:p>
            <w:pPr>
              <w:rPr>
                <w:sz w:val="2"/>
                <w:szCs w:val="2"/>
              </w:rPr>
            </w:pPr>
          </w:p>
        </w:tc>
        <w:tc>
          <w:tcPr>
            <w:tcW w:w="1164" w:type="dxa"/>
          </w:tcPr>
          <w:p>
            <w:pPr>
              <w:pStyle w:val="TableParagraph"/>
              <w:spacing w:before="53"/>
              <w:ind w:left="24" w:right="7"/>
              <w:jc w:val="center"/>
              <w:rPr>
                <w:b/>
                <w:sz w:val="16"/>
              </w:rPr>
            </w:pPr>
            <w:r>
              <w:rPr>
                <w:b/>
                <w:spacing w:val="-4"/>
                <w:sz w:val="16"/>
              </w:rPr>
              <w:t>2025</w:t>
            </w:r>
          </w:p>
        </w:tc>
        <w:tc>
          <w:tcPr>
            <w:tcW w:w="1075" w:type="dxa"/>
          </w:tcPr>
          <w:p>
            <w:pPr>
              <w:pStyle w:val="TableParagraph"/>
              <w:spacing w:before="53"/>
              <w:ind w:left="25" w:right="7"/>
              <w:jc w:val="center"/>
              <w:rPr>
                <w:b/>
                <w:sz w:val="16"/>
              </w:rPr>
            </w:pPr>
            <w:r>
              <w:rPr>
                <w:b/>
                <w:spacing w:val="-4"/>
                <w:sz w:val="16"/>
              </w:rPr>
              <w:t>2024</w:t>
            </w:r>
          </w:p>
        </w:tc>
        <w:tc>
          <w:tcPr>
            <w:tcW w:w="511" w:type="dxa"/>
          </w:tcPr>
          <w:p>
            <w:pPr>
              <w:pStyle w:val="TableParagraph"/>
              <w:spacing w:before="53"/>
              <w:ind w:left="77"/>
              <w:rPr>
                <w:b/>
                <w:sz w:val="16"/>
              </w:rPr>
            </w:pPr>
            <w:r>
              <w:rPr>
                <w:b/>
                <w:spacing w:val="-4"/>
                <w:sz w:val="16"/>
              </w:rPr>
              <w:t>2025</w:t>
            </w:r>
          </w:p>
        </w:tc>
        <w:tc>
          <w:tcPr>
            <w:tcW w:w="509" w:type="dxa"/>
          </w:tcPr>
          <w:p>
            <w:pPr>
              <w:pStyle w:val="TableParagraph"/>
              <w:spacing w:before="53"/>
              <w:ind w:left="76"/>
              <w:rPr>
                <w:b/>
                <w:sz w:val="16"/>
              </w:rPr>
            </w:pPr>
            <w:r>
              <w:rPr>
                <w:b/>
                <w:spacing w:val="-4"/>
                <w:sz w:val="16"/>
              </w:rPr>
              <w:t>2024</w:t>
            </w:r>
          </w:p>
        </w:tc>
        <w:tc>
          <w:tcPr>
            <w:tcW w:w="1164" w:type="dxa"/>
          </w:tcPr>
          <w:p>
            <w:pPr>
              <w:pStyle w:val="TableParagraph"/>
              <w:spacing w:before="53"/>
              <w:ind w:left="24" w:right="7"/>
              <w:jc w:val="center"/>
              <w:rPr>
                <w:b/>
                <w:sz w:val="16"/>
              </w:rPr>
            </w:pPr>
            <w:r>
              <w:rPr>
                <w:b/>
                <w:spacing w:val="-4"/>
                <w:sz w:val="16"/>
              </w:rPr>
              <w:t>2025</w:t>
            </w:r>
          </w:p>
        </w:tc>
        <w:tc>
          <w:tcPr>
            <w:tcW w:w="1164" w:type="dxa"/>
          </w:tcPr>
          <w:p>
            <w:pPr>
              <w:pStyle w:val="TableParagraph"/>
              <w:spacing w:before="53"/>
              <w:ind w:left="24" w:right="8"/>
              <w:jc w:val="center"/>
              <w:rPr>
                <w:b/>
                <w:sz w:val="16"/>
              </w:rPr>
            </w:pPr>
            <w:r>
              <w:rPr>
                <w:b/>
                <w:spacing w:val="-4"/>
                <w:sz w:val="16"/>
              </w:rPr>
              <w:t>2024</w:t>
            </w:r>
          </w:p>
        </w:tc>
        <w:tc>
          <w:tcPr>
            <w:tcW w:w="1164" w:type="dxa"/>
          </w:tcPr>
          <w:p>
            <w:pPr>
              <w:pStyle w:val="TableParagraph"/>
              <w:spacing w:before="53"/>
              <w:ind w:left="24" w:right="7"/>
              <w:jc w:val="center"/>
              <w:rPr>
                <w:b/>
                <w:sz w:val="16"/>
              </w:rPr>
            </w:pPr>
            <w:r>
              <w:rPr>
                <w:b/>
                <w:spacing w:val="-4"/>
                <w:sz w:val="16"/>
              </w:rPr>
              <w:t>2025</w:t>
            </w:r>
          </w:p>
        </w:tc>
        <w:tc>
          <w:tcPr>
            <w:tcW w:w="1164" w:type="dxa"/>
          </w:tcPr>
          <w:p>
            <w:pPr>
              <w:pStyle w:val="TableParagraph"/>
              <w:spacing w:before="53"/>
              <w:ind w:left="24" w:right="8"/>
              <w:jc w:val="center"/>
              <w:rPr>
                <w:b/>
                <w:sz w:val="16"/>
              </w:rPr>
            </w:pPr>
            <w:r>
              <w:rPr>
                <w:b/>
                <w:spacing w:val="-4"/>
                <w:sz w:val="16"/>
              </w:rPr>
              <w:t>2024</w:t>
            </w:r>
          </w:p>
        </w:tc>
      </w:tr>
      <w:tr>
        <w:trPr>
          <w:trHeight w:val="551" w:hRule="atLeast"/>
        </w:trPr>
        <w:tc>
          <w:tcPr>
            <w:tcW w:w="336" w:type="dxa"/>
            <w:vMerge w:val="restart"/>
            <w:textDirection w:val="btLr"/>
          </w:tcPr>
          <w:p>
            <w:pPr>
              <w:pStyle w:val="TableParagraph"/>
              <w:spacing w:before="72"/>
              <w:ind w:left="674"/>
              <w:rPr>
                <w:b/>
                <w:sz w:val="16"/>
              </w:rPr>
            </w:pPr>
            <w:r>
              <w:rPr>
                <w:b/>
                <w:spacing w:val="-2"/>
                <w:sz w:val="16"/>
              </w:rPr>
              <w:t>CATEGORIAS</w:t>
            </w:r>
          </w:p>
        </w:tc>
        <w:tc>
          <w:tcPr>
            <w:tcW w:w="1176" w:type="dxa"/>
          </w:tcPr>
          <w:p>
            <w:pPr>
              <w:pStyle w:val="TableParagraph"/>
              <w:tabs>
                <w:tab w:pos="1028" w:val="left" w:leader="none"/>
              </w:tabs>
              <w:spacing w:line="180" w:lineRule="exact"/>
              <w:ind w:left="69"/>
              <w:rPr>
                <w:sz w:val="16"/>
              </w:rPr>
            </w:pPr>
            <w:r>
              <w:rPr>
                <w:spacing w:val="-2"/>
                <w:sz w:val="16"/>
              </w:rPr>
              <w:t>Débitos</w:t>
            </w:r>
            <w:r>
              <w:rPr>
                <w:sz w:val="16"/>
              </w:rPr>
              <w:tab/>
            </w:r>
            <w:r>
              <w:rPr>
                <w:spacing w:val="-10"/>
                <w:sz w:val="16"/>
              </w:rPr>
              <w:t>y</w:t>
            </w:r>
          </w:p>
          <w:p>
            <w:pPr>
              <w:pStyle w:val="TableParagraph"/>
              <w:tabs>
                <w:tab w:pos="1019" w:val="left" w:leader="none"/>
              </w:tabs>
              <w:spacing w:line="182" w:lineRule="exact"/>
              <w:ind w:left="69" w:right="45"/>
              <w:rPr>
                <w:sz w:val="16"/>
              </w:rPr>
            </w:pPr>
            <w:r>
              <w:rPr>
                <w:spacing w:val="-2"/>
                <w:sz w:val="16"/>
              </w:rPr>
              <w:t>partidas</w:t>
            </w:r>
            <w:r>
              <w:rPr>
                <w:sz w:val="16"/>
              </w:rPr>
              <w:tab/>
            </w:r>
            <w:r>
              <w:rPr>
                <w:spacing w:val="-10"/>
                <w:sz w:val="16"/>
              </w:rPr>
              <w:t>a</w:t>
            </w:r>
            <w:r>
              <w:rPr>
                <w:spacing w:val="-2"/>
                <w:sz w:val="16"/>
              </w:rPr>
              <w:t> pagar</w:t>
            </w:r>
          </w:p>
        </w:tc>
        <w:tc>
          <w:tcPr>
            <w:tcW w:w="1164" w:type="dxa"/>
          </w:tcPr>
          <w:p>
            <w:pPr>
              <w:pStyle w:val="TableParagraph"/>
              <w:spacing w:before="180"/>
              <w:ind w:left="24"/>
              <w:jc w:val="center"/>
              <w:rPr>
                <w:sz w:val="16"/>
              </w:rPr>
            </w:pPr>
            <w:r>
              <w:rPr>
                <w:spacing w:val="-2"/>
                <w:sz w:val="16"/>
              </w:rPr>
              <w:t>10.108.740,17</w:t>
            </w:r>
          </w:p>
        </w:tc>
        <w:tc>
          <w:tcPr>
            <w:tcW w:w="1075" w:type="dxa"/>
          </w:tcPr>
          <w:p>
            <w:pPr>
              <w:pStyle w:val="TableParagraph"/>
              <w:spacing w:before="180"/>
              <w:ind w:left="25"/>
              <w:jc w:val="center"/>
              <w:rPr>
                <w:sz w:val="16"/>
              </w:rPr>
            </w:pPr>
            <w:r>
              <w:rPr>
                <w:spacing w:val="-2"/>
                <w:sz w:val="16"/>
              </w:rPr>
              <w:t>6.743.681,89</w:t>
            </w: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1164" w:type="dxa"/>
          </w:tcPr>
          <w:p>
            <w:pPr>
              <w:pStyle w:val="TableParagraph"/>
              <w:spacing w:before="180"/>
              <w:ind w:left="24"/>
              <w:jc w:val="center"/>
              <w:rPr>
                <w:sz w:val="16"/>
              </w:rPr>
            </w:pPr>
            <w:r>
              <w:rPr>
                <w:spacing w:val="-2"/>
                <w:sz w:val="16"/>
              </w:rPr>
              <w:t>12.413.622,89</w:t>
            </w:r>
          </w:p>
        </w:tc>
        <w:tc>
          <w:tcPr>
            <w:tcW w:w="1164" w:type="dxa"/>
          </w:tcPr>
          <w:p>
            <w:pPr>
              <w:pStyle w:val="TableParagraph"/>
              <w:spacing w:before="180"/>
              <w:ind w:left="24"/>
              <w:jc w:val="center"/>
              <w:rPr>
                <w:sz w:val="16"/>
              </w:rPr>
            </w:pPr>
            <w:r>
              <w:rPr>
                <w:spacing w:val="-2"/>
                <w:sz w:val="16"/>
              </w:rPr>
              <w:t>11.602.974,84</w:t>
            </w:r>
          </w:p>
        </w:tc>
        <w:tc>
          <w:tcPr>
            <w:tcW w:w="1164" w:type="dxa"/>
          </w:tcPr>
          <w:p>
            <w:pPr>
              <w:pStyle w:val="TableParagraph"/>
              <w:spacing w:before="178"/>
              <w:ind w:left="24"/>
              <w:jc w:val="center"/>
              <w:rPr>
                <w:b/>
                <w:sz w:val="16"/>
              </w:rPr>
            </w:pPr>
            <w:r>
              <w:rPr>
                <w:b/>
                <w:spacing w:val="-2"/>
                <w:sz w:val="16"/>
              </w:rPr>
              <w:t>22.522.363,06</w:t>
            </w:r>
          </w:p>
        </w:tc>
        <w:tc>
          <w:tcPr>
            <w:tcW w:w="1164" w:type="dxa"/>
          </w:tcPr>
          <w:p>
            <w:pPr>
              <w:pStyle w:val="TableParagraph"/>
              <w:spacing w:before="178"/>
              <w:ind w:left="24"/>
              <w:jc w:val="center"/>
              <w:rPr>
                <w:b/>
                <w:sz w:val="16"/>
              </w:rPr>
            </w:pPr>
            <w:r>
              <w:rPr>
                <w:b/>
                <w:spacing w:val="-2"/>
                <w:sz w:val="16"/>
              </w:rPr>
              <w:t>18.346.656,73</w:t>
            </w:r>
          </w:p>
        </w:tc>
      </w:tr>
      <w:tr>
        <w:trPr>
          <w:trHeight w:val="371" w:hRule="atLeast"/>
        </w:trPr>
        <w:tc>
          <w:tcPr>
            <w:tcW w:w="336" w:type="dxa"/>
            <w:vMerge/>
            <w:tcBorders>
              <w:top w:val="nil"/>
            </w:tcBorders>
            <w:textDirection w:val="btLr"/>
          </w:tcPr>
          <w:p>
            <w:pPr>
              <w:rPr>
                <w:sz w:val="2"/>
                <w:szCs w:val="2"/>
              </w:rPr>
            </w:pPr>
          </w:p>
        </w:tc>
        <w:tc>
          <w:tcPr>
            <w:tcW w:w="9091" w:type="dxa"/>
            <w:gridSpan w:val="9"/>
            <w:tcBorders>
              <w:right w:val="nil"/>
            </w:tcBorders>
          </w:tcPr>
          <w:p>
            <w:pPr>
              <w:pStyle w:val="TableParagraph"/>
              <w:spacing w:before="89"/>
              <w:ind w:left="69"/>
              <w:rPr>
                <w:sz w:val="16"/>
              </w:rPr>
            </w:pPr>
            <w:r>
              <w:rPr>
                <w:sz w:val="16"/>
              </w:rPr>
              <w:t>Pasivos</w:t>
            </w:r>
            <w:r>
              <w:rPr>
                <w:spacing w:val="-5"/>
                <w:sz w:val="16"/>
              </w:rPr>
              <w:t> </w:t>
            </w:r>
            <w:r>
              <w:rPr>
                <w:sz w:val="16"/>
              </w:rPr>
              <w:t>a</w:t>
            </w:r>
            <w:r>
              <w:rPr>
                <w:spacing w:val="-4"/>
                <w:sz w:val="16"/>
              </w:rPr>
              <w:t> </w:t>
            </w:r>
            <w:r>
              <w:rPr>
                <w:sz w:val="16"/>
              </w:rPr>
              <w:t>valor</w:t>
            </w:r>
            <w:r>
              <w:rPr>
                <w:spacing w:val="-4"/>
                <w:sz w:val="16"/>
              </w:rPr>
              <w:t> </w:t>
            </w:r>
            <w:r>
              <w:rPr>
                <w:sz w:val="16"/>
              </w:rPr>
              <w:t>razonable</w:t>
            </w:r>
            <w:r>
              <w:rPr>
                <w:spacing w:val="-6"/>
                <w:sz w:val="16"/>
              </w:rPr>
              <w:t> </w:t>
            </w:r>
            <w:r>
              <w:rPr>
                <w:sz w:val="16"/>
              </w:rPr>
              <w:t>con</w:t>
            </w:r>
            <w:r>
              <w:rPr>
                <w:spacing w:val="-7"/>
                <w:sz w:val="16"/>
              </w:rPr>
              <w:t> </w:t>
            </w:r>
            <w:r>
              <w:rPr>
                <w:sz w:val="16"/>
              </w:rPr>
              <w:t>cambio</w:t>
            </w:r>
            <w:r>
              <w:rPr>
                <w:spacing w:val="-5"/>
                <w:sz w:val="16"/>
              </w:rPr>
              <w:t> </w:t>
            </w:r>
            <w:r>
              <w:rPr>
                <w:sz w:val="16"/>
              </w:rPr>
              <w:t>en</w:t>
            </w:r>
            <w:r>
              <w:rPr>
                <w:spacing w:val="-2"/>
                <w:sz w:val="16"/>
              </w:rPr>
              <w:t> </w:t>
            </w:r>
            <w:r>
              <w:rPr>
                <w:sz w:val="16"/>
              </w:rPr>
              <w:t>pérdidas</w:t>
            </w:r>
            <w:r>
              <w:rPr>
                <w:spacing w:val="-3"/>
                <w:sz w:val="16"/>
              </w:rPr>
              <w:t> </w:t>
            </w:r>
            <w:r>
              <w:rPr>
                <w:sz w:val="16"/>
              </w:rPr>
              <w:t>y</w:t>
            </w:r>
            <w:r>
              <w:rPr>
                <w:spacing w:val="-4"/>
                <w:sz w:val="16"/>
              </w:rPr>
              <w:t> </w:t>
            </w:r>
            <w:r>
              <w:rPr>
                <w:sz w:val="16"/>
              </w:rPr>
              <w:t>ganancias,</w:t>
            </w:r>
            <w:r>
              <w:rPr>
                <w:spacing w:val="-2"/>
                <w:sz w:val="16"/>
              </w:rPr>
              <w:t> </w:t>
            </w:r>
            <w:r>
              <w:rPr>
                <w:sz w:val="16"/>
              </w:rPr>
              <w:t>del</w:t>
            </w:r>
            <w:r>
              <w:rPr>
                <w:spacing w:val="-5"/>
                <w:sz w:val="16"/>
              </w:rPr>
              <w:t> </w:t>
            </w:r>
            <w:r>
              <w:rPr>
                <w:spacing w:val="-4"/>
                <w:sz w:val="16"/>
              </w:rPr>
              <w:t>cual:</w:t>
            </w:r>
          </w:p>
        </w:tc>
      </w:tr>
      <w:tr>
        <w:trPr>
          <w:trHeight w:val="397" w:hRule="atLeast"/>
        </w:trPr>
        <w:tc>
          <w:tcPr>
            <w:tcW w:w="336" w:type="dxa"/>
            <w:vMerge/>
            <w:tcBorders>
              <w:top w:val="nil"/>
            </w:tcBorders>
            <w:textDirection w:val="btLr"/>
          </w:tcPr>
          <w:p>
            <w:pPr>
              <w:rPr>
                <w:sz w:val="2"/>
                <w:szCs w:val="2"/>
              </w:rPr>
            </w:pPr>
          </w:p>
        </w:tc>
        <w:tc>
          <w:tcPr>
            <w:tcW w:w="1176" w:type="dxa"/>
          </w:tcPr>
          <w:p>
            <w:pPr>
              <w:pStyle w:val="TableParagraph"/>
              <w:spacing w:line="180" w:lineRule="atLeast" w:before="9"/>
              <w:ind w:left="69"/>
              <w:rPr>
                <w:sz w:val="16"/>
              </w:rPr>
            </w:pPr>
            <w:r>
              <w:rPr>
                <w:sz w:val="16"/>
              </w:rPr>
              <w:t>—</w:t>
            </w:r>
            <w:r>
              <w:rPr>
                <w:spacing w:val="-12"/>
                <w:sz w:val="16"/>
              </w:rPr>
              <w:t> </w:t>
            </w:r>
            <w:r>
              <w:rPr>
                <w:sz w:val="16"/>
              </w:rPr>
              <w:t>Mantenidos para negociar</w:t>
            </w:r>
          </w:p>
        </w:tc>
        <w:tc>
          <w:tcPr>
            <w:tcW w:w="1164" w:type="dxa"/>
          </w:tcPr>
          <w:p>
            <w:pPr>
              <w:pStyle w:val="TableParagraph"/>
              <w:rPr>
                <w:rFonts w:ascii="Times New Roman"/>
                <w:sz w:val="16"/>
              </w:rPr>
            </w:pPr>
          </w:p>
        </w:tc>
        <w:tc>
          <w:tcPr>
            <w:tcW w:w="1075" w:type="dxa"/>
          </w:tcPr>
          <w:p>
            <w:pPr>
              <w:pStyle w:val="TableParagraph"/>
              <w:rPr>
                <w:rFonts w:ascii="Times New Roman"/>
                <w:sz w:val="16"/>
              </w:rPr>
            </w:pP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r>
      <w:tr>
        <w:trPr>
          <w:trHeight w:val="299" w:hRule="atLeast"/>
        </w:trPr>
        <w:tc>
          <w:tcPr>
            <w:tcW w:w="336" w:type="dxa"/>
            <w:vMerge/>
            <w:tcBorders>
              <w:top w:val="nil"/>
            </w:tcBorders>
            <w:textDirection w:val="btLr"/>
          </w:tcPr>
          <w:p>
            <w:pPr>
              <w:rPr>
                <w:sz w:val="2"/>
                <w:szCs w:val="2"/>
              </w:rPr>
            </w:pPr>
          </w:p>
        </w:tc>
        <w:tc>
          <w:tcPr>
            <w:tcW w:w="1176" w:type="dxa"/>
          </w:tcPr>
          <w:p>
            <w:pPr>
              <w:pStyle w:val="TableParagraph"/>
              <w:spacing w:before="53"/>
              <w:ind w:left="69"/>
              <w:rPr>
                <w:sz w:val="16"/>
              </w:rPr>
            </w:pPr>
            <w:r>
              <w:rPr>
                <w:sz w:val="16"/>
              </w:rPr>
              <w:t>— </w:t>
            </w:r>
            <w:r>
              <w:rPr>
                <w:spacing w:val="-2"/>
                <w:sz w:val="16"/>
              </w:rPr>
              <w:t>Otros</w:t>
            </w:r>
          </w:p>
        </w:tc>
        <w:tc>
          <w:tcPr>
            <w:tcW w:w="7915" w:type="dxa"/>
            <w:gridSpan w:val="8"/>
            <w:tcBorders>
              <w:right w:val="nil"/>
            </w:tcBorders>
          </w:tcPr>
          <w:p>
            <w:pPr>
              <w:pStyle w:val="TableParagraph"/>
              <w:rPr>
                <w:rFonts w:ascii="Times New Roman"/>
                <w:sz w:val="16"/>
              </w:rPr>
            </w:pPr>
          </w:p>
        </w:tc>
      </w:tr>
      <w:tr>
        <w:trPr>
          <w:trHeight w:val="395" w:hRule="atLeast"/>
        </w:trPr>
        <w:tc>
          <w:tcPr>
            <w:tcW w:w="336" w:type="dxa"/>
            <w:vMerge/>
            <w:tcBorders>
              <w:top w:val="nil"/>
            </w:tcBorders>
            <w:textDirection w:val="btLr"/>
          </w:tcPr>
          <w:p>
            <w:pPr>
              <w:rPr>
                <w:sz w:val="2"/>
                <w:szCs w:val="2"/>
              </w:rPr>
            </w:pPr>
          </w:p>
        </w:tc>
        <w:tc>
          <w:tcPr>
            <w:tcW w:w="1176" w:type="dxa"/>
          </w:tcPr>
          <w:p>
            <w:pPr>
              <w:pStyle w:val="TableParagraph"/>
              <w:spacing w:line="180" w:lineRule="atLeast" w:before="7"/>
              <w:ind w:left="69"/>
              <w:rPr>
                <w:sz w:val="16"/>
              </w:rPr>
            </w:pPr>
            <w:r>
              <w:rPr>
                <w:sz w:val="16"/>
              </w:rPr>
              <w:t>Derivados</w:t>
            </w:r>
            <w:r>
              <w:rPr>
                <w:spacing w:val="57"/>
                <w:sz w:val="16"/>
              </w:rPr>
              <w:t> </w:t>
            </w:r>
            <w:r>
              <w:rPr>
                <w:sz w:val="16"/>
              </w:rPr>
              <w:t>de </w:t>
            </w:r>
            <w:r>
              <w:rPr>
                <w:spacing w:val="-2"/>
                <w:sz w:val="16"/>
              </w:rPr>
              <w:t>cobertura</w:t>
            </w:r>
          </w:p>
        </w:tc>
        <w:tc>
          <w:tcPr>
            <w:tcW w:w="1164" w:type="dxa"/>
          </w:tcPr>
          <w:p>
            <w:pPr>
              <w:pStyle w:val="TableParagraph"/>
              <w:rPr>
                <w:rFonts w:ascii="Times New Roman"/>
                <w:sz w:val="16"/>
              </w:rPr>
            </w:pPr>
          </w:p>
        </w:tc>
        <w:tc>
          <w:tcPr>
            <w:tcW w:w="1075" w:type="dxa"/>
          </w:tcPr>
          <w:p>
            <w:pPr>
              <w:pStyle w:val="TableParagraph"/>
              <w:rPr>
                <w:rFonts w:ascii="Times New Roman"/>
                <w:sz w:val="16"/>
              </w:rPr>
            </w:pP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c>
          <w:tcPr>
            <w:tcW w:w="1164" w:type="dxa"/>
          </w:tcPr>
          <w:p>
            <w:pPr>
              <w:pStyle w:val="TableParagraph"/>
              <w:rPr>
                <w:rFonts w:ascii="Times New Roman"/>
                <w:sz w:val="16"/>
              </w:rPr>
            </w:pPr>
          </w:p>
        </w:tc>
      </w:tr>
      <w:tr>
        <w:trPr>
          <w:trHeight w:val="301" w:hRule="atLeast"/>
        </w:trPr>
        <w:tc>
          <w:tcPr>
            <w:tcW w:w="336" w:type="dxa"/>
            <w:vMerge/>
            <w:tcBorders>
              <w:top w:val="nil"/>
            </w:tcBorders>
            <w:textDirection w:val="btLr"/>
          </w:tcPr>
          <w:p>
            <w:pPr>
              <w:rPr>
                <w:sz w:val="2"/>
                <w:szCs w:val="2"/>
              </w:rPr>
            </w:pPr>
          </w:p>
        </w:tc>
        <w:tc>
          <w:tcPr>
            <w:tcW w:w="1176" w:type="dxa"/>
          </w:tcPr>
          <w:p>
            <w:pPr>
              <w:pStyle w:val="TableParagraph"/>
              <w:spacing w:before="53"/>
              <w:ind w:left="321"/>
              <w:rPr>
                <w:b/>
                <w:sz w:val="16"/>
              </w:rPr>
            </w:pPr>
            <w:r>
              <w:rPr>
                <w:b/>
                <w:spacing w:val="-2"/>
                <w:sz w:val="16"/>
              </w:rPr>
              <w:t>TOTAL</w:t>
            </w:r>
          </w:p>
        </w:tc>
        <w:tc>
          <w:tcPr>
            <w:tcW w:w="1164" w:type="dxa"/>
          </w:tcPr>
          <w:p>
            <w:pPr>
              <w:pStyle w:val="TableParagraph"/>
              <w:spacing w:before="53"/>
              <w:ind w:left="24" w:right="1"/>
              <w:jc w:val="center"/>
              <w:rPr>
                <w:b/>
                <w:sz w:val="16"/>
              </w:rPr>
            </w:pPr>
            <w:r>
              <w:rPr>
                <w:b/>
                <w:spacing w:val="-2"/>
                <w:sz w:val="16"/>
              </w:rPr>
              <w:t>10.108.740,17</w:t>
            </w:r>
          </w:p>
        </w:tc>
        <w:tc>
          <w:tcPr>
            <w:tcW w:w="1075" w:type="dxa"/>
          </w:tcPr>
          <w:p>
            <w:pPr>
              <w:pStyle w:val="TableParagraph"/>
              <w:spacing w:before="53"/>
              <w:ind w:left="25"/>
              <w:jc w:val="center"/>
              <w:rPr>
                <w:b/>
                <w:sz w:val="16"/>
              </w:rPr>
            </w:pPr>
            <w:r>
              <w:rPr>
                <w:b/>
                <w:spacing w:val="-2"/>
                <w:sz w:val="16"/>
              </w:rPr>
              <w:t>6.743.681,89</w:t>
            </w:r>
          </w:p>
        </w:tc>
        <w:tc>
          <w:tcPr>
            <w:tcW w:w="511" w:type="dxa"/>
          </w:tcPr>
          <w:p>
            <w:pPr>
              <w:pStyle w:val="TableParagraph"/>
              <w:rPr>
                <w:rFonts w:ascii="Times New Roman"/>
                <w:sz w:val="16"/>
              </w:rPr>
            </w:pPr>
          </w:p>
        </w:tc>
        <w:tc>
          <w:tcPr>
            <w:tcW w:w="509" w:type="dxa"/>
          </w:tcPr>
          <w:p>
            <w:pPr>
              <w:pStyle w:val="TableParagraph"/>
              <w:rPr>
                <w:rFonts w:ascii="Times New Roman"/>
                <w:sz w:val="16"/>
              </w:rPr>
            </w:pPr>
          </w:p>
        </w:tc>
        <w:tc>
          <w:tcPr>
            <w:tcW w:w="1164" w:type="dxa"/>
          </w:tcPr>
          <w:p>
            <w:pPr>
              <w:pStyle w:val="TableParagraph"/>
              <w:spacing w:before="53"/>
              <w:ind w:left="24"/>
              <w:jc w:val="center"/>
              <w:rPr>
                <w:b/>
                <w:sz w:val="16"/>
              </w:rPr>
            </w:pPr>
            <w:r>
              <w:rPr>
                <w:b/>
                <w:spacing w:val="-2"/>
                <w:sz w:val="16"/>
              </w:rPr>
              <w:t>12.413.622,89</w:t>
            </w:r>
          </w:p>
        </w:tc>
        <w:tc>
          <w:tcPr>
            <w:tcW w:w="1164" w:type="dxa"/>
          </w:tcPr>
          <w:p>
            <w:pPr>
              <w:pStyle w:val="TableParagraph"/>
              <w:spacing w:before="53"/>
              <w:ind w:left="24"/>
              <w:jc w:val="center"/>
              <w:rPr>
                <w:b/>
                <w:sz w:val="16"/>
              </w:rPr>
            </w:pPr>
            <w:r>
              <w:rPr>
                <w:b/>
                <w:spacing w:val="-2"/>
                <w:sz w:val="16"/>
              </w:rPr>
              <w:t>11.602.974,84</w:t>
            </w:r>
          </w:p>
        </w:tc>
        <w:tc>
          <w:tcPr>
            <w:tcW w:w="1164" w:type="dxa"/>
          </w:tcPr>
          <w:p>
            <w:pPr>
              <w:pStyle w:val="TableParagraph"/>
              <w:spacing w:before="53"/>
              <w:ind w:left="24"/>
              <w:jc w:val="center"/>
              <w:rPr>
                <w:b/>
                <w:sz w:val="16"/>
              </w:rPr>
            </w:pPr>
            <w:r>
              <w:rPr>
                <w:b/>
                <w:spacing w:val="-2"/>
                <w:sz w:val="16"/>
              </w:rPr>
              <w:t>22.522.363,06</w:t>
            </w:r>
          </w:p>
        </w:tc>
        <w:tc>
          <w:tcPr>
            <w:tcW w:w="1164" w:type="dxa"/>
          </w:tcPr>
          <w:p>
            <w:pPr>
              <w:pStyle w:val="TableParagraph"/>
              <w:spacing w:before="53"/>
              <w:ind w:left="24"/>
              <w:jc w:val="center"/>
              <w:rPr>
                <w:b/>
                <w:sz w:val="16"/>
              </w:rPr>
            </w:pPr>
            <w:r>
              <w:rPr>
                <w:b/>
                <w:spacing w:val="-2"/>
                <w:sz w:val="16"/>
              </w:rPr>
              <w:t>18.346.656,73</w:t>
            </w:r>
          </w:p>
        </w:tc>
      </w:tr>
    </w:tbl>
    <w:p>
      <w:pPr>
        <w:pStyle w:val="BodyText"/>
      </w:pPr>
    </w:p>
    <w:p>
      <w:pPr>
        <w:pStyle w:val="BodyText"/>
        <w:ind w:left="1908"/>
      </w:pPr>
      <w:r>
        <w:rPr/>
        <w:t>Las</w:t>
      </w:r>
      <w:r>
        <w:rPr>
          <w:spacing w:val="-6"/>
        </w:rPr>
        <w:t> </w:t>
      </w:r>
      <w:r>
        <w:rPr/>
        <w:t>deudas</w:t>
      </w:r>
      <w:r>
        <w:rPr>
          <w:spacing w:val="-6"/>
        </w:rPr>
        <w:t> </w:t>
      </w:r>
      <w:r>
        <w:rPr/>
        <w:t>con</w:t>
      </w:r>
      <w:r>
        <w:rPr>
          <w:spacing w:val="-7"/>
        </w:rPr>
        <w:t> </w:t>
      </w:r>
      <w:r>
        <w:rPr/>
        <w:t>entidades</w:t>
      </w:r>
      <w:r>
        <w:rPr>
          <w:spacing w:val="-4"/>
        </w:rPr>
        <w:t> </w:t>
      </w:r>
      <w:r>
        <w:rPr/>
        <w:t>de</w:t>
      </w:r>
      <w:r>
        <w:rPr>
          <w:spacing w:val="-7"/>
        </w:rPr>
        <w:t> </w:t>
      </w:r>
      <w:r>
        <w:rPr/>
        <w:t>crédito</w:t>
      </w:r>
      <w:r>
        <w:rPr>
          <w:spacing w:val="-8"/>
        </w:rPr>
        <w:t> </w:t>
      </w:r>
      <w:r>
        <w:rPr/>
        <w:t>presentan</w:t>
      </w:r>
      <w:r>
        <w:rPr>
          <w:spacing w:val="-8"/>
        </w:rPr>
        <w:t> </w:t>
      </w:r>
      <w:r>
        <w:rPr/>
        <w:t>el</w:t>
      </w:r>
      <w:r>
        <w:rPr>
          <w:spacing w:val="-9"/>
        </w:rPr>
        <w:t> </w:t>
      </w:r>
      <w:r>
        <w:rPr/>
        <w:t>siguiente</w:t>
      </w:r>
      <w:r>
        <w:rPr>
          <w:spacing w:val="-7"/>
        </w:rPr>
        <w:t> </w:t>
      </w:r>
      <w:r>
        <w:rPr>
          <w:spacing w:val="-2"/>
        </w:rPr>
        <w:t>desglose:</w:t>
      </w:r>
    </w:p>
    <w:p>
      <w:pPr>
        <w:tabs>
          <w:tab w:pos="508" w:val="left" w:leader="none"/>
          <w:tab w:pos="1927" w:val="left" w:leader="none"/>
          <w:tab w:pos="2839" w:val="left" w:leader="none"/>
        </w:tabs>
        <w:spacing w:before="120"/>
        <w:ind w:left="0" w:right="1541" w:firstLine="0"/>
        <w:jc w:val="right"/>
        <w:rPr>
          <w:b/>
          <w:sz w:val="18"/>
        </w:rPr>
      </w:pPr>
      <w:r>
        <w:rPr>
          <w:rFonts w:ascii="Times New Roman"/>
          <w:sz w:val="18"/>
          <w:u w:val="single"/>
        </w:rPr>
        <w:tab/>
      </w:r>
      <w:r>
        <w:rPr>
          <w:b/>
          <w:spacing w:val="-4"/>
          <w:sz w:val="18"/>
          <w:u w:val="single"/>
        </w:rPr>
        <w:t>2025</w:t>
      </w:r>
      <w:r>
        <w:rPr>
          <w:b/>
          <w:sz w:val="18"/>
          <w:u w:val="single"/>
        </w:rPr>
        <w:tab/>
      </w:r>
      <w:r>
        <w:rPr>
          <w:b/>
          <w:spacing w:val="-4"/>
          <w:sz w:val="18"/>
          <w:u w:val="single"/>
        </w:rPr>
        <w:t>2024</w:t>
      </w:r>
      <w:r>
        <w:rPr>
          <w:b/>
          <w:sz w:val="18"/>
          <w:u w:val="single"/>
        </w:rPr>
        <w:tab/>
      </w:r>
    </w:p>
    <w:p>
      <w:pPr>
        <w:tabs>
          <w:tab w:pos="5387" w:val="left" w:leader="none"/>
          <w:tab w:pos="6806" w:val="left" w:leader="none"/>
        </w:tabs>
        <w:spacing w:before="122"/>
        <w:ind w:left="0" w:right="1612" w:firstLine="0"/>
        <w:jc w:val="right"/>
        <w:rPr>
          <w:sz w:val="18"/>
        </w:rPr>
      </w:pPr>
      <w:r>
        <w:rPr>
          <w:sz w:val="18"/>
        </w:rPr>
        <w:t>Préstamos</w:t>
      </w:r>
      <w:r>
        <w:rPr>
          <w:spacing w:val="-3"/>
          <w:sz w:val="18"/>
        </w:rPr>
        <w:t> </w:t>
      </w:r>
      <w:r>
        <w:rPr>
          <w:sz w:val="18"/>
        </w:rPr>
        <w:t>con</w:t>
      </w:r>
      <w:r>
        <w:rPr>
          <w:spacing w:val="-4"/>
          <w:sz w:val="18"/>
        </w:rPr>
        <w:t> </w:t>
      </w:r>
      <w:r>
        <w:rPr>
          <w:sz w:val="18"/>
        </w:rPr>
        <w:t>garantía</w:t>
      </w:r>
      <w:r>
        <w:rPr>
          <w:spacing w:val="-1"/>
          <w:sz w:val="18"/>
        </w:rPr>
        <w:t> </w:t>
      </w:r>
      <w:r>
        <w:rPr>
          <w:spacing w:val="-2"/>
          <w:sz w:val="18"/>
        </w:rPr>
        <w:t>personal</w:t>
      </w:r>
      <w:r>
        <w:rPr>
          <w:sz w:val="18"/>
        </w:rPr>
        <w:tab/>
      </w:r>
      <w:r>
        <w:rPr>
          <w:spacing w:val="-2"/>
          <w:sz w:val="18"/>
        </w:rPr>
        <w:t>28.576.893,39</w:t>
      </w:r>
      <w:r>
        <w:rPr>
          <w:sz w:val="18"/>
        </w:rPr>
        <w:tab/>
      </w:r>
      <w:r>
        <w:rPr>
          <w:spacing w:val="-2"/>
          <w:sz w:val="18"/>
        </w:rPr>
        <w:t>16.221.637,02</w:t>
      </w:r>
    </w:p>
    <w:p>
      <w:pPr>
        <w:pStyle w:val="BodyText"/>
        <w:spacing w:before="2"/>
        <w:rPr>
          <w:sz w:val="12"/>
        </w:rPr>
      </w:pPr>
    </w:p>
    <w:p>
      <w:pPr>
        <w:pStyle w:val="BodyText"/>
        <w:spacing w:after="0"/>
        <w:rPr>
          <w:sz w:val="12"/>
        </w:rPr>
        <w:sectPr>
          <w:pgSz w:w="11910" w:h="16840"/>
          <w:pgMar w:header="286" w:footer="1060" w:top="1920" w:bottom="1260" w:left="360" w:right="360"/>
        </w:sectPr>
      </w:pPr>
    </w:p>
    <w:p>
      <w:pPr>
        <w:spacing w:before="121"/>
        <w:ind w:left="1612" w:right="0" w:firstLine="0"/>
        <w:jc w:val="left"/>
        <w:rPr>
          <w:sz w:val="18"/>
        </w:rPr>
      </w:pPr>
      <w:r>
        <w:rPr>
          <w:sz w:val="18"/>
        </w:rPr>
        <w:t>Préstamo</w:t>
      </w:r>
      <w:r>
        <w:rPr>
          <w:spacing w:val="-4"/>
          <w:sz w:val="18"/>
        </w:rPr>
        <w:t> </w:t>
      </w:r>
      <w:r>
        <w:rPr>
          <w:sz w:val="18"/>
        </w:rPr>
        <w:t>Banco</w:t>
      </w:r>
      <w:r>
        <w:rPr>
          <w:spacing w:val="-3"/>
          <w:sz w:val="18"/>
        </w:rPr>
        <w:t> </w:t>
      </w:r>
      <w:r>
        <w:rPr>
          <w:sz w:val="18"/>
        </w:rPr>
        <w:t>Europeo</w:t>
      </w:r>
      <w:r>
        <w:rPr>
          <w:spacing w:val="-3"/>
          <w:sz w:val="18"/>
        </w:rPr>
        <w:t> </w:t>
      </w:r>
      <w:r>
        <w:rPr>
          <w:spacing w:val="-5"/>
          <w:sz w:val="18"/>
        </w:rPr>
        <w:t>de</w:t>
      </w:r>
    </w:p>
    <w:p>
      <w:pPr>
        <w:tabs>
          <w:tab w:pos="3031" w:val="left" w:leader="none"/>
        </w:tabs>
        <w:spacing w:before="95"/>
        <w:ind w:left="1612" w:right="0" w:firstLine="0"/>
        <w:jc w:val="left"/>
        <w:rPr>
          <w:sz w:val="18"/>
        </w:rPr>
      </w:pPr>
      <w:r>
        <w:rPr/>
        <w:br w:type="column"/>
      </w:r>
      <w:r>
        <w:rPr>
          <w:spacing w:val="-2"/>
          <w:sz w:val="18"/>
        </w:rPr>
        <w:t>46.622.010,05</w:t>
      </w:r>
      <w:r>
        <w:rPr>
          <w:sz w:val="18"/>
        </w:rPr>
        <w:tab/>
      </w:r>
      <w:r>
        <w:rPr>
          <w:spacing w:val="-2"/>
          <w:sz w:val="18"/>
        </w:rPr>
        <w:t>47.450.318,21</w:t>
      </w:r>
    </w:p>
    <w:p>
      <w:pPr>
        <w:spacing w:after="0"/>
        <w:jc w:val="left"/>
        <w:rPr>
          <w:sz w:val="18"/>
        </w:rPr>
        <w:sectPr>
          <w:type w:val="continuous"/>
          <w:pgSz w:w="11910" w:h="16840"/>
          <w:pgMar w:header="286" w:footer="1060" w:top="1700" w:bottom="1040" w:left="360" w:right="360"/>
          <w:cols w:num="2" w:equalWidth="0">
            <w:col w:w="3965" w:space="1423"/>
            <w:col w:w="5802"/>
          </w:cols>
        </w:sectPr>
      </w:pPr>
    </w:p>
    <w:p>
      <w:pPr>
        <w:tabs>
          <w:tab w:pos="5301" w:val="left" w:leader="none"/>
          <w:tab w:pos="8182" w:val="left" w:leader="none"/>
        </w:tabs>
        <w:spacing w:before="2"/>
        <w:ind w:left="110" w:right="0" w:firstLine="0"/>
        <w:jc w:val="center"/>
        <w:rPr>
          <w:rFonts w:ascii="Times New Roman"/>
          <w:sz w:val="18"/>
        </w:rPr>
      </w:pPr>
      <w:r>
        <w:rPr>
          <w:sz w:val="18"/>
        </w:rPr>
        <w:t>inversiones</w:t>
      </w:r>
      <w:r>
        <w:rPr>
          <w:spacing w:val="-3"/>
          <w:sz w:val="18"/>
        </w:rPr>
        <w:t> </w:t>
      </w:r>
      <w:r>
        <w:rPr>
          <w:spacing w:val="-5"/>
          <w:sz w:val="18"/>
        </w:rPr>
        <w:t>BEI</w:t>
      </w:r>
      <w:r>
        <w:rPr>
          <w:sz w:val="18"/>
        </w:rPr>
        <w:tab/>
      </w:r>
      <w:r>
        <w:rPr>
          <w:rFonts w:ascii="Times New Roman"/>
          <w:sz w:val="18"/>
          <w:u w:val="single"/>
        </w:rPr>
        <w:tab/>
      </w:r>
    </w:p>
    <w:p>
      <w:pPr>
        <w:tabs>
          <w:tab w:pos="6789" w:val="left" w:leader="none"/>
          <w:tab w:pos="8419" w:val="left" w:leader="none"/>
        </w:tabs>
        <w:spacing w:before="112"/>
        <w:ind w:left="5673" w:right="0" w:firstLine="0"/>
        <w:jc w:val="left"/>
        <w:rPr>
          <w:b/>
          <w:sz w:val="18"/>
        </w:rPr>
      </w:pPr>
      <w:r>
        <w:rPr>
          <w:b/>
          <w:spacing w:val="-2"/>
          <w:sz w:val="18"/>
        </w:rPr>
        <w:t>Total</w:t>
      </w:r>
      <w:r>
        <w:rPr>
          <w:b/>
          <w:sz w:val="18"/>
        </w:rPr>
        <w:tab/>
      </w:r>
      <w:r>
        <w:rPr>
          <w:b/>
          <w:spacing w:val="80"/>
          <w:w w:val="150"/>
          <w:sz w:val="18"/>
          <w:u w:val="single"/>
        </w:rPr>
        <w:t> </w:t>
      </w:r>
      <w:r>
        <w:rPr>
          <w:b/>
          <w:sz w:val="18"/>
          <w:u w:val="single"/>
        </w:rPr>
        <w:t>75.198.903,44</w:t>
        <w:tab/>
      </w:r>
      <w:r>
        <w:rPr>
          <w:b/>
          <w:spacing w:val="-2"/>
          <w:sz w:val="18"/>
          <w:u w:val="single"/>
        </w:rPr>
        <w:t>63.671.955,23</w:t>
      </w:r>
    </w:p>
    <w:p>
      <w:pPr>
        <w:spacing w:after="0"/>
        <w:jc w:val="left"/>
        <w:rPr>
          <w:b/>
          <w:sz w:val="18"/>
        </w:rPr>
        <w:sectPr>
          <w:type w:val="continuous"/>
          <w:pgSz w:w="11910" w:h="16840"/>
          <w:pgMar w:header="286" w:footer="1060" w:top="1700" w:bottom="1040" w:left="360" w:right="360"/>
        </w:sectPr>
      </w:pPr>
    </w:p>
    <w:p>
      <w:pPr>
        <w:pStyle w:val="BodyText"/>
        <w:rPr>
          <w:b/>
        </w:rPr>
      </w:pPr>
    </w:p>
    <w:p>
      <w:pPr>
        <w:pStyle w:val="BodyText"/>
        <w:rPr>
          <w:b/>
        </w:rPr>
      </w:pPr>
    </w:p>
    <w:p>
      <w:pPr>
        <w:pStyle w:val="BodyText"/>
        <w:spacing w:before="200"/>
        <w:rPr>
          <w:b/>
        </w:rPr>
      </w:pPr>
    </w:p>
    <w:p>
      <w:pPr>
        <w:pStyle w:val="ListParagraph"/>
        <w:numPr>
          <w:ilvl w:val="0"/>
          <w:numId w:val="18"/>
        </w:numPr>
        <w:tabs>
          <w:tab w:pos="2153" w:val="left" w:leader="none"/>
          <w:tab w:pos="2155" w:val="left" w:leader="none"/>
        </w:tabs>
        <w:spacing w:line="240" w:lineRule="auto" w:before="0" w:after="0"/>
        <w:ind w:left="2155" w:right="1335" w:hanging="360"/>
        <w:jc w:val="both"/>
        <w:rPr>
          <w:sz w:val="20"/>
        </w:rPr>
      </w:pPr>
      <w:r>
        <w:rPr>
          <w:sz w:val="20"/>
        </w:rPr>
        <w:t>Préstamo del Banco Europeo de Inversiones (BEI): En el pleno del Excmo. Ayuntamiento de Las Palmas de Gran Canaria de 8 de febrero de 2017 se aprobó la firma</w:t>
      </w:r>
      <w:r>
        <w:rPr>
          <w:spacing w:val="-1"/>
          <w:sz w:val="20"/>
        </w:rPr>
        <w:t> </w:t>
      </w:r>
      <w:r>
        <w:rPr>
          <w:sz w:val="20"/>
        </w:rPr>
        <w:t>de</w:t>
      </w:r>
      <w:r>
        <w:rPr>
          <w:spacing w:val="-2"/>
          <w:sz w:val="20"/>
        </w:rPr>
        <w:t> </w:t>
      </w:r>
      <w:r>
        <w:rPr>
          <w:sz w:val="20"/>
        </w:rPr>
        <w:t>un</w:t>
      </w:r>
      <w:r>
        <w:rPr>
          <w:spacing w:val="-1"/>
          <w:sz w:val="20"/>
        </w:rPr>
        <w:t> </w:t>
      </w:r>
      <w:r>
        <w:rPr>
          <w:sz w:val="20"/>
        </w:rPr>
        <w:t>crédito</w:t>
      </w:r>
      <w:r>
        <w:rPr>
          <w:spacing w:val="-2"/>
          <w:sz w:val="20"/>
        </w:rPr>
        <w:t> </w:t>
      </w:r>
      <w:r>
        <w:rPr>
          <w:sz w:val="20"/>
        </w:rPr>
        <w:t>con</w:t>
      </w:r>
      <w:r>
        <w:rPr>
          <w:spacing w:val="-1"/>
          <w:sz w:val="20"/>
        </w:rPr>
        <w:t> </w:t>
      </w:r>
      <w:r>
        <w:rPr>
          <w:sz w:val="20"/>
        </w:rPr>
        <w:t>el</w:t>
      </w:r>
      <w:r>
        <w:rPr>
          <w:spacing w:val="-3"/>
          <w:sz w:val="20"/>
        </w:rPr>
        <w:t> </w:t>
      </w:r>
      <w:r>
        <w:rPr>
          <w:sz w:val="20"/>
        </w:rPr>
        <w:t>Banco</w:t>
      </w:r>
      <w:r>
        <w:rPr>
          <w:spacing w:val="-2"/>
          <w:sz w:val="20"/>
        </w:rPr>
        <w:t> </w:t>
      </w:r>
      <w:r>
        <w:rPr>
          <w:sz w:val="20"/>
        </w:rPr>
        <w:t>Europeo</w:t>
      </w:r>
      <w:r>
        <w:rPr>
          <w:spacing w:val="-1"/>
          <w:sz w:val="20"/>
        </w:rPr>
        <w:t> </w:t>
      </w:r>
      <w:r>
        <w:rPr>
          <w:sz w:val="20"/>
        </w:rPr>
        <w:t>de</w:t>
      </w:r>
      <w:r>
        <w:rPr>
          <w:spacing w:val="-1"/>
          <w:sz w:val="20"/>
        </w:rPr>
        <w:t> </w:t>
      </w:r>
      <w:r>
        <w:rPr>
          <w:sz w:val="20"/>
        </w:rPr>
        <w:t>Inversiones (BEI)</w:t>
      </w:r>
      <w:r>
        <w:rPr>
          <w:spacing w:val="-1"/>
          <w:sz w:val="20"/>
        </w:rPr>
        <w:t> </w:t>
      </w:r>
      <w:r>
        <w:rPr>
          <w:sz w:val="20"/>
        </w:rPr>
        <w:t>para</w:t>
      </w:r>
      <w:r>
        <w:rPr>
          <w:spacing w:val="-2"/>
          <w:sz w:val="20"/>
        </w:rPr>
        <w:t> </w:t>
      </w:r>
      <w:r>
        <w:rPr>
          <w:sz w:val="20"/>
        </w:rPr>
        <w:t>la</w:t>
      </w:r>
      <w:r>
        <w:rPr>
          <w:spacing w:val="-1"/>
          <w:sz w:val="20"/>
        </w:rPr>
        <w:t> </w:t>
      </w:r>
      <w:r>
        <w:rPr>
          <w:sz w:val="20"/>
        </w:rPr>
        <w:t>construcción</w:t>
      </w:r>
      <w:r>
        <w:rPr>
          <w:spacing w:val="-2"/>
          <w:sz w:val="20"/>
        </w:rPr>
        <w:t> </w:t>
      </w:r>
      <w:r>
        <w:rPr>
          <w:sz w:val="20"/>
        </w:rPr>
        <w:t>de un sistema de autobús de tránsito rápido integrado tipo Bus Rapid Transit (BRT) denominado proyecto “BRT-Metroguagua”. Se autoriza la concertación de la</w:t>
      </w:r>
      <w:r>
        <w:rPr>
          <w:spacing w:val="40"/>
          <w:sz w:val="20"/>
        </w:rPr>
        <w:t> </w:t>
      </w:r>
      <w:r>
        <w:rPr>
          <w:sz w:val="20"/>
        </w:rPr>
        <w:t>operación de crédito por un periodo de 20 años. El contrato de financiación se eleva a público con fecha 15 de mayo de 2017, en el que se especifica lo siguiente:</w:t>
      </w:r>
    </w:p>
    <w:p>
      <w:pPr>
        <w:pStyle w:val="BodyText"/>
        <w:spacing w:before="1"/>
      </w:pPr>
    </w:p>
    <w:p>
      <w:pPr>
        <w:pStyle w:val="ListParagraph"/>
        <w:numPr>
          <w:ilvl w:val="1"/>
          <w:numId w:val="18"/>
        </w:numPr>
        <w:tabs>
          <w:tab w:pos="2721" w:val="left" w:leader="none"/>
        </w:tabs>
        <w:spacing w:line="240" w:lineRule="auto" w:before="1" w:after="0"/>
        <w:ind w:left="2721" w:right="1338" w:hanging="360"/>
        <w:jc w:val="both"/>
        <w:rPr>
          <w:sz w:val="20"/>
        </w:rPr>
      </w:pPr>
      <w:r>
        <w:rPr>
          <w:sz w:val="20"/>
        </w:rPr>
        <w:t>Se estima que el coste del proyecto ascenderá a 102 millones de euros, si bien el BEI lo estima en 127 millones de euros según sus cálculos. A través del crédito del BEI se financiarán 50 millones de euros, y con cargo a aportaciones de otras AAPP (Cabildo, CCAA y AGE) el resto, supliendo en todo caso el accionista</w:t>
      </w:r>
      <w:r>
        <w:rPr>
          <w:spacing w:val="-5"/>
          <w:sz w:val="20"/>
        </w:rPr>
        <w:t> </w:t>
      </w:r>
      <w:r>
        <w:rPr>
          <w:sz w:val="20"/>
        </w:rPr>
        <w:t>único</w:t>
      </w:r>
      <w:r>
        <w:rPr>
          <w:spacing w:val="-2"/>
          <w:sz w:val="20"/>
        </w:rPr>
        <w:t> </w:t>
      </w:r>
      <w:r>
        <w:rPr>
          <w:sz w:val="20"/>
        </w:rPr>
        <w:t>las</w:t>
      </w:r>
      <w:r>
        <w:rPr>
          <w:spacing w:val="-3"/>
          <w:sz w:val="20"/>
        </w:rPr>
        <w:t> </w:t>
      </w:r>
      <w:r>
        <w:rPr>
          <w:sz w:val="20"/>
        </w:rPr>
        <w:t>aportaciones de</w:t>
      </w:r>
      <w:r>
        <w:rPr>
          <w:spacing w:val="-4"/>
          <w:sz w:val="20"/>
        </w:rPr>
        <w:t> </w:t>
      </w:r>
      <w:r>
        <w:rPr>
          <w:sz w:val="20"/>
        </w:rPr>
        <w:t>esas</w:t>
      </w:r>
      <w:r>
        <w:rPr>
          <w:spacing w:val="-3"/>
          <w:sz w:val="20"/>
        </w:rPr>
        <w:t> </w:t>
      </w:r>
      <w:r>
        <w:rPr>
          <w:sz w:val="20"/>
        </w:rPr>
        <w:t>otras</w:t>
      </w:r>
      <w:r>
        <w:rPr>
          <w:spacing w:val="-3"/>
          <w:sz w:val="20"/>
        </w:rPr>
        <w:t> </w:t>
      </w:r>
      <w:r>
        <w:rPr>
          <w:sz w:val="20"/>
        </w:rPr>
        <w:t>AAPP</w:t>
      </w:r>
      <w:r>
        <w:rPr>
          <w:spacing w:val="-2"/>
          <w:sz w:val="20"/>
        </w:rPr>
        <w:t> </w:t>
      </w:r>
      <w:r>
        <w:rPr>
          <w:sz w:val="20"/>
        </w:rPr>
        <w:t>en</w:t>
      </w:r>
      <w:r>
        <w:rPr>
          <w:spacing w:val="-2"/>
          <w:sz w:val="20"/>
        </w:rPr>
        <w:t> </w:t>
      </w:r>
      <w:r>
        <w:rPr>
          <w:sz w:val="20"/>
        </w:rPr>
        <w:t>el</w:t>
      </w:r>
      <w:r>
        <w:rPr>
          <w:spacing w:val="-3"/>
          <w:sz w:val="20"/>
        </w:rPr>
        <w:t> </w:t>
      </w:r>
      <w:r>
        <w:rPr>
          <w:sz w:val="20"/>
        </w:rPr>
        <w:t>supuesto</w:t>
      </w:r>
      <w:r>
        <w:rPr>
          <w:spacing w:val="-2"/>
          <w:sz w:val="20"/>
        </w:rPr>
        <w:t> </w:t>
      </w:r>
      <w:r>
        <w:rPr>
          <w:sz w:val="20"/>
        </w:rPr>
        <w:t>de</w:t>
      </w:r>
      <w:r>
        <w:rPr>
          <w:spacing w:val="-2"/>
          <w:sz w:val="20"/>
        </w:rPr>
        <w:t> </w:t>
      </w:r>
      <w:r>
        <w:rPr>
          <w:sz w:val="20"/>
        </w:rPr>
        <w:t>que</w:t>
      </w:r>
      <w:r>
        <w:rPr>
          <w:spacing w:val="-4"/>
          <w:sz w:val="20"/>
        </w:rPr>
        <w:t> </w:t>
      </w:r>
      <w:r>
        <w:rPr>
          <w:sz w:val="20"/>
        </w:rPr>
        <w:t>las mismas no lleguen al importe necesario para culminar la financiación del </w:t>
      </w:r>
      <w:r>
        <w:rPr>
          <w:spacing w:val="-2"/>
          <w:sz w:val="20"/>
        </w:rPr>
        <w:t>proyecto.</w:t>
      </w:r>
    </w:p>
    <w:p>
      <w:pPr>
        <w:pStyle w:val="ListParagraph"/>
        <w:numPr>
          <w:ilvl w:val="1"/>
          <w:numId w:val="18"/>
        </w:numPr>
        <w:tabs>
          <w:tab w:pos="2721" w:val="left" w:leader="none"/>
        </w:tabs>
        <w:spacing w:line="240" w:lineRule="auto" w:before="228" w:after="0"/>
        <w:ind w:left="2721" w:right="1335" w:hanging="360"/>
        <w:jc w:val="both"/>
        <w:rPr>
          <w:sz w:val="20"/>
        </w:rPr>
      </w:pPr>
      <w:r>
        <w:rPr>
          <w:sz w:val="20"/>
        </w:rPr>
        <w:t>El BEI accede a la financiación por 50 millones de euros siempre y cuando las cantidades financiadas</w:t>
      </w:r>
      <w:r>
        <w:rPr>
          <w:spacing w:val="-2"/>
          <w:sz w:val="20"/>
        </w:rPr>
        <w:t> </w:t>
      </w:r>
      <w:r>
        <w:rPr>
          <w:sz w:val="20"/>
        </w:rPr>
        <w:t>no superen</w:t>
      </w:r>
      <w:r>
        <w:rPr>
          <w:spacing w:val="-1"/>
          <w:sz w:val="20"/>
        </w:rPr>
        <w:t> </w:t>
      </w:r>
      <w:r>
        <w:rPr>
          <w:sz w:val="20"/>
        </w:rPr>
        <w:t>el</w:t>
      </w:r>
      <w:r>
        <w:rPr>
          <w:spacing w:val="-4"/>
          <w:sz w:val="20"/>
        </w:rPr>
        <w:t> </w:t>
      </w:r>
      <w:r>
        <w:rPr>
          <w:sz w:val="20"/>
        </w:rPr>
        <w:t>50</w:t>
      </w:r>
      <w:r>
        <w:rPr>
          <w:spacing w:val="-1"/>
          <w:sz w:val="20"/>
        </w:rPr>
        <w:t> </w:t>
      </w:r>
      <w:r>
        <w:rPr>
          <w:sz w:val="20"/>
        </w:rPr>
        <w:t>por ciento</w:t>
      </w:r>
      <w:r>
        <w:rPr>
          <w:spacing w:val="-3"/>
          <w:sz w:val="20"/>
        </w:rPr>
        <w:t> </w:t>
      </w:r>
      <w:r>
        <w:rPr>
          <w:sz w:val="20"/>
        </w:rPr>
        <w:t>del</w:t>
      </w:r>
      <w:r>
        <w:rPr>
          <w:spacing w:val="-4"/>
          <w:sz w:val="20"/>
        </w:rPr>
        <w:t> </w:t>
      </w:r>
      <w:r>
        <w:rPr>
          <w:sz w:val="20"/>
        </w:rPr>
        <w:t>coste</w:t>
      </w:r>
      <w:r>
        <w:rPr>
          <w:spacing w:val="-3"/>
          <w:sz w:val="20"/>
        </w:rPr>
        <w:t> </w:t>
      </w:r>
      <w:r>
        <w:rPr>
          <w:sz w:val="20"/>
        </w:rPr>
        <w:t>total</w:t>
      </w:r>
      <w:r>
        <w:rPr>
          <w:spacing w:val="-2"/>
          <w:sz w:val="20"/>
        </w:rPr>
        <w:t> </w:t>
      </w:r>
      <w:r>
        <w:rPr>
          <w:sz w:val="20"/>
        </w:rPr>
        <w:t>del</w:t>
      </w:r>
      <w:r>
        <w:rPr>
          <w:spacing w:val="-4"/>
          <w:sz w:val="20"/>
        </w:rPr>
        <w:t> </w:t>
      </w:r>
      <w:r>
        <w:rPr>
          <w:sz w:val="20"/>
        </w:rPr>
        <w:t>proyecto y que los fondos obtenidos por la Unión Europea más los obtenidos por el BEI no superen el 90 por ciento del coste del proyecto.</w:t>
      </w:r>
    </w:p>
    <w:p>
      <w:pPr>
        <w:pStyle w:val="ListParagraph"/>
        <w:numPr>
          <w:ilvl w:val="1"/>
          <w:numId w:val="18"/>
        </w:numPr>
        <w:tabs>
          <w:tab w:pos="2721" w:val="left" w:leader="none"/>
        </w:tabs>
        <w:spacing w:line="240" w:lineRule="auto" w:before="229" w:after="0"/>
        <w:ind w:left="2721" w:right="1338" w:hanging="360"/>
        <w:jc w:val="both"/>
        <w:rPr>
          <w:sz w:val="20"/>
        </w:rPr>
      </w:pPr>
      <w:r>
        <w:rPr>
          <w:sz w:val="20"/>
        </w:rPr>
        <w:t>Se podrán realizar un total de 8 disposiciones del préstamo y cada disposición debe suponer un mínimo de 5 millones de euros. Tendrán un periodo de carencia de 3 años. La fecha final de disponibilidad es el 15 de febrero de 2023 según la modificación de 12 de febrero de 2021. Desde el 15 de febrero de</w:t>
      </w:r>
      <w:r>
        <w:rPr>
          <w:spacing w:val="40"/>
          <w:sz w:val="20"/>
        </w:rPr>
        <w:t> </w:t>
      </w:r>
      <w:r>
        <w:rPr>
          <w:sz w:val="20"/>
        </w:rPr>
        <w:t>2021 se incluirá una comisión de no disponibilidad que se calculará sobre el importe</w:t>
      </w:r>
      <w:r>
        <w:rPr>
          <w:spacing w:val="-1"/>
          <w:sz w:val="20"/>
        </w:rPr>
        <w:t> </w:t>
      </w:r>
      <w:r>
        <w:rPr>
          <w:sz w:val="20"/>
        </w:rPr>
        <w:t>del Crédito no</w:t>
      </w:r>
      <w:r>
        <w:rPr>
          <w:spacing w:val="-1"/>
          <w:sz w:val="20"/>
        </w:rPr>
        <w:t> </w:t>
      </w:r>
      <w:r>
        <w:rPr>
          <w:sz w:val="20"/>
        </w:rPr>
        <w:t>dispuesto y</w:t>
      </w:r>
      <w:r>
        <w:rPr>
          <w:spacing w:val="-1"/>
          <w:sz w:val="20"/>
        </w:rPr>
        <w:t> </w:t>
      </w:r>
      <w:r>
        <w:rPr>
          <w:sz w:val="20"/>
        </w:rPr>
        <w:t>no cancelado,</w:t>
      </w:r>
      <w:r>
        <w:rPr>
          <w:spacing w:val="-1"/>
          <w:sz w:val="20"/>
        </w:rPr>
        <w:t> </w:t>
      </w:r>
      <w:r>
        <w:rPr>
          <w:sz w:val="20"/>
        </w:rPr>
        <w:t>con base diaria, de a cinco</w:t>
      </w:r>
      <w:r>
        <w:rPr>
          <w:spacing w:val="-1"/>
          <w:sz w:val="20"/>
        </w:rPr>
        <w:t> </w:t>
      </w:r>
      <w:r>
        <w:rPr>
          <w:sz w:val="20"/>
        </w:rPr>
        <w:t>(5) puntos básicos (0,05%) anuales.</w:t>
      </w:r>
    </w:p>
    <w:p>
      <w:pPr>
        <w:pStyle w:val="ListParagraph"/>
        <w:numPr>
          <w:ilvl w:val="1"/>
          <w:numId w:val="18"/>
        </w:numPr>
        <w:tabs>
          <w:tab w:pos="2721" w:val="left" w:leader="none"/>
        </w:tabs>
        <w:spacing w:line="237" w:lineRule="auto" w:before="229" w:after="0"/>
        <w:ind w:left="2721" w:right="1339" w:hanging="360"/>
        <w:jc w:val="both"/>
        <w:rPr>
          <w:sz w:val="20"/>
        </w:rPr>
      </w:pPr>
      <w:r>
        <w:rPr>
          <w:sz w:val="20"/>
        </w:rPr>
        <mc:AlternateContent>
          <mc:Choice Requires="wps">
            <w:drawing>
              <wp:anchor distT="0" distB="0" distL="0" distR="0" allowOverlap="1" layoutInCell="1" locked="0" behindDoc="0" simplePos="0" relativeHeight="15759872">
                <wp:simplePos x="0" y="0"/>
                <wp:positionH relativeFrom="page">
                  <wp:posOffset>6966436</wp:posOffset>
                </wp:positionH>
                <wp:positionV relativeFrom="paragraph">
                  <wp:posOffset>651958</wp:posOffset>
                </wp:positionV>
                <wp:extent cx="263525" cy="327596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335323pt;width:20.75pt;height:257.95pt;mso-position-horizontal-relative:page;mso-position-vertical-relative:paragraph;z-index:15759872" type="#_x0000_t202" id="docshape11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El Excmo. Ayuntamiento de Las Palmas de Gran Canaria</w:t>
      </w:r>
      <w:r>
        <w:rPr>
          <w:spacing w:val="-1"/>
          <w:sz w:val="20"/>
        </w:rPr>
        <w:t> </w:t>
      </w:r>
      <w:r>
        <w:rPr>
          <w:sz w:val="20"/>
        </w:rPr>
        <w:t>firmó</w:t>
      </w:r>
      <w:r>
        <w:rPr>
          <w:spacing w:val="-1"/>
          <w:sz w:val="20"/>
        </w:rPr>
        <w:t> </w:t>
      </w:r>
      <w:r>
        <w:rPr>
          <w:sz w:val="20"/>
        </w:rPr>
        <w:t>al BEI una carta “comfort letter” comprometiéndose a poseer el 100 por 100 del capital de la Entidad durante la vigencia del préstamo.</w:t>
      </w:r>
    </w:p>
    <w:p>
      <w:pPr>
        <w:pStyle w:val="BodyText"/>
        <w:spacing w:before="4"/>
      </w:pPr>
    </w:p>
    <w:p>
      <w:pPr>
        <w:pStyle w:val="ListParagraph"/>
        <w:numPr>
          <w:ilvl w:val="1"/>
          <w:numId w:val="18"/>
        </w:numPr>
        <w:tabs>
          <w:tab w:pos="2721" w:val="left" w:leader="none"/>
        </w:tabs>
        <w:spacing w:line="240" w:lineRule="auto" w:before="0" w:after="0"/>
        <w:ind w:left="2721" w:right="0" w:hanging="360"/>
        <w:jc w:val="left"/>
        <w:rPr>
          <w:sz w:val="20"/>
        </w:rPr>
      </w:pPr>
      <w:r>
        <w:rPr>
          <w:sz w:val="20"/>
        </w:rPr>
        <w:t>Las</w:t>
      </w:r>
      <w:r>
        <w:rPr>
          <w:spacing w:val="-7"/>
          <w:sz w:val="20"/>
        </w:rPr>
        <w:t> </w:t>
      </w:r>
      <w:r>
        <w:rPr>
          <w:sz w:val="20"/>
        </w:rPr>
        <w:t>inversiones</w:t>
      </w:r>
      <w:r>
        <w:rPr>
          <w:spacing w:val="-2"/>
          <w:sz w:val="20"/>
        </w:rPr>
        <w:t> </w:t>
      </w:r>
      <w:r>
        <w:rPr>
          <w:sz w:val="20"/>
        </w:rPr>
        <w:t>afectas</w:t>
      </w:r>
      <w:r>
        <w:rPr>
          <w:spacing w:val="-7"/>
          <w:sz w:val="20"/>
        </w:rPr>
        <w:t> </w:t>
      </w:r>
      <w:r>
        <w:rPr>
          <w:sz w:val="20"/>
        </w:rPr>
        <w:t>al</w:t>
      </w:r>
      <w:r>
        <w:rPr>
          <w:spacing w:val="-4"/>
          <w:sz w:val="20"/>
        </w:rPr>
        <w:t> </w:t>
      </w:r>
      <w:r>
        <w:rPr>
          <w:sz w:val="20"/>
        </w:rPr>
        <w:t>proyecto</w:t>
      </w:r>
      <w:r>
        <w:rPr>
          <w:spacing w:val="-8"/>
          <w:sz w:val="20"/>
        </w:rPr>
        <w:t> </w:t>
      </w:r>
      <w:r>
        <w:rPr>
          <w:sz w:val="20"/>
        </w:rPr>
        <w:t>no</w:t>
      </w:r>
      <w:r>
        <w:rPr>
          <w:spacing w:val="-6"/>
          <w:sz w:val="20"/>
        </w:rPr>
        <w:t> </w:t>
      </w:r>
      <w:r>
        <w:rPr>
          <w:sz w:val="20"/>
        </w:rPr>
        <w:t>garantizarán</w:t>
      </w:r>
      <w:r>
        <w:rPr>
          <w:spacing w:val="-7"/>
          <w:sz w:val="20"/>
        </w:rPr>
        <w:t> </w:t>
      </w:r>
      <w:r>
        <w:rPr>
          <w:sz w:val="20"/>
        </w:rPr>
        <w:t>otro</w:t>
      </w:r>
      <w:r>
        <w:rPr>
          <w:spacing w:val="-7"/>
          <w:sz w:val="20"/>
        </w:rPr>
        <w:t> </w:t>
      </w:r>
      <w:r>
        <w:rPr>
          <w:sz w:val="20"/>
        </w:rPr>
        <w:t>tipo</w:t>
      </w:r>
      <w:r>
        <w:rPr>
          <w:spacing w:val="-7"/>
          <w:sz w:val="20"/>
        </w:rPr>
        <w:t> </w:t>
      </w:r>
      <w:r>
        <w:rPr>
          <w:sz w:val="20"/>
        </w:rPr>
        <w:t>de</w:t>
      </w:r>
      <w:r>
        <w:rPr>
          <w:spacing w:val="-5"/>
          <w:sz w:val="20"/>
        </w:rPr>
        <w:t> </w:t>
      </w:r>
      <w:r>
        <w:rPr>
          <w:spacing w:val="-2"/>
          <w:sz w:val="20"/>
        </w:rPr>
        <w:t>operación.</w:t>
      </w:r>
    </w:p>
    <w:p>
      <w:pPr>
        <w:pStyle w:val="ListParagraph"/>
        <w:numPr>
          <w:ilvl w:val="1"/>
          <w:numId w:val="18"/>
        </w:numPr>
        <w:tabs>
          <w:tab w:pos="2721" w:val="left" w:leader="none"/>
        </w:tabs>
        <w:spacing w:line="240" w:lineRule="auto" w:before="228" w:after="0"/>
        <w:ind w:left="2721" w:right="0" w:hanging="360"/>
        <w:jc w:val="left"/>
        <w:rPr>
          <w:sz w:val="20"/>
        </w:rPr>
      </w:pPr>
      <w:r>
        <w:rPr>
          <w:sz w:val="20"/>
        </w:rPr>
        <w:t>La</w:t>
      </w:r>
      <w:r>
        <w:rPr>
          <w:spacing w:val="-8"/>
          <w:sz w:val="20"/>
        </w:rPr>
        <w:t> </w:t>
      </w:r>
      <w:r>
        <w:rPr>
          <w:sz w:val="20"/>
        </w:rPr>
        <w:t>Entidad</w:t>
      </w:r>
      <w:r>
        <w:rPr>
          <w:spacing w:val="-8"/>
          <w:sz w:val="20"/>
        </w:rPr>
        <w:t> </w:t>
      </w:r>
      <w:r>
        <w:rPr>
          <w:sz w:val="20"/>
        </w:rPr>
        <w:t>deberá</w:t>
      </w:r>
      <w:r>
        <w:rPr>
          <w:spacing w:val="-8"/>
          <w:sz w:val="20"/>
        </w:rPr>
        <w:t> </w:t>
      </w:r>
      <w:r>
        <w:rPr>
          <w:sz w:val="20"/>
        </w:rPr>
        <w:t>cumplir</w:t>
      </w:r>
      <w:r>
        <w:rPr>
          <w:spacing w:val="-4"/>
          <w:sz w:val="20"/>
        </w:rPr>
        <w:t> </w:t>
      </w:r>
      <w:r>
        <w:rPr>
          <w:sz w:val="20"/>
        </w:rPr>
        <w:t>con</w:t>
      </w:r>
      <w:r>
        <w:rPr>
          <w:spacing w:val="-8"/>
          <w:sz w:val="20"/>
        </w:rPr>
        <w:t> </w:t>
      </w:r>
      <w:r>
        <w:rPr>
          <w:sz w:val="20"/>
        </w:rPr>
        <w:t>los</w:t>
      </w:r>
      <w:r>
        <w:rPr>
          <w:spacing w:val="-7"/>
          <w:sz w:val="20"/>
        </w:rPr>
        <w:t> </w:t>
      </w:r>
      <w:r>
        <w:rPr>
          <w:sz w:val="20"/>
        </w:rPr>
        <w:t>siguientes</w:t>
      </w:r>
      <w:r>
        <w:rPr>
          <w:spacing w:val="-6"/>
          <w:sz w:val="20"/>
        </w:rPr>
        <w:t> </w:t>
      </w:r>
      <w:r>
        <w:rPr>
          <w:sz w:val="20"/>
        </w:rPr>
        <w:t>ratios</w:t>
      </w:r>
      <w:r>
        <w:rPr>
          <w:spacing w:val="-6"/>
          <w:sz w:val="20"/>
        </w:rPr>
        <w:t> </w:t>
      </w:r>
      <w:r>
        <w:rPr>
          <w:spacing w:val="-2"/>
          <w:sz w:val="20"/>
        </w:rPr>
        <w:t>financieros:</w:t>
      </w:r>
    </w:p>
    <w:p>
      <w:pPr>
        <w:pStyle w:val="ListParagraph"/>
        <w:numPr>
          <w:ilvl w:val="2"/>
          <w:numId w:val="18"/>
        </w:numPr>
        <w:tabs>
          <w:tab w:pos="4099" w:val="left" w:leader="none"/>
        </w:tabs>
        <w:spacing w:line="240" w:lineRule="auto" w:before="227" w:after="0"/>
        <w:ind w:left="4099" w:right="0" w:hanging="358"/>
        <w:jc w:val="left"/>
        <w:rPr>
          <w:sz w:val="20"/>
        </w:rPr>
      </w:pPr>
      <w:r>
        <w:rPr>
          <w:sz w:val="20"/>
        </w:rPr>
        <w:t>Patrimonio</w:t>
      </w:r>
      <w:r>
        <w:rPr>
          <w:spacing w:val="-8"/>
          <w:sz w:val="20"/>
        </w:rPr>
        <w:t> </w:t>
      </w:r>
      <w:r>
        <w:rPr>
          <w:sz w:val="20"/>
        </w:rPr>
        <w:t>neto</w:t>
      </w:r>
      <w:r>
        <w:rPr>
          <w:spacing w:val="-9"/>
          <w:sz w:val="20"/>
        </w:rPr>
        <w:t> </w:t>
      </w:r>
      <w:r>
        <w:rPr>
          <w:sz w:val="20"/>
        </w:rPr>
        <w:t>superior</w:t>
      </w:r>
      <w:r>
        <w:rPr>
          <w:spacing w:val="-5"/>
          <w:sz w:val="20"/>
        </w:rPr>
        <w:t> </w:t>
      </w:r>
      <w:r>
        <w:rPr>
          <w:sz w:val="20"/>
        </w:rPr>
        <w:t>a</w:t>
      </w:r>
      <w:r>
        <w:rPr>
          <w:spacing w:val="-4"/>
          <w:sz w:val="20"/>
        </w:rPr>
        <w:t> </w:t>
      </w:r>
      <w:r>
        <w:rPr>
          <w:sz w:val="20"/>
        </w:rPr>
        <w:t>23</w:t>
      </w:r>
      <w:r>
        <w:rPr>
          <w:spacing w:val="-7"/>
          <w:sz w:val="20"/>
        </w:rPr>
        <w:t> </w:t>
      </w:r>
      <w:r>
        <w:rPr>
          <w:sz w:val="20"/>
        </w:rPr>
        <w:t>millones</w:t>
      </w:r>
      <w:r>
        <w:rPr>
          <w:spacing w:val="-6"/>
          <w:sz w:val="20"/>
        </w:rPr>
        <w:t> </w:t>
      </w:r>
      <w:r>
        <w:rPr>
          <w:sz w:val="20"/>
        </w:rPr>
        <w:t>de</w:t>
      </w:r>
      <w:r>
        <w:rPr>
          <w:spacing w:val="-5"/>
          <w:sz w:val="20"/>
        </w:rPr>
        <w:t> </w:t>
      </w:r>
      <w:r>
        <w:rPr>
          <w:spacing w:val="-2"/>
          <w:sz w:val="20"/>
        </w:rPr>
        <w:t>euros.</w:t>
      </w:r>
    </w:p>
    <w:p>
      <w:pPr>
        <w:pStyle w:val="ListParagraph"/>
        <w:numPr>
          <w:ilvl w:val="2"/>
          <w:numId w:val="18"/>
        </w:numPr>
        <w:tabs>
          <w:tab w:pos="4099" w:val="left" w:leader="none"/>
        </w:tabs>
        <w:spacing w:line="240" w:lineRule="auto" w:before="0" w:after="0"/>
        <w:ind w:left="4099" w:right="0" w:hanging="358"/>
        <w:jc w:val="left"/>
        <w:rPr>
          <w:sz w:val="20"/>
        </w:rPr>
      </w:pPr>
      <w:r>
        <w:rPr>
          <w:sz w:val="20"/>
        </w:rPr>
        <w:t>Beneficio</w:t>
      </w:r>
      <w:r>
        <w:rPr>
          <w:spacing w:val="-8"/>
          <w:sz w:val="20"/>
        </w:rPr>
        <w:t> </w:t>
      </w:r>
      <w:r>
        <w:rPr>
          <w:sz w:val="20"/>
        </w:rPr>
        <w:t>neto</w:t>
      </w:r>
      <w:r>
        <w:rPr>
          <w:spacing w:val="-3"/>
          <w:sz w:val="20"/>
        </w:rPr>
        <w:t> </w:t>
      </w:r>
      <w:r>
        <w:rPr>
          <w:sz w:val="20"/>
        </w:rPr>
        <w:t>anual</w:t>
      </w:r>
      <w:r>
        <w:rPr>
          <w:spacing w:val="-6"/>
          <w:sz w:val="20"/>
        </w:rPr>
        <w:t> </w:t>
      </w:r>
      <w:r>
        <w:rPr>
          <w:sz w:val="20"/>
        </w:rPr>
        <w:t>igual</w:t>
      </w:r>
      <w:r>
        <w:rPr>
          <w:spacing w:val="-7"/>
          <w:sz w:val="20"/>
        </w:rPr>
        <w:t> </w:t>
      </w:r>
      <w:r>
        <w:rPr>
          <w:sz w:val="20"/>
        </w:rPr>
        <w:t>o</w:t>
      </w:r>
      <w:r>
        <w:rPr>
          <w:spacing w:val="-6"/>
          <w:sz w:val="20"/>
        </w:rPr>
        <w:t> </w:t>
      </w:r>
      <w:r>
        <w:rPr>
          <w:sz w:val="20"/>
        </w:rPr>
        <w:t>superior</w:t>
      </w:r>
      <w:r>
        <w:rPr>
          <w:spacing w:val="-4"/>
          <w:sz w:val="20"/>
        </w:rPr>
        <w:t> </w:t>
      </w:r>
      <w:r>
        <w:rPr>
          <w:sz w:val="20"/>
        </w:rPr>
        <w:t>a</w:t>
      </w:r>
      <w:r>
        <w:rPr>
          <w:spacing w:val="-6"/>
          <w:sz w:val="20"/>
        </w:rPr>
        <w:t> </w:t>
      </w:r>
      <w:r>
        <w:rPr>
          <w:sz w:val="20"/>
        </w:rPr>
        <w:t>1</w:t>
      </w:r>
      <w:r>
        <w:rPr>
          <w:spacing w:val="-6"/>
          <w:sz w:val="20"/>
        </w:rPr>
        <w:t> </w:t>
      </w:r>
      <w:r>
        <w:rPr>
          <w:sz w:val="20"/>
        </w:rPr>
        <w:t>millón</w:t>
      </w:r>
      <w:r>
        <w:rPr>
          <w:spacing w:val="-3"/>
          <w:sz w:val="20"/>
        </w:rPr>
        <w:t> </w:t>
      </w:r>
      <w:r>
        <w:rPr>
          <w:sz w:val="20"/>
        </w:rPr>
        <w:t>de</w:t>
      </w:r>
      <w:r>
        <w:rPr>
          <w:spacing w:val="-4"/>
          <w:sz w:val="20"/>
        </w:rPr>
        <w:t> </w:t>
      </w:r>
      <w:r>
        <w:rPr>
          <w:spacing w:val="-2"/>
          <w:sz w:val="20"/>
        </w:rPr>
        <w:t>euros.</w:t>
      </w:r>
    </w:p>
    <w:p>
      <w:pPr>
        <w:pStyle w:val="ListParagraph"/>
        <w:numPr>
          <w:ilvl w:val="2"/>
          <w:numId w:val="18"/>
        </w:numPr>
        <w:tabs>
          <w:tab w:pos="4099" w:val="left" w:leader="none"/>
        </w:tabs>
        <w:spacing w:line="240" w:lineRule="auto" w:before="1" w:after="0"/>
        <w:ind w:left="4099" w:right="0" w:hanging="358"/>
        <w:jc w:val="left"/>
        <w:rPr>
          <w:sz w:val="20"/>
        </w:rPr>
      </w:pPr>
      <w:r>
        <w:rPr>
          <w:sz w:val="20"/>
        </w:rPr>
        <w:t>Deuda</w:t>
      </w:r>
      <w:r>
        <w:rPr>
          <w:spacing w:val="-11"/>
          <w:sz w:val="20"/>
        </w:rPr>
        <w:t> </w:t>
      </w:r>
      <w:r>
        <w:rPr>
          <w:sz w:val="20"/>
        </w:rPr>
        <w:t>financiera</w:t>
      </w:r>
      <w:r>
        <w:rPr>
          <w:spacing w:val="-8"/>
          <w:sz w:val="20"/>
        </w:rPr>
        <w:t> </w:t>
      </w:r>
      <w:r>
        <w:rPr>
          <w:sz w:val="20"/>
        </w:rPr>
        <w:t>neta/patrimonio</w:t>
      </w:r>
      <w:r>
        <w:rPr>
          <w:spacing w:val="-10"/>
          <w:sz w:val="20"/>
        </w:rPr>
        <w:t> </w:t>
      </w:r>
      <w:r>
        <w:rPr>
          <w:sz w:val="20"/>
        </w:rPr>
        <w:t>neto</w:t>
      </w:r>
      <w:r>
        <w:rPr>
          <w:spacing w:val="-9"/>
          <w:sz w:val="20"/>
        </w:rPr>
        <w:t> </w:t>
      </w:r>
      <w:r>
        <w:rPr>
          <w:sz w:val="20"/>
        </w:rPr>
        <w:t>inferior</w:t>
      </w:r>
      <w:r>
        <w:rPr>
          <w:spacing w:val="-6"/>
          <w:sz w:val="20"/>
        </w:rPr>
        <w:t> </w:t>
      </w:r>
      <w:r>
        <w:rPr>
          <w:sz w:val="20"/>
        </w:rPr>
        <w:t>a</w:t>
      </w:r>
      <w:r>
        <w:rPr>
          <w:spacing w:val="-10"/>
          <w:sz w:val="20"/>
        </w:rPr>
        <w:t> </w:t>
      </w:r>
      <w:r>
        <w:rPr>
          <w:spacing w:val="-4"/>
          <w:sz w:val="20"/>
        </w:rPr>
        <w:t>4,6.</w:t>
      </w:r>
    </w:p>
    <w:p>
      <w:pPr>
        <w:pStyle w:val="ListParagraph"/>
        <w:numPr>
          <w:ilvl w:val="2"/>
          <w:numId w:val="18"/>
        </w:numPr>
        <w:tabs>
          <w:tab w:pos="4099" w:val="left" w:leader="none"/>
        </w:tabs>
        <w:spacing w:line="240" w:lineRule="auto" w:before="0" w:after="0"/>
        <w:ind w:left="4099" w:right="0" w:hanging="358"/>
        <w:jc w:val="left"/>
        <w:rPr>
          <w:sz w:val="20"/>
        </w:rPr>
      </w:pPr>
      <w:r>
        <w:rPr>
          <w:sz w:val="20"/>
        </w:rPr>
        <w:t>Deuda</w:t>
      </w:r>
      <w:r>
        <w:rPr>
          <w:spacing w:val="-11"/>
          <w:sz w:val="20"/>
        </w:rPr>
        <w:t> </w:t>
      </w:r>
      <w:r>
        <w:rPr>
          <w:sz w:val="20"/>
        </w:rPr>
        <w:t>financiera</w:t>
      </w:r>
      <w:r>
        <w:rPr>
          <w:spacing w:val="-8"/>
          <w:sz w:val="20"/>
        </w:rPr>
        <w:t> </w:t>
      </w:r>
      <w:r>
        <w:rPr>
          <w:sz w:val="20"/>
        </w:rPr>
        <w:t>neta/EBITDA</w:t>
      </w:r>
      <w:r>
        <w:rPr>
          <w:spacing w:val="-10"/>
          <w:sz w:val="20"/>
        </w:rPr>
        <w:t> </w:t>
      </w:r>
      <w:r>
        <w:rPr>
          <w:sz w:val="20"/>
        </w:rPr>
        <w:t>inferior</w:t>
      </w:r>
      <w:r>
        <w:rPr>
          <w:spacing w:val="-9"/>
          <w:sz w:val="20"/>
        </w:rPr>
        <w:t> </w:t>
      </w:r>
      <w:r>
        <w:rPr>
          <w:sz w:val="20"/>
        </w:rPr>
        <w:t>a</w:t>
      </w:r>
      <w:r>
        <w:rPr>
          <w:spacing w:val="-7"/>
          <w:sz w:val="20"/>
        </w:rPr>
        <w:t> </w:t>
      </w:r>
      <w:r>
        <w:rPr>
          <w:spacing w:val="-5"/>
          <w:sz w:val="20"/>
        </w:rPr>
        <w:t>15.</w:t>
      </w:r>
    </w:p>
    <w:p>
      <w:pPr>
        <w:pStyle w:val="ListParagraph"/>
        <w:spacing w:after="0" w:line="240" w:lineRule="auto"/>
        <w:jc w:val="left"/>
        <w:rPr>
          <w:sz w:val="20"/>
        </w:rPr>
        <w:sectPr>
          <w:pgSz w:w="11910" w:h="16840"/>
          <w:pgMar w:header="286" w:footer="1060" w:top="1920" w:bottom="1260" w:left="360" w:right="360"/>
        </w:sectPr>
      </w:pPr>
    </w:p>
    <w:p>
      <w:pPr>
        <w:pStyle w:val="BodyText"/>
        <w:spacing w:before="201"/>
      </w:pPr>
    </w:p>
    <w:p>
      <w:pPr>
        <w:pStyle w:val="BodyText"/>
        <w:ind w:left="1341"/>
      </w:pPr>
      <w:r>
        <w:rPr/>
        <w:t>A</w:t>
      </w:r>
      <w:r>
        <w:rPr>
          <w:spacing w:val="-8"/>
        </w:rPr>
        <w:t> </w:t>
      </w:r>
      <w:r>
        <w:rPr/>
        <w:t>continuación,</w:t>
      </w:r>
      <w:r>
        <w:rPr>
          <w:spacing w:val="-6"/>
        </w:rPr>
        <w:t> </w:t>
      </w:r>
      <w:r>
        <w:rPr/>
        <w:t>se</w:t>
      </w:r>
      <w:r>
        <w:rPr>
          <w:spacing w:val="-6"/>
        </w:rPr>
        <w:t> </w:t>
      </w:r>
      <w:r>
        <w:rPr/>
        <w:t>detalla</w:t>
      </w:r>
      <w:r>
        <w:rPr>
          <w:spacing w:val="-6"/>
        </w:rPr>
        <w:t> </w:t>
      </w:r>
      <w:r>
        <w:rPr/>
        <w:t>cada</w:t>
      </w:r>
      <w:r>
        <w:rPr>
          <w:spacing w:val="-5"/>
        </w:rPr>
        <w:t> </w:t>
      </w:r>
      <w:r>
        <w:rPr/>
        <w:t>uno</w:t>
      </w:r>
      <w:r>
        <w:rPr>
          <w:spacing w:val="-6"/>
        </w:rPr>
        <w:t> </w:t>
      </w:r>
      <w:r>
        <w:rPr/>
        <w:t>de</w:t>
      </w:r>
      <w:r>
        <w:rPr>
          <w:spacing w:val="-4"/>
        </w:rPr>
        <w:t> </w:t>
      </w:r>
      <w:r>
        <w:rPr>
          <w:spacing w:val="-2"/>
        </w:rPr>
        <w:t>ellos:</w:t>
      </w:r>
    </w:p>
    <w:p>
      <w:pPr>
        <w:pStyle w:val="BodyText"/>
        <w:spacing w:before="8"/>
        <w:rPr>
          <w:sz w:val="19"/>
        </w:rPr>
      </w:pPr>
    </w:p>
    <w:tbl>
      <w:tblPr>
        <w:tblW w:w="0" w:type="auto"/>
        <w:jc w:val="left"/>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654"/>
        <w:gridCol w:w="1652"/>
        <w:gridCol w:w="1681"/>
        <w:gridCol w:w="1112"/>
      </w:tblGrid>
      <w:tr>
        <w:trPr>
          <w:trHeight w:val="280" w:hRule="atLeast"/>
        </w:trPr>
        <w:tc>
          <w:tcPr>
            <w:tcW w:w="2549" w:type="dxa"/>
            <w:tcBorders>
              <w:top w:val="nil"/>
              <w:left w:val="nil"/>
            </w:tcBorders>
          </w:tcPr>
          <w:p>
            <w:pPr>
              <w:pStyle w:val="TableParagraph"/>
              <w:rPr>
                <w:rFonts w:ascii="Times New Roman"/>
                <w:sz w:val="16"/>
              </w:rPr>
            </w:pPr>
          </w:p>
        </w:tc>
        <w:tc>
          <w:tcPr>
            <w:tcW w:w="1654" w:type="dxa"/>
          </w:tcPr>
          <w:p>
            <w:pPr>
              <w:pStyle w:val="TableParagraph"/>
              <w:spacing w:before="44"/>
              <w:ind w:left="6"/>
              <w:jc w:val="center"/>
              <w:rPr>
                <w:b/>
                <w:sz w:val="16"/>
              </w:rPr>
            </w:pPr>
            <w:r>
              <w:rPr>
                <w:b/>
                <w:spacing w:val="-4"/>
                <w:sz w:val="16"/>
              </w:rPr>
              <w:t>2025</w:t>
            </w:r>
          </w:p>
        </w:tc>
        <w:tc>
          <w:tcPr>
            <w:tcW w:w="1652" w:type="dxa"/>
          </w:tcPr>
          <w:p>
            <w:pPr>
              <w:pStyle w:val="TableParagraph"/>
              <w:spacing w:before="44"/>
              <w:ind w:left="8"/>
              <w:jc w:val="center"/>
              <w:rPr>
                <w:b/>
                <w:sz w:val="16"/>
              </w:rPr>
            </w:pPr>
            <w:r>
              <w:rPr>
                <w:b/>
                <w:spacing w:val="-4"/>
                <w:sz w:val="16"/>
              </w:rPr>
              <w:t>2024</w:t>
            </w:r>
          </w:p>
        </w:tc>
        <w:tc>
          <w:tcPr>
            <w:tcW w:w="2793" w:type="dxa"/>
            <w:gridSpan w:val="2"/>
            <w:vMerge w:val="restart"/>
            <w:tcBorders>
              <w:top w:val="nil"/>
              <w:bottom w:val="single" w:sz="8" w:space="0" w:color="000000"/>
              <w:right w:val="nil"/>
            </w:tcBorders>
          </w:tcPr>
          <w:p>
            <w:pPr>
              <w:pStyle w:val="TableParagraph"/>
              <w:rPr>
                <w:rFonts w:ascii="Times New Roman"/>
                <w:sz w:val="16"/>
              </w:rPr>
            </w:pPr>
          </w:p>
        </w:tc>
      </w:tr>
      <w:tr>
        <w:trPr>
          <w:trHeight w:val="911" w:hRule="atLeast"/>
        </w:trPr>
        <w:tc>
          <w:tcPr>
            <w:tcW w:w="2549" w:type="dxa"/>
          </w:tcPr>
          <w:p>
            <w:pPr>
              <w:pStyle w:val="TableParagraph"/>
              <w:spacing w:line="173" w:lineRule="exact"/>
              <w:ind w:left="69"/>
              <w:rPr>
                <w:b/>
                <w:sz w:val="16"/>
              </w:rPr>
            </w:pPr>
            <w:r>
              <w:rPr>
                <w:b/>
                <w:sz w:val="16"/>
              </w:rPr>
              <w:t>DT</w:t>
            </w:r>
            <w:r>
              <w:rPr>
                <w:b/>
                <w:spacing w:val="-6"/>
                <w:sz w:val="16"/>
              </w:rPr>
              <w:t> </w:t>
            </w:r>
            <w:r>
              <w:rPr>
                <w:b/>
                <w:sz w:val="16"/>
              </w:rPr>
              <w:t>(Deuda</w:t>
            </w:r>
            <w:r>
              <w:rPr>
                <w:b/>
                <w:spacing w:val="-2"/>
                <w:sz w:val="16"/>
              </w:rPr>
              <w:t> </w:t>
            </w:r>
            <w:r>
              <w:rPr>
                <w:b/>
                <w:sz w:val="16"/>
              </w:rPr>
              <w:t>Total) =</w:t>
            </w:r>
            <w:r>
              <w:rPr>
                <w:b/>
                <w:spacing w:val="-1"/>
                <w:sz w:val="16"/>
              </w:rPr>
              <w:t> </w:t>
            </w:r>
            <w:r>
              <w:rPr>
                <w:b/>
                <w:spacing w:val="-2"/>
                <w:sz w:val="16"/>
              </w:rPr>
              <w:t>Recursos</w:t>
            </w:r>
          </w:p>
          <w:p>
            <w:pPr>
              <w:pStyle w:val="TableParagraph"/>
              <w:spacing w:before="1"/>
              <w:ind w:left="69"/>
              <w:rPr>
                <w:b/>
                <w:sz w:val="16"/>
              </w:rPr>
            </w:pPr>
            <w:r>
              <w:rPr>
                <w:b/>
                <w:sz w:val="16"/>
              </w:rPr>
              <w:t>ajenos a largo plazo y corto plazo con coste financiero explicito</w:t>
            </w:r>
            <w:r>
              <w:rPr>
                <w:b/>
                <w:spacing w:val="-7"/>
                <w:sz w:val="16"/>
              </w:rPr>
              <w:t> </w:t>
            </w:r>
            <w:r>
              <w:rPr>
                <w:b/>
                <w:sz w:val="16"/>
              </w:rPr>
              <w:t>+</w:t>
            </w:r>
            <w:r>
              <w:rPr>
                <w:b/>
                <w:spacing w:val="-10"/>
                <w:sz w:val="16"/>
              </w:rPr>
              <w:t> </w:t>
            </w:r>
            <w:r>
              <w:rPr>
                <w:b/>
                <w:sz w:val="16"/>
              </w:rPr>
              <w:t>deudas</w:t>
            </w:r>
            <w:r>
              <w:rPr>
                <w:b/>
                <w:spacing w:val="-10"/>
                <w:sz w:val="16"/>
              </w:rPr>
              <w:t> </w:t>
            </w:r>
            <w:r>
              <w:rPr>
                <w:b/>
                <w:sz w:val="16"/>
              </w:rPr>
              <w:t>derivadas</w:t>
            </w:r>
            <w:r>
              <w:rPr>
                <w:b/>
                <w:spacing w:val="-10"/>
                <w:sz w:val="16"/>
              </w:rPr>
              <w:t> </w:t>
            </w:r>
            <w:r>
              <w:rPr>
                <w:b/>
                <w:sz w:val="16"/>
              </w:rPr>
              <w:t>+</w:t>
            </w:r>
          </w:p>
          <w:p>
            <w:pPr>
              <w:pStyle w:val="TableParagraph"/>
              <w:spacing w:line="166" w:lineRule="exact"/>
              <w:ind w:left="69"/>
              <w:rPr>
                <w:b/>
                <w:sz w:val="16"/>
              </w:rPr>
            </w:pPr>
            <w:r>
              <w:rPr>
                <w:b/>
                <w:sz w:val="16"/>
              </w:rPr>
              <w:t>de</w:t>
            </w:r>
            <w:r>
              <w:rPr>
                <w:b/>
                <w:spacing w:val="1"/>
                <w:sz w:val="16"/>
              </w:rPr>
              <w:t> </w:t>
            </w:r>
            <w:r>
              <w:rPr>
                <w:b/>
                <w:spacing w:val="-2"/>
                <w:sz w:val="16"/>
              </w:rPr>
              <w:t>arrendamiento</w:t>
            </w:r>
          </w:p>
        </w:tc>
        <w:tc>
          <w:tcPr>
            <w:tcW w:w="1654" w:type="dxa"/>
          </w:tcPr>
          <w:p>
            <w:pPr>
              <w:pStyle w:val="TableParagraph"/>
              <w:spacing w:before="174"/>
              <w:rPr>
                <w:sz w:val="16"/>
              </w:rPr>
            </w:pPr>
          </w:p>
          <w:p>
            <w:pPr>
              <w:pStyle w:val="TableParagraph"/>
              <w:ind w:right="57"/>
              <w:jc w:val="right"/>
              <w:rPr>
                <w:b/>
                <w:sz w:val="16"/>
              </w:rPr>
            </w:pPr>
            <w:r>
              <w:rPr>
                <w:b/>
                <w:spacing w:val="-2"/>
                <w:sz w:val="16"/>
              </w:rPr>
              <w:t>76.190.988,16</w:t>
            </w:r>
          </w:p>
        </w:tc>
        <w:tc>
          <w:tcPr>
            <w:tcW w:w="1652" w:type="dxa"/>
          </w:tcPr>
          <w:p>
            <w:pPr>
              <w:pStyle w:val="TableParagraph"/>
              <w:spacing w:before="174"/>
              <w:rPr>
                <w:sz w:val="16"/>
              </w:rPr>
            </w:pPr>
          </w:p>
          <w:p>
            <w:pPr>
              <w:pStyle w:val="TableParagraph"/>
              <w:ind w:right="56"/>
              <w:jc w:val="right"/>
              <w:rPr>
                <w:b/>
                <w:sz w:val="16"/>
              </w:rPr>
            </w:pPr>
            <w:r>
              <w:rPr>
                <w:b/>
                <w:spacing w:val="-2"/>
                <w:sz w:val="16"/>
              </w:rPr>
              <w:t>63.862.872,09</w:t>
            </w:r>
          </w:p>
        </w:tc>
        <w:tc>
          <w:tcPr>
            <w:tcW w:w="2793" w:type="dxa"/>
            <w:gridSpan w:val="2"/>
            <w:vMerge/>
            <w:tcBorders>
              <w:top w:val="nil"/>
              <w:bottom w:val="single" w:sz="8" w:space="0" w:color="000000"/>
              <w:right w:val="nil"/>
            </w:tcBorders>
          </w:tcPr>
          <w:p>
            <w:pPr>
              <w:rPr>
                <w:sz w:val="2"/>
                <w:szCs w:val="2"/>
              </w:rPr>
            </w:pPr>
          </w:p>
        </w:tc>
      </w:tr>
      <w:tr>
        <w:trPr>
          <w:trHeight w:val="908" w:hRule="atLeast"/>
        </w:trPr>
        <w:tc>
          <w:tcPr>
            <w:tcW w:w="2549" w:type="dxa"/>
            <w:vMerge w:val="restart"/>
          </w:tcPr>
          <w:p>
            <w:pPr>
              <w:pStyle w:val="TableParagraph"/>
              <w:ind w:left="69"/>
              <w:rPr>
                <w:sz w:val="16"/>
              </w:rPr>
            </w:pPr>
            <w:r>
              <w:rPr>
                <w:sz w:val="16"/>
              </w:rPr>
              <w:t>II.</w:t>
            </w:r>
            <w:r>
              <w:rPr>
                <w:spacing w:val="-9"/>
                <w:sz w:val="16"/>
              </w:rPr>
              <w:t> </w:t>
            </w:r>
            <w:r>
              <w:rPr>
                <w:sz w:val="16"/>
              </w:rPr>
              <w:t>Deudas</w:t>
            </w:r>
            <w:r>
              <w:rPr>
                <w:spacing w:val="-7"/>
                <w:sz w:val="16"/>
              </w:rPr>
              <w:t> </w:t>
            </w:r>
            <w:r>
              <w:rPr>
                <w:sz w:val="16"/>
              </w:rPr>
              <w:t>a</w:t>
            </w:r>
            <w:r>
              <w:rPr>
                <w:spacing w:val="-8"/>
                <w:sz w:val="16"/>
              </w:rPr>
              <w:t> </w:t>
            </w:r>
            <w:r>
              <w:rPr>
                <w:sz w:val="16"/>
              </w:rPr>
              <w:t>largo</w:t>
            </w:r>
            <w:r>
              <w:rPr>
                <w:spacing w:val="-8"/>
                <w:sz w:val="16"/>
              </w:rPr>
              <w:t> </w:t>
            </w:r>
            <w:r>
              <w:rPr>
                <w:sz w:val="16"/>
              </w:rPr>
              <w:t>plazo</w:t>
            </w:r>
            <w:r>
              <w:rPr>
                <w:spacing w:val="-6"/>
                <w:sz w:val="16"/>
              </w:rPr>
              <w:t> </w:t>
            </w:r>
            <w:r>
              <w:rPr>
                <w:sz w:val="16"/>
              </w:rPr>
              <w:t>(Deudas con entidades de crédito; Acreedores por arrendamiento financiero y otros pasivos </w:t>
            </w:r>
            <w:r>
              <w:rPr>
                <w:spacing w:val="-2"/>
                <w:sz w:val="16"/>
              </w:rPr>
              <w:t>financieros)</w:t>
            </w:r>
          </w:p>
          <w:p>
            <w:pPr>
              <w:pStyle w:val="TableParagraph"/>
              <w:ind w:left="69"/>
              <w:rPr>
                <w:sz w:val="16"/>
              </w:rPr>
            </w:pPr>
            <w:r>
              <w:rPr>
                <w:sz w:val="16"/>
              </w:rPr>
              <w:t>III.</w:t>
            </w:r>
            <w:r>
              <w:rPr>
                <w:spacing w:val="-6"/>
                <w:sz w:val="16"/>
              </w:rPr>
              <w:t> </w:t>
            </w:r>
            <w:r>
              <w:rPr>
                <w:sz w:val="16"/>
              </w:rPr>
              <w:t>Deudas</w:t>
            </w:r>
            <w:r>
              <w:rPr>
                <w:spacing w:val="-6"/>
                <w:sz w:val="16"/>
              </w:rPr>
              <w:t> </w:t>
            </w:r>
            <w:r>
              <w:rPr>
                <w:sz w:val="16"/>
              </w:rPr>
              <w:t>a</w:t>
            </w:r>
            <w:r>
              <w:rPr>
                <w:spacing w:val="-9"/>
                <w:sz w:val="16"/>
              </w:rPr>
              <w:t> </w:t>
            </w:r>
            <w:r>
              <w:rPr>
                <w:sz w:val="16"/>
              </w:rPr>
              <w:t>corto</w:t>
            </w:r>
            <w:r>
              <w:rPr>
                <w:spacing w:val="-10"/>
                <w:sz w:val="16"/>
              </w:rPr>
              <w:t> </w:t>
            </w:r>
            <w:r>
              <w:rPr>
                <w:sz w:val="16"/>
              </w:rPr>
              <w:t>plazo</w:t>
            </w:r>
            <w:r>
              <w:rPr>
                <w:spacing w:val="-8"/>
                <w:sz w:val="16"/>
              </w:rPr>
              <w:t> </w:t>
            </w:r>
            <w:r>
              <w:rPr>
                <w:sz w:val="16"/>
              </w:rPr>
              <w:t>(Deudas con entidades de crédito; Acreedores por arrendamiento financiero y otros pasivos </w:t>
            </w:r>
            <w:r>
              <w:rPr>
                <w:spacing w:val="-2"/>
                <w:sz w:val="16"/>
              </w:rPr>
              <w:t>financieros).</w:t>
            </w:r>
          </w:p>
          <w:p>
            <w:pPr>
              <w:pStyle w:val="TableParagraph"/>
              <w:spacing w:line="244" w:lineRule="auto" w:before="11"/>
              <w:ind w:left="69" w:right="106"/>
              <w:rPr>
                <w:sz w:val="16"/>
              </w:rPr>
            </w:pPr>
            <w:r>
              <w:rPr>
                <w:sz w:val="16"/>
              </w:rPr>
              <w:t>IV Deudas</w:t>
            </w:r>
            <w:r>
              <w:rPr>
                <w:spacing w:val="-1"/>
                <w:sz w:val="16"/>
              </w:rPr>
              <w:t> </w:t>
            </w:r>
            <w:r>
              <w:rPr>
                <w:sz w:val="16"/>
              </w:rPr>
              <w:t>con empresas</w:t>
            </w:r>
            <w:r>
              <w:rPr>
                <w:spacing w:val="-1"/>
                <w:sz w:val="16"/>
              </w:rPr>
              <w:t> </w:t>
            </w:r>
            <w:r>
              <w:rPr>
                <w:sz w:val="16"/>
              </w:rPr>
              <w:t>del grupo y asociadas a c/p 2.Proveedores,</w:t>
            </w:r>
            <w:r>
              <w:rPr>
                <w:spacing w:val="-12"/>
                <w:sz w:val="16"/>
              </w:rPr>
              <w:t> </w:t>
            </w:r>
            <w:r>
              <w:rPr>
                <w:sz w:val="16"/>
              </w:rPr>
              <w:t>empresas</w:t>
            </w:r>
            <w:r>
              <w:rPr>
                <w:spacing w:val="-11"/>
                <w:sz w:val="16"/>
              </w:rPr>
              <w:t> </w:t>
            </w:r>
            <w:r>
              <w:rPr>
                <w:sz w:val="16"/>
              </w:rPr>
              <w:t>del</w:t>
            </w:r>
          </w:p>
          <w:p>
            <w:pPr>
              <w:pStyle w:val="TableParagraph"/>
              <w:spacing w:line="162" w:lineRule="exact"/>
              <w:ind w:left="69"/>
              <w:rPr>
                <w:sz w:val="16"/>
              </w:rPr>
            </w:pPr>
            <w:r>
              <w:rPr>
                <w:sz w:val="16"/>
              </w:rPr>
              <w:t>grupo</w:t>
            </w:r>
            <w:r>
              <w:rPr>
                <w:spacing w:val="-4"/>
                <w:sz w:val="16"/>
              </w:rPr>
              <w:t> </w:t>
            </w:r>
            <w:r>
              <w:rPr>
                <w:sz w:val="16"/>
              </w:rPr>
              <w:t>y</w:t>
            </w:r>
            <w:r>
              <w:rPr>
                <w:spacing w:val="-3"/>
                <w:sz w:val="16"/>
              </w:rPr>
              <w:t> </w:t>
            </w:r>
            <w:r>
              <w:rPr>
                <w:spacing w:val="-2"/>
                <w:sz w:val="16"/>
              </w:rPr>
              <w:t>asociadas</w:t>
            </w:r>
          </w:p>
        </w:tc>
        <w:tc>
          <w:tcPr>
            <w:tcW w:w="1654" w:type="dxa"/>
          </w:tcPr>
          <w:p>
            <w:pPr>
              <w:pStyle w:val="TableParagraph"/>
              <w:spacing w:before="174"/>
              <w:rPr>
                <w:sz w:val="16"/>
              </w:rPr>
            </w:pPr>
          </w:p>
          <w:p>
            <w:pPr>
              <w:pStyle w:val="TableParagraph"/>
              <w:ind w:right="57"/>
              <w:jc w:val="right"/>
              <w:rPr>
                <w:sz w:val="16"/>
              </w:rPr>
            </w:pPr>
            <w:r>
              <w:rPr>
                <w:spacing w:val="-2"/>
                <w:sz w:val="16"/>
              </w:rPr>
              <w:t>65.090.163,27</w:t>
            </w:r>
          </w:p>
        </w:tc>
        <w:tc>
          <w:tcPr>
            <w:tcW w:w="1652" w:type="dxa"/>
          </w:tcPr>
          <w:p>
            <w:pPr>
              <w:pStyle w:val="TableParagraph"/>
              <w:spacing w:before="174"/>
              <w:rPr>
                <w:sz w:val="16"/>
              </w:rPr>
            </w:pPr>
          </w:p>
          <w:p>
            <w:pPr>
              <w:pStyle w:val="TableParagraph"/>
              <w:ind w:right="56"/>
              <w:jc w:val="right"/>
              <w:rPr>
                <w:sz w:val="16"/>
              </w:rPr>
            </w:pPr>
            <w:r>
              <w:rPr>
                <w:spacing w:val="-2"/>
                <w:sz w:val="16"/>
              </w:rPr>
              <w:t>56.928.273,34</w:t>
            </w:r>
          </w:p>
        </w:tc>
        <w:tc>
          <w:tcPr>
            <w:tcW w:w="2793" w:type="dxa"/>
            <w:gridSpan w:val="2"/>
            <w:vMerge/>
            <w:tcBorders>
              <w:top w:val="nil"/>
              <w:bottom w:val="single" w:sz="8" w:space="0" w:color="000000"/>
              <w:right w:val="nil"/>
            </w:tcBorders>
          </w:tcPr>
          <w:p>
            <w:pPr>
              <w:rPr>
                <w:sz w:val="2"/>
                <w:szCs w:val="2"/>
              </w:rPr>
            </w:pPr>
          </w:p>
        </w:tc>
      </w:tr>
      <w:tr>
        <w:trPr>
          <w:trHeight w:val="911" w:hRule="atLeast"/>
        </w:trPr>
        <w:tc>
          <w:tcPr>
            <w:tcW w:w="2549" w:type="dxa"/>
            <w:vMerge/>
            <w:tcBorders>
              <w:top w:val="nil"/>
            </w:tcBorders>
          </w:tcPr>
          <w:p>
            <w:pPr>
              <w:rPr>
                <w:sz w:val="2"/>
                <w:szCs w:val="2"/>
              </w:rPr>
            </w:pPr>
          </w:p>
        </w:tc>
        <w:tc>
          <w:tcPr>
            <w:tcW w:w="1654" w:type="dxa"/>
          </w:tcPr>
          <w:p>
            <w:pPr>
              <w:pStyle w:val="TableParagraph"/>
              <w:spacing w:before="176"/>
              <w:rPr>
                <w:sz w:val="16"/>
              </w:rPr>
            </w:pPr>
          </w:p>
          <w:p>
            <w:pPr>
              <w:pStyle w:val="TableParagraph"/>
              <w:ind w:right="57"/>
              <w:jc w:val="right"/>
              <w:rPr>
                <w:sz w:val="16"/>
              </w:rPr>
            </w:pPr>
            <w:r>
              <w:rPr>
                <w:spacing w:val="-2"/>
                <w:sz w:val="16"/>
              </w:rPr>
              <w:t>10.889.170,76</w:t>
            </w:r>
          </w:p>
        </w:tc>
        <w:tc>
          <w:tcPr>
            <w:tcW w:w="1652" w:type="dxa"/>
          </w:tcPr>
          <w:p>
            <w:pPr>
              <w:pStyle w:val="TableParagraph"/>
              <w:spacing w:before="176"/>
              <w:rPr>
                <w:sz w:val="16"/>
              </w:rPr>
            </w:pPr>
          </w:p>
          <w:p>
            <w:pPr>
              <w:pStyle w:val="TableParagraph"/>
              <w:ind w:right="55"/>
              <w:jc w:val="right"/>
              <w:rPr>
                <w:sz w:val="16"/>
              </w:rPr>
            </w:pPr>
            <w:r>
              <w:rPr>
                <w:spacing w:val="-2"/>
                <w:sz w:val="16"/>
              </w:rPr>
              <w:t>6.743.681,89</w:t>
            </w:r>
          </w:p>
        </w:tc>
        <w:tc>
          <w:tcPr>
            <w:tcW w:w="2793" w:type="dxa"/>
            <w:gridSpan w:val="2"/>
            <w:vMerge/>
            <w:tcBorders>
              <w:top w:val="nil"/>
              <w:bottom w:val="single" w:sz="8" w:space="0" w:color="000000"/>
              <w:right w:val="nil"/>
            </w:tcBorders>
          </w:tcPr>
          <w:p>
            <w:pPr>
              <w:rPr>
                <w:sz w:val="2"/>
                <w:szCs w:val="2"/>
              </w:rPr>
            </w:pPr>
          </w:p>
        </w:tc>
      </w:tr>
      <w:tr>
        <w:trPr>
          <w:trHeight w:val="356" w:hRule="atLeast"/>
        </w:trPr>
        <w:tc>
          <w:tcPr>
            <w:tcW w:w="2549" w:type="dxa"/>
            <w:vMerge/>
            <w:tcBorders>
              <w:top w:val="nil"/>
            </w:tcBorders>
          </w:tcPr>
          <w:p>
            <w:pPr>
              <w:rPr>
                <w:sz w:val="2"/>
                <w:szCs w:val="2"/>
              </w:rPr>
            </w:pPr>
          </w:p>
        </w:tc>
        <w:tc>
          <w:tcPr>
            <w:tcW w:w="1654" w:type="dxa"/>
          </w:tcPr>
          <w:p>
            <w:pPr>
              <w:pStyle w:val="TableParagraph"/>
              <w:spacing w:before="82"/>
              <w:ind w:right="60"/>
              <w:jc w:val="right"/>
              <w:rPr>
                <w:sz w:val="16"/>
              </w:rPr>
            </w:pPr>
            <w:r>
              <w:rPr>
                <w:spacing w:val="-2"/>
                <w:sz w:val="16"/>
              </w:rPr>
              <w:t>80.757,49</w:t>
            </w:r>
          </w:p>
        </w:tc>
        <w:tc>
          <w:tcPr>
            <w:tcW w:w="1652" w:type="dxa"/>
          </w:tcPr>
          <w:p>
            <w:pPr>
              <w:pStyle w:val="TableParagraph"/>
              <w:spacing w:before="82"/>
              <w:ind w:right="58"/>
              <w:jc w:val="right"/>
              <w:rPr>
                <w:sz w:val="16"/>
              </w:rPr>
            </w:pPr>
            <w:r>
              <w:rPr>
                <w:spacing w:val="-2"/>
                <w:sz w:val="16"/>
              </w:rPr>
              <w:t>80.757,49</w:t>
            </w:r>
          </w:p>
        </w:tc>
        <w:tc>
          <w:tcPr>
            <w:tcW w:w="2793" w:type="dxa"/>
            <w:gridSpan w:val="2"/>
            <w:vMerge/>
            <w:tcBorders>
              <w:top w:val="nil"/>
              <w:bottom w:val="single" w:sz="8" w:space="0" w:color="000000"/>
              <w:right w:val="nil"/>
            </w:tcBorders>
          </w:tcPr>
          <w:p>
            <w:pPr>
              <w:rPr>
                <w:sz w:val="2"/>
                <w:szCs w:val="2"/>
              </w:rPr>
            </w:pPr>
          </w:p>
        </w:tc>
      </w:tr>
      <w:tr>
        <w:trPr>
          <w:trHeight w:val="359" w:hRule="atLeast"/>
        </w:trPr>
        <w:tc>
          <w:tcPr>
            <w:tcW w:w="2549" w:type="dxa"/>
            <w:vMerge/>
            <w:tcBorders>
              <w:top w:val="nil"/>
            </w:tcBorders>
          </w:tcPr>
          <w:p>
            <w:pPr>
              <w:rPr>
                <w:sz w:val="2"/>
                <w:szCs w:val="2"/>
              </w:rPr>
            </w:pPr>
          </w:p>
        </w:tc>
        <w:tc>
          <w:tcPr>
            <w:tcW w:w="1654" w:type="dxa"/>
          </w:tcPr>
          <w:p>
            <w:pPr>
              <w:pStyle w:val="TableParagraph"/>
              <w:spacing w:before="84"/>
              <w:ind w:right="60"/>
              <w:jc w:val="right"/>
              <w:rPr>
                <w:sz w:val="16"/>
              </w:rPr>
            </w:pPr>
            <w:r>
              <w:rPr>
                <w:spacing w:val="-2"/>
                <w:sz w:val="16"/>
              </w:rPr>
              <w:t>130.896,64</w:t>
            </w:r>
          </w:p>
        </w:tc>
        <w:tc>
          <w:tcPr>
            <w:tcW w:w="1652" w:type="dxa"/>
          </w:tcPr>
          <w:p>
            <w:pPr>
              <w:pStyle w:val="TableParagraph"/>
              <w:spacing w:before="84"/>
              <w:ind w:right="59"/>
              <w:jc w:val="right"/>
              <w:rPr>
                <w:sz w:val="16"/>
              </w:rPr>
            </w:pPr>
            <w:r>
              <w:rPr>
                <w:spacing w:val="-2"/>
                <w:sz w:val="16"/>
              </w:rPr>
              <w:t>110.159,37</w:t>
            </w:r>
          </w:p>
        </w:tc>
        <w:tc>
          <w:tcPr>
            <w:tcW w:w="2793" w:type="dxa"/>
            <w:gridSpan w:val="2"/>
            <w:vMerge/>
            <w:tcBorders>
              <w:top w:val="nil"/>
              <w:bottom w:val="single" w:sz="8" w:space="0" w:color="000000"/>
              <w:right w:val="nil"/>
            </w:tcBorders>
          </w:tcPr>
          <w:p>
            <w:pPr>
              <w:rPr>
                <w:sz w:val="2"/>
                <w:szCs w:val="2"/>
              </w:rPr>
            </w:pPr>
          </w:p>
        </w:tc>
      </w:tr>
      <w:tr>
        <w:trPr>
          <w:trHeight w:val="356" w:hRule="atLeast"/>
        </w:trPr>
        <w:tc>
          <w:tcPr>
            <w:tcW w:w="4203" w:type="dxa"/>
            <w:gridSpan w:val="2"/>
            <w:tcBorders>
              <w:left w:val="nil"/>
            </w:tcBorders>
          </w:tcPr>
          <w:p>
            <w:pPr>
              <w:pStyle w:val="TableParagraph"/>
              <w:rPr>
                <w:rFonts w:ascii="Times New Roman"/>
                <w:sz w:val="16"/>
              </w:rPr>
            </w:pPr>
          </w:p>
        </w:tc>
        <w:tc>
          <w:tcPr>
            <w:tcW w:w="1652" w:type="dxa"/>
          </w:tcPr>
          <w:p>
            <w:pPr>
              <w:pStyle w:val="TableParagraph"/>
              <w:rPr>
                <w:rFonts w:ascii="Times New Roman"/>
                <w:sz w:val="16"/>
              </w:rPr>
            </w:pPr>
          </w:p>
        </w:tc>
        <w:tc>
          <w:tcPr>
            <w:tcW w:w="2793" w:type="dxa"/>
            <w:gridSpan w:val="2"/>
            <w:vMerge/>
            <w:tcBorders>
              <w:top w:val="nil"/>
              <w:bottom w:val="single" w:sz="8" w:space="0" w:color="000000"/>
              <w:right w:val="nil"/>
            </w:tcBorders>
          </w:tcPr>
          <w:p>
            <w:pPr>
              <w:rPr>
                <w:sz w:val="2"/>
                <w:szCs w:val="2"/>
              </w:rPr>
            </w:pPr>
          </w:p>
        </w:tc>
      </w:tr>
      <w:tr>
        <w:trPr>
          <w:trHeight w:val="911" w:hRule="atLeast"/>
        </w:trPr>
        <w:tc>
          <w:tcPr>
            <w:tcW w:w="2549" w:type="dxa"/>
          </w:tcPr>
          <w:p>
            <w:pPr>
              <w:pStyle w:val="TableParagraph"/>
              <w:spacing w:line="173" w:lineRule="exact"/>
              <w:ind w:left="69"/>
              <w:rPr>
                <w:b/>
                <w:sz w:val="16"/>
              </w:rPr>
            </w:pPr>
            <w:r>
              <w:rPr>
                <w:b/>
                <w:sz w:val="16"/>
              </w:rPr>
              <w:t>DFN</w:t>
            </w:r>
            <w:r>
              <w:rPr>
                <w:b/>
                <w:spacing w:val="-4"/>
                <w:sz w:val="16"/>
              </w:rPr>
              <w:t> </w:t>
            </w:r>
            <w:r>
              <w:rPr>
                <w:b/>
                <w:sz w:val="16"/>
              </w:rPr>
              <w:t>(DEUDA</w:t>
            </w:r>
            <w:r>
              <w:rPr>
                <w:b/>
                <w:spacing w:val="-8"/>
                <w:sz w:val="16"/>
              </w:rPr>
              <w:t> </w:t>
            </w:r>
            <w:r>
              <w:rPr>
                <w:b/>
                <w:spacing w:val="-2"/>
                <w:sz w:val="16"/>
              </w:rPr>
              <w:t>FINANCIERA</w:t>
            </w:r>
          </w:p>
          <w:p>
            <w:pPr>
              <w:pStyle w:val="TableParagraph"/>
              <w:spacing w:before="1"/>
              <w:ind w:left="69" w:right="106"/>
              <w:rPr>
                <w:b/>
                <w:sz w:val="16"/>
              </w:rPr>
            </w:pPr>
            <w:r>
              <w:rPr>
                <w:b/>
                <w:sz w:val="16"/>
              </w:rPr>
              <w:t>NETA)</w:t>
            </w:r>
            <w:r>
              <w:rPr>
                <w:b/>
                <w:spacing w:val="-8"/>
                <w:sz w:val="16"/>
              </w:rPr>
              <w:t> </w:t>
            </w:r>
            <w:r>
              <w:rPr>
                <w:b/>
                <w:sz w:val="16"/>
              </w:rPr>
              <w:t>=</w:t>
            </w:r>
            <w:r>
              <w:rPr>
                <w:b/>
                <w:spacing w:val="-8"/>
                <w:sz w:val="16"/>
              </w:rPr>
              <w:t> </w:t>
            </w:r>
            <w:r>
              <w:rPr>
                <w:b/>
                <w:sz w:val="16"/>
              </w:rPr>
              <w:t>Deuda</w:t>
            </w:r>
            <w:r>
              <w:rPr>
                <w:b/>
                <w:spacing w:val="-8"/>
                <w:sz w:val="16"/>
              </w:rPr>
              <w:t> </w:t>
            </w:r>
            <w:r>
              <w:rPr>
                <w:b/>
                <w:sz w:val="16"/>
              </w:rPr>
              <w:t>Total</w:t>
            </w:r>
            <w:r>
              <w:rPr>
                <w:b/>
                <w:spacing w:val="-7"/>
                <w:sz w:val="16"/>
              </w:rPr>
              <w:t> </w:t>
            </w:r>
            <w:r>
              <w:rPr>
                <w:b/>
                <w:sz w:val="16"/>
              </w:rPr>
              <w:t>-</w:t>
            </w:r>
            <w:r>
              <w:rPr>
                <w:b/>
                <w:spacing w:val="-8"/>
                <w:sz w:val="16"/>
              </w:rPr>
              <w:t> </w:t>
            </w:r>
            <w:r>
              <w:rPr>
                <w:b/>
                <w:sz w:val="16"/>
              </w:rPr>
              <w:t>efectivo y otros activos líquidos equivalentes -otros activos</w:t>
            </w:r>
          </w:p>
          <w:p>
            <w:pPr>
              <w:pStyle w:val="TableParagraph"/>
              <w:spacing w:line="166" w:lineRule="exact"/>
              <w:ind w:left="69"/>
              <w:rPr>
                <w:b/>
                <w:sz w:val="16"/>
              </w:rPr>
            </w:pPr>
            <w:r>
              <w:rPr>
                <w:b/>
                <w:sz w:val="16"/>
              </w:rPr>
              <w:t>financieros</w:t>
            </w:r>
            <w:r>
              <w:rPr>
                <w:b/>
                <w:spacing w:val="-7"/>
                <w:sz w:val="16"/>
              </w:rPr>
              <w:t> </w:t>
            </w:r>
            <w:r>
              <w:rPr>
                <w:b/>
                <w:spacing w:val="-2"/>
                <w:sz w:val="16"/>
              </w:rPr>
              <w:t>corrientes</w:t>
            </w:r>
          </w:p>
        </w:tc>
        <w:tc>
          <w:tcPr>
            <w:tcW w:w="1654" w:type="dxa"/>
          </w:tcPr>
          <w:p>
            <w:pPr>
              <w:pStyle w:val="TableParagraph"/>
              <w:spacing w:before="174"/>
              <w:rPr>
                <w:sz w:val="16"/>
              </w:rPr>
            </w:pPr>
          </w:p>
          <w:p>
            <w:pPr>
              <w:pStyle w:val="TableParagraph"/>
              <w:ind w:right="57"/>
              <w:jc w:val="right"/>
              <w:rPr>
                <w:b/>
                <w:sz w:val="16"/>
              </w:rPr>
            </w:pPr>
            <w:r>
              <w:rPr>
                <w:b/>
                <w:spacing w:val="-2"/>
                <w:sz w:val="16"/>
              </w:rPr>
              <w:t>46.222.139,37</w:t>
            </w:r>
          </w:p>
        </w:tc>
        <w:tc>
          <w:tcPr>
            <w:tcW w:w="1652" w:type="dxa"/>
          </w:tcPr>
          <w:p>
            <w:pPr>
              <w:pStyle w:val="TableParagraph"/>
              <w:spacing w:before="174"/>
              <w:rPr>
                <w:sz w:val="16"/>
              </w:rPr>
            </w:pPr>
          </w:p>
          <w:p>
            <w:pPr>
              <w:pStyle w:val="TableParagraph"/>
              <w:ind w:right="56"/>
              <w:jc w:val="right"/>
              <w:rPr>
                <w:b/>
                <w:sz w:val="16"/>
              </w:rPr>
            </w:pPr>
            <w:r>
              <w:rPr>
                <w:b/>
                <w:spacing w:val="-2"/>
                <w:sz w:val="16"/>
              </w:rPr>
              <w:t>38.512.519,74</w:t>
            </w:r>
          </w:p>
        </w:tc>
        <w:tc>
          <w:tcPr>
            <w:tcW w:w="2793" w:type="dxa"/>
            <w:gridSpan w:val="2"/>
            <w:vMerge/>
            <w:tcBorders>
              <w:top w:val="nil"/>
              <w:bottom w:val="single" w:sz="8" w:space="0" w:color="000000"/>
              <w:right w:val="nil"/>
            </w:tcBorders>
          </w:tcPr>
          <w:p>
            <w:pPr>
              <w:rPr>
                <w:sz w:val="2"/>
                <w:szCs w:val="2"/>
              </w:rPr>
            </w:pPr>
          </w:p>
        </w:tc>
      </w:tr>
      <w:tr>
        <w:trPr>
          <w:trHeight w:val="272" w:hRule="atLeast"/>
        </w:trPr>
        <w:tc>
          <w:tcPr>
            <w:tcW w:w="2549" w:type="dxa"/>
            <w:vMerge w:val="restart"/>
          </w:tcPr>
          <w:p>
            <w:pPr>
              <w:pStyle w:val="TableParagraph"/>
              <w:spacing w:before="41"/>
              <w:ind w:left="69"/>
              <w:rPr>
                <w:sz w:val="16"/>
              </w:rPr>
            </w:pPr>
            <w:r>
              <w:rPr>
                <w:spacing w:val="-5"/>
                <w:sz w:val="16"/>
              </w:rPr>
              <w:t>DT=</w:t>
            </w:r>
          </w:p>
          <w:p>
            <w:pPr>
              <w:pStyle w:val="TableParagraph"/>
              <w:spacing w:before="61"/>
              <w:ind w:left="69"/>
              <w:rPr>
                <w:sz w:val="16"/>
              </w:rPr>
            </w:pPr>
            <w:r>
              <w:rPr>
                <w:sz w:val="16"/>
              </w:rPr>
              <w:t>"…VII.</w:t>
            </w:r>
            <w:r>
              <w:rPr>
                <w:spacing w:val="-10"/>
                <w:sz w:val="16"/>
              </w:rPr>
              <w:t> </w:t>
            </w:r>
            <w:r>
              <w:rPr>
                <w:sz w:val="16"/>
              </w:rPr>
              <w:t>Efectivo</w:t>
            </w:r>
            <w:r>
              <w:rPr>
                <w:spacing w:val="-8"/>
                <w:sz w:val="16"/>
              </w:rPr>
              <w:t> </w:t>
            </w:r>
            <w:r>
              <w:rPr>
                <w:sz w:val="16"/>
              </w:rPr>
              <w:t>y</w:t>
            </w:r>
            <w:r>
              <w:rPr>
                <w:spacing w:val="-11"/>
                <w:sz w:val="16"/>
              </w:rPr>
              <w:t> </w:t>
            </w:r>
            <w:r>
              <w:rPr>
                <w:sz w:val="16"/>
              </w:rPr>
              <w:t>otros</w:t>
            </w:r>
            <w:r>
              <w:rPr>
                <w:spacing w:val="-9"/>
                <w:sz w:val="16"/>
              </w:rPr>
              <w:t> </w:t>
            </w:r>
            <w:r>
              <w:rPr>
                <w:sz w:val="16"/>
              </w:rPr>
              <w:t>activos líquidos equivalentes</w:t>
            </w:r>
          </w:p>
          <w:p>
            <w:pPr>
              <w:pStyle w:val="TableParagraph"/>
              <w:spacing w:line="180" w:lineRule="atLeast"/>
              <w:ind w:left="69" w:right="106"/>
              <w:rPr>
                <w:sz w:val="16"/>
              </w:rPr>
            </w:pPr>
            <w:r>
              <w:rPr>
                <w:sz w:val="16"/>
              </w:rPr>
              <w:t>…V</w:t>
            </w:r>
            <w:r>
              <w:rPr>
                <w:spacing w:val="-12"/>
                <w:sz w:val="16"/>
              </w:rPr>
              <w:t> </w:t>
            </w:r>
            <w:r>
              <w:rPr>
                <w:sz w:val="16"/>
              </w:rPr>
              <w:t>Inversiones</w:t>
            </w:r>
            <w:r>
              <w:rPr>
                <w:spacing w:val="-11"/>
                <w:sz w:val="16"/>
              </w:rPr>
              <w:t> </w:t>
            </w:r>
            <w:r>
              <w:rPr>
                <w:sz w:val="16"/>
              </w:rPr>
              <w:t>financieras</w:t>
            </w:r>
            <w:r>
              <w:rPr>
                <w:spacing w:val="-11"/>
                <w:sz w:val="16"/>
              </w:rPr>
              <w:t> </w:t>
            </w:r>
            <w:r>
              <w:rPr>
                <w:sz w:val="16"/>
              </w:rPr>
              <w:t>a corto plazo</w:t>
            </w:r>
          </w:p>
        </w:tc>
        <w:tc>
          <w:tcPr>
            <w:tcW w:w="1654" w:type="dxa"/>
          </w:tcPr>
          <w:p>
            <w:pPr>
              <w:pStyle w:val="TableParagraph"/>
              <w:spacing w:before="41"/>
              <w:ind w:right="57"/>
              <w:jc w:val="right"/>
              <w:rPr>
                <w:sz w:val="16"/>
              </w:rPr>
            </w:pPr>
            <w:r>
              <w:rPr>
                <w:spacing w:val="-2"/>
                <w:sz w:val="16"/>
              </w:rPr>
              <w:t>76.190.988,16</w:t>
            </w:r>
          </w:p>
        </w:tc>
        <w:tc>
          <w:tcPr>
            <w:tcW w:w="1652" w:type="dxa"/>
          </w:tcPr>
          <w:p>
            <w:pPr>
              <w:pStyle w:val="TableParagraph"/>
              <w:spacing w:before="41"/>
              <w:ind w:right="56"/>
              <w:jc w:val="right"/>
              <w:rPr>
                <w:sz w:val="16"/>
              </w:rPr>
            </w:pPr>
            <w:r>
              <w:rPr>
                <w:spacing w:val="-2"/>
                <w:sz w:val="16"/>
              </w:rPr>
              <w:t>63.862.872,09</w:t>
            </w:r>
          </w:p>
        </w:tc>
        <w:tc>
          <w:tcPr>
            <w:tcW w:w="2793" w:type="dxa"/>
            <w:gridSpan w:val="2"/>
            <w:vMerge/>
            <w:tcBorders>
              <w:top w:val="nil"/>
              <w:bottom w:val="single" w:sz="8" w:space="0" w:color="000000"/>
              <w:right w:val="nil"/>
            </w:tcBorders>
          </w:tcPr>
          <w:p>
            <w:pPr>
              <w:rPr>
                <w:sz w:val="2"/>
                <w:szCs w:val="2"/>
              </w:rPr>
            </w:pPr>
          </w:p>
        </w:tc>
      </w:tr>
      <w:tr>
        <w:trPr>
          <w:trHeight w:val="359" w:hRule="atLeast"/>
        </w:trPr>
        <w:tc>
          <w:tcPr>
            <w:tcW w:w="2549" w:type="dxa"/>
            <w:vMerge/>
            <w:tcBorders>
              <w:top w:val="nil"/>
            </w:tcBorders>
          </w:tcPr>
          <w:p>
            <w:pPr>
              <w:rPr>
                <w:sz w:val="2"/>
                <w:szCs w:val="2"/>
              </w:rPr>
            </w:pPr>
          </w:p>
        </w:tc>
        <w:tc>
          <w:tcPr>
            <w:tcW w:w="1654" w:type="dxa"/>
          </w:tcPr>
          <w:p>
            <w:pPr>
              <w:pStyle w:val="TableParagraph"/>
              <w:spacing w:before="84"/>
              <w:ind w:right="57"/>
              <w:jc w:val="right"/>
              <w:rPr>
                <w:sz w:val="16"/>
              </w:rPr>
            </w:pPr>
            <w:r>
              <w:rPr>
                <w:spacing w:val="-2"/>
                <w:sz w:val="16"/>
              </w:rPr>
              <w:t>9.968.848,79</w:t>
            </w:r>
          </w:p>
        </w:tc>
        <w:tc>
          <w:tcPr>
            <w:tcW w:w="1652" w:type="dxa"/>
          </w:tcPr>
          <w:p>
            <w:pPr>
              <w:pStyle w:val="TableParagraph"/>
              <w:spacing w:before="84"/>
              <w:ind w:right="56"/>
              <w:jc w:val="right"/>
              <w:rPr>
                <w:sz w:val="16"/>
              </w:rPr>
            </w:pPr>
            <w:r>
              <w:rPr>
                <w:spacing w:val="-2"/>
                <w:sz w:val="16"/>
              </w:rPr>
              <w:t>12.850.352,35</w:t>
            </w:r>
          </w:p>
        </w:tc>
        <w:tc>
          <w:tcPr>
            <w:tcW w:w="2793" w:type="dxa"/>
            <w:gridSpan w:val="2"/>
            <w:vMerge/>
            <w:tcBorders>
              <w:top w:val="nil"/>
              <w:bottom w:val="single" w:sz="8" w:space="0" w:color="000000"/>
              <w:right w:val="nil"/>
            </w:tcBorders>
          </w:tcPr>
          <w:p>
            <w:pPr>
              <w:rPr>
                <w:sz w:val="2"/>
                <w:szCs w:val="2"/>
              </w:rPr>
            </w:pPr>
          </w:p>
        </w:tc>
      </w:tr>
      <w:tr>
        <w:trPr>
          <w:trHeight w:val="356" w:hRule="atLeast"/>
        </w:trPr>
        <w:tc>
          <w:tcPr>
            <w:tcW w:w="2549" w:type="dxa"/>
            <w:vMerge/>
            <w:tcBorders>
              <w:top w:val="nil"/>
            </w:tcBorders>
          </w:tcPr>
          <w:p>
            <w:pPr>
              <w:rPr>
                <w:sz w:val="2"/>
                <w:szCs w:val="2"/>
              </w:rPr>
            </w:pPr>
          </w:p>
        </w:tc>
        <w:tc>
          <w:tcPr>
            <w:tcW w:w="1654" w:type="dxa"/>
          </w:tcPr>
          <w:p>
            <w:pPr>
              <w:pStyle w:val="TableParagraph"/>
              <w:spacing w:before="82"/>
              <w:ind w:right="57"/>
              <w:jc w:val="right"/>
              <w:rPr>
                <w:sz w:val="16"/>
              </w:rPr>
            </w:pPr>
            <w:r>
              <w:rPr>
                <w:spacing w:val="-2"/>
                <w:sz w:val="16"/>
              </w:rPr>
              <w:t>20.000.000,00</w:t>
            </w:r>
          </w:p>
        </w:tc>
        <w:tc>
          <w:tcPr>
            <w:tcW w:w="1652" w:type="dxa"/>
          </w:tcPr>
          <w:p>
            <w:pPr>
              <w:pStyle w:val="TableParagraph"/>
              <w:spacing w:before="82"/>
              <w:ind w:right="56"/>
              <w:jc w:val="right"/>
              <w:rPr>
                <w:sz w:val="16"/>
              </w:rPr>
            </w:pPr>
            <w:r>
              <w:rPr>
                <w:spacing w:val="-2"/>
                <w:sz w:val="16"/>
              </w:rPr>
              <w:t>12.500.000,00</w:t>
            </w:r>
          </w:p>
        </w:tc>
        <w:tc>
          <w:tcPr>
            <w:tcW w:w="2793" w:type="dxa"/>
            <w:gridSpan w:val="2"/>
            <w:vMerge/>
            <w:tcBorders>
              <w:top w:val="nil"/>
              <w:bottom w:val="single" w:sz="8" w:space="0" w:color="000000"/>
              <w:right w:val="nil"/>
            </w:tcBorders>
          </w:tcPr>
          <w:p>
            <w:pPr>
              <w:rPr>
                <w:sz w:val="2"/>
                <w:szCs w:val="2"/>
              </w:rPr>
            </w:pPr>
          </w:p>
        </w:tc>
      </w:tr>
      <w:tr>
        <w:trPr>
          <w:trHeight w:val="911" w:hRule="atLeast"/>
        </w:trPr>
        <w:tc>
          <w:tcPr>
            <w:tcW w:w="2549" w:type="dxa"/>
          </w:tcPr>
          <w:p>
            <w:pPr>
              <w:pStyle w:val="TableParagraph"/>
              <w:ind w:left="69" w:right="408"/>
              <w:rPr>
                <w:b/>
                <w:sz w:val="16"/>
              </w:rPr>
            </w:pPr>
            <w:r>
              <w:rPr>
                <w:b/>
                <w:sz w:val="16"/>
              </w:rPr>
              <w:t>EBITDA=Resultado de explotación</w:t>
            </w:r>
            <w:r>
              <w:rPr>
                <w:b/>
                <w:spacing w:val="-12"/>
                <w:sz w:val="16"/>
              </w:rPr>
              <w:t> </w:t>
            </w:r>
            <w:r>
              <w:rPr>
                <w:b/>
                <w:sz w:val="16"/>
              </w:rPr>
              <w:t>-</w:t>
            </w:r>
            <w:r>
              <w:rPr>
                <w:b/>
                <w:sz w:val="16"/>
              </w:rPr>
              <w:t>subvenciones capital traspasadas a resultados del ejercicio +</w:t>
            </w:r>
          </w:p>
          <w:p>
            <w:pPr>
              <w:pStyle w:val="TableParagraph"/>
              <w:spacing w:line="164" w:lineRule="exact"/>
              <w:ind w:left="69"/>
              <w:rPr>
                <w:b/>
                <w:sz w:val="16"/>
              </w:rPr>
            </w:pPr>
            <w:r>
              <w:rPr>
                <w:b/>
                <w:spacing w:val="-2"/>
                <w:sz w:val="16"/>
              </w:rPr>
              <w:t>amortizaciones</w:t>
            </w:r>
          </w:p>
        </w:tc>
        <w:tc>
          <w:tcPr>
            <w:tcW w:w="1654" w:type="dxa"/>
          </w:tcPr>
          <w:p>
            <w:pPr>
              <w:pStyle w:val="TableParagraph"/>
              <w:spacing w:before="174"/>
              <w:rPr>
                <w:sz w:val="16"/>
              </w:rPr>
            </w:pPr>
          </w:p>
          <w:p>
            <w:pPr>
              <w:pStyle w:val="TableParagraph"/>
              <w:ind w:right="57"/>
              <w:jc w:val="right"/>
              <w:rPr>
                <w:b/>
                <w:sz w:val="16"/>
              </w:rPr>
            </w:pPr>
            <w:r>
              <w:rPr>
                <w:b/>
                <w:spacing w:val="-2"/>
                <w:sz w:val="16"/>
              </w:rPr>
              <w:t>8.958.568,33</w:t>
            </w:r>
          </w:p>
        </w:tc>
        <w:tc>
          <w:tcPr>
            <w:tcW w:w="1652" w:type="dxa"/>
          </w:tcPr>
          <w:p>
            <w:pPr>
              <w:pStyle w:val="TableParagraph"/>
              <w:spacing w:before="174"/>
              <w:rPr>
                <w:sz w:val="16"/>
              </w:rPr>
            </w:pPr>
          </w:p>
          <w:p>
            <w:pPr>
              <w:pStyle w:val="TableParagraph"/>
              <w:ind w:right="55"/>
              <w:jc w:val="right"/>
              <w:rPr>
                <w:b/>
                <w:sz w:val="16"/>
              </w:rPr>
            </w:pPr>
            <w:r>
              <w:rPr>
                <w:b/>
                <w:spacing w:val="-2"/>
                <w:sz w:val="16"/>
              </w:rPr>
              <w:t>5.870.264,06</w:t>
            </w:r>
          </w:p>
        </w:tc>
        <w:tc>
          <w:tcPr>
            <w:tcW w:w="2793" w:type="dxa"/>
            <w:gridSpan w:val="2"/>
            <w:vMerge/>
            <w:tcBorders>
              <w:top w:val="nil"/>
              <w:bottom w:val="single" w:sz="8" w:space="0" w:color="000000"/>
              <w:right w:val="nil"/>
            </w:tcBorders>
          </w:tcPr>
          <w:p>
            <w:pPr>
              <w:rPr>
                <w:sz w:val="2"/>
                <w:szCs w:val="2"/>
              </w:rPr>
            </w:pPr>
          </w:p>
        </w:tc>
      </w:tr>
      <w:tr>
        <w:trPr>
          <w:trHeight w:val="356" w:hRule="atLeast"/>
        </w:trPr>
        <w:tc>
          <w:tcPr>
            <w:tcW w:w="2549" w:type="dxa"/>
            <w:vMerge w:val="restart"/>
          </w:tcPr>
          <w:p>
            <w:pPr>
              <w:pStyle w:val="TableParagraph"/>
              <w:ind w:left="69"/>
              <w:rPr>
                <w:sz w:val="16"/>
              </w:rPr>
            </w:pPr>
            <w:r>
              <w:rPr>
                <w:sz w:val="16"/>
              </w:rPr>
              <w:t>A.1.)</w:t>
            </w:r>
            <w:r>
              <w:rPr>
                <w:spacing w:val="-12"/>
                <w:sz w:val="16"/>
              </w:rPr>
              <w:t> </w:t>
            </w:r>
            <w:r>
              <w:rPr>
                <w:sz w:val="16"/>
              </w:rPr>
              <w:t>Resultado</w:t>
            </w:r>
            <w:r>
              <w:rPr>
                <w:spacing w:val="-11"/>
                <w:sz w:val="16"/>
              </w:rPr>
              <w:t> </w:t>
            </w:r>
            <w:r>
              <w:rPr>
                <w:sz w:val="16"/>
              </w:rPr>
              <w:t>de</w:t>
            </w:r>
            <w:r>
              <w:rPr>
                <w:spacing w:val="-11"/>
                <w:sz w:val="16"/>
              </w:rPr>
              <w:t> </w:t>
            </w:r>
            <w:r>
              <w:rPr>
                <w:sz w:val="16"/>
              </w:rPr>
              <w:t>Explotación </w:t>
            </w:r>
            <w:r>
              <w:rPr>
                <w:spacing w:val="-2"/>
                <w:sz w:val="16"/>
              </w:rPr>
              <w:t>(Beneficio)</w:t>
            </w:r>
          </w:p>
          <w:p>
            <w:pPr>
              <w:pStyle w:val="TableParagraph"/>
              <w:spacing w:before="2"/>
              <w:ind w:left="69" w:right="106"/>
              <w:rPr>
                <w:sz w:val="16"/>
              </w:rPr>
            </w:pPr>
            <w:r>
              <w:rPr>
                <w:sz w:val="16"/>
              </w:rPr>
              <w:t>"…-9 Imputación de subvenciones</w:t>
            </w:r>
            <w:r>
              <w:rPr>
                <w:spacing w:val="-12"/>
                <w:sz w:val="16"/>
              </w:rPr>
              <w:t> </w:t>
            </w:r>
            <w:r>
              <w:rPr>
                <w:sz w:val="16"/>
              </w:rPr>
              <w:t>de</w:t>
            </w:r>
            <w:r>
              <w:rPr>
                <w:spacing w:val="-11"/>
                <w:sz w:val="16"/>
              </w:rPr>
              <w:t> </w:t>
            </w:r>
            <w:r>
              <w:rPr>
                <w:sz w:val="16"/>
              </w:rPr>
              <w:t>inmovilizado</w:t>
            </w:r>
            <w:r>
              <w:rPr>
                <w:spacing w:val="-11"/>
                <w:sz w:val="16"/>
              </w:rPr>
              <w:t> </w:t>
            </w:r>
            <w:r>
              <w:rPr>
                <w:sz w:val="16"/>
              </w:rPr>
              <w:t>no </w:t>
            </w:r>
            <w:r>
              <w:rPr>
                <w:spacing w:val="-2"/>
                <w:sz w:val="16"/>
              </w:rPr>
              <w:t>financiero</w:t>
            </w:r>
          </w:p>
          <w:p>
            <w:pPr>
              <w:pStyle w:val="TableParagraph"/>
              <w:spacing w:line="182" w:lineRule="exact"/>
              <w:ind w:left="69"/>
              <w:rPr>
                <w:sz w:val="16"/>
              </w:rPr>
            </w:pPr>
            <w:r>
              <w:rPr>
                <w:sz w:val="16"/>
              </w:rPr>
              <w:t>"+8.</w:t>
            </w:r>
            <w:r>
              <w:rPr>
                <w:spacing w:val="-12"/>
                <w:sz w:val="16"/>
              </w:rPr>
              <w:t> </w:t>
            </w:r>
            <w:r>
              <w:rPr>
                <w:sz w:val="16"/>
              </w:rPr>
              <w:t>Amortizaciones</w:t>
            </w:r>
            <w:r>
              <w:rPr>
                <w:spacing w:val="-11"/>
                <w:sz w:val="16"/>
              </w:rPr>
              <w:t> </w:t>
            </w:r>
            <w:r>
              <w:rPr>
                <w:sz w:val="16"/>
              </w:rPr>
              <w:t>del </w:t>
            </w:r>
            <w:r>
              <w:rPr>
                <w:spacing w:val="-2"/>
                <w:sz w:val="16"/>
              </w:rPr>
              <w:t>inmovilizado</w:t>
            </w:r>
          </w:p>
        </w:tc>
        <w:tc>
          <w:tcPr>
            <w:tcW w:w="1654" w:type="dxa"/>
          </w:tcPr>
          <w:p>
            <w:pPr>
              <w:pStyle w:val="TableParagraph"/>
              <w:spacing w:before="82"/>
              <w:ind w:right="57"/>
              <w:jc w:val="right"/>
              <w:rPr>
                <w:sz w:val="16"/>
              </w:rPr>
            </w:pPr>
            <w:r>
              <w:rPr>
                <w:spacing w:val="-2"/>
                <w:sz w:val="16"/>
              </w:rPr>
              <w:t>6.044.666,24</w:t>
            </w:r>
          </w:p>
        </w:tc>
        <w:tc>
          <w:tcPr>
            <w:tcW w:w="1652" w:type="dxa"/>
          </w:tcPr>
          <w:p>
            <w:pPr>
              <w:pStyle w:val="TableParagraph"/>
              <w:spacing w:before="82"/>
              <w:ind w:right="55"/>
              <w:jc w:val="right"/>
              <w:rPr>
                <w:sz w:val="16"/>
              </w:rPr>
            </w:pPr>
            <w:r>
              <w:rPr>
                <w:spacing w:val="-2"/>
                <w:sz w:val="16"/>
              </w:rPr>
              <w:t>1.697.599,51</w:t>
            </w:r>
          </w:p>
        </w:tc>
        <w:tc>
          <w:tcPr>
            <w:tcW w:w="2793" w:type="dxa"/>
            <w:gridSpan w:val="2"/>
            <w:vMerge/>
            <w:tcBorders>
              <w:top w:val="nil"/>
              <w:bottom w:val="single" w:sz="8" w:space="0" w:color="000000"/>
              <w:right w:val="nil"/>
            </w:tcBorders>
          </w:tcPr>
          <w:p>
            <w:pPr>
              <w:rPr>
                <w:sz w:val="2"/>
                <w:szCs w:val="2"/>
              </w:rPr>
            </w:pPr>
          </w:p>
        </w:tc>
      </w:tr>
      <w:tr>
        <w:trPr>
          <w:trHeight w:val="544" w:hRule="atLeast"/>
        </w:trPr>
        <w:tc>
          <w:tcPr>
            <w:tcW w:w="2549" w:type="dxa"/>
            <w:vMerge/>
            <w:tcBorders>
              <w:top w:val="nil"/>
            </w:tcBorders>
          </w:tcPr>
          <w:p>
            <w:pPr>
              <w:rPr>
                <w:sz w:val="2"/>
                <w:szCs w:val="2"/>
              </w:rPr>
            </w:pPr>
          </w:p>
        </w:tc>
        <w:tc>
          <w:tcPr>
            <w:tcW w:w="1654" w:type="dxa"/>
          </w:tcPr>
          <w:p>
            <w:pPr>
              <w:pStyle w:val="TableParagraph"/>
              <w:spacing w:before="176"/>
              <w:ind w:right="60"/>
              <w:jc w:val="right"/>
              <w:rPr>
                <w:sz w:val="16"/>
              </w:rPr>
            </w:pPr>
            <w:r>
              <w:rPr>
                <w:spacing w:val="-2"/>
                <w:sz w:val="16"/>
              </w:rPr>
              <w:t>(4.048.349,68)</w:t>
            </w:r>
          </w:p>
        </w:tc>
        <w:tc>
          <w:tcPr>
            <w:tcW w:w="1652" w:type="dxa"/>
          </w:tcPr>
          <w:p>
            <w:pPr>
              <w:pStyle w:val="TableParagraph"/>
              <w:spacing w:before="176"/>
              <w:ind w:right="58"/>
              <w:jc w:val="right"/>
              <w:rPr>
                <w:sz w:val="16"/>
              </w:rPr>
            </w:pPr>
            <w:r>
              <w:rPr>
                <w:spacing w:val="-2"/>
                <w:sz w:val="16"/>
              </w:rPr>
              <w:t>(2.192.691,72)</w:t>
            </w:r>
          </w:p>
        </w:tc>
        <w:tc>
          <w:tcPr>
            <w:tcW w:w="2793" w:type="dxa"/>
            <w:gridSpan w:val="2"/>
            <w:vMerge/>
            <w:tcBorders>
              <w:top w:val="nil"/>
              <w:bottom w:val="single" w:sz="8" w:space="0" w:color="000000"/>
              <w:right w:val="nil"/>
            </w:tcBorders>
          </w:tcPr>
          <w:p>
            <w:pPr>
              <w:rPr>
                <w:sz w:val="2"/>
                <w:szCs w:val="2"/>
              </w:rPr>
            </w:pPr>
          </w:p>
        </w:tc>
      </w:tr>
      <w:tr>
        <w:trPr>
          <w:trHeight w:val="356" w:hRule="atLeast"/>
        </w:trPr>
        <w:tc>
          <w:tcPr>
            <w:tcW w:w="2549" w:type="dxa"/>
            <w:vMerge/>
            <w:tcBorders>
              <w:top w:val="nil"/>
            </w:tcBorders>
          </w:tcPr>
          <w:p>
            <w:pPr>
              <w:rPr>
                <w:sz w:val="2"/>
                <w:szCs w:val="2"/>
              </w:rPr>
            </w:pPr>
          </w:p>
        </w:tc>
        <w:tc>
          <w:tcPr>
            <w:tcW w:w="1654" w:type="dxa"/>
          </w:tcPr>
          <w:p>
            <w:pPr>
              <w:pStyle w:val="TableParagraph"/>
              <w:spacing w:before="82"/>
              <w:ind w:right="57"/>
              <w:jc w:val="right"/>
              <w:rPr>
                <w:sz w:val="16"/>
              </w:rPr>
            </w:pPr>
            <w:r>
              <w:rPr>
                <w:spacing w:val="-2"/>
                <w:sz w:val="16"/>
              </w:rPr>
              <w:t>6.962.251,77</w:t>
            </w:r>
          </w:p>
        </w:tc>
        <w:tc>
          <w:tcPr>
            <w:tcW w:w="1652" w:type="dxa"/>
          </w:tcPr>
          <w:p>
            <w:pPr>
              <w:pStyle w:val="TableParagraph"/>
              <w:spacing w:before="82"/>
              <w:ind w:right="55"/>
              <w:jc w:val="right"/>
              <w:rPr>
                <w:sz w:val="16"/>
              </w:rPr>
            </w:pPr>
            <w:r>
              <w:rPr>
                <w:spacing w:val="-2"/>
                <w:sz w:val="16"/>
              </w:rPr>
              <w:t>6.365.356,27</w:t>
            </w:r>
          </w:p>
        </w:tc>
        <w:tc>
          <w:tcPr>
            <w:tcW w:w="2793" w:type="dxa"/>
            <w:gridSpan w:val="2"/>
            <w:vMerge/>
            <w:tcBorders>
              <w:top w:val="nil"/>
              <w:bottom w:val="single" w:sz="8" w:space="0" w:color="000000"/>
              <w:right w:val="nil"/>
            </w:tcBorders>
          </w:tcPr>
          <w:p>
            <w:pPr>
              <w:rPr>
                <w:sz w:val="2"/>
                <w:szCs w:val="2"/>
              </w:rPr>
            </w:pPr>
          </w:p>
        </w:tc>
      </w:tr>
      <w:tr>
        <w:trPr>
          <w:trHeight w:val="289" w:hRule="atLeast"/>
        </w:trPr>
        <w:tc>
          <w:tcPr>
            <w:tcW w:w="5855" w:type="dxa"/>
            <w:gridSpan w:val="3"/>
            <w:tcBorders>
              <w:left w:val="nil"/>
              <w:right w:val="single" w:sz="8" w:space="0" w:color="000000"/>
            </w:tcBorders>
          </w:tcPr>
          <w:p>
            <w:pPr>
              <w:pStyle w:val="TableParagraph"/>
              <w:rPr>
                <w:rFonts w:ascii="Times New Roman"/>
                <w:sz w:val="16"/>
              </w:rPr>
            </w:pPr>
          </w:p>
        </w:tc>
        <w:tc>
          <w:tcPr>
            <w:tcW w:w="1681" w:type="dxa"/>
            <w:tcBorders>
              <w:top w:val="single" w:sz="8" w:space="0" w:color="000000"/>
              <w:left w:val="single" w:sz="8" w:space="0" w:color="000000"/>
              <w:right w:val="single" w:sz="8" w:space="0" w:color="000000"/>
            </w:tcBorders>
          </w:tcPr>
          <w:p>
            <w:pPr>
              <w:pStyle w:val="TableParagraph"/>
              <w:spacing w:line="171" w:lineRule="exact" w:before="99"/>
              <w:ind w:left="63"/>
              <w:rPr>
                <w:b/>
                <w:sz w:val="16"/>
              </w:rPr>
            </w:pPr>
            <w:r>
              <w:rPr>
                <w:b/>
                <w:sz w:val="16"/>
              </w:rPr>
              <w:t>Requisitos</w:t>
            </w:r>
            <w:r>
              <w:rPr>
                <w:b/>
                <w:spacing w:val="-5"/>
                <w:sz w:val="16"/>
              </w:rPr>
              <w:t> </w:t>
            </w:r>
            <w:r>
              <w:rPr>
                <w:b/>
                <w:sz w:val="16"/>
              </w:rPr>
              <w:t>del</w:t>
            </w:r>
            <w:r>
              <w:rPr>
                <w:b/>
                <w:spacing w:val="-4"/>
                <w:sz w:val="16"/>
              </w:rPr>
              <w:t> </w:t>
            </w:r>
            <w:r>
              <w:rPr>
                <w:b/>
                <w:spacing w:val="-5"/>
                <w:sz w:val="16"/>
              </w:rPr>
              <w:t>BEI</w:t>
            </w:r>
          </w:p>
        </w:tc>
        <w:tc>
          <w:tcPr>
            <w:tcW w:w="1112" w:type="dxa"/>
            <w:tcBorders>
              <w:top w:val="nil"/>
              <w:left w:val="single" w:sz="8" w:space="0" w:color="000000"/>
              <w:right w:val="nil"/>
            </w:tcBorders>
          </w:tcPr>
          <w:p>
            <w:pPr>
              <w:pStyle w:val="TableParagraph"/>
              <w:rPr>
                <w:rFonts w:ascii="Times New Roman"/>
                <w:sz w:val="16"/>
              </w:rPr>
            </w:pPr>
          </w:p>
        </w:tc>
      </w:tr>
      <w:tr>
        <w:trPr>
          <w:trHeight w:val="551" w:hRule="atLeast"/>
        </w:trPr>
        <w:tc>
          <w:tcPr>
            <w:tcW w:w="2549" w:type="dxa"/>
          </w:tcPr>
          <w:p>
            <w:pPr>
              <w:pStyle w:val="TableParagraph"/>
              <w:spacing w:before="178"/>
              <w:ind w:left="69"/>
              <w:rPr>
                <w:b/>
                <w:sz w:val="16"/>
              </w:rPr>
            </w:pPr>
            <w:r>
              <w:rPr>
                <w:b/>
                <w:sz w:val="16"/>
              </w:rPr>
              <w:t>PATRIMONIO</w:t>
            </w:r>
            <w:r>
              <w:rPr>
                <w:b/>
                <w:spacing w:val="-8"/>
                <w:sz w:val="16"/>
              </w:rPr>
              <w:t> </w:t>
            </w:r>
            <w:r>
              <w:rPr>
                <w:b/>
                <w:sz w:val="16"/>
              </w:rPr>
              <w:t>NETO</w:t>
            </w:r>
            <w:r>
              <w:rPr>
                <w:b/>
                <w:spacing w:val="-4"/>
                <w:sz w:val="16"/>
              </w:rPr>
              <w:t> (PN)</w:t>
            </w:r>
          </w:p>
        </w:tc>
        <w:tc>
          <w:tcPr>
            <w:tcW w:w="1654" w:type="dxa"/>
          </w:tcPr>
          <w:p>
            <w:pPr>
              <w:pStyle w:val="TableParagraph"/>
              <w:spacing w:before="181"/>
              <w:ind w:right="57"/>
              <w:jc w:val="right"/>
              <w:rPr>
                <w:sz w:val="16"/>
              </w:rPr>
            </w:pPr>
            <w:r>
              <w:rPr>
                <w:spacing w:val="-2"/>
                <w:sz w:val="16"/>
              </w:rPr>
              <w:t>58.745.431,72</w:t>
            </w:r>
          </w:p>
        </w:tc>
        <w:tc>
          <w:tcPr>
            <w:tcW w:w="1652" w:type="dxa"/>
          </w:tcPr>
          <w:p>
            <w:pPr>
              <w:pStyle w:val="TableParagraph"/>
              <w:spacing w:before="181"/>
              <w:ind w:right="55"/>
              <w:jc w:val="right"/>
              <w:rPr>
                <w:sz w:val="16"/>
              </w:rPr>
            </w:pPr>
            <w:r>
              <w:rPr>
                <w:spacing w:val="-2"/>
                <w:sz w:val="16"/>
              </w:rPr>
              <w:t>49.707.841,8</w:t>
            </w:r>
          </w:p>
        </w:tc>
        <w:tc>
          <w:tcPr>
            <w:tcW w:w="1681" w:type="dxa"/>
          </w:tcPr>
          <w:p>
            <w:pPr>
              <w:pStyle w:val="TableParagraph"/>
              <w:spacing w:before="178"/>
              <w:ind w:left="68"/>
              <w:rPr>
                <w:b/>
                <w:sz w:val="16"/>
              </w:rPr>
            </w:pPr>
            <w:r>
              <w:rPr>
                <w:b/>
                <w:sz w:val="16"/>
              </w:rPr>
              <w:t>PN&gt;=</w:t>
            </w:r>
            <w:r>
              <w:rPr>
                <w:b/>
                <w:spacing w:val="-1"/>
                <w:sz w:val="16"/>
              </w:rPr>
              <w:t> </w:t>
            </w:r>
            <w:r>
              <w:rPr>
                <w:b/>
                <w:spacing w:val="-2"/>
                <w:sz w:val="16"/>
              </w:rPr>
              <w:t>23.000.000,00</w:t>
            </w:r>
          </w:p>
        </w:tc>
        <w:tc>
          <w:tcPr>
            <w:tcW w:w="1112" w:type="dxa"/>
          </w:tcPr>
          <w:p>
            <w:pPr>
              <w:pStyle w:val="TableParagraph"/>
              <w:ind w:left="254" w:right="77" w:hanging="176"/>
              <w:rPr>
                <w:b/>
                <w:sz w:val="16"/>
              </w:rPr>
            </w:pPr>
            <w:r>
              <w:rPr>
                <w:b/>
                <w:sz w:val="16"/>
              </w:rPr>
              <w:t>CUMPLE</w:t>
            </w:r>
            <w:r>
              <w:rPr>
                <w:b/>
                <w:spacing w:val="-12"/>
                <w:sz w:val="16"/>
              </w:rPr>
              <w:t> </w:t>
            </w:r>
            <w:r>
              <w:rPr>
                <w:b/>
                <w:sz w:val="16"/>
              </w:rPr>
              <w:t>EN </w:t>
            </w:r>
            <w:r>
              <w:rPr>
                <w:b/>
                <w:spacing w:val="-2"/>
                <w:sz w:val="16"/>
              </w:rPr>
              <w:t>AMBOS</w:t>
            </w:r>
          </w:p>
          <w:p>
            <w:pPr>
              <w:pStyle w:val="TableParagraph"/>
              <w:spacing w:line="168" w:lineRule="exact"/>
              <w:ind w:left="67"/>
              <w:rPr>
                <w:b/>
                <w:sz w:val="16"/>
              </w:rPr>
            </w:pPr>
            <w:r>
              <w:rPr>
                <w:b/>
                <w:spacing w:val="-2"/>
                <w:sz w:val="16"/>
              </w:rPr>
              <w:t>EJERCICIOS</w:t>
            </w:r>
          </w:p>
        </w:tc>
      </w:tr>
      <w:tr>
        <w:trPr>
          <w:trHeight w:val="551" w:hRule="atLeast"/>
        </w:trPr>
        <w:tc>
          <w:tcPr>
            <w:tcW w:w="2549" w:type="dxa"/>
          </w:tcPr>
          <w:p>
            <w:pPr>
              <w:pStyle w:val="TableParagraph"/>
              <w:ind w:left="69"/>
              <w:rPr>
                <w:b/>
                <w:sz w:val="16"/>
              </w:rPr>
            </w:pPr>
            <w:r>
              <w:rPr>
                <w:b/>
                <w:sz w:val="16"/>
              </w:rPr>
              <w:t>BENEFICIO</w:t>
            </w:r>
            <w:r>
              <w:rPr>
                <w:b/>
                <w:spacing w:val="-12"/>
                <w:sz w:val="16"/>
              </w:rPr>
              <w:t> </w:t>
            </w:r>
            <w:r>
              <w:rPr>
                <w:b/>
                <w:sz w:val="16"/>
              </w:rPr>
              <w:t>NETO</w:t>
            </w:r>
            <w:r>
              <w:rPr>
                <w:b/>
                <w:spacing w:val="-11"/>
                <w:sz w:val="16"/>
              </w:rPr>
              <w:t> </w:t>
            </w:r>
            <w:r>
              <w:rPr>
                <w:b/>
                <w:sz w:val="16"/>
              </w:rPr>
              <w:t>(BENEFICIO DESPUES DE INTERESES E</w:t>
            </w:r>
          </w:p>
          <w:p>
            <w:pPr>
              <w:pStyle w:val="TableParagraph"/>
              <w:spacing w:line="168" w:lineRule="exact"/>
              <w:ind w:left="69"/>
              <w:rPr>
                <w:b/>
                <w:sz w:val="16"/>
              </w:rPr>
            </w:pPr>
            <w:r>
              <w:rPr>
                <w:b/>
                <w:sz w:val="16"/>
              </w:rPr>
              <w:t>IMPUESTOS)</w:t>
            </w:r>
            <w:r>
              <w:rPr>
                <w:b/>
                <w:spacing w:val="-6"/>
                <w:sz w:val="16"/>
              </w:rPr>
              <w:t> </w:t>
            </w:r>
            <w:r>
              <w:rPr>
                <w:b/>
                <w:sz w:val="16"/>
              </w:rPr>
              <w:t>=</w:t>
            </w:r>
            <w:r>
              <w:rPr>
                <w:b/>
                <w:spacing w:val="-1"/>
                <w:sz w:val="16"/>
              </w:rPr>
              <w:t> </w:t>
            </w:r>
            <w:r>
              <w:rPr>
                <w:b/>
                <w:spacing w:val="-4"/>
                <w:sz w:val="16"/>
              </w:rPr>
              <w:t>BDIT</w:t>
            </w:r>
          </w:p>
        </w:tc>
        <w:tc>
          <w:tcPr>
            <w:tcW w:w="1654" w:type="dxa"/>
          </w:tcPr>
          <w:p>
            <w:pPr>
              <w:pStyle w:val="TableParagraph"/>
              <w:spacing w:before="181"/>
              <w:ind w:right="57"/>
              <w:jc w:val="right"/>
              <w:rPr>
                <w:sz w:val="16"/>
              </w:rPr>
            </w:pPr>
            <w:r>
              <w:rPr>
                <w:spacing w:val="-2"/>
                <w:sz w:val="16"/>
              </w:rPr>
              <w:t>6.269.808,27</w:t>
            </w:r>
          </w:p>
        </w:tc>
        <w:tc>
          <w:tcPr>
            <w:tcW w:w="1652" w:type="dxa"/>
          </w:tcPr>
          <w:p>
            <w:pPr>
              <w:pStyle w:val="TableParagraph"/>
              <w:spacing w:before="181"/>
              <w:ind w:right="55"/>
              <w:jc w:val="right"/>
              <w:rPr>
                <w:sz w:val="16"/>
              </w:rPr>
            </w:pPr>
            <w:r>
              <w:rPr>
                <w:spacing w:val="-2"/>
                <w:sz w:val="16"/>
              </w:rPr>
              <w:t>2.087.752,21</w:t>
            </w:r>
          </w:p>
        </w:tc>
        <w:tc>
          <w:tcPr>
            <w:tcW w:w="1681" w:type="dxa"/>
            <w:tcBorders>
              <w:right w:val="single" w:sz="8" w:space="0" w:color="000000"/>
            </w:tcBorders>
          </w:tcPr>
          <w:p>
            <w:pPr>
              <w:pStyle w:val="TableParagraph"/>
              <w:spacing w:before="178"/>
              <w:ind w:left="68"/>
              <w:rPr>
                <w:b/>
                <w:sz w:val="16"/>
              </w:rPr>
            </w:pPr>
            <w:r>
              <w:rPr>
                <w:b/>
                <w:sz w:val="16"/>
              </w:rPr>
              <w:t>BDIT&gt;=</w:t>
            </w:r>
            <w:r>
              <w:rPr>
                <w:b/>
                <w:spacing w:val="-5"/>
                <w:sz w:val="16"/>
              </w:rPr>
              <w:t> </w:t>
            </w:r>
            <w:r>
              <w:rPr>
                <w:b/>
                <w:spacing w:val="-2"/>
                <w:sz w:val="16"/>
              </w:rPr>
              <w:t>1.000.000,01</w:t>
            </w:r>
          </w:p>
        </w:tc>
        <w:tc>
          <w:tcPr>
            <w:tcW w:w="1112" w:type="dxa"/>
            <w:tcBorders>
              <w:left w:val="single" w:sz="8" w:space="0" w:color="000000"/>
            </w:tcBorders>
          </w:tcPr>
          <w:p>
            <w:pPr>
              <w:pStyle w:val="TableParagraph"/>
              <w:ind w:left="249" w:right="73" w:hanging="176"/>
              <w:rPr>
                <w:b/>
                <w:sz w:val="16"/>
              </w:rPr>
            </w:pPr>
            <w:r>
              <w:rPr>
                <w:b/>
                <w:sz w:val="16"/>
              </w:rPr>
              <w:t>CUMPLE</w:t>
            </w:r>
            <w:r>
              <w:rPr>
                <w:b/>
                <w:spacing w:val="-12"/>
                <w:sz w:val="16"/>
              </w:rPr>
              <w:t> </w:t>
            </w:r>
            <w:r>
              <w:rPr>
                <w:b/>
                <w:sz w:val="16"/>
              </w:rPr>
              <w:t>EN </w:t>
            </w:r>
            <w:r>
              <w:rPr>
                <w:b/>
                <w:spacing w:val="-2"/>
                <w:sz w:val="16"/>
              </w:rPr>
              <w:t>AMBOS</w:t>
            </w:r>
          </w:p>
          <w:p>
            <w:pPr>
              <w:pStyle w:val="TableParagraph"/>
              <w:spacing w:line="168" w:lineRule="exact"/>
              <w:ind w:left="62"/>
              <w:rPr>
                <w:b/>
                <w:sz w:val="16"/>
              </w:rPr>
            </w:pPr>
            <w:r>
              <w:rPr>
                <w:b/>
                <w:spacing w:val="-2"/>
                <w:sz w:val="16"/>
              </w:rPr>
              <w:t>EJERCICIOS</w:t>
            </w:r>
          </w:p>
        </w:tc>
      </w:tr>
      <w:tr>
        <w:trPr>
          <w:trHeight w:val="554" w:hRule="atLeast"/>
        </w:trPr>
        <w:tc>
          <w:tcPr>
            <w:tcW w:w="2549" w:type="dxa"/>
          </w:tcPr>
          <w:p>
            <w:pPr>
              <w:pStyle w:val="TableParagraph"/>
              <w:spacing w:before="178"/>
              <w:ind w:left="69"/>
              <w:rPr>
                <w:b/>
                <w:sz w:val="16"/>
              </w:rPr>
            </w:pPr>
            <w:r>
              <w:rPr>
                <w:b/>
                <w:spacing w:val="-2"/>
                <w:sz w:val="16"/>
              </w:rPr>
              <w:t>DFN/PN</w:t>
            </w:r>
          </w:p>
        </w:tc>
        <w:tc>
          <w:tcPr>
            <w:tcW w:w="1654" w:type="dxa"/>
          </w:tcPr>
          <w:p>
            <w:pPr>
              <w:pStyle w:val="TableParagraph"/>
              <w:spacing w:before="181"/>
              <w:ind w:right="59"/>
              <w:jc w:val="right"/>
              <w:rPr>
                <w:sz w:val="16"/>
              </w:rPr>
            </w:pPr>
            <w:r>
              <w:rPr>
                <w:spacing w:val="-4"/>
                <w:sz w:val="16"/>
              </w:rPr>
              <w:t>0,79</w:t>
            </w:r>
          </w:p>
        </w:tc>
        <w:tc>
          <w:tcPr>
            <w:tcW w:w="1652" w:type="dxa"/>
          </w:tcPr>
          <w:p>
            <w:pPr>
              <w:pStyle w:val="TableParagraph"/>
              <w:spacing w:before="181"/>
              <w:ind w:right="58"/>
              <w:jc w:val="right"/>
              <w:rPr>
                <w:sz w:val="16"/>
              </w:rPr>
            </w:pPr>
            <w:r>
              <w:rPr>
                <w:spacing w:val="-4"/>
                <w:sz w:val="16"/>
              </w:rPr>
              <w:t>0,77</w:t>
            </w:r>
          </w:p>
        </w:tc>
        <w:tc>
          <w:tcPr>
            <w:tcW w:w="1681" w:type="dxa"/>
            <w:tcBorders>
              <w:right w:val="single" w:sz="8" w:space="0" w:color="000000"/>
            </w:tcBorders>
          </w:tcPr>
          <w:p>
            <w:pPr>
              <w:pStyle w:val="TableParagraph"/>
              <w:spacing w:before="178"/>
              <w:ind w:left="68"/>
              <w:rPr>
                <w:b/>
                <w:sz w:val="16"/>
              </w:rPr>
            </w:pPr>
            <w:r>
              <w:rPr>
                <w:b/>
                <w:sz w:val="16"/>
              </w:rPr>
              <w:t>DFN/PN</w:t>
            </w:r>
            <w:r>
              <w:rPr>
                <w:b/>
                <w:spacing w:val="-2"/>
                <w:sz w:val="16"/>
              </w:rPr>
              <w:t> </w:t>
            </w:r>
            <w:r>
              <w:rPr>
                <w:b/>
                <w:sz w:val="16"/>
              </w:rPr>
              <w:t>&lt;</w:t>
            </w:r>
            <w:r>
              <w:rPr>
                <w:b/>
                <w:spacing w:val="-3"/>
                <w:sz w:val="16"/>
              </w:rPr>
              <w:t> </w:t>
            </w:r>
            <w:r>
              <w:rPr>
                <w:b/>
                <w:spacing w:val="-5"/>
                <w:sz w:val="16"/>
              </w:rPr>
              <w:t>4,6</w:t>
            </w:r>
          </w:p>
        </w:tc>
        <w:tc>
          <w:tcPr>
            <w:tcW w:w="1112" w:type="dxa"/>
            <w:tcBorders>
              <w:left w:val="single" w:sz="8" w:space="0" w:color="000000"/>
            </w:tcBorders>
          </w:tcPr>
          <w:p>
            <w:pPr>
              <w:pStyle w:val="TableParagraph"/>
              <w:spacing w:line="237" w:lineRule="auto"/>
              <w:ind w:left="249" w:right="73" w:hanging="176"/>
              <w:rPr>
                <w:b/>
                <w:sz w:val="16"/>
              </w:rPr>
            </w:pPr>
            <w:r>
              <w:rPr>
                <w:b/>
                <w:sz w:val="16"/>
              </w:rPr>
              <w:t>CUMPLE</w:t>
            </w:r>
            <w:r>
              <w:rPr>
                <w:b/>
                <w:spacing w:val="-12"/>
                <w:sz w:val="16"/>
              </w:rPr>
              <w:t> </w:t>
            </w:r>
            <w:r>
              <w:rPr>
                <w:b/>
                <w:sz w:val="16"/>
              </w:rPr>
              <w:t>EN </w:t>
            </w:r>
            <w:r>
              <w:rPr>
                <w:b/>
                <w:spacing w:val="-2"/>
                <w:sz w:val="16"/>
              </w:rPr>
              <w:t>AMBOS</w:t>
            </w:r>
          </w:p>
          <w:p>
            <w:pPr>
              <w:pStyle w:val="TableParagraph"/>
              <w:spacing w:line="171" w:lineRule="exact"/>
              <w:ind w:left="62"/>
              <w:rPr>
                <w:b/>
                <w:sz w:val="16"/>
              </w:rPr>
            </w:pPr>
            <w:r>
              <w:rPr>
                <w:b/>
                <w:spacing w:val="-2"/>
                <w:sz w:val="16"/>
              </w:rPr>
              <w:t>EJERCICIOS</w:t>
            </w:r>
          </w:p>
        </w:tc>
      </w:tr>
      <w:tr>
        <w:trPr>
          <w:trHeight w:val="546" w:hRule="atLeast"/>
        </w:trPr>
        <w:tc>
          <w:tcPr>
            <w:tcW w:w="2549" w:type="dxa"/>
          </w:tcPr>
          <w:p>
            <w:pPr>
              <w:pStyle w:val="TableParagraph"/>
              <w:spacing w:before="176"/>
              <w:ind w:left="69"/>
              <w:rPr>
                <w:b/>
                <w:sz w:val="16"/>
              </w:rPr>
            </w:pPr>
            <w:r>
              <w:rPr>
                <w:b/>
                <w:spacing w:val="-2"/>
                <w:sz w:val="16"/>
              </w:rPr>
              <w:t>DFN/EBITDA</w:t>
            </w:r>
          </w:p>
        </w:tc>
        <w:tc>
          <w:tcPr>
            <w:tcW w:w="1654" w:type="dxa"/>
          </w:tcPr>
          <w:p>
            <w:pPr>
              <w:pStyle w:val="TableParagraph"/>
              <w:spacing w:before="178"/>
              <w:ind w:right="59"/>
              <w:jc w:val="right"/>
              <w:rPr>
                <w:sz w:val="16"/>
              </w:rPr>
            </w:pPr>
            <w:r>
              <w:rPr>
                <w:spacing w:val="-4"/>
                <w:sz w:val="16"/>
              </w:rPr>
              <w:t>5,16</w:t>
            </w:r>
          </w:p>
        </w:tc>
        <w:tc>
          <w:tcPr>
            <w:tcW w:w="1652" w:type="dxa"/>
          </w:tcPr>
          <w:p>
            <w:pPr>
              <w:pStyle w:val="TableParagraph"/>
              <w:spacing w:before="178"/>
              <w:ind w:right="58"/>
              <w:jc w:val="right"/>
              <w:rPr>
                <w:sz w:val="16"/>
              </w:rPr>
            </w:pPr>
            <w:r>
              <w:rPr>
                <w:spacing w:val="-4"/>
                <w:sz w:val="16"/>
              </w:rPr>
              <w:t>6,56</w:t>
            </w:r>
          </w:p>
        </w:tc>
        <w:tc>
          <w:tcPr>
            <w:tcW w:w="1681" w:type="dxa"/>
            <w:tcBorders>
              <w:bottom w:val="single" w:sz="8" w:space="0" w:color="000000"/>
              <w:right w:val="single" w:sz="8" w:space="0" w:color="000000"/>
            </w:tcBorders>
          </w:tcPr>
          <w:p>
            <w:pPr>
              <w:pStyle w:val="TableParagraph"/>
              <w:spacing w:before="176"/>
              <w:ind w:left="68"/>
              <w:rPr>
                <w:b/>
                <w:sz w:val="16"/>
              </w:rPr>
            </w:pPr>
            <w:r>
              <w:rPr>
                <w:b/>
                <w:sz w:val="16"/>
              </w:rPr>
              <w:t>DFN/EBITDA</w:t>
            </w:r>
            <w:r>
              <w:rPr>
                <w:b/>
                <w:spacing w:val="-13"/>
                <w:sz w:val="16"/>
              </w:rPr>
              <w:t> </w:t>
            </w:r>
            <w:r>
              <w:rPr>
                <w:b/>
                <w:sz w:val="16"/>
              </w:rPr>
              <w:t>&lt;</w:t>
            </w:r>
            <w:r>
              <w:rPr>
                <w:b/>
                <w:spacing w:val="-1"/>
                <w:sz w:val="16"/>
              </w:rPr>
              <w:t> </w:t>
            </w:r>
            <w:r>
              <w:rPr>
                <w:b/>
                <w:spacing w:val="-5"/>
                <w:sz w:val="16"/>
              </w:rPr>
              <w:t>15</w:t>
            </w:r>
          </w:p>
        </w:tc>
        <w:tc>
          <w:tcPr>
            <w:tcW w:w="1112" w:type="dxa"/>
            <w:tcBorders>
              <w:left w:val="single" w:sz="8" w:space="0" w:color="000000"/>
            </w:tcBorders>
          </w:tcPr>
          <w:p>
            <w:pPr>
              <w:pStyle w:val="TableParagraph"/>
              <w:spacing w:line="237" w:lineRule="auto"/>
              <w:ind w:left="249" w:right="73" w:hanging="176"/>
              <w:rPr>
                <w:b/>
                <w:sz w:val="16"/>
              </w:rPr>
            </w:pPr>
            <w:r>
              <w:rPr>
                <w:b/>
                <w:sz w:val="16"/>
              </w:rPr>
              <w:t>CUMPLE</w:t>
            </w:r>
            <w:r>
              <w:rPr>
                <w:b/>
                <w:spacing w:val="-12"/>
                <w:sz w:val="16"/>
              </w:rPr>
              <w:t> </w:t>
            </w:r>
            <w:r>
              <w:rPr>
                <w:b/>
                <w:sz w:val="16"/>
              </w:rPr>
              <w:t>EN </w:t>
            </w:r>
            <w:r>
              <w:rPr>
                <w:b/>
                <w:spacing w:val="-2"/>
                <w:sz w:val="16"/>
              </w:rPr>
              <w:t>AMBOS</w:t>
            </w:r>
          </w:p>
          <w:p>
            <w:pPr>
              <w:pStyle w:val="TableParagraph"/>
              <w:spacing w:line="166" w:lineRule="exact"/>
              <w:ind w:left="62"/>
              <w:rPr>
                <w:b/>
                <w:sz w:val="16"/>
              </w:rPr>
            </w:pPr>
            <w:r>
              <w:rPr>
                <w:b/>
                <w:spacing w:val="-2"/>
                <w:sz w:val="16"/>
              </w:rPr>
              <w:t>EJERCICIOS</w:t>
            </w:r>
          </w:p>
        </w:tc>
      </w:tr>
    </w:tbl>
    <w:p>
      <w:pPr>
        <w:pStyle w:val="BodyText"/>
      </w:pPr>
    </w:p>
    <w:p>
      <w:pPr>
        <w:pStyle w:val="BodyText"/>
        <w:spacing w:before="16"/>
      </w:pPr>
    </w:p>
    <w:p>
      <w:pPr>
        <w:pStyle w:val="BodyText"/>
        <w:ind w:left="1908" w:right="1308"/>
      </w:pPr>
      <w:r>
        <w:rPr/>
        <mc:AlternateContent>
          <mc:Choice Requires="wps">
            <w:drawing>
              <wp:anchor distT="0" distB="0" distL="0" distR="0" allowOverlap="1" layoutInCell="1" locked="0" behindDoc="0" simplePos="0" relativeHeight="15760384">
                <wp:simplePos x="0" y="0"/>
                <wp:positionH relativeFrom="page">
                  <wp:posOffset>6966436</wp:posOffset>
                </wp:positionH>
                <wp:positionV relativeFrom="paragraph">
                  <wp:posOffset>-2521396</wp:posOffset>
                </wp:positionV>
                <wp:extent cx="263525" cy="327596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98.535187pt;width:20.75pt;height:257.95pt;mso-position-horizontal-relative:page;mso-position-vertical-relative:paragraph;z-index:15760384" type="#_x0000_t202" id="docshape11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45</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Tanto en el ejercicio</w:t>
      </w:r>
      <w:r>
        <w:rPr>
          <w:spacing w:val="-1"/>
        </w:rPr>
        <w:t> </w:t>
      </w:r>
      <w:r>
        <w:rPr/>
        <w:t>2024 como en</w:t>
      </w:r>
      <w:r>
        <w:rPr>
          <w:spacing w:val="-1"/>
        </w:rPr>
        <w:t> </w:t>
      </w:r>
      <w:r>
        <w:rPr/>
        <w:t>el 2025 se han cumplido todos los ratios exigidos por el BEI.</w:t>
      </w:r>
    </w:p>
    <w:p>
      <w:pPr>
        <w:pStyle w:val="BodyText"/>
        <w:spacing w:after="0"/>
        <w:sectPr>
          <w:pgSz w:w="11910" w:h="16840"/>
          <w:pgMar w:header="286" w:footer="1060" w:top="1920" w:bottom="1260" w:left="360" w:right="360"/>
        </w:sectPr>
      </w:pPr>
    </w:p>
    <w:p>
      <w:pPr>
        <w:pStyle w:val="BodyText"/>
        <w:spacing w:before="201"/>
      </w:pPr>
      <w:r>
        <w:rPr/>
        <mc:AlternateContent>
          <mc:Choice Requires="wps">
            <w:drawing>
              <wp:anchor distT="0" distB="0" distL="0" distR="0" allowOverlap="1" layoutInCell="1" locked="0" behindDoc="0" simplePos="0" relativeHeight="15760896">
                <wp:simplePos x="0" y="0"/>
                <wp:positionH relativeFrom="page">
                  <wp:posOffset>6966436</wp:posOffset>
                </wp:positionH>
                <wp:positionV relativeFrom="page">
                  <wp:posOffset>6553363</wp:posOffset>
                </wp:positionV>
                <wp:extent cx="263525" cy="327596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60896" type="#_x0000_t202" id="docshape11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46</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Heading3"/>
        <w:numPr>
          <w:ilvl w:val="0"/>
          <w:numId w:val="17"/>
        </w:numPr>
        <w:tabs>
          <w:tab w:pos="1906" w:val="left" w:leader="none"/>
          <w:tab w:pos="1908" w:val="left" w:leader="none"/>
        </w:tabs>
        <w:spacing w:line="240" w:lineRule="auto" w:before="0" w:after="0"/>
        <w:ind w:left="1908" w:right="1339" w:hanging="284"/>
        <w:jc w:val="left"/>
      </w:pPr>
      <w:r>
        <w:rPr/>
        <w:t>Activos</w:t>
      </w:r>
      <w:r>
        <w:rPr>
          <w:spacing w:val="40"/>
        </w:rPr>
        <w:t> </w:t>
      </w:r>
      <w:r>
        <w:rPr/>
        <w:t>y</w:t>
      </w:r>
      <w:r>
        <w:rPr>
          <w:spacing w:val="40"/>
        </w:rPr>
        <w:t> </w:t>
      </w:r>
      <w:r>
        <w:rPr/>
        <w:t>pasivos</w:t>
      </w:r>
      <w:r>
        <w:rPr>
          <w:spacing w:val="40"/>
        </w:rPr>
        <w:t> </w:t>
      </w:r>
      <w:r>
        <w:rPr/>
        <w:t>financieros</w:t>
      </w:r>
      <w:r>
        <w:rPr>
          <w:spacing w:val="40"/>
        </w:rPr>
        <w:t> </w:t>
      </w:r>
      <w:r>
        <w:rPr/>
        <w:t>valorados</w:t>
      </w:r>
      <w:r>
        <w:rPr>
          <w:spacing w:val="40"/>
        </w:rPr>
        <w:t> </w:t>
      </w:r>
      <w:r>
        <w:rPr/>
        <w:t>a</w:t>
      </w:r>
      <w:r>
        <w:rPr>
          <w:spacing w:val="40"/>
        </w:rPr>
        <w:t> </w:t>
      </w:r>
      <w:r>
        <w:rPr/>
        <w:t>valor</w:t>
      </w:r>
      <w:r>
        <w:rPr>
          <w:spacing w:val="40"/>
        </w:rPr>
        <w:t> </w:t>
      </w:r>
      <w:r>
        <w:rPr/>
        <w:t>razonable</w:t>
      </w:r>
      <w:r>
        <w:rPr>
          <w:spacing w:val="40"/>
        </w:rPr>
        <w:t> </w:t>
      </w:r>
      <w:r>
        <w:rPr/>
        <w:t>con</w:t>
      </w:r>
      <w:r>
        <w:rPr>
          <w:spacing w:val="40"/>
        </w:rPr>
        <w:t> </w:t>
      </w:r>
      <w:r>
        <w:rPr/>
        <w:t>cambios</w:t>
      </w:r>
      <w:r>
        <w:rPr>
          <w:spacing w:val="40"/>
        </w:rPr>
        <w:t> </w:t>
      </w:r>
      <w:r>
        <w:rPr/>
        <w:t>en</w:t>
      </w:r>
      <w:r>
        <w:rPr>
          <w:spacing w:val="40"/>
        </w:rPr>
        <w:t> </w:t>
      </w:r>
      <w:r>
        <w:rPr/>
        <w:t>la cuenta de pérdidas y ganancias</w:t>
      </w:r>
    </w:p>
    <w:p>
      <w:pPr>
        <w:pStyle w:val="BodyText"/>
        <w:spacing w:before="229"/>
        <w:ind w:left="1908" w:right="1337"/>
        <w:jc w:val="both"/>
      </w:pPr>
      <w:r>
        <w:rPr/>
        <w:t>No hay activos ni pasivos financieros en la sociedad valorados a valor razonable con cambios en pérdidas y ganancias.</w:t>
      </w:r>
    </w:p>
    <w:p>
      <w:pPr>
        <w:pStyle w:val="BodyText"/>
        <w:spacing w:before="1"/>
      </w:pPr>
    </w:p>
    <w:p>
      <w:pPr>
        <w:pStyle w:val="BodyText"/>
        <w:ind w:left="1908" w:right="1340"/>
        <w:jc w:val="both"/>
      </w:pPr>
      <w:r>
        <w:rPr/>
        <w:t>No se han producido reclasificaciones ni transferencias por cada categoría de activos </w:t>
      </w:r>
      <w:r>
        <w:rPr>
          <w:spacing w:val="-2"/>
        </w:rPr>
        <w:t>financieros.</w:t>
      </w:r>
    </w:p>
    <w:p>
      <w:pPr>
        <w:pStyle w:val="BodyText"/>
        <w:spacing w:before="229"/>
        <w:ind w:left="1908" w:right="1339"/>
        <w:jc w:val="both"/>
      </w:pPr>
      <w:r>
        <w:rPr/>
        <w:t>No se han producido en el ejercicio 2025 compensaciones de activos y pasivos </w:t>
      </w:r>
      <w:r>
        <w:rPr>
          <w:spacing w:val="-2"/>
        </w:rPr>
        <w:t>financieros</w:t>
      </w:r>
    </w:p>
    <w:p>
      <w:pPr>
        <w:pStyle w:val="BodyText"/>
      </w:pPr>
    </w:p>
    <w:p>
      <w:pPr>
        <w:pStyle w:val="Heading3"/>
        <w:numPr>
          <w:ilvl w:val="0"/>
          <w:numId w:val="17"/>
        </w:numPr>
        <w:tabs>
          <w:tab w:pos="1906" w:val="left" w:leader="none"/>
        </w:tabs>
        <w:spacing w:line="240" w:lineRule="auto" w:before="1" w:after="0"/>
        <w:ind w:left="1906" w:right="0" w:hanging="282"/>
        <w:jc w:val="left"/>
      </w:pPr>
      <w:r>
        <w:rPr/>
        <w:t>Clasificación</w:t>
      </w:r>
      <w:r>
        <w:rPr>
          <w:spacing w:val="-11"/>
        </w:rPr>
        <w:t> </w:t>
      </w:r>
      <w:r>
        <w:rPr/>
        <w:t>por</w:t>
      </w:r>
      <w:r>
        <w:rPr>
          <w:spacing w:val="-10"/>
        </w:rPr>
        <w:t> </w:t>
      </w:r>
      <w:r>
        <w:rPr>
          <w:spacing w:val="-2"/>
        </w:rPr>
        <w:t>vencimientos</w:t>
      </w:r>
    </w:p>
    <w:p>
      <w:pPr>
        <w:pStyle w:val="BodyText"/>
        <w:rPr>
          <w:b/>
        </w:rPr>
      </w:pPr>
    </w:p>
    <w:p>
      <w:pPr>
        <w:pStyle w:val="BodyText"/>
        <w:ind w:left="1908" w:right="1337"/>
        <w:jc w:val="both"/>
      </w:pPr>
      <w:r>
        <w:rPr/>
        <w:t>Las clasificaciones por vencimiento de los activos financieros de la Sociedad, de los importes que venzan en</w:t>
      </w:r>
      <w:r>
        <w:rPr>
          <w:spacing w:val="-1"/>
        </w:rPr>
        <w:t> </w:t>
      </w:r>
      <w:r>
        <w:rPr/>
        <w:t>cada</w:t>
      </w:r>
      <w:r>
        <w:rPr>
          <w:spacing w:val="-3"/>
        </w:rPr>
        <w:t> </w:t>
      </w:r>
      <w:r>
        <w:rPr/>
        <w:t>uno de los siguientes años al cierre</w:t>
      </w:r>
      <w:r>
        <w:rPr>
          <w:spacing w:val="-1"/>
        </w:rPr>
        <w:t> </w:t>
      </w:r>
      <w:r>
        <w:rPr/>
        <w:t>del ejercicio y</w:t>
      </w:r>
      <w:r>
        <w:rPr>
          <w:spacing w:val="-3"/>
        </w:rPr>
        <w:t> </w:t>
      </w:r>
      <w:r>
        <w:rPr/>
        <w:t>hasta</w:t>
      </w:r>
      <w:r>
        <w:rPr>
          <w:spacing w:val="-1"/>
        </w:rPr>
        <w:t> </w:t>
      </w:r>
      <w:r>
        <w:rPr/>
        <w:t>su último vencimiento, se detallan en el siguiente cuadro:</w:t>
      </w:r>
    </w:p>
    <w:p>
      <w:pPr>
        <w:pStyle w:val="BodyText"/>
        <w:spacing w:before="2"/>
      </w:pPr>
    </w:p>
    <w:tbl>
      <w:tblPr>
        <w:tblW w:w="0" w:type="auto"/>
        <w:jc w:val="left"/>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98"/>
        <w:gridCol w:w="1464"/>
        <w:gridCol w:w="1118"/>
        <w:gridCol w:w="1464"/>
      </w:tblGrid>
      <w:tr>
        <w:trPr>
          <w:trHeight w:val="313" w:hRule="atLeast"/>
        </w:trPr>
        <w:tc>
          <w:tcPr>
            <w:tcW w:w="4598" w:type="dxa"/>
            <w:vMerge w:val="restart"/>
            <w:tcBorders>
              <w:top w:val="nil"/>
              <w:left w:val="nil"/>
            </w:tcBorders>
          </w:tcPr>
          <w:p>
            <w:pPr>
              <w:pStyle w:val="TableParagraph"/>
              <w:rPr>
                <w:rFonts w:ascii="Times New Roman"/>
                <w:sz w:val="16"/>
              </w:rPr>
            </w:pPr>
          </w:p>
        </w:tc>
        <w:tc>
          <w:tcPr>
            <w:tcW w:w="4046" w:type="dxa"/>
            <w:gridSpan w:val="3"/>
          </w:tcPr>
          <w:p>
            <w:pPr>
              <w:pStyle w:val="TableParagraph"/>
              <w:spacing w:before="58"/>
              <w:ind w:left="1221"/>
              <w:rPr>
                <w:b/>
                <w:sz w:val="16"/>
              </w:rPr>
            </w:pPr>
            <w:r>
              <w:rPr>
                <w:b/>
                <w:sz w:val="16"/>
              </w:rPr>
              <w:t>Vencimiento</w:t>
            </w:r>
            <w:r>
              <w:rPr>
                <w:b/>
                <w:spacing w:val="-7"/>
                <w:sz w:val="16"/>
              </w:rPr>
              <w:t> </w:t>
            </w:r>
            <w:r>
              <w:rPr>
                <w:b/>
                <w:sz w:val="16"/>
              </w:rPr>
              <w:t>en</w:t>
            </w:r>
            <w:r>
              <w:rPr>
                <w:b/>
                <w:spacing w:val="-5"/>
                <w:sz w:val="16"/>
              </w:rPr>
              <w:t> </w:t>
            </w:r>
            <w:r>
              <w:rPr>
                <w:b/>
                <w:spacing w:val="-4"/>
                <w:sz w:val="16"/>
              </w:rPr>
              <w:t>años</w:t>
            </w:r>
          </w:p>
        </w:tc>
      </w:tr>
      <w:tr>
        <w:trPr>
          <w:trHeight w:val="316" w:hRule="atLeast"/>
        </w:trPr>
        <w:tc>
          <w:tcPr>
            <w:tcW w:w="4598" w:type="dxa"/>
            <w:vMerge/>
            <w:tcBorders>
              <w:top w:val="nil"/>
              <w:left w:val="nil"/>
            </w:tcBorders>
          </w:tcPr>
          <w:p>
            <w:pPr>
              <w:rPr>
                <w:sz w:val="2"/>
                <w:szCs w:val="2"/>
              </w:rPr>
            </w:pPr>
          </w:p>
        </w:tc>
        <w:tc>
          <w:tcPr>
            <w:tcW w:w="1464" w:type="dxa"/>
          </w:tcPr>
          <w:p>
            <w:pPr>
              <w:pStyle w:val="TableParagraph"/>
              <w:spacing w:before="61"/>
              <w:ind w:left="6"/>
              <w:jc w:val="center"/>
              <w:rPr>
                <w:b/>
                <w:sz w:val="16"/>
              </w:rPr>
            </w:pPr>
            <w:r>
              <w:rPr>
                <w:b/>
                <w:spacing w:val="-4"/>
                <w:sz w:val="16"/>
              </w:rPr>
              <w:t>2026</w:t>
            </w:r>
          </w:p>
        </w:tc>
        <w:tc>
          <w:tcPr>
            <w:tcW w:w="1118" w:type="dxa"/>
          </w:tcPr>
          <w:p>
            <w:pPr>
              <w:pStyle w:val="TableParagraph"/>
              <w:spacing w:before="61"/>
              <w:ind w:left="333"/>
              <w:rPr>
                <w:b/>
                <w:sz w:val="16"/>
              </w:rPr>
            </w:pPr>
            <w:r>
              <w:rPr>
                <w:b/>
                <w:spacing w:val="-2"/>
                <w:sz w:val="16"/>
              </w:rPr>
              <w:t>+2027</w:t>
            </w:r>
          </w:p>
        </w:tc>
        <w:tc>
          <w:tcPr>
            <w:tcW w:w="1464" w:type="dxa"/>
          </w:tcPr>
          <w:p>
            <w:pPr>
              <w:pStyle w:val="TableParagraph"/>
              <w:spacing w:before="61"/>
              <w:ind w:left="466"/>
              <w:rPr>
                <w:b/>
                <w:sz w:val="16"/>
              </w:rPr>
            </w:pPr>
            <w:r>
              <w:rPr>
                <w:b/>
                <w:spacing w:val="-2"/>
                <w:sz w:val="16"/>
              </w:rPr>
              <w:t>TOTAL</w:t>
            </w:r>
          </w:p>
        </w:tc>
      </w:tr>
      <w:tr>
        <w:trPr>
          <w:trHeight w:val="313" w:hRule="atLeast"/>
        </w:trPr>
        <w:tc>
          <w:tcPr>
            <w:tcW w:w="4598" w:type="dxa"/>
          </w:tcPr>
          <w:p>
            <w:pPr>
              <w:pStyle w:val="TableParagraph"/>
              <w:spacing w:line="168" w:lineRule="exact" w:before="125"/>
              <w:ind w:left="69"/>
              <w:rPr>
                <w:sz w:val="16"/>
              </w:rPr>
            </w:pPr>
            <w:r>
              <w:rPr>
                <w:sz w:val="16"/>
              </w:rPr>
              <w:t>Inversiones</w:t>
            </w:r>
            <w:r>
              <w:rPr>
                <w:spacing w:val="-5"/>
                <w:sz w:val="16"/>
              </w:rPr>
              <w:t> </w:t>
            </w:r>
            <w:r>
              <w:rPr>
                <w:sz w:val="16"/>
              </w:rPr>
              <w:t>en</w:t>
            </w:r>
            <w:r>
              <w:rPr>
                <w:spacing w:val="-4"/>
                <w:sz w:val="16"/>
              </w:rPr>
              <w:t> </w:t>
            </w:r>
            <w:r>
              <w:rPr>
                <w:sz w:val="16"/>
              </w:rPr>
              <w:t>empresas</w:t>
            </w:r>
            <w:r>
              <w:rPr>
                <w:spacing w:val="-4"/>
                <w:sz w:val="16"/>
              </w:rPr>
              <w:t> </w:t>
            </w:r>
            <w:r>
              <w:rPr>
                <w:sz w:val="16"/>
              </w:rPr>
              <w:t>del</w:t>
            </w:r>
            <w:r>
              <w:rPr>
                <w:spacing w:val="-4"/>
                <w:sz w:val="16"/>
              </w:rPr>
              <w:t> </w:t>
            </w:r>
            <w:r>
              <w:rPr>
                <w:sz w:val="16"/>
              </w:rPr>
              <w:t>grupo</w:t>
            </w:r>
            <w:r>
              <w:rPr>
                <w:spacing w:val="-4"/>
                <w:sz w:val="16"/>
              </w:rPr>
              <w:t> </w:t>
            </w:r>
            <w:r>
              <w:rPr>
                <w:sz w:val="16"/>
              </w:rPr>
              <w:t>y</w:t>
            </w:r>
            <w:r>
              <w:rPr>
                <w:spacing w:val="-4"/>
                <w:sz w:val="16"/>
              </w:rPr>
              <w:t> </w:t>
            </w:r>
            <w:r>
              <w:rPr>
                <w:spacing w:val="-2"/>
                <w:sz w:val="16"/>
              </w:rPr>
              <w:t>asociadas</w:t>
            </w:r>
          </w:p>
        </w:tc>
        <w:tc>
          <w:tcPr>
            <w:tcW w:w="1464" w:type="dxa"/>
          </w:tcPr>
          <w:p>
            <w:pPr>
              <w:pStyle w:val="TableParagraph"/>
              <w:rPr>
                <w:rFonts w:ascii="Times New Roman"/>
                <w:sz w:val="16"/>
              </w:rPr>
            </w:pPr>
          </w:p>
        </w:tc>
        <w:tc>
          <w:tcPr>
            <w:tcW w:w="1118" w:type="dxa"/>
          </w:tcPr>
          <w:p>
            <w:pPr>
              <w:pStyle w:val="TableParagraph"/>
              <w:rPr>
                <w:rFonts w:ascii="Times New Roman"/>
                <w:sz w:val="16"/>
              </w:rPr>
            </w:pPr>
          </w:p>
        </w:tc>
        <w:tc>
          <w:tcPr>
            <w:tcW w:w="1464" w:type="dxa"/>
          </w:tcPr>
          <w:p>
            <w:pPr>
              <w:pStyle w:val="TableParagraph"/>
              <w:rPr>
                <w:rFonts w:ascii="Times New Roman"/>
                <w:sz w:val="16"/>
              </w:rPr>
            </w:pPr>
          </w:p>
        </w:tc>
      </w:tr>
      <w:tr>
        <w:trPr>
          <w:trHeight w:val="316" w:hRule="atLeast"/>
        </w:trPr>
        <w:tc>
          <w:tcPr>
            <w:tcW w:w="4598" w:type="dxa"/>
          </w:tcPr>
          <w:p>
            <w:pPr>
              <w:pStyle w:val="TableParagraph"/>
              <w:spacing w:line="168" w:lineRule="exact" w:before="128"/>
              <w:ind w:left="69"/>
              <w:rPr>
                <w:sz w:val="16"/>
              </w:rPr>
            </w:pPr>
            <w:r>
              <w:rPr>
                <w:sz w:val="16"/>
              </w:rPr>
              <w:t>Inversiones</w:t>
            </w:r>
            <w:r>
              <w:rPr>
                <w:spacing w:val="-7"/>
                <w:sz w:val="16"/>
              </w:rPr>
              <w:t> </w:t>
            </w:r>
            <w:r>
              <w:rPr>
                <w:spacing w:val="-2"/>
                <w:sz w:val="16"/>
              </w:rPr>
              <w:t>financieras</w:t>
            </w:r>
          </w:p>
        </w:tc>
        <w:tc>
          <w:tcPr>
            <w:tcW w:w="1464" w:type="dxa"/>
          </w:tcPr>
          <w:p>
            <w:pPr>
              <w:pStyle w:val="TableParagraph"/>
              <w:spacing w:before="61"/>
              <w:ind w:right="56"/>
              <w:jc w:val="right"/>
              <w:rPr>
                <w:b/>
                <w:sz w:val="16"/>
              </w:rPr>
            </w:pPr>
            <w:r>
              <w:rPr>
                <w:b/>
                <w:spacing w:val="-2"/>
                <w:sz w:val="16"/>
              </w:rPr>
              <w:t>20.000.000,00</w:t>
            </w:r>
          </w:p>
        </w:tc>
        <w:tc>
          <w:tcPr>
            <w:tcW w:w="1118" w:type="dxa"/>
          </w:tcPr>
          <w:p>
            <w:pPr>
              <w:pStyle w:val="TableParagraph"/>
              <w:spacing w:before="61"/>
              <w:ind w:right="57"/>
              <w:jc w:val="right"/>
              <w:rPr>
                <w:b/>
                <w:sz w:val="16"/>
              </w:rPr>
            </w:pPr>
            <w:r>
              <w:rPr>
                <w:b/>
                <w:spacing w:val="-2"/>
                <w:sz w:val="16"/>
              </w:rPr>
              <w:t>832.637,67</w:t>
            </w:r>
          </w:p>
        </w:tc>
        <w:tc>
          <w:tcPr>
            <w:tcW w:w="1464" w:type="dxa"/>
          </w:tcPr>
          <w:p>
            <w:pPr>
              <w:pStyle w:val="TableParagraph"/>
              <w:spacing w:before="61"/>
              <w:ind w:right="54"/>
              <w:jc w:val="right"/>
              <w:rPr>
                <w:b/>
                <w:sz w:val="16"/>
              </w:rPr>
            </w:pPr>
            <w:r>
              <w:rPr>
                <w:b/>
                <w:spacing w:val="-2"/>
                <w:sz w:val="16"/>
              </w:rPr>
              <w:t>20.832.637,67</w:t>
            </w:r>
          </w:p>
        </w:tc>
      </w:tr>
      <w:tr>
        <w:trPr>
          <w:trHeight w:val="313" w:hRule="atLeast"/>
        </w:trPr>
        <w:tc>
          <w:tcPr>
            <w:tcW w:w="4598" w:type="dxa"/>
          </w:tcPr>
          <w:p>
            <w:pPr>
              <w:pStyle w:val="TableParagraph"/>
              <w:spacing w:line="168" w:lineRule="exact" w:before="125"/>
              <w:ind w:left="292"/>
              <w:rPr>
                <w:sz w:val="16"/>
              </w:rPr>
            </w:pPr>
            <w:r>
              <w:rPr>
                <w:sz w:val="16"/>
              </w:rPr>
              <w:t>Otros</w:t>
            </w:r>
            <w:r>
              <w:rPr>
                <w:spacing w:val="-3"/>
                <w:sz w:val="16"/>
              </w:rPr>
              <w:t> </w:t>
            </w:r>
            <w:r>
              <w:rPr>
                <w:sz w:val="16"/>
              </w:rPr>
              <w:t>activos</w:t>
            </w:r>
            <w:r>
              <w:rPr>
                <w:spacing w:val="-3"/>
                <w:sz w:val="16"/>
              </w:rPr>
              <w:t> </w:t>
            </w:r>
            <w:r>
              <w:rPr>
                <w:spacing w:val="-2"/>
                <w:sz w:val="16"/>
              </w:rPr>
              <w:t>financieros</w:t>
            </w:r>
          </w:p>
        </w:tc>
        <w:tc>
          <w:tcPr>
            <w:tcW w:w="1464" w:type="dxa"/>
          </w:tcPr>
          <w:p>
            <w:pPr>
              <w:pStyle w:val="TableParagraph"/>
              <w:spacing w:before="61"/>
              <w:ind w:right="56"/>
              <w:jc w:val="right"/>
              <w:rPr>
                <w:sz w:val="16"/>
              </w:rPr>
            </w:pPr>
            <w:r>
              <w:rPr>
                <w:spacing w:val="-2"/>
                <w:sz w:val="16"/>
              </w:rPr>
              <w:t>20.000.000,00</w:t>
            </w:r>
          </w:p>
        </w:tc>
        <w:tc>
          <w:tcPr>
            <w:tcW w:w="1118" w:type="dxa"/>
          </w:tcPr>
          <w:p>
            <w:pPr>
              <w:pStyle w:val="TableParagraph"/>
              <w:spacing w:before="61"/>
              <w:ind w:right="57"/>
              <w:jc w:val="right"/>
              <w:rPr>
                <w:sz w:val="16"/>
              </w:rPr>
            </w:pPr>
            <w:r>
              <w:rPr>
                <w:spacing w:val="-2"/>
                <w:sz w:val="16"/>
              </w:rPr>
              <w:t>832.637,67</w:t>
            </w:r>
          </w:p>
        </w:tc>
        <w:tc>
          <w:tcPr>
            <w:tcW w:w="1464" w:type="dxa"/>
          </w:tcPr>
          <w:p>
            <w:pPr>
              <w:pStyle w:val="TableParagraph"/>
              <w:spacing w:before="58"/>
              <w:ind w:right="54"/>
              <w:jc w:val="right"/>
              <w:rPr>
                <w:b/>
                <w:sz w:val="16"/>
              </w:rPr>
            </w:pPr>
            <w:r>
              <w:rPr>
                <w:b/>
                <w:spacing w:val="-2"/>
                <w:sz w:val="16"/>
              </w:rPr>
              <w:t>20.832.637,67</w:t>
            </w:r>
          </w:p>
        </w:tc>
      </w:tr>
      <w:tr>
        <w:trPr>
          <w:trHeight w:val="314" w:hRule="atLeast"/>
        </w:trPr>
        <w:tc>
          <w:tcPr>
            <w:tcW w:w="4598" w:type="dxa"/>
          </w:tcPr>
          <w:p>
            <w:pPr>
              <w:pStyle w:val="TableParagraph"/>
              <w:spacing w:line="166" w:lineRule="exact" w:before="128"/>
              <w:ind w:left="69"/>
              <w:rPr>
                <w:sz w:val="16"/>
              </w:rPr>
            </w:pPr>
            <w:r>
              <w:rPr>
                <w:sz w:val="16"/>
              </w:rPr>
              <w:t>Deudas</w:t>
            </w:r>
            <w:r>
              <w:rPr>
                <w:spacing w:val="-4"/>
                <w:sz w:val="16"/>
              </w:rPr>
              <w:t> </w:t>
            </w:r>
            <w:r>
              <w:rPr>
                <w:sz w:val="16"/>
              </w:rPr>
              <w:t>comerciales</w:t>
            </w:r>
            <w:r>
              <w:rPr>
                <w:spacing w:val="-3"/>
                <w:sz w:val="16"/>
              </w:rPr>
              <w:t> </w:t>
            </w:r>
            <w:r>
              <w:rPr>
                <w:sz w:val="16"/>
              </w:rPr>
              <w:t>no</w:t>
            </w:r>
            <w:r>
              <w:rPr>
                <w:spacing w:val="-7"/>
                <w:sz w:val="16"/>
              </w:rPr>
              <w:t> </w:t>
            </w:r>
            <w:r>
              <w:rPr>
                <w:spacing w:val="-2"/>
                <w:sz w:val="16"/>
              </w:rPr>
              <w:t>corrientes</w:t>
            </w:r>
          </w:p>
        </w:tc>
        <w:tc>
          <w:tcPr>
            <w:tcW w:w="1464" w:type="dxa"/>
          </w:tcPr>
          <w:p>
            <w:pPr>
              <w:pStyle w:val="TableParagraph"/>
              <w:rPr>
                <w:rFonts w:ascii="Times New Roman"/>
                <w:sz w:val="16"/>
              </w:rPr>
            </w:pPr>
          </w:p>
        </w:tc>
        <w:tc>
          <w:tcPr>
            <w:tcW w:w="1118" w:type="dxa"/>
          </w:tcPr>
          <w:p>
            <w:pPr>
              <w:pStyle w:val="TableParagraph"/>
              <w:rPr>
                <w:rFonts w:ascii="Times New Roman"/>
                <w:sz w:val="16"/>
              </w:rPr>
            </w:pPr>
          </w:p>
        </w:tc>
        <w:tc>
          <w:tcPr>
            <w:tcW w:w="1464" w:type="dxa"/>
          </w:tcPr>
          <w:p>
            <w:pPr>
              <w:pStyle w:val="TableParagraph"/>
              <w:rPr>
                <w:rFonts w:ascii="Times New Roman"/>
                <w:sz w:val="16"/>
              </w:rPr>
            </w:pPr>
          </w:p>
        </w:tc>
      </w:tr>
      <w:tr>
        <w:trPr>
          <w:trHeight w:val="301" w:hRule="atLeast"/>
        </w:trPr>
        <w:tc>
          <w:tcPr>
            <w:tcW w:w="4598" w:type="dxa"/>
          </w:tcPr>
          <w:p>
            <w:pPr>
              <w:pStyle w:val="TableParagraph"/>
              <w:spacing w:line="168" w:lineRule="exact" w:before="113"/>
              <w:ind w:left="69"/>
              <w:rPr>
                <w:sz w:val="16"/>
              </w:rPr>
            </w:pPr>
            <w:r>
              <w:rPr>
                <w:sz w:val="16"/>
              </w:rPr>
              <w:t>Anticipos</w:t>
            </w:r>
            <w:r>
              <w:rPr>
                <w:spacing w:val="-3"/>
                <w:sz w:val="16"/>
              </w:rPr>
              <w:t> </w:t>
            </w:r>
            <w:r>
              <w:rPr>
                <w:sz w:val="16"/>
              </w:rPr>
              <w:t>a</w:t>
            </w:r>
            <w:r>
              <w:rPr>
                <w:spacing w:val="-3"/>
                <w:sz w:val="16"/>
              </w:rPr>
              <w:t> </w:t>
            </w:r>
            <w:r>
              <w:rPr>
                <w:spacing w:val="-2"/>
                <w:sz w:val="16"/>
              </w:rPr>
              <w:t>proveedores</w:t>
            </w:r>
          </w:p>
        </w:tc>
        <w:tc>
          <w:tcPr>
            <w:tcW w:w="1464" w:type="dxa"/>
          </w:tcPr>
          <w:p>
            <w:pPr>
              <w:pStyle w:val="TableParagraph"/>
              <w:spacing w:before="56"/>
              <w:ind w:right="58"/>
              <w:jc w:val="right"/>
              <w:rPr>
                <w:sz w:val="16"/>
              </w:rPr>
            </w:pPr>
            <w:r>
              <w:rPr>
                <w:spacing w:val="-2"/>
                <w:sz w:val="16"/>
              </w:rPr>
              <w:t>2.100,00</w:t>
            </w:r>
          </w:p>
        </w:tc>
        <w:tc>
          <w:tcPr>
            <w:tcW w:w="1118" w:type="dxa"/>
          </w:tcPr>
          <w:p>
            <w:pPr>
              <w:pStyle w:val="TableParagraph"/>
              <w:rPr>
                <w:rFonts w:ascii="Times New Roman"/>
                <w:sz w:val="16"/>
              </w:rPr>
            </w:pPr>
          </w:p>
        </w:tc>
        <w:tc>
          <w:tcPr>
            <w:tcW w:w="1464" w:type="dxa"/>
          </w:tcPr>
          <w:p>
            <w:pPr>
              <w:pStyle w:val="TableParagraph"/>
              <w:spacing w:before="53"/>
              <w:ind w:right="56"/>
              <w:jc w:val="right"/>
              <w:rPr>
                <w:b/>
                <w:sz w:val="16"/>
              </w:rPr>
            </w:pPr>
            <w:r>
              <w:rPr>
                <w:b/>
                <w:spacing w:val="-2"/>
                <w:sz w:val="16"/>
              </w:rPr>
              <w:t>2.100,00</w:t>
            </w:r>
          </w:p>
        </w:tc>
      </w:tr>
      <w:tr>
        <w:trPr>
          <w:trHeight w:val="313" w:hRule="atLeast"/>
        </w:trPr>
        <w:tc>
          <w:tcPr>
            <w:tcW w:w="4598" w:type="dxa"/>
          </w:tcPr>
          <w:p>
            <w:pPr>
              <w:pStyle w:val="TableParagraph"/>
              <w:spacing w:line="168" w:lineRule="exact" w:before="125"/>
              <w:ind w:left="69"/>
              <w:rPr>
                <w:sz w:val="16"/>
              </w:rPr>
            </w:pPr>
            <w:r>
              <w:rPr>
                <w:sz w:val="16"/>
              </w:rPr>
              <w:t>Deudores</w:t>
            </w:r>
            <w:r>
              <w:rPr>
                <w:spacing w:val="-3"/>
                <w:sz w:val="16"/>
              </w:rPr>
              <w:t> </w:t>
            </w:r>
            <w:r>
              <w:rPr>
                <w:sz w:val="16"/>
              </w:rPr>
              <w:t>comerciales</w:t>
            </w:r>
            <w:r>
              <w:rPr>
                <w:spacing w:val="-3"/>
                <w:sz w:val="16"/>
              </w:rPr>
              <w:t> </w:t>
            </w:r>
            <w:r>
              <w:rPr>
                <w:sz w:val="16"/>
              </w:rPr>
              <w:t>y</w:t>
            </w:r>
            <w:r>
              <w:rPr>
                <w:spacing w:val="-5"/>
                <w:sz w:val="16"/>
              </w:rPr>
              <w:t> </w:t>
            </w:r>
            <w:r>
              <w:rPr>
                <w:sz w:val="16"/>
              </w:rPr>
              <w:t>otras</w:t>
            </w:r>
            <w:r>
              <w:rPr>
                <w:spacing w:val="-6"/>
                <w:sz w:val="16"/>
              </w:rPr>
              <w:t> </w:t>
            </w:r>
            <w:r>
              <w:rPr>
                <w:sz w:val="16"/>
              </w:rPr>
              <w:t>cuentas</w:t>
            </w:r>
            <w:r>
              <w:rPr>
                <w:spacing w:val="-3"/>
                <w:sz w:val="16"/>
              </w:rPr>
              <w:t> </w:t>
            </w:r>
            <w:r>
              <w:rPr>
                <w:sz w:val="16"/>
              </w:rPr>
              <w:t>a</w:t>
            </w:r>
            <w:r>
              <w:rPr>
                <w:spacing w:val="-7"/>
                <w:sz w:val="16"/>
              </w:rPr>
              <w:t> </w:t>
            </w:r>
            <w:r>
              <w:rPr>
                <w:spacing w:val="-2"/>
                <w:sz w:val="16"/>
              </w:rPr>
              <w:t>cobrar</w:t>
            </w:r>
          </w:p>
        </w:tc>
        <w:tc>
          <w:tcPr>
            <w:tcW w:w="1464" w:type="dxa"/>
          </w:tcPr>
          <w:p>
            <w:pPr>
              <w:pStyle w:val="TableParagraph"/>
              <w:spacing w:before="58"/>
              <w:ind w:right="59"/>
              <w:jc w:val="right"/>
              <w:rPr>
                <w:b/>
                <w:sz w:val="16"/>
              </w:rPr>
            </w:pPr>
            <w:r>
              <w:rPr>
                <w:b/>
                <w:spacing w:val="-2"/>
                <w:sz w:val="16"/>
              </w:rPr>
              <w:t>605.173,81</w:t>
            </w:r>
          </w:p>
        </w:tc>
        <w:tc>
          <w:tcPr>
            <w:tcW w:w="1118" w:type="dxa"/>
          </w:tcPr>
          <w:p>
            <w:pPr>
              <w:pStyle w:val="TableParagraph"/>
              <w:rPr>
                <w:rFonts w:ascii="Times New Roman"/>
                <w:sz w:val="16"/>
              </w:rPr>
            </w:pPr>
          </w:p>
        </w:tc>
        <w:tc>
          <w:tcPr>
            <w:tcW w:w="1464" w:type="dxa"/>
          </w:tcPr>
          <w:p>
            <w:pPr>
              <w:pStyle w:val="TableParagraph"/>
              <w:spacing w:before="58"/>
              <w:ind w:right="57"/>
              <w:jc w:val="right"/>
              <w:rPr>
                <w:b/>
                <w:sz w:val="16"/>
              </w:rPr>
            </w:pPr>
            <w:r>
              <w:rPr>
                <w:b/>
                <w:spacing w:val="-2"/>
                <w:sz w:val="16"/>
              </w:rPr>
              <w:t>605.173,81</w:t>
            </w:r>
          </w:p>
        </w:tc>
      </w:tr>
      <w:tr>
        <w:trPr>
          <w:trHeight w:val="314" w:hRule="atLeast"/>
        </w:trPr>
        <w:tc>
          <w:tcPr>
            <w:tcW w:w="4598" w:type="dxa"/>
          </w:tcPr>
          <w:p>
            <w:pPr>
              <w:pStyle w:val="TableParagraph"/>
              <w:spacing w:line="166" w:lineRule="exact" w:before="128"/>
              <w:ind w:left="338"/>
              <w:rPr>
                <w:sz w:val="16"/>
              </w:rPr>
            </w:pPr>
            <w:r>
              <w:rPr>
                <w:sz w:val="16"/>
              </w:rPr>
              <w:t>Clientes</w:t>
            </w:r>
            <w:r>
              <w:rPr>
                <w:spacing w:val="-3"/>
                <w:sz w:val="16"/>
              </w:rPr>
              <w:t> </w:t>
            </w:r>
            <w:r>
              <w:rPr>
                <w:sz w:val="16"/>
              </w:rPr>
              <w:t>por</w:t>
            </w:r>
            <w:r>
              <w:rPr>
                <w:spacing w:val="-6"/>
                <w:sz w:val="16"/>
              </w:rPr>
              <w:t> </w:t>
            </w:r>
            <w:r>
              <w:rPr>
                <w:sz w:val="16"/>
              </w:rPr>
              <w:t>ventas</w:t>
            </w:r>
            <w:r>
              <w:rPr>
                <w:spacing w:val="-3"/>
                <w:sz w:val="16"/>
              </w:rPr>
              <w:t> </w:t>
            </w:r>
            <w:r>
              <w:rPr>
                <w:sz w:val="16"/>
              </w:rPr>
              <w:t>y</w:t>
            </w:r>
            <w:r>
              <w:rPr>
                <w:spacing w:val="-4"/>
                <w:sz w:val="16"/>
              </w:rPr>
              <w:t> </w:t>
            </w:r>
            <w:r>
              <w:rPr>
                <w:sz w:val="16"/>
              </w:rPr>
              <w:t>prestación</w:t>
            </w:r>
            <w:r>
              <w:rPr>
                <w:spacing w:val="-5"/>
                <w:sz w:val="16"/>
              </w:rPr>
              <w:t> </w:t>
            </w:r>
            <w:r>
              <w:rPr>
                <w:sz w:val="16"/>
              </w:rPr>
              <w:t>de</w:t>
            </w:r>
            <w:r>
              <w:rPr>
                <w:spacing w:val="-2"/>
                <w:sz w:val="16"/>
              </w:rPr>
              <w:t> servicios</w:t>
            </w:r>
          </w:p>
        </w:tc>
        <w:tc>
          <w:tcPr>
            <w:tcW w:w="1464" w:type="dxa"/>
          </w:tcPr>
          <w:p>
            <w:pPr>
              <w:pStyle w:val="TableParagraph"/>
              <w:spacing w:before="61"/>
              <w:ind w:right="59"/>
              <w:jc w:val="right"/>
              <w:rPr>
                <w:sz w:val="16"/>
              </w:rPr>
            </w:pPr>
            <w:r>
              <w:rPr>
                <w:spacing w:val="-2"/>
                <w:sz w:val="16"/>
              </w:rPr>
              <w:t>488.148,66</w:t>
            </w:r>
          </w:p>
        </w:tc>
        <w:tc>
          <w:tcPr>
            <w:tcW w:w="1118" w:type="dxa"/>
          </w:tcPr>
          <w:p>
            <w:pPr>
              <w:pStyle w:val="TableParagraph"/>
              <w:rPr>
                <w:rFonts w:ascii="Times New Roman"/>
                <w:sz w:val="16"/>
              </w:rPr>
            </w:pPr>
          </w:p>
        </w:tc>
        <w:tc>
          <w:tcPr>
            <w:tcW w:w="1464" w:type="dxa"/>
          </w:tcPr>
          <w:p>
            <w:pPr>
              <w:pStyle w:val="TableParagraph"/>
              <w:spacing w:before="58"/>
              <w:ind w:right="57"/>
              <w:jc w:val="right"/>
              <w:rPr>
                <w:b/>
                <w:sz w:val="16"/>
              </w:rPr>
            </w:pPr>
            <w:r>
              <w:rPr>
                <w:b/>
                <w:spacing w:val="-2"/>
                <w:sz w:val="16"/>
              </w:rPr>
              <w:t>488.148,66</w:t>
            </w:r>
          </w:p>
        </w:tc>
      </w:tr>
      <w:tr>
        <w:trPr>
          <w:trHeight w:val="301" w:hRule="atLeast"/>
        </w:trPr>
        <w:tc>
          <w:tcPr>
            <w:tcW w:w="4598" w:type="dxa"/>
          </w:tcPr>
          <w:p>
            <w:pPr>
              <w:pStyle w:val="TableParagraph"/>
              <w:spacing w:line="168" w:lineRule="exact" w:before="113"/>
              <w:ind w:left="338"/>
              <w:rPr>
                <w:sz w:val="16"/>
              </w:rPr>
            </w:pPr>
            <w:r>
              <w:rPr>
                <w:sz w:val="16"/>
              </w:rPr>
              <w:t>Clientes,</w:t>
            </w:r>
            <w:r>
              <w:rPr>
                <w:spacing w:val="-7"/>
                <w:sz w:val="16"/>
              </w:rPr>
              <w:t> </w:t>
            </w:r>
            <w:r>
              <w:rPr>
                <w:sz w:val="16"/>
              </w:rPr>
              <w:t>empresas</w:t>
            </w:r>
            <w:r>
              <w:rPr>
                <w:spacing w:val="-4"/>
                <w:sz w:val="16"/>
              </w:rPr>
              <w:t> </w:t>
            </w:r>
            <w:r>
              <w:rPr>
                <w:sz w:val="16"/>
              </w:rPr>
              <w:t>del</w:t>
            </w:r>
            <w:r>
              <w:rPr>
                <w:spacing w:val="-3"/>
                <w:sz w:val="16"/>
              </w:rPr>
              <w:t> </w:t>
            </w:r>
            <w:r>
              <w:rPr>
                <w:sz w:val="16"/>
              </w:rPr>
              <w:t>grupo</w:t>
            </w:r>
            <w:r>
              <w:rPr>
                <w:spacing w:val="-6"/>
                <w:sz w:val="16"/>
              </w:rPr>
              <w:t> </w:t>
            </w:r>
            <w:r>
              <w:rPr>
                <w:sz w:val="16"/>
              </w:rPr>
              <w:t>y</w:t>
            </w:r>
            <w:r>
              <w:rPr>
                <w:spacing w:val="-6"/>
                <w:sz w:val="16"/>
              </w:rPr>
              <w:t> </w:t>
            </w:r>
            <w:r>
              <w:rPr>
                <w:spacing w:val="-2"/>
                <w:sz w:val="16"/>
              </w:rPr>
              <w:t>asociadas</w:t>
            </w:r>
          </w:p>
        </w:tc>
        <w:tc>
          <w:tcPr>
            <w:tcW w:w="1464" w:type="dxa"/>
          </w:tcPr>
          <w:p>
            <w:pPr>
              <w:pStyle w:val="TableParagraph"/>
              <w:spacing w:before="56"/>
              <w:ind w:right="59"/>
              <w:jc w:val="right"/>
              <w:rPr>
                <w:sz w:val="16"/>
              </w:rPr>
            </w:pPr>
            <w:r>
              <w:rPr>
                <w:spacing w:val="-2"/>
                <w:sz w:val="16"/>
              </w:rPr>
              <w:t>30.724,46</w:t>
            </w:r>
          </w:p>
        </w:tc>
        <w:tc>
          <w:tcPr>
            <w:tcW w:w="1118" w:type="dxa"/>
          </w:tcPr>
          <w:p>
            <w:pPr>
              <w:pStyle w:val="TableParagraph"/>
              <w:rPr>
                <w:rFonts w:ascii="Times New Roman"/>
                <w:sz w:val="16"/>
              </w:rPr>
            </w:pPr>
          </w:p>
        </w:tc>
        <w:tc>
          <w:tcPr>
            <w:tcW w:w="1464" w:type="dxa"/>
          </w:tcPr>
          <w:p>
            <w:pPr>
              <w:pStyle w:val="TableParagraph"/>
              <w:spacing w:before="53"/>
              <w:ind w:right="56"/>
              <w:jc w:val="right"/>
              <w:rPr>
                <w:b/>
                <w:sz w:val="16"/>
              </w:rPr>
            </w:pPr>
            <w:r>
              <w:rPr>
                <w:b/>
                <w:spacing w:val="-2"/>
                <w:sz w:val="16"/>
              </w:rPr>
              <w:t>30.724,46</w:t>
            </w:r>
          </w:p>
        </w:tc>
      </w:tr>
      <w:tr>
        <w:trPr>
          <w:trHeight w:val="299" w:hRule="atLeast"/>
        </w:trPr>
        <w:tc>
          <w:tcPr>
            <w:tcW w:w="4598" w:type="dxa"/>
          </w:tcPr>
          <w:p>
            <w:pPr>
              <w:pStyle w:val="TableParagraph"/>
              <w:spacing w:line="168" w:lineRule="exact" w:before="111"/>
              <w:ind w:left="338"/>
              <w:rPr>
                <w:sz w:val="16"/>
              </w:rPr>
            </w:pPr>
            <w:r>
              <w:rPr>
                <w:sz w:val="16"/>
              </w:rPr>
              <w:t>Deudores</w:t>
            </w:r>
            <w:r>
              <w:rPr>
                <w:spacing w:val="-6"/>
                <w:sz w:val="16"/>
              </w:rPr>
              <w:t> </w:t>
            </w:r>
            <w:r>
              <w:rPr>
                <w:spacing w:val="-2"/>
                <w:sz w:val="16"/>
              </w:rPr>
              <w:t>varios</w:t>
            </w:r>
          </w:p>
        </w:tc>
        <w:tc>
          <w:tcPr>
            <w:tcW w:w="1464" w:type="dxa"/>
          </w:tcPr>
          <w:p>
            <w:pPr>
              <w:pStyle w:val="TableParagraph"/>
              <w:rPr>
                <w:rFonts w:ascii="Times New Roman"/>
                <w:sz w:val="16"/>
              </w:rPr>
            </w:pPr>
          </w:p>
        </w:tc>
        <w:tc>
          <w:tcPr>
            <w:tcW w:w="1118" w:type="dxa"/>
          </w:tcPr>
          <w:p>
            <w:pPr>
              <w:pStyle w:val="TableParagraph"/>
              <w:rPr>
                <w:rFonts w:ascii="Times New Roman"/>
                <w:sz w:val="16"/>
              </w:rPr>
            </w:pPr>
          </w:p>
        </w:tc>
        <w:tc>
          <w:tcPr>
            <w:tcW w:w="1464" w:type="dxa"/>
          </w:tcPr>
          <w:p>
            <w:pPr>
              <w:pStyle w:val="TableParagraph"/>
              <w:rPr>
                <w:rFonts w:ascii="Times New Roman"/>
                <w:sz w:val="16"/>
              </w:rPr>
            </w:pPr>
          </w:p>
        </w:tc>
      </w:tr>
      <w:tr>
        <w:trPr>
          <w:trHeight w:val="314" w:hRule="atLeast"/>
        </w:trPr>
        <w:tc>
          <w:tcPr>
            <w:tcW w:w="4598" w:type="dxa"/>
          </w:tcPr>
          <w:p>
            <w:pPr>
              <w:pStyle w:val="TableParagraph"/>
              <w:spacing w:line="168" w:lineRule="exact" w:before="125"/>
              <w:ind w:left="338"/>
              <w:rPr>
                <w:sz w:val="16"/>
              </w:rPr>
            </w:pPr>
            <w:r>
              <w:rPr>
                <w:spacing w:val="-2"/>
                <w:sz w:val="16"/>
              </w:rPr>
              <w:t>Personal</w:t>
            </w:r>
          </w:p>
        </w:tc>
        <w:tc>
          <w:tcPr>
            <w:tcW w:w="1464" w:type="dxa"/>
          </w:tcPr>
          <w:p>
            <w:pPr>
              <w:pStyle w:val="TableParagraph"/>
              <w:spacing w:before="61"/>
              <w:ind w:right="59"/>
              <w:jc w:val="right"/>
              <w:rPr>
                <w:sz w:val="16"/>
              </w:rPr>
            </w:pPr>
            <w:r>
              <w:rPr>
                <w:spacing w:val="-2"/>
                <w:sz w:val="16"/>
              </w:rPr>
              <w:t>86.300,69</w:t>
            </w:r>
          </w:p>
        </w:tc>
        <w:tc>
          <w:tcPr>
            <w:tcW w:w="1118" w:type="dxa"/>
          </w:tcPr>
          <w:p>
            <w:pPr>
              <w:pStyle w:val="TableParagraph"/>
              <w:rPr>
                <w:rFonts w:ascii="Times New Roman"/>
                <w:sz w:val="16"/>
              </w:rPr>
            </w:pPr>
          </w:p>
        </w:tc>
        <w:tc>
          <w:tcPr>
            <w:tcW w:w="1464" w:type="dxa"/>
          </w:tcPr>
          <w:p>
            <w:pPr>
              <w:pStyle w:val="TableParagraph"/>
              <w:spacing w:before="58"/>
              <w:ind w:right="56"/>
              <w:jc w:val="right"/>
              <w:rPr>
                <w:b/>
                <w:sz w:val="16"/>
              </w:rPr>
            </w:pPr>
            <w:r>
              <w:rPr>
                <w:b/>
                <w:spacing w:val="-2"/>
                <w:sz w:val="16"/>
              </w:rPr>
              <w:t>86.300,69</w:t>
            </w:r>
          </w:p>
        </w:tc>
      </w:tr>
      <w:tr>
        <w:trPr>
          <w:trHeight w:val="316" w:hRule="atLeast"/>
        </w:trPr>
        <w:tc>
          <w:tcPr>
            <w:tcW w:w="4598" w:type="dxa"/>
          </w:tcPr>
          <w:p>
            <w:pPr>
              <w:pStyle w:val="TableParagraph"/>
              <w:spacing w:line="171" w:lineRule="exact" w:before="125"/>
              <w:ind w:left="69"/>
              <w:rPr>
                <w:b/>
                <w:sz w:val="16"/>
              </w:rPr>
            </w:pPr>
            <w:r>
              <w:rPr>
                <w:b/>
                <w:spacing w:val="-2"/>
                <w:sz w:val="16"/>
              </w:rPr>
              <w:t>TOTAL</w:t>
            </w:r>
          </w:p>
        </w:tc>
        <w:tc>
          <w:tcPr>
            <w:tcW w:w="1464" w:type="dxa"/>
          </w:tcPr>
          <w:p>
            <w:pPr>
              <w:pStyle w:val="TableParagraph"/>
              <w:spacing w:before="61"/>
              <w:ind w:right="56"/>
              <w:jc w:val="right"/>
              <w:rPr>
                <w:b/>
                <w:sz w:val="16"/>
              </w:rPr>
            </w:pPr>
            <w:r>
              <w:rPr>
                <w:b/>
                <w:spacing w:val="-2"/>
                <w:sz w:val="16"/>
              </w:rPr>
              <w:t>20.607.273,81</w:t>
            </w:r>
          </w:p>
        </w:tc>
        <w:tc>
          <w:tcPr>
            <w:tcW w:w="1118" w:type="dxa"/>
          </w:tcPr>
          <w:p>
            <w:pPr>
              <w:pStyle w:val="TableParagraph"/>
              <w:spacing w:before="61"/>
              <w:ind w:right="57"/>
              <w:jc w:val="right"/>
              <w:rPr>
                <w:b/>
                <w:sz w:val="16"/>
              </w:rPr>
            </w:pPr>
            <w:r>
              <w:rPr>
                <w:b/>
                <w:spacing w:val="-2"/>
                <w:sz w:val="16"/>
              </w:rPr>
              <w:t>832.637,67</w:t>
            </w:r>
          </w:p>
        </w:tc>
        <w:tc>
          <w:tcPr>
            <w:tcW w:w="1464" w:type="dxa"/>
          </w:tcPr>
          <w:p>
            <w:pPr>
              <w:pStyle w:val="TableParagraph"/>
              <w:spacing w:before="61"/>
              <w:ind w:right="54"/>
              <w:jc w:val="right"/>
              <w:rPr>
                <w:b/>
                <w:sz w:val="16"/>
              </w:rPr>
            </w:pPr>
            <w:r>
              <w:rPr>
                <w:b/>
                <w:spacing w:val="-2"/>
                <w:sz w:val="16"/>
              </w:rPr>
              <w:t>21.439.911,48</w:t>
            </w:r>
          </w:p>
        </w:tc>
      </w:tr>
    </w:tbl>
    <w:p>
      <w:pPr>
        <w:pStyle w:val="TableParagraph"/>
        <w:spacing w:after="0"/>
        <w:jc w:val="right"/>
        <w:rPr>
          <w:b/>
          <w:sz w:val="16"/>
        </w:rPr>
        <w:sectPr>
          <w:pgSz w:w="11910" w:h="16840"/>
          <w:pgMar w:header="286" w:footer="1060" w:top="1920" w:bottom="1260" w:left="360" w:right="360"/>
        </w:sectPr>
      </w:pPr>
    </w:p>
    <w:p>
      <w:pPr>
        <w:pStyle w:val="BodyText"/>
        <w:spacing w:before="201"/>
      </w:pPr>
    </w:p>
    <w:p>
      <w:pPr>
        <w:pStyle w:val="BodyText"/>
        <w:ind w:left="1908" w:right="1338"/>
        <w:jc w:val="both"/>
      </w:pPr>
      <w:r>
        <w:rPr/>
        <w:t>Las clasificaciones por vencimiento de los pasivos financieros de la Sociedad, de los importes que venzan en</w:t>
      </w:r>
      <w:r>
        <w:rPr>
          <w:spacing w:val="-1"/>
        </w:rPr>
        <w:t> </w:t>
      </w:r>
      <w:r>
        <w:rPr/>
        <w:t>cada</w:t>
      </w:r>
      <w:r>
        <w:rPr>
          <w:spacing w:val="-3"/>
        </w:rPr>
        <w:t> </w:t>
      </w:r>
      <w:r>
        <w:rPr/>
        <w:t>uno de los siguientes años al cierre</w:t>
      </w:r>
      <w:r>
        <w:rPr>
          <w:spacing w:val="-1"/>
        </w:rPr>
        <w:t> </w:t>
      </w:r>
      <w:r>
        <w:rPr/>
        <w:t>del ejercicio y</w:t>
      </w:r>
      <w:r>
        <w:rPr>
          <w:spacing w:val="-3"/>
        </w:rPr>
        <w:t> </w:t>
      </w:r>
      <w:r>
        <w:rPr/>
        <w:t>hasta</w:t>
      </w:r>
      <w:r>
        <w:rPr>
          <w:spacing w:val="-1"/>
        </w:rPr>
        <w:t> </w:t>
      </w:r>
      <w:r>
        <w:rPr/>
        <w:t>su último vencimiento, se detallan en el siguiente cuadro:</w:t>
      </w:r>
    </w:p>
    <w:p>
      <w:pPr>
        <w:pStyle w:val="BodyText"/>
        <w:spacing w:before="2"/>
      </w:pPr>
    </w:p>
    <w:tbl>
      <w:tblPr>
        <w:tblW w:w="0" w:type="auto"/>
        <w:jc w:val="lef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136"/>
        <w:gridCol w:w="1134"/>
        <w:gridCol w:w="1062"/>
        <w:gridCol w:w="1024"/>
        <w:gridCol w:w="1038"/>
        <w:gridCol w:w="1136"/>
        <w:gridCol w:w="1275"/>
      </w:tblGrid>
      <w:tr>
        <w:trPr>
          <w:trHeight w:val="438" w:hRule="atLeast"/>
        </w:trPr>
        <w:tc>
          <w:tcPr>
            <w:tcW w:w="1702" w:type="dxa"/>
            <w:vMerge w:val="restart"/>
            <w:tcBorders>
              <w:top w:val="nil"/>
              <w:left w:val="nil"/>
            </w:tcBorders>
          </w:tcPr>
          <w:p>
            <w:pPr>
              <w:pStyle w:val="TableParagraph"/>
              <w:rPr>
                <w:rFonts w:ascii="Times New Roman"/>
                <w:sz w:val="14"/>
              </w:rPr>
            </w:pPr>
          </w:p>
        </w:tc>
        <w:tc>
          <w:tcPr>
            <w:tcW w:w="7805" w:type="dxa"/>
            <w:gridSpan w:val="7"/>
          </w:tcPr>
          <w:p>
            <w:pPr>
              <w:pStyle w:val="TableParagraph"/>
              <w:spacing w:before="135"/>
              <w:ind w:right="1"/>
              <w:jc w:val="center"/>
              <w:rPr>
                <w:b/>
                <w:sz w:val="14"/>
              </w:rPr>
            </w:pPr>
            <w:r>
              <w:rPr>
                <w:b/>
                <w:sz w:val="14"/>
              </w:rPr>
              <w:t>Vencimiento</w:t>
            </w:r>
            <w:r>
              <w:rPr>
                <w:b/>
                <w:spacing w:val="-6"/>
                <w:sz w:val="14"/>
              </w:rPr>
              <w:t> </w:t>
            </w:r>
            <w:r>
              <w:rPr>
                <w:b/>
                <w:sz w:val="14"/>
              </w:rPr>
              <w:t>en</w:t>
            </w:r>
            <w:r>
              <w:rPr>
                <w:b/>
                <w:spacing w:val="-7"/>
                <w:sz w:val="14"/>
              </w:rPr>
              <w:t> </w:t>
            </w:r>
            <w:r>
              <w:rPr>
                <w:b/>
                <w:spacing w:val="-4"/>
                <w:sz w:val="14"/>
              </w:rPr>
              <w:t>años</w:t>
            </w:r>
          </w:p>
        </w:tc>
      </w:tr>
      <w:tr>
        <w:trPr>
          <w:trHeight w:val="422" w:hRule="atLeast"/>
        </w:trPr>
        <w:tc>
          <w:tcPr>
            <w:tcW w:w="1702" w:type="dxa"/>
            <w:vMerge/>
            <w:tcBorders>
              <w:top w:val="nil"/>
              <w:left w:val="nil"/>
            </w:tcBorders>
          </w:tcPr>
          <w:p>
            <w:pPr>
              <w:rPr>
                <w:sz w:val="2"/>
                <w:szCs w:val="2"/>
              </w:rPr>
            </w:pPr>
          </w:p>
        </w:tc>
        <w:tc>
          <w:tcPr>
            <w:tcW w:w="1136" w:type="dxa"/>
          </w:tcPr>
          <w:p>
            <w:pPr>
              <w:pStyle w:val="TableParagraph"/>
              <w:spacing w:before="127"/>
              <w:ind w:left="3"/>
              <w:jc w:val="center"/>
              <w:rPr>
                <w:b/>
                <w:sz w:val="14"/>
              </w:rPr>
            </w:pPr>
            <w:r>
              <w:rPr>
                <w:b/>
                <w:spacing w:val="-4"/>
                <w:sz w:val="14"/>
              </w:rPr>
              <w:t>2026</w:t>
            </w:r>
          </w:p>
        </w:tc>
        <w:tc>
          <w:tcPr>
            <w:tcW w:w="1134" w:type="dxa"/>
          </w:tcPr>
          <w:p>
            <w:pPr>
              <w:pStyle w:val="TableParagraph"/>
              <w:spacing w:before="127"/>
              <w:ind w:left="3"/>
              <w:jc w:val="center"/>
              <w:rPr>
                <w:b/>
                <w:sz w:val="14"/>
              </w:rPr>
            </w:pPr>
            <w:r>
              <w:rPr>
                <w:b/>
                <w:spacing w:val="-4"/>
                <w:sz w:val="14"/>
              </w:rPr>
              <w:t>2027</w:t>
            </w:r>
          </w:p>
        </w:tc>
        <w:tc>
          <w:tcPr>
            <w:tcW w:w="1062" w:type="dxa"/>
          </w:tcPr>
          <w:p>
            <w:pPr>
              <w:pStyle w:val="TableParagraph"/>
              <w:spacing w:before="127"/>
              <w:ind w:right="1"/>
              <w:jc w:val="center"/>
              <w:rPr>
                <w:b/>
                <w:sz w:val="14"/>
              </w:rPr>
            </w:pPr>
            <w:r>
              <w:rPr>
                <w:b/>
                <w:spacing w:val="-4"/>
                <w:sz w:val="14"/>
              </w:rPr>
              <w:t>2028</w:t>
            </w:r>
          </w:p>
        </w:tc>
        <w:tc>
          <w:tcPr>
            <w:tcW w:w="1024" w:type="dxa"/>
          </w:tcPr>
          <w:p>
            <w:pPr>
              <w:pStyle w:val="TableParagraph"/>
              <w:spacing w:before="127"/>
              <w:ind w:right="1"/>
              <w:jc w:val="center"/>
              <w:rPr>
                <w:b/>
                <w:sz w:val="14"/>
              </w:rPr>
            </w:pPr>
            <w:r>
              <w:rPr>
                <w:b/>
                <w:spacing w:val="-4"/>
                <w:sz w:val="14"/>
              </w:rPr>
              <w:t>2029</w:t>
            </w:r>
          </w:p>
        </w:tc>
        <w:tc>
          <w:tcPr>
            <w:tcW w:w="1038" w:type="dxa"/>
          </w:tcPr>
          <w:p>
            <w:pPr>
              <w:pStyle w:val="TableParagraph"/>
              <w:spacing w:before="127"/>
              <w:ind w:right="6"/>
              <w:jc w:val="center"/>
              <w:rPr>
                <w:b/>
                <w:sz w:val="14"/>
              </w:rPr>
            </w:pPr>
            <w:r>
              <w:rPr>
                <w:b/>
                <w:spacing w:val="-4"/>
                <w:sz w:val="14"/>
              </w:rPr>
              <w:t>2030</w:t>
            </w:r>
          </w:p>
        </w:tc>
        <w:tc>
          <w:tcPr>
            <w:tcW w:w="1136" w:type="dxa"/>
          </w:tcPr>
          <w:p>
            <w:pPr>
              <w:pStyle w:val="TableParagraph"/>
              <w:spacing w:before="127"/>
              <w:ind w:right="5"/>
              <w:jc w:val="center"/>
              <w:rPr>
                <w:b/>
                <w:sz w:val="14"/>
              </w:rPr>
            </w:pPr>
            <w:r>
              <w:rPr>
                <w:b/>
                <w:spacing w:val="-2"/>
                <w:sz w:val="14"/>
              </w:rPr>
              <w:t>+2031</w:t>
            </w:r>
          </w:p>
        </w:tc>
        <w:tc>
          <w:tcPr>
            <w:tcW w:w="1275" w:type="dxa"/>
          </w:tcPr>
          <w:p>
            <w:pPr>
              <w:pStyle w:val="TableParagraph"/>
              <w:spacing w:before="127"/>
              <w:ind w:left="393"/>
              <w:rPr>
                <w:b/>
                <w:sz w:val="14"/>
              </w:rPr>
            </w:pPr>
            <w:r>
              <w:rPr>
                <w:b/>
                <w:spacing w:val="-2"/>
                <w:sz w:val="14"/>
              </w:rPr>
              <w:t>TOTAL</w:t>
            </w:r>
          </w:p>
        </w:tc>
      </w:tr>
      <w:tr>
        <w:trPr>
          <w:trHeight w:val="419" w:hRule="atLeast"/>
        </w:trPr>
        <w:tc>
          <w:tcPr>
            <w:tcW w:w="1702" w:type="dxa"/>
          </w:tcPr>
          <w:p>
            <w:pPr>
              <w:pStyle w:val="TableParagraph"/>
              <w:spacing w:before="113"/>
              <w:ind w:left="69"/>
              <w:rPr>
                <w:sz w:val="16"/>
              </w:rPr>
            </w:pPr>
            <w:r>
              <w:rPr>
                <w:spacing w:val="-2"/>
                <w:sz w:val="16"/>
              </w:rPr>
              <w:t>Deudas*</w:t>
            </w:r>
          </w:p>
        </w:tc>
        <w:tc>
          <w:tcPr>
            <w:tcW w:w="1136" w:type="dxa"/>
          </w:tcPr>
          <w:p>
            <w:pPr>
              <w:pStyle w:val="TableParagraph"/>
              <w:spacing w:before="125"/>
              <w:ind w:right="63"/>
              <w:jc w:val="right"/>
              <w:rPr>
                <w:b/>
                <w:sz w:val="14"/>
              </w:rPr>
            </w:pPr>
            <w:r>
              <w:rPr>
                <w:b/>
                <w:spacing w:val="-2"/>
                <w:sz w:val="14"/>
              </w:rPr>
              <w:t>17.001.747,58</w:t>
            </w:r>
          </w:p>
        </w:tc>
        <w:tc>
          <w:tcPr>
            <w:tcW w:w="1134" w:type="dxa"/>
          </w:tcPr>
          <w:p>
            <w:pPr>
              <w:pStyle w:val="TableParagraph"/>
              <w:spacing w:before="125"/>
              <w:ind w:right="62"/>
              <w:jc w:val="right"/>
              <w:rPr>
                <w:b/>
                <w:sz w:val="14"/>
              </w:rPr>
            </w:pPr>
            <w:r>
              <w:rPr>
                <w:b/>
                <w:spacing w:val="-2"/>
                <w:sz w:val="14"/>
              </w:rPr>
              <w:t>11.608.302,71</w:t>
            </w:r>
          </w:p>
        </w:tc>
        <w:tc>
          <w:tcPr>
            <w:tcW w:w="1062" w:type="dxa"/>
          </w:tcPr>
          <w:p>
            <w:pPr>
              <w:pStyle w:val="TableParagraph"/>
              <w:spacing w:before="125"/>
              <w:ind w:right="65"/>
              <w:jc w:val="right"/>
              <w:rPr>
                <w:b/>
                <w:sz w:val="14"/>
              </w:rPr>
            </w:pPr>
            <w:r>
              <w:rPr>
                <w:b/>
                <w:spacing w:val="-2"/>
                <w:sz w:val="14"/>
              </w:rPr>
              <w:t>10.645.565,17</w:t>
            </w:r>
          </w:p>
        </w:tc>
        <w:tc>
          <w:tcPr>
            <w:tcW w:w="1024" w:type="dxa"/>
          </w:tcPr>
          <w:p>
            <w:pPr>
              <w:pStyle w:val="TableParagraph"/>
              <w:spacing w:before="125"/>
              <w:ind w:right="65"/>
              <w:jc w:val="right"/>
              <w:rPr>
                <w:b/>
                <w:sz w:val="14"/>
              </w:rPr>
            </w:pPr>
            <w:r>
              <w:rPr>
                <w:b/>
                <w:spacing w:val="-2"/>
                <w:sz w:val="14"/>
              </w:rPr>
              <w:t>8.336.801,09</w:t>
            </w:r>
          </w:p>
        </w:tc>
        <w:tc>
          <w:tcPr>
            <w:tcW w:w="1038" w:type="dxa"/>
          </w:tcPr>
          <w:p>
            <w:pPr>
              <w:pStyle w:val="TableParagraph"/>
              <w:spacing w:before="125"/>
              <w:ind w:right="68"/>
              <w:jc w:val="right"/>
              <w:rPr>
                <w:b/>
                <w:sz w:val="14"/>
              </w:rPr>
            </w:pPr>
            <w:r>
              <w:rPr>
                <w:b/>
                <w:spacing w:val="-2"/>
                <w:sz w:val="14"/>
              </w:rPr>
              <w:t>7.106.099,97</w:t>
            </w:r>
          </w:p>
        </w:tc>
        <w:tc>
          <w:tcPr>
            <w:tcW w:w="1136" w:type="dxa"/>
          </w:tcPr>
          <w:p>
            <w:pPr>
              <w:pStyle w:val="TableParagraph"/>
              <w:spacing w:before="125"/>
              <w:ind w:left="95" w:right="5"/>
              <w:jc w:val="center"/>
              <w:rPr>
                <w:b/>
                <w:sz w:val="14"/>
              </w:rPr>
            </w:pPr>
            <w:r>
              <w:rPr>
                <w:b/>
                <w:spacing w:val="-2"/>
                <w:sz w:val="14"/>
              </w:rPr>
              <w:t>41.872.211,75</w:t>
            </w:r>
          </w:p>
        </w:tc>
        <w:tc>
          <w:tcPr>
            <w:tcW w:w="1275" w:type="dxa"/>
          </w:tcPr>
          <w:p>
            <w:pPr>
              <w:pStyle w:val="TableParagraph"/>
              <w:spacing w:before="125"/>
              <w:ind w:right="69"/>
              <w:jc w:val="right"/>
              <w:rPr>
                <w:b/>
                <w:sz w:val="14"/>
              </w:rPr>
            </w:pPr>
            <w:r>
              <w:rPr>
                <w:b/>
                <w:spacing w:val="-2"/>
                <w:sz w:val="14"/>
              </w:rPr>
              <w:t>96.570.728,27</w:t>
            </w:r>
          </w:p>
        </w:tc>
      </w:tr>
      <w:tr>
        <w:trPr>
          <w:trHeight w:val="760" w:hRule="atLeast"/>
        </w:trPr>
        <w:tc>
          <w:tcPr>
            <w:tcW w:w="1702" w:type="dxa"/>
          </w:tcPr>
          <w:p>
            <w:pPr>
              <w:pStyle w:val="TableParagraph"/>
              <w:spacing w:before="8"/>
              <w:rPr>
                <w:sz w:val="16"/>
              </w:rPr>
            </w:pPr>
          </w:p>
          <w:p>
            <w:pPr>
              <w:pStyle w:val="TableParagraph"/>
              <w:spacing w:before="1"/>
              <w:ind w:left="69" w:right="95"/>
              <w:rPr>
                <w:sz w:val="16"/>
              </w:rPr>
            </w:pPr>
            <w:r>
              <w:rPr>
                <w:sz w:val="16"/>
              </w:rPr>
              <w:t>Deudas con entidades</w:t>
            </w:r>
            <w:r>
              <w:rPr>
                <w:spacing w:val="-12"/>
                <w:sz w:val="16"/>
              </w:rPr>
              <w:t> </w:t>
            </w:r>
            <w:r>
              <w:rPr>
                <w:sz w:val="16"/>
              </w:rPr>
              <w:t>de</w:t>
            </w:r>
            <w:r>
              <w:rPr>
                <w:spacing w:val="-11"/>
                <w:sz w:val="16"/>
              </w:rPr>
              <w:t> </w:t>
            </w:r>
            <w:r>
              <w:rPr>
                <w:sz w:val="16"/>
              </w:rPr>
              <w:t>crédito*</w:t>
            </w:r>
          </w:p>
        </w:tc>
        <w:tc>
          <w:tcPr>
            <w:tcW w:w="1136" w:type="dxa"/>
          </w:tcPr>
          <w:p>
            <w:pPr>
              <w:pStyle w:val="TableParagraph"/>
              <w:spacing w:before="137"/>
              <w:rPr>
                <w:sz w:val="14"/>
              </w:rPr>
            </w:pPr>
          </w:p>
          <w:p>
            <w:pPr>
              <w:pStyle w:val="TableParagraph"/>
              <w:ind w:right="63"/>
              <w:jc w:val="right"/>
              <w:rPr>
                <w:sz w:val="14"/>
              </w:rPr>
            </w:pPr>
            <w:r>
              <w:rPr>
                <w:spacing w:val="-2"/>
                <w:sz w:val="14"/>
              </w:rPr>
              <w:t>12.305.961,92</w:t>
            </w:r>
          </w:p>
        </w:tc>
        <w:tc>
          <w:tcPr>
            <w:tcW w:w="1134" w:type="dxa"/>
          </w:tcPr>
          <w:p>
            <w:pPr>
              <w:pStyle w:val="TableParagraph"/>
              <w:spacing w:before="137"/>
              <w:rPr>
                <w:sz w:val="14"/>
              </w:rPr>
            </w:pPr>
          </w:p>
          <w:p>
            <w:pPr>
              <w:pStyle w:val="TableParagraph"/>
              <w:ind w:right="62"/>
              <w:jc w:val="right"/>
              <w:rPr>
                <w:sz w:val="14"/>
              </w:rPr>
            </w:pPr>
            <w:r>
              <w:rPr>
                <w:spacing w:val="-2"/>
                <w:sz w:val="14"/>
              </w:rPr>
              <w:t>11.312.772,82</w:t>
            </w:r>
          </w:p>
        </w:tc>
        <w:tc>
          <w:tcPr>
            <w:tcW w:w="1062" w:type="dxa"/>
          </w:tcPr>
          <w:p>
            <w:pPr>
              <w:pStyle w:val="TableParagraph"/>
              <w:spacing w:before="137"/>
              <w:rPr>
                <w:sz w:val="14"/>
              </w:rPr>
            </w:pPr>
          </w:p>
          <w:p>
            <w:pPr>
              <w:pStyle w:val="TableParagraph"/>
              <w:ind w:right="65"/>
              <w:jc w:val="right"/>
              <w:rPr>
                <w:sz w:val="14"/>
              </w:rPr>
            </w:pPr>
            <w:r>
              <w:rPr>
                <w:spacing w:val="-2"/>
                <w:sz w:val="14"/>
              </w:rPr>
              <w:t>10.644.667,67</w:t>
            </w:r>
          </w:p>
        </w:tc>
        <w:tc>
          <w:tcPr>
            <w:tcW w:w="1024" w:type="dxa"/>
          </w:tcPr>
          <w:p>
            <w:pPr>
              <w:pStyle w:val="TableParagraph"/>
              <w:spacing w:before="137"/>
              <w:rPr>
                <w:sz w:val="14"/>
              </w:rPr>
            </w:pPr>
          </w:p>
          <w:p>
            <w:pPr>
              <w:pStyle w:val="TableParagraph"/>
              <w:ind w:right="65"/>
              <w:jc w:val="right"/>
              <w:rPr>
                <w:sz w:val="14"/>
              </w:rPr>
            </w:pPr>
            <w:r>
              <w:rPr>
                <w:spacing w:val="-2"/>
                <w:sz w:val="14"/>
              </w:rPr>
              <w:t>8.325.631,18</w:t>
            </w:r>
          </w:p>
        </w:tc>
        <w:tc>
          <w:tcPr>
            <w:tcW w:w="1038" w:type="dxa"/>
          </w:tcPr>
          <w:p>
            <w:pPr>
              <w:pStyle w:val="TableParagraph"/>
              <w:spacing w:before="137"/>
              <w:rPr>
                <w:sz w:val="14"/>
              </w:rPr>
            </w:pPr>
          </w:p>
          <w:p>
            <w:pPr>
              <w:pStyle w:val="TableParagraph"/>
              <w:ind w:right="68"/>
              <w:jc w:val="right"/>
              <w:rPr>
                <w:sz w:val="14"/>
              </w:rPr>
            </w:pPr>
            <w:r>
              <w:rPr>
                <w:spacing w:val="-2"/>
                <w:sz w:val="14"/>
              </w:rPr>
              <w:t>7.063.109,13</w:t>
            </w:r>
          </w:p>
        </w:tc>
        <w:tc>
          <w:tcPr>
            <w:tcW w:w="1136" w:type="dxa"/>
          </w:tcPr>
          <w:p>
            <w:pPr>
              <w:pStyle w:val="TableParagraph"/>
              <w:spacing w:before="137"/>
              <w:rPr>
                <w:sz w:val="14"/>
              </w:rPr>
            </w:pPr>
          </w:p>
          <w:p>
            <w:pPr>
              <w:pStyle w:val="TableParagraph"/>
              <w:ind w:left="95" w:right="5"/>
              <w:jc w:val="center"/>
              <w:rPr>
                <w:sz w:val="14"/>
              </w:rPr>
            </w:pPr>
            <w:r>
              <w:rPr>
                <w:spacing w:val="-2"/>
                <w:sz w:val="14"/>
              </w:rPr>
              <w:t>41.872.211,75</w:t>
            </w:r>
          </w:p>
        </w:tc>
        <w:tc>
          <w:tcPr>
            <w:tcW w:w="1275" w:type="dxa"/>
          </w:tcPr>
          <w:p>
            <w:pPr>
              <w:pStyle w:val="TableParagraph"/>
              <w:spacing w:before="134"/>
              <w:rPr>
                <w:sz w:val="14"/>
              </w:rPr>
            </w:pPr>
          </w:p>
          <w:p>
            <w:pPr>
              <w:pStyle w:val="TableParagraph"/>
              <w:ind w:right="69"/>
              <w:jc w:val="right"/>
              <w:rPr>
                <w:b/>
                <w:sz w:val="14"/>
              </w:rPr>
            </w:pPr>
            <w:r>
              <w:rPr>
                <w:b/>
                <w:spacing w:val="-2"/>
                <w:sz w:val="14"/>
              </w:rPr>
              <w:t>91.524.354,47</w:t>
            </w:r>
          </w:p>
        </w:tc>
      </w:tr>
      <w:tr>
        <w:trPr>
          <w:trHeight w:val="419" w:hRule="atLeast"/>
        </w:trPr>
        <w:tc>
          <w:tcPr>
            <w:tcW w:w="1702" w:type="dxa"/>
          </w:tcPr>
          <w:p>
            <w:pPr>
              <w:pStyle w:val="TableParagraph"/>
              <w:spacing w:before="22"/>
              <w:ind w:left="69" w:right="636"/>
              <w:rPr>
                <w:sz w:val="16"/>
              </w:rPr>
            </w:pPr>
            <w:r>
              <w:rPr>
                <w:sz w:val="16"/>
              </w:rPr>
              <w:t>Otros</w:t>
            </w:r>
            <w:r>
              <w:rPr>
                <w:spacing w:val="-12"/>
                <w:sz w:val="16"/>
              </w:rPr>
              <w:t> </w:t>
            </w:r>
            <w:r>
              <w:rPr>
                <w:sz w:val="16"/>
              </w:rPr>
              <w:t>pasivos </w:t>
            </w:r>
            <w:r>
              <w:rPr>
                <w:spacing w:val="-2"/>
                <w:sz w:val="16"/>
              </w:rPr>
              <w:t>financieros</w:t>
            </w:r>
          </w:p>
        </w:tc>
        <w:tc>
          <w:tcPr>
            <w:tcW w:w="1136" w:type="dxa"/>
          </w:tcPr>
          <w:p>
            <w:pPr>
              <w:pStyle w:val="TableParagraph"/>
              <w:spacing w:before="127"/>
              <w:ind w:right="63"/>
              <w:jc w:val="right"/>
              <w:rPr>
                <w:sz w:val="14"/>
              </w:rPr>
            </w:pPr>
            <w:r>
              <w:rPr>
                <w:spacing w:val="-2"/>
                <w:sz w:val="14"/>
              </w:rPr>
              <w:t>4.695.785,66</w:t>
            </w:r>
          </w:p>
        </w:tc>
        <w:tc>
          <w:tcPr>
            <w:tcW w:w="1134" w:type="dxa"/>
          </w:tcPr>
          <w:p>
            <w:pPr>
              <w:pStyle w:val="TableParagraph"/>
              <w:spacing w:before="127"/>
              <w:ind w:right="61"/>
              <w:jc w:val="right"/>
              <w:rPr>
                <w:sz w:val="14"/>
              </w:rPr>
            </w:pPr>
            <w:r>
              <w:rPr>
                <w:spacing w:val="-2"/>
                <w:sz w:val="14"/>
              </w:rPr>
              <w:t>295.529,89</w:t>
            </w:r>
          </w:p>
        </w:tc>
        <w:tc>
          <w:tcPr>
            <w:tcW w:w="1062" w:type="dxa"/>
          </w:tcPr>
          <w:p>
            <w:pPr>
              <w:pStyle w:val="TableParagraph"/>
              <w:spacing w:before="127"/>
              <w:ind w:right="65"/>
              <w:jc w:val="right"/>
              <w:rPr>
                <w:sz w:val="14"/>
              </w:rPr>
            </w:pPr>
            <w:r>
              <w:rPr>
                <w:spacing w:val="-2"/>
                <w:sz w:val="14"/>
              </w:rPr>
              <w:t>897,50</w:t>
            </w:r>
          </w:p>
        </w:tc>
        <w:tc>
          <w:tcPr>
            <w:tcW w:w="1024" w:type="dxa"/>
          </w:tcPr>
          <w:p>
            <w:pPr>
              <w:pStyle w:val="TableParagraph"/>
              <w:spacing w:before="127"/>
              <w:ind w:right="65"/>
              <w:jc w:val="right"/>
              <w:rPr>
                <w:sz w:val="14"/>
              </w:rPr>
            </w:pPr>
            <w:r>
              <w:rPr>
                <w:spacing w:val="-2"/>
                <w:sz w:val="14"/>
              </w:rPr>
              <w:t>11.169,91</w:t>
            </w:r>
          </w:p>
        </w:tc>
        <w:tc>
          <w:tcPr>
            <w:tcW w:w="1038" w:type="dxa"/>
          </w:tcPr>
          <w:p>
            <w:pPr>
              <w:pStyle w:val="TableParagraph"/>
              <w:spacing w:before="127"/>
              <w:ind w:right="68"/>
              <w:jc w:val="right"/>
              <w:rPr>
                <w:sz w:val="14"/>
              </w:rPr>
            </w:pPr>
            <w:r>
              <w:rPr>
                <w:spacing w:val="-2"/>
                <w:sz w:val="14"/>
              </w:rPr>
              <w:t>42.990,84</w:t>
            </w:r>
          </w:p>
        </w:tc>
        <w:tc>
          <w:tcPr>
            <w:tcW w:w="1136" w:type="dxa"/>
          </w:tcPr>
          <w:p>
            <w:pPr>
              <w:pStyle w:val="TableParagraph"/>
              <w:rPr>
                <w:rFonts w:ascii="Times New Roman"/>
                <w:sz w:val="14"/>
              </w:rPr>
            </w:pPr>
          </w:p>
        </w:tc>
        <w:tc>
          <w:tcPr>
            <w:tcW w:w="1275" w:type="dxa"/>
          </w:tcPr>
          <w:p>
            <w:pPr>
              <w:pStyle w:val="TableParagraph"/>
              <w:spacing w:before="125"/>
              <w:ind w:right="70"/>
              <w:jc w:val="right"/>
              <w:rPr>
                <w:b/>
                <w:sz w:val="14"/>
              </w:rPr>
            </w:pPr>
            <w:r>
              <w:rPr>
                <w:b/>
                <w:spacing w:val="-2"/>
                <w:sz w:val="14"/>
              </w:rPr>
              <w:t>5.046.373,80</w:t>
            </w:r>
          </w:p>
        </w:tc>
      </w:tr>
      <w:tr>
        <w:trPr>
          <w:trHeight w:val="760" w:hRule="atLeast"/>
        </w:trPr>
        <w:tc>
          <w:tcPr>
            <w:tcW w:w="1702" w:type="dxa"/>
          </w:tcPr>
          <w:p>
            <w:pPr>
              <w:pStyle w:val="TableParagraph"/>
              <w:spacing w:before="8"/>
              <w:rPr>
                <w:sz w:val="16"/>
              </w:rPr>
            </w:pPr>
          </w:p>
          <w:p>
            <w:pPr>
              <w:pStyle w:val="TableParagraph"/>
              <w:spacing w:before="1"/>
              <w:ind w:left="69"/>
              <w:rPr>
                <w:sz w:val="16"/>
              </w:rPr>
            </w:pPr>
            <w:r>
              <w:rPr>
                <w:sz w:val="16"/>
              </w:rPr>
              <w:t>Deudas con emp. grupo</w:t>
            </w:r>
            <w:r>
              <w:rPr>
                <w:spacing w:val="-4"/>
                <w:sz w:val="16"/>
              </w:rPr>
              <w:t> </w:t>
            </w:r>
            <w:r>
              <w:rPr>
                <w:sz w:val="16"/>
              </w:rPr>
              <w:t>y</w:t>
            </w:r>
            <w:r>
              <w:rPr>
                <w:spacing w:val="-3"/>
                <w:sz w:val="16"/>
              </w:rPr>
              <w:t> </w:t>
            </w:r>
            <w:r>
              <w:rPr>
                <w:spacing w:val="-2"/>
                <w:sz w:val="16"/>
              </w:rPr>
              <w:t>asociadas</w:t>
            </w:r>
          </w:p>
        </w:tc>
        <w:tc>
          <w:tcPr>
            <w:tcW w:w="1136" w:type="dxa"/>
          </w:tcPr>
          <w:p>
            <w:pPr>
              <w:pStyle w:val="TableParagraph"/>
              <w:spacing w:before="134"/>
              <w:rPr>
                <w:sz w:val="14"/>
              </w:rPr>
            </w:pPr>
          </w:p>
          <w:p>
            <w:pPr>
              <w:pStyle w:val="TableParagraph"/>
              <w:ind w:right="63"/>
              <w:jc w:val="right"/>
              <w:rPr>
                <w:b/>
                <w:sz w:val="14"/>
              </w:rPr>
            </w:pPr>
            <w:r>
              <w:rPr>
                <w:b/>
                <w:spacing w:val="-2"/>
                <w:sz w:val="14"/>
              </w:rPr>
              <w:t>80.757,49</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34"/>
              <w:rPr>
                <w:sz w:val="14"/>
              </w:rPr>
            </w:pPr>
          </w:p>
          <w:p>
            <w:pPr>
              <w:pStyle w:val="TableParagraph"/>
              <w:ind w:right="70"/>
              <w:jc w:val="right"/>
              <w:rPr>
                <w:b/>
                <w:sz w:val="14"/>
              </w:rPr>
            </w:pPr>
            <w:r>
              <w:rPr>
                <w:b/>
                <w:spacing w:val="-2"/>
                <w:sz w:val="14"/>
              </w:rPr>
              <w:t>80.757,49</w:t>
            </w:r>
          </w:p>
        </w:tc>
      </w:tr>
      <w:tr>
        <w:trPr>
          <w:trHeight w:val="741" w:hRule="atLeast"/>
        </w:trPr>
        <w:tc>
          <w:tcPr>
            <w:tcW w:w="1702" w:type="dxa"/>
          </w:tcPr>
          <w:p>
            <w:pPr>
              <w:pStyle w:val="TableParagraph"/>
              <w:spacing w:before="92"/>
              <w:ind w:left="69"/>
              <w:rPr>
                <w:sz w:val="16"/>
              </w:rPr>
            </w:pPr>
            <w:r>
              <w:rPr>
                <w:spacing w:val="-2"/>
                <w:sz w:val="16"/>
              </w:rPr>
              <w:t>Acreedores </w:t>
            </w:r>
            <w:r>
              <w:rPr>
                <w:sz w:val="16"/>
              </w:rPr>
              <w:t>comerciales</w:t>
            </w:r>
            <w:r>
              <w:rPr>
                <w:spacing w:val="-12"/>
                <w:sz w:val="16"/>
              </w:rPr>
              <w:t> </w:t>
            </w:r>
            <w:r>
              <w:rPr>
                <w:sz w:val="16"/>
              </w:rPr>
              <w:t>y</w:t>
            </w:r>
            <w:r>
              <w:rPr>
                <w:spacing w:val="-11"/>
                <w:sz w:val="16"/>
              </w:rPr>
              <w:t> </w:t>
            </w:r>
            <w:r>
              <w:rPr>
                <w:sz w:val="16"/>
              </w:rPr>
              <w:t>otras cuentas a pagar</w:t>
            </w:r>
          </w:p>
        </w:tc>
        <w:tc>
          <w:tcPr>
            <w:tcW w:w="1136" w:type="dxa"/>
          </w:tcPr>
          <w:p>
            <w:pPr>
              <w:pStyle w:val="TableParagraph"/>
              <w:spacing w:before="125"/>
              <w:rPr>
                <w:sz w:val="14"/>
              </w:rPr>
            </w:pPr>
          </w:p>
          <w:p>
            <w:pPr>
              <w:pStyle w:val="TableParagraph"/>
              <w:ind w:right="63"/>
              <w:jc w:val="right"/>
              <w:rPr>
                <w:b/>
                <w:sz w:val="14"/>
              </w:rPr>
            </w:pPr>
            <w:r>
              <w:rPr>
                <w:b/>
                <w:spacing w:val="-2"/>
                <w:sz w:val="14"/>
              </w:rPr>
              <w:t>7.637.079,74</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25"/>
              <w:rPr>
                <w:sz w:val="14"/>
              </w:rPr>
            </w:pPr>
          </w:p>
          <w:p>
            <w:pPr>
              <w:pStyle w:val="TableParagraph"/>
              <w:ind w:right="70"/>
              <w:jc w:val="right"/>
              <w:rPr>
                <w:b/>
                <w:sz w:val="14"/>
              </w:rPr>
            </w:pPr>
            <w:r>
              <w:rPr>
                <w:b/>
                <w:spacing w:val="-2"/>
                <w:sz w:val="14"/>
              </w:rPr>
              <w:t>7.637.079,74</w:t>
            </w:r>
          </w:p>
        </w:tc>
      </w:tr>
      <w:tr>
        <w:trPr>
          <w:trHeight w:val="419" w:hRule="atLeast"/>
        </w:trPr>
        <w:tc>
          <w:tcPr>
            <w:tcW w:w="1702" w:type="dxa"/>
          </w:tcPr>
          <w:p>
            <w:pPr>
              <w:pStyle w:val="TableParagraph"/>
              <w:spacing w:before="116"/>
              <w:ind w:left="69"/>
              <w:rPr>
                <w:sz w:val="16"/>
              </w:rPr>
            </w:pPr>
            <w:r>
              <w:rPr>
                <w:spacing w:val="-2"/>
                <w:sz w:val="16"/>
              </w:rPr>
              <w:t>Proveedores</w:t>
            </w:r>
          </w:p>
        </w:tc>
        <w:tc>
          <w:tcPr>
            <w:tcW w:w="1136" w:type="dxa"/>
          </w:tcPr>
          <w:p>
            <w:pPr>
              <w:pStyle w:val="TableParagraph"/>
              <w:spacing w:before="127"/>
              <w:ind w:right="62"/>
              <w:jc w:val="right"/>
              <w:rPr>
                <w:sz w:val="14"/>
              </w:rPr>
            </w:pPr>
            <w:r>
              <w:rPr>
                <w:spacing w:val="-2"/>
                <w:sz w:val="14"/>
              </w:rPr>
              <w:t>275.710,39</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25"/>
              <w:ind w:right="69"/>
              <w:jc w:val="right"/>
              <w:rPr>
                <w:b/>
                <w:sz w:val="14"/>
              </w:rPr>
            </w:pPr>
            <w:r>
              <w:rPr>
                <w:b/>
                <w:spacing w:val="-2"/>
                <w:sz w:val="14"/>
              </w:rPr>
              <w:t>275.710,39</w:t>
            </w:r>
          </w:p>
        </w:tc>
      </w:tr>
      <w:tr>
        <w:trPr>
          <w:trHeight w:val="722" w:hRule="atLeast"/>
        </w:trPr>
        <w:tc>
          <w:tcPr>
            <w:tcW w:w="1702" w:type="dxa"/>
          </w:tcPr>
          <w:p>
            <w:pPr>
              <w:pStyle w:val="TableParagraph"/>
              <w:spacing w:before="82"/>
              <w:ind w:left="69" w:right="12"/>
              <w:rPr>
                <w:sz w:val="16"/>
              </w:rPr>
            </w:pPr>
            <w:r>
              <w:rPr>
                <w:spacing w:val="-2"/>
                <w:sz w:val="16"/>
              </w:rPr>
              <w:t>Proveedores, </w:t>
            </w:r>
            <w:r>
              <w:rPr>
                <w:sz w:val="16"/>
              </w:rPr>
              <w:t>empresas</w:t>
            </w:r>
            <w:r>
              <w:rPr>
                <w:spacing w:val="-12"/>
                <w:sz w:val="16"/>
              </w:rPr>
              <w:t> </w:t>
            </w:r>
            <w:r>
              <w:rPr>
                <w:sz w:val="16"/>
              </w:rPr>
              <w:t>del</w:t>
            </w:r>
            <w:r>
              <w:rPr>
                <w:spacing w:val="-11"/>
                <w:sz w:val="16"/>
              </w:rPr>
              <w:t> </w:t>
            </w:r>
            <w:r>
              <w:rPr>
                <w:sz w:val="16"/>
              </w:rPr>
              <w:t>grupo</w:t>
            </w:r>
            <w:r>
              <w:rPr>
                <w:spacing w:val="-11"/>
                <w:sz w:val="16"/>
              </w:rPr>
              <w:t> </w:t>
            </w:r>
            <w:r>
              <w:rPr>
                <w:sz w:val="16"/>
              </w:rPr>
              <w:t>y </w:t>
            </w:r>
            <w:r>
              <w:rPr>
                <w:spacing w:val="-2"/>
                <w:sz w:val="16"/>
              </w:rPr>
              <w:t>asociadas</w:t>
            </w:r>
          </w:p>
        </w:tc>
        <w:tc>
          <w:tcPr>
            <w:tcW w:w="1136" w:type="dxa"/>
          </w:tcPr>
          <w:p>
            <w:pPr>
              <w:pStyle w:val="TableParagraph"/>
              <w:spacing w:before="117"/>
              <w:rPr>
                <w:sz w:val="14"/>
              </w:rPr>
            </w:pPr>
          </w:p>
          <w:p>
            <w:pPr>
              <w:pStyle w:val="TableParagraph"/>
              <w:spacing w:before="1"/>
              <w:ind w:right="62"/>
              <w:jc w:val="right"/>
              <w:rPr>
                <w:sz w:val="14"/>
              </w:rPr>
            </w:pPr>
            <w:r>
              <w:rPr>
                <w:spacing w:val="-2"/>
                <w:sz w:val="14"/>
              </w:rPr>
              <w:t>130.896,64</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15"/>
              <w:rPr>
                <w:sz w:val="14"/>
              </w:rPr>
            </w:pPr>
          </w:p>
          <w:p>
            <w:pPr>
              <w:pStyle w:val="TableParagraph"/>
              <w:ind w:right="69"/>
              <w:jc w:val="right"/>
              <w:rPr>
                <w:b/>
                <w:sz w:val="14"/>
              </w:rPr>
            </w:pPr>
            <w:r>
              <w:rPr>
                <w:b/>
                <w:spacing w:val="-2"/>
                <w:sz w:val="14"/>
              </w:rPr>
              <w:t>130.896,64</w:t>
            </w:r>
          </w:p>
        </w:tc>
      </w:tr>
      <w:tr>
        <w:trPr>
          <w:trHeight w:val="419" w:hRule="atLeast"/>
        </w:trPr>
        <w:tc>
          <w:tcPr>
            <w:tcW w:w="1702" w:type="dxa"/>
          </w:tcPr>
          <w:p>
            <w:pPr>
              <w:pStyle w:val="TableParagraph"/>
              <w:spacing w:before="113"/>
              <w:ind w:left="69"/>
              <w:rPr>
                <w:sz w:val="16"/>
              </w:rPr>
            </w:pPr>
            <w:r>
              <w:rPr>
                <w:sz w:val="16"/>
              </w:rPr>
              <w:t>Acreedores</w:t>
            </w:r>
            <w:r>
              <w:rPr>
                <w:spacing w:val="-8"/>
                <w:sz w:val="16"/>
              </w:rPr>
              <w:t> </w:t>
            </w:r>
            <w:r>
              <w:rPr>
                <w:spacing w:val="-2"/>
                <w:sz w:val="16"/>
              </w:rPr>
              <w:t>varios</w:t>
            </w:r>
          </w:p>
        </w:tc>
        <w:tc>
          <w:tcPr>
            <w:tcW w:w="1136" w:type="dxa"/>
          </w:tcPr>
          <w:p>
            <w:pPr>
              <w:pStyle w:val="TableParagraph"/>
              <w:spacing w:before="127"/>
              <w:ind w:right="63"/>
              <w:jc w:val="right"/>
              <w:rPr>
                <w:sz w:val="14"/>
              </w:rPr>
            </w:pPr>
            <w:r>
              <w:rPr>
                <w:spacing w:val="-2"/>
                <w:sz w:val="14"/>
              </w:rPr>
              <w:t>1.539.574,72</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25"/>
              <w:ind w:right="70"/>
              <w:jc w:val="right"/>
              <w:rPr>
                <w:b/>
                <w:sz w:val="14"/>
              </w:rPr>
            </w:pPr>
            <w:r>
              <w:rPr>
                <w:b/>
                <w:spacing w:val="-2"/>
                <w:sz w:val="14"/>
              </w:rPr>
              <w:t>1.539.574,72</w:t>
            </w:r>
          </w:p>
        </w:tc>
      </w:tr>
      <w:tr>
        <w:trPr>
          <w:trHeight w:val="419" w:hRule="atLeast"/>
        </w:trPr>
        <w:tc>
          <w:tcPr>
            <w:tcW w:w="1702" w:type="dxa"/>
          </w:tcPr>
          <w:p>
            <w:pPr>
              <w:pStyle w:val="TableParagraph"/>
              <w:spacing w:before="113"/>
              <w:ind w:left="69"/>
              <w:rPr>
                <w:sz w:val="16"/>
              </w:rPr>
            </w:pPr>
            <w:r>
              <w:rPr>
                <w:spacing w:val="-2"/>
                <w:sz w:val="16"/>
              </w:rPr>
              <w:t>Personal</w:t>
            </w:r>
          </w:p>
        </w:tc>
        <w:tc>
          <w:tcPr>
            <w:tcW w:w="1136" w:type="dxa"/>
          </w:tcPr>
          <w:p>
            <w:pPr>
              <w:pStyle w:val="TableParagraph"/>
              <w:spacing w:before="127"/>
              <w:ind w:right="63"/>
              <w:jc w:val="right"/>
              <w:rPr>
                <w:sz w:val="14"/>
              </w:rPr>
            </w:pPr>
            <w:r>
              <w:rPr>
                <w:spacing w:val="-2"/>
                <w:sz w:val="14"/>
              </w:rPr>
              <w:t>5.690.897,99</w:t>
            </w: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spacing w:before="125"/>
              <w:ind w:right="70"/>
              <w:jc w:val="right"/>
              <w:rPr>
                <w:b/>
                <w:sz w:val="14"/>
              </w:rPr>
            </w:pPr>
            <w:r>
              <w:rPr>
                <w:b/>
                <w:spacing w:val="-2"/>
                <w:sz w:val="14"/>
              </w:rPr>
              <w:t>5.690.897,99</w:t>
            </w:r>
          </w:p>
        </w:tc>
      </w:tr>
      <w:tr>
        <w:trPr>
          <w:trHeight w:val="419" w:hRule="atLeast"/>
        </w:trPr>
        <w:tc>
          <w:tcPr>
            <w:tcW w:w="1702" w:type="dxa"/>
          </w:tcPr>
          <w:p>
            <w:pPr>
              <w:pStyle w:val="TableParagraph"/>
              <w:spacing w:before="113"/>
              <w:ind w:left="69"/>
              <w:rPr>
                <w:sz w:val="16"/>
              </w:rPr>
            </w:pPr>
            <w:r>
              <w:rPr>
                <w:sz w:val="16"/>
              </w:rPr>
              <w:t>Anticipo</w:t>
            </w:r>
            <w:r>
              <w:rPr>
                <w:spacing w:val="-4"/>
                <w:sz w:val="16"/>
              </w:rPr>
              <w:t> </w:t>
            </w:r>
            <w:r>
              <w:rPr>
                <w:sz w:val="16"/>
              </w:rPr>
              <w:t>de</w:t>
            </w:r>
            <w:r>
              <w:rPr>
                <w:spacing w:val="-5"/>
                <w:sz w:val="16"/>
              </w:rPr>
              <w:t> </w:t>
            </w:r>
            <w:r>
              <w:rPr>
                <w:spacing w:val="-2"/>
                <w:sz w:val="16"/>
              </w:rPr>
              <w:t>clientes</w:t>
            </w:r>
          </w:p>
        </w:tc>
        <w:tc>
          <w:tcPr>
            <w:tcW w:w="1136" w:type="dxa"/>
          </w:tcPr>
          <w:p>
            <w:pPr>
              <w:pStyle w:val="TableParagraph"/>
              <w:rPr>
                <w:rFonts w:ascii="Times New Roman"/>
                <w:sz w:val="14"/>
              </w:rPr>
            </w:pPr>
          </w:p>
        </w:tc>
        <w:tc>
          <w:tcPr>
            <w:tcW w:w="1134" w:type="dxa"/>
          </w:tcPr>
          <w:p>
            <w:pPr>
              <w:pStyle w:val="TableParagraph"/>
              <w:rPr>
                <w:rFonts w:ascii="Times New Roman"/>
                <w:sz w:val="14"/>
              </w:rPr>
            </w:pPr>
          </w:p>
        </w:tc>
        <w:tc>
          <w:tcPr>
            <w:tcW w:w="1062" w:type="dxa"/>
          </w:tcPr>
          <w:p>
            <w:pPr>
              <w:pStyle w:val="TableParagraph"/>
              <w:rPr>
                <w:rFonts w:ascii="Times New Roman"/>
                <w:sz w:val="14"/>
              </w:rPr>
            </w:pPr>
          </w:p>
        </w:tc>
        <w:tc>
          <w:tcPr>
            <w:tcW w:w="1024" w:type="dxa"/>
          </w:tcPr>
          <w:p>
            <w:pPr>
              <w:pStyle w:val="TableParagraph"/>
              <w:rPr>
                <w:rFonts w:ascii="Times New Roman"/>
                <w:sz w:val="14"/>
              </w:rPr>
            </w:pPr>
          </w:p>
        </w:tc>
        <w:tc>
          <w:tcPr>
            <w:tcW w:w="1038"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rPr>
                <w:rFonts w:ascii="Times New Roman"/>
                <w:sz w:val="14"/>
              </w:rPr>
            </w:pPr>
          </w:p>
        </w:tc>
      </w:tr>
      <w:tr>
        <w:trPr>
          <w:trHeight w:val="419" w:hRule="atLeast"/>
        </w:trPr>
        <w:tc>
          <w:tcPr>
            <w:tcW w:w="1702" w:type="dxa"/>
          </w:tcPr>
          <w:p>
            <w:pPr>
              <w:pStyle w:val="TableParagraph"/>
              <w:spacing w:before="125"/>
              <w:ind w:left="69"/>
              <w:rPr>
                <w:b/>
                <w:sz w:val="14"/>
              </w:rPr>
            </w:pPr>
            <w:r>
              <w:rPr>
                <w:b/>
                <w:spacing w:val="-2"/>
                <w:sz w:val="14"/>
              </w:rPr>
              <w:t>TOTAL*</w:t>
            </w:r>
          </w:p>
        </w:tc>
        <w:tc>
          <w:tcPr>
            <w:tcW w:w="1136" w:type="dxa"/>
          </w:tcPr>
          <w:p>
            <w:pPr>
              <w:pStyle w:val="TableParagraph"/>
              <w:spacing w:before="125"/>
              <w:ind w:right="63"/>
              <w:jc w:val="right"/>
              <w:rPr>
                <w:b/>
                <w:sz w:val="14"/>
              </w:rPr>
            </w:pPr>
            <w:r>
              <w:rPr>
                <w:b/>
                <w:spacing w:val="-2"/>
                <w:sz w:val="14"/>
              </w:rPr>
              <w:t>24.719.584,81</w:t>
            </w:r>
          </w:p>
        </w:tc>
        <w:tc>
          <w:tcPr>
            <w:tcW w:w="1134" w:type="dxa"/>
          </w:tcPr>
          <w:p>
            <w:pPr>
              <w:pStyle w:val="TableParagraph"/>
              <w:spacing w:before="125"/>
              <w:ind w:right="62"/>
              <w:jc w:val="right"/>
              <w:rPr>
                <w:b/>
                <w:sz w:val="14"/>
              </w:rPr>
            </w:pPr>
            <w:r>
              <w:rPr>
                <w:b/>
                <w:spacing w:val="-2"/>
                <w:sz w:val="14"/>
              </w:rPr>
              <w:t>11.608.302,71</w:t>
            </w:r>
          </w:p>
        </w:tc>
        <w:tc>
          <w:tcPr>
            <w:tcW w:w="1062" w:type="dxa"/>
          </w:tcPr>
          <w:p>
            <w:pPr>
              <w:pStyle w:val="TableParagraph"/>
              <w:spacing w:before="125"/>
              <w:ind w:right="65"/>
              <w:jc w:val="right"/>
              <w:rPr>
                <w:b/>
                <w:sz w:val="14"/>
              </w:rPr>
            </w:pPr>
            <w:r>
              <w:rPr>
                <w:b/>
                <w:spacing w:val="-2"/>
                <w:sz w:val="14"/>
              </w:rPr>
              <w:t>10.645.565,17</w:t>
            </w:r>
          </w:p>
        </w:tc>
        <w:tc>
          <w:tcPr>
            <w:tcW w:w="1024" w:type="dxa"/>
          </w:tcPr>
          <w:p>
            <w:pPr>
              <w:pStyle w:val="TableParagraph"/>
              <w:spacing w:before="125"/>
              <w:ind w:right="65"/>
              <w:jc w:val="right"/>
              <w:rPr>
                <w:b/>
                <w:sz w:val="14"/>
              </w:rPr>
            </w:pPr>
            <w:r>
              <w:rPr>
                <w:b/>
                <w:spacing w:val="-2"/>
                <w:sz w:val="14"/>
              </w:rPr>
              <w:t>8.336.801,09</w:t>
            </w:r>
          </w:p>
        </w:tc>
        <w:tc>
          <w:tcPr>
            <w:tcW w:w="1038" w:type="dxa"/>
          </w:tcPr>
          <w:p>
            <w:pPr>
              <w:pStyle w:val="TableParagraph"/>
              <w:spacing w:before="125"/>
              <w:ind w:right="68"/>
              <w:jc w:val="right"/>
              <w:rPr>
                <w:b/>
                <w:sz w:val="14"/>
              </w:rPr>
            </w:pPr>
            <w:r>
              <w:rPr>
                <w:b/>
                <w:spacing w:val="-2"/>
                <w:sz w:val="14"/>
              </w:rPr>
              <w:t>7.106.099,97</w:t>
            </w:r>
          </w:p>
        </w:tc>
        <w:tc>
          <w:tcPr>
            <w:tcW w:w="1136" w:type="dxa"/>
          </w:tcPr>
          <w:p>
            <w:pPr>
              <w:pStyle w:val="TableParagraph"/>
              <w:spacing w:before="125"/>
              <w:ind w:left="95" w:right="5"/>
              <w:jc w:val="center"/>
              <w:rPr>
                <w:b/>
                <w:sz w:val="14"/>
              </w:rPr>
            </w:pPr>
            <w:r>
              <w:rPr>
                <w:b/>
                <w:spacing w:val="-2"/>
                <w:sz w:val="14"/>
              </w:rPr>
              <w:t>41.872.211,75</w:t>
            </w:r>
          </w:p>
        </w:tc>
        <w:tc>
          <w:tcPr>
            <w:tcW w:w="1275" w:type="dxa"/>
          </w:tcPr>
          <w:p>
            <w:pPr>
              <w:pStyle w:val="TableParagraph"/>
              <w:spacing w:before="125"/>
              <w:ind w:right="70"/>
              <w:jc w:val="right"/>
              <w:rPr>
                <w:b/>
                <w:sz w:val="14"/>
              </w:rPr>
            </w:pPr>
            <w:r>
              <w:rPr>
                <w:b/>
                <w:spacing w:val="-2"/>
                <w:sz w:val="14"/>
              </w:rPr>
              <w:t>104.288.565,50</w:t>
            </w:r>
          </w:p>
        </w:tc>
      </w:tr>
    </w:tbl>
    <w:p>
      <w:pPr>
        <w:spacing w:before="4"/>
        <w:ind w:left="348" w:right="0" w:firstLine="0"/>
        <w:jc w:val="left"/>
        <w:rPr>
          <w:sz w:val="16"/>
        </w:rPr>
      </w:pPr>
      <w:r>
        <w:rPr>
          <w:sz w:val="16"/>
        </w:rPr>
        <mc:AlternateContent>
          <mc:Choice Requires="wps">
            <w:drawing>
              <wp:anchor distT="0" distB="0" distL="0" distR="0" allowOverlap="1" layoutInCell="1" locked="0" behindDoc="0" simplePos="0" relativeHeight="15761408">
                <wp:simplePos x="0" y="0"/>
                <wp:positionH relativeFrom="page">
                  <wp:posOffset>6966436</wp:posOffset>
                </wp:positionH>
                <wp:positionV relativeFrom="paragraph">
                  <wp:posOffset>82967</wp:posOffset>
                </wp:positionV>
                <wp:extent cx="263525" cy="327596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6.532861pt;width:20.75pt;height:257.95pt;mso-position-horizontal-relative:page;mso-position-vertical-relative:paragraph;z-index:15761408" type="#_x0000_t202" id="docshape11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18"/>
        </w:rPr>
        <w:t>*</w:t>
      </w:r>
      <w:r>
        <w:rPr>
          <w:spacing w:val="-6"/>
          <w:sz w:val="18"/>
        </w:rPr>
        <w:t> </w:t>
      </w:r>
      <w:r>
        <w:rPr>
          <w:sz w:val="16"/>
        </w:rPr>
        <w:t>Incluye</w:t>
      </w:r>
      <w:r>
        <w:rPr>
          <w:spacing w:val="-6"/>
          <w:sz w:val="16"/>
        </w:rPr>
        <w:t> </w:t>
      </w:r>
      <w:r>
        <w:rPr>
          <w:sz w:val="16"/>
        </w:rPr>
        <w:t>16.325.451,03</w:t>
      </w:r>
      <w:r>
        <w:rPr>
          <w:spacing w:val="-3"/>
          <w:sz w:val="16"/>
        </w:rPr>
        <w:t> </w:t>
      </w:r>
      <w:r>
        <w:rPr>
          <w:sz w:val="16"/>
        </w:rPr>
        <w:t>euros</w:t>
      </w:r>
      <w:r>
        <w:rPr>
          <w:spacing w:val="39"/>
          <w:sz w:val="16"/>
        </w:rPr>
        <w:t> </w:t>
      </w:r>
      <w:r>
        <w:rPr>
          <w:sz w:val="16"/>
        </w:rPr>
        <w:t>de</w:t>
      </w:r>
      <w:r>
        <w:rPr>
          <w:spacing w:val="-8"/>
          <w:sz w:val="16"/>
        </w:rPr>
        <w:t> </w:t>
      </w:r>
      <w:r>
        <w:rPr>
          <w:sz w:val="16"/>
        </w:rPr>
        <w:t>intereses</w:t>
      </w:r>
      <w:r>
        <w:rPr>
          <w:spacing w:val="-5"/>
          <w:sz w:val="16"/>
        </w:rPr>
        <w:t> </w:t>
      </w:r>
      <w:r>
        <w:rPr>
          <w:sz w:val="16"/>
        </w:rPr>
        <w:t>pendientes</w:t>
      </w:r>
      <w:r>
        <w:rPr>
          <w:spacing w:val="-3"/>
          <w:sz w:val="16"/>
        </w:rPr>
        <w:t> </w:t>
      </w:r>
      <w:r>
        <w:rPr>
          <w:sz w:val="16"/>
        </w:rPr>
        <w:t>de</w:t>
      </w:r>
      <w:r>
        <w:rPr>
          <w:spacing w:val="-7"/>
          <w:sz w:val="16"/>
        </w:rPr>
        <w:t> </w:t>
      </w:r>
      <w:r>
        <w:rPr>
          <w:sz w:val="16"/>
        </w:rPr>
        <w:t>vencimiento</w:t>
      </w:r>
      <w:r>
        <w:rPr>
          <w:spacing w:val="-3"/>
          <w:sz w:val="16"/>
        </w:rPr>
        <w:t> </w:t>
      </w:r>
      <w:r>
        <w:rPr>
          <w:sz w:val="16"/>
        </w:rPr>
        <w:t>según</w:t>
      </w:r>
      <w:r>
        <w:rPr>
          <w:spacing w:val="-7"/>
          <w:sz w:val="16"/>
        </w:rPr>
        <w:t> </w:t>
      </w:r>
      <w:r>
        <w:rPr>
          <w:sz w:val="16"/>
        </w:rPr>
        <w:t>resolución</w:t>
      </w:r>
      <w:r>
        <w:rPr>
          <w:spacing w:val="-3"/>
          <w:sz w:val="16"/>
        </w:rPr>
        <w:t> </w:t>
      </w:r>
      <w:r>
        <w:rPr>
          <w:sz w:val="16"/>
        </w:rPr>
        <w:t>del</w:t>
      </w:r>
      <w:r>
        <w:rPr>
          <w:spacing w:val="-7"/>
          <w:sz w:val="16"/>
        </w:rPr>
        <w:t> </w:t>
      </w:r>
      <w:r>
        <w:rPr>
          <w:sz w:val="16"/>
        </w:rPr>
        <w:t>ICAC</w:t>
      </w:r>
      <w:r>
        <w:rPr>
          <w:spacing w:val="-4"/>
          <w:sz w:val="16"/>
        </w:rPr>
        <w:t> </w:t>
      </w:r>
      <w:r>
        <w:rPr>
          <w:sz w:val="16"/>
        </w:rPr>
        <w:t>de</w:t>
      </w:r>
      <w:r>
        <w:rPr>
          <w:spacing w:val="-7"/>
          <w:sz w:val="16"/>
        </w:rPr>
        <w:t> </w:t>
      </w:r>
      <w:r>
        <w:rPr>
          <w:sz w:val="16"/>
        </w:rPr>
        <w:t>BOICAC</w:t>
      </w:r>
      <w:r>
        <w:rPr>
          <w:spacing w:val="-4"/>
          <w:sz w:val="16"/>
        </w:rPr>
        <w:t> </w:t>
      </w:r>
      <w:r>
        <w:rPr>
          <w:sz w:val="16"/>
        </w:rPr>
        <w:t>121/MARZO</w:t>
      </w:r>
      <w:r>
        <w:rPr>
          <w:spacing w:val="-7"/>
          <w:sz w:val="16"/>
        </w:rPr>
        <w:t> </w:t>
      </w:r>
      <w:r>
        <w:rPr>
          <w:sz w:val="16"/>
        </w:rPr>
        <w:t>2020-</w:t>
      </w:r>
      <w:r>
        <w:rPr>
          <w:spacing w:val="-10"/>
          <w:sz w:val="16"/>
        </w:rPr>
        <w:t>1</w:t>
      </w:r>
    </w:p>
    <w:p>
      <w:pPr>
        <w:pStyle w:val="BodyText"/>
        <w:spacing w:before="10" w:after="1"/>
        <w:rPr>
          <w:sz w:val="15"/>
        </w:r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8"/>
        <w:gridCol w:w="710"/>
        <w:gridCol w:w="566"/>
        <w:gridCol w:w="561"/>
        <w:gridCol w:w="554"/>
        <w:gridCol w:w="1077"/>
        <w:gridCol w:w="923"/>
        <w:gridCol w:w="993"/>
        <w:gridCol w:w="1130"/>
      </w:tblGrid>
      <w:tr>
        <w:trPr>
          <w:trHeight w:val="299" w:hRule="atLeast"/>
        </w:trPr>
        <w:tc>
          <w:tcPr>
            <w:tcW w:w="2978" w:type="dxa"/>
            <w:vMerge w:val="restart"/>
            <w:tcBorders>
              <w:top w:val="nil"/>
              <w:left w:val="nil"/>
            </w:tcBorders>
          </w:tcPr>
          <w:p>
            <w:pPr>
              <w:pStyle w:val="TableParagraph"/>
              <w:rPr>
                <w:rFonts w:ascii="Times New Roman"/>
                <w:sz w:val="14"/>
              </w:rPr>
            </w:pPr>
          </w:p>
        </w:tc>
        <w:tc>
          <w:tcPr>
            <w:tcW w:w="6514" w:type="dxa"/>
            <w:gridSpan w:val="8"/>
          </w:tcPr>
          <w:p>
            <w:pPr>
              <w:pStyle w:val="TableParagraph"/>
              <w:spacing w:line="145" w:lineRule="exact" w:before="135"/>
              <w:ind w:left="15"/>
              <w:jc w:val="center"/>
              <w:rPr>
                <w:b/>
                <w:sz w:val="14"/>
              </w:rPr>
            </w:pPr>
            <w:r>
              <w:rPr>
                <w:b/>
                <w:sz w:val="14"/>
              </w:rPr>
              <w:t>Clases</w:t>
            </w:r>
            <w:r>
              <w:rPr>
                <w:b/>
                <w:spacing w:val="-4"/>
                <w:sz w:val="14"/>
              </w:rPr>
              <w:t> </w:t>
            </w:r>
            <w:r>
              <w:rPr>
                <w:b/>
                <w:sz w:val="14"/>
              </w:rPr>
              <w:t>de</w:t>
            </w:r>
            <w:r>
              <w:rPr>
                <w:b/>
                <w:spacing w:val="-4"/>
                <w:sz w:val="14"/>
              </w:rPr>
              <w:t> </w:t>
            </w:r>
            <w:r>
              <w:rPr>
                <w:b/>
                <w:sz w:val="14"/>
              </w:rPr>
              <w:t>activos</w:t>
            </w:r>
            <w:r>
              <w:rPr>
                <w:b/>
                <w:spacing w:val="-6"/>
                <w:sz w:val="14"/>
              </w:rPr>
              <w:t> </w:t>
            </w:r>
            <w:r>
              <w:rPr>
                <w:b/>
                <w:spacing w:val="-2"/>
                <w:sz w:val="14"/>
              </w:rPr>
              <w:t>financieros</w:t>
            </w:r>
          </w:p>
        </w:tc>
      </w:tr>
      <w:tr>
        <w:trPr>
          <w:trHeight w:val="570" w:hRule="atLeast"/>
        </w:trPr>
        <w:tc>
          <w:tcPr>
            <w:tcW w:w="2978" w:type="dxa"/>
            <w:vMerge/>
            <w:tcBorders>
              <w:top w:val="nil"/>
              <w:left w:val="nil"/>
            </w:tcBorders>
          </w:tcPr>
          <w:p>
            <w:pPr>
              <w:rPr>
                <w:sz w:val="2"/>
                <w:szCs w:val="2"/>
              </w:rPr>
            </w:pPr>
          </w:p>
        </w:tc>
        <w:tc>
          <w:tcPr>
            <w:tcW w:w="1276" w:type="dxa"/>
            <w:gridSpan w:val="2"/>
          </w:tcPr>
          <w:p>
            <w:pPr>
              <w:pStyle w:val="TableParagraph"/>
              <w:spacing w:before="67"/>
              <w:rPr>
                <w:sz w:val="14"/>
              </w:rPr>
            </w:pPr>
          </w:p>
          <w:p>
            <w:pPr>
              <w:pStyle w:val="TableParagraph"/>
              <w:spacing w:line="160" w:lineRule="atLeast" w:before="1"/>
              <w:ind w:left="312" w:right="126" w:hanging="176"/>
              <w:rPr>
                <w:sz w:val="14"/>
              </w:rPr>
            </w:pPr>
            <w:r>
              <w:rPr>
                <w:spacing w:val="-2"/>
                <w:sz w:val="14"/>
              </w:rPr>
              <w:t>Instrumentos</w:t>
            </w:r>
            <w:r>
              <w:rPr>
                <w:spacing w:val="-8"/>
                <w:sz w:val="14"/>
              </w:rPr>
              <w:t> </w:t>
            </w:r>
            <w:r>
              <w:rPr>
                <w:spacing w:val="-2"/>
                <w:sz w:val="14"/>
              </w:rPr>
              <w:t>de</w:t>
            </w:r>
            <w:r>
              <w:rPr>
                <w:spacing w:val="40"/>
                <w:sz w:val="14"/>
              </w:rPr>
              <w:t> </w:t>
            </w:r>
            <w:r>
              <w:rPr>
                <w:spacing w:val="-2"/>
                <w:sz w:val="14"/>
              </w:rPr>
              <w:t>patrimonio</w:t>
            </w:r>
          </w:p>
        </w:tc>
        <w:tc>
          <w:tcPr>
            <w:tcW w:w="1115" w:type="dxa"/>
            <w:gridSpan w:val="2"/>
          </w:tcPr>
          <w:p>
            <w:pPr>
              <w:pStyle w:val="TableParagraph"/>
              <w:spacing w:line="160" w:lineRule="atLeast" w:before="68"/>
              <w:ind w:left="80" w:right="68" w:firstLine="2"/>
              <w:jc w:val="center"/>
              <w:rPr>
                <w:sz w:val="14"/>
              </w:rPr>
            </w:pPr>
            <w:r>
              <w:rPr>
                <w:spacing w:val="-2"/>
                <w:sz w:val="14"/>
              </w:rPr>
              <w:t>Valores</w:t>
            </w:r>
            <w:r>
              <w:rPr>
                <w:spacing w:val="40"/>
                <w:sz w:val="14"/>
              </w:rPr>
              <w:t> </w:t>
            </w:r>
            <w:r>
              <w:rPr>
                <w:spacing w:val="-2"/>
                <w:sz w:val="14"/>
              </w:rPr>
              <w:t>representativos</w:t>
            </w:r>
            <w:r>
              <w:rPr>
                <w:spacing w:val="40"/>
                <w:sz w:val="14"/>
              </w:rPr>
              <w:t> </w:t>
            </w:r>
            <w:r>
              <w:rPr>
                <w:sz w:val="14"/>
              </w:rPr>
              <w:t>de deuda</w:t>
            </w:r>
          </w:p>
        </w:tc>
        <w:tc>
          <w:tcPr>
            <w:tcW w:w="2000" w:type="dxa"/>
            <w:gridSpan w:val="2"/>
          </w:tcPr>
          <w:p>
            <w:pPr>
              <w:pStyle w:val="TableParagraph"/>
              <w:rPr>
                <w:sz w:val="14"/>
              </w:rPr>
            </w:pPr>
          </w:p>
          <w:p>
            <w:pPr>
              <w:pStyle w:val="TableParagraph"/>
              <w:spacing w:before="84"/>
              <w:rPr>
                <w:sz w:val="14"/>
              </w:rPr>
            </w:pPr>
          </w:p>
          <w:p>
            <w:pPr>
              <w:pStyle w:val="TableParagraph"/>
              <w:spacing w:line="145" w:lineRule="exact"/>
              <w:ind w:left="172"/>
              <w:rPr>
                <w:sz w:val="14"/>
              </w:rPr>
            </w:pPr>
            <w:r>
              <w:rPr>
                <w:sz w:val="14"/>
              </w:rPr>
              <w:t>Créditos,</w:t>
            </w:r>
            <w:r>
              <w:rPr>
                <w:spacing w:val="-5"/>
                <w:sz w:val="14"/>
              </w:rPr>
              <w:t> </w:t>
            </w:r>
            <w:r>
              <w:rPr>
                <w:sz w:val="14"/>
              </w:rPr>
              <w:t>derivados</w:t>
            </w:r>
            <w:r>
              <w:rPr>
                <w:spacing w:val="-5"/>
                <w:sz w:val="14"/>
              </w:rPr>
              <w:t> </w:t>
            </w:r>
            <w:r>
              <w:rPr>
                <w:sz w:val="14"/>
              </w:rPr>
              <w:t>y</w:t>
            </w:r>
            <w:r>
              <w:rPr>
                <w:spacing w:val="-6"/>
                <w:sz w:val="14"/>
              </w:rPr>
              <w:t> </w:t>
            </w:r>
            <w:r>
              <w:rPr>
                <w:spacing w:val="-4"/>
                <w:sz w:val="14"/>
              </w:rPr>
              <w:t>otros</w:t>
            </w:r>
          </w:p>
        </w:tc>
        <w:tc>
          <w:tcPr>
            <w:tcW w:w="2123" w:type="dxa"/>
            <w:gridSpan w:val="2"/>
          </w:tcPr>
          <w:p>
            <w:pPr>
              <w:pStyle w:val="TableParagraph"/>
              <w:rPr>
                <w:sz w:val="14"/>
              </w:rPr>
            </w:pPr>
          </w:p>
          <w:p>
            <w:pPr>
              <w:pStyle w:val="TableParagraph"/>
              <w:spacing w:before="81"/>
              <w:rPr>
                <w:sz w:val="14"/>
              </w:rPr>
            </w:pPr>
          </w:p>
          <w:p>
            <w:pPr>
              <w:pStyle w:val="TableParagraph"/>
              <w:spacing w:line="147" w:lineRule="exact"/>
              <w:ind w:left="18"/>
              <w:jc w:val="center"/>
              <w:rPr>
                <w:b/>
                <w:sz w:val="14"/>
              </w:rPr>
            </w:pPr>
            <w:r>
              <w:rPr>
                <w:b/>
                <w:spacing w:val="-2"/>
                <w:sz w:val="14"/>
              </w:rPr>
              <w:t>TOTAL</w:t>
            </w:r>
          </w:p>
        </w:tc>
      </w:tr>
      <w:tr>
        <w:trPr>
          <w:trHeight w:val="321" w:hRule="atLeast"/>
        </w:trPr>
        <w:tc>
          <w:tcPr>
            <w:tcW w:w="2978" w:type="dxa"/>
            <w:vMerge/>
            <w:tcBorders>
              <w:top w:val="nil"/>
              <w:left w:val="nil"/>
            </w:tcBorders>
          </w:tcPr>
          <w:p>
            <w:pPr>
              <w:rPr>
                <w:sz w:val="2"/>
                <w:szCs w:val="2"/>
              </w:rPr>
            </w:pPr>
          </w:p>
        </w:tc>
        <w:tc>
          <w:tcPr>
            <w:tcW w:w="710" w:type="dxa"/>
          </w:tcPr>
          <w:p>
            <w:pPr>
              <w:pStyle w:val="TableParagraph"/>
              <w:spacing w:line="160" w:lineRule="exact"/>
              <w:ind w:left="189" w:right="164" w:hanging="12"/>
              <w:rPr>
                <w:sz w:val="14"/>
              </w:rPr>
            </w:pPr>
            <w:r>
              <w:rPr>
                <w:spacing w:val="-2"/>
                <w:sz w:val="14"/>
              </w:rPr>
              <w:t>Largo</w:t>
            </w:r>
            <w:r>
              <w:rPr>
                <w:spacing w:val="40"/>
                <w:sz w:val="14"/>
              </w:rPr>
              <w:t> </w:t>
            </w:r>
            <w:r>
              <w:rPr>
                <w:spacing w:val="-2"/>
                <w:sz w:val="14"/>
              </w:rPr>
              <w:t>plazo</w:t>
            </w:r>
          </w:p>
        </w:tc>
        <w:tc>
          <w:tcPr>
            <w:tcW w:w="566" w:type="dxa"/>
          </w:tcPr>
          <w:p>
            <w:pPr>
              <w:pStyle w:val="TableParagraph"/>
              <w:spacing w:line="160" w:lineRule="exact"/>
              <w:ind w:left="115" w:right="99" w:hanging="3"/>
              <w:rPr>
                <w:sz w:val="14"/>
              </w:rPr>
            </w:pPr>
            <w:r>
              <w:rPr>
                <w:spacing w:val="-2"/>
                <w:sz w:val="14"/>
              </w:rPr>
              <w:t>Corto</w:t>
            </w:r>
            <w:r>
              <w:rPr>
                <w:spacing w:val="40"/>
                <w:sz w:val="14"/>
              </w:rPr>
              <w:t> </w:t>
            </w:r>
            <w:r>
              <w:rPr>
                <w:spacing w:val="-2"/>
                <w:sz w:val="14"/>
              </w:rPr>
              <w:t>plazo</w:t>
            </w:r>
          </w:p>
        </w:tc>
        <w:tc>
          <w:tcPr>
            <w:tcW w:w="561" w:type="dxa"/>
          </w:tcPr>
          <w:p>
            <w:pPr>
              <w:pStyle w:val="TableParagraph"/>
              <w:spacing w:line="160" w:lineRule="exact"/>
              <w:ind w:left="113" w:right="88" w:hanging="10"/>
              <w:rPr>
                <w:sz w:val="14"/>
              </w:rPr>
            </w:pPr>
            <w:r>
              <w:rPr>
                <w:spacing w:val="-2"/>
                <w:sz w:val="14"/>
              </w:rPr>
              <w:t>Largo</w:t>
            </w:r>
            <w:r>
              <w:rPr>
                <w:spacing w:val="40"/>
                <w:sz w:val="14"/>
              </w:rPr>
              <w:t> </w:t>
            </w:r>
            <w:r>
              <w:rPr>
                <w:spacing w:val="-2"/>
                <w:sz w:val="14"/>
              </w:rPr>
              <w:t>plazo</w:t>
            </w:r>
          </w:p>
        </w:tc>
        <w:tc>
          <w:tcPr>
            <w:tcW w:w="554" w:type="dxa"/>
          </w:tcPr>
          <w:p>
            <w:pPr>
              <w:pStyle w:val="TableParagraph"/>
              <w:spacing w:line="160" w:lineRule="exact"/>
              <w:ind w:left="112" w:right="91" w:hanging="3"/>
              <w:rPr>
                <w:sz w:val="14"/>
              </w:rPr>
            </w:pPr>
            <w:r>
              <w:rPr>
                <w:spacing w:val="-2"/>
                <w:sz w:val="14"/>
              </w:rPr>
              <w:t>Corto</w:t>
            </w:r>
            <w:r>
              <w:rPr>
                <w:spacing w:val="40"/>
                <w:sz w:val="14"/>
              </w:rPr>
              <w:t> </w:t>
            </w:r>
            <w:r>
              <w:rPr>
                <w:spacing w:val="-2"/>
                <w:sz w:val="14"/>
              </w:rPr>
              <w:t>plazo</w:t>
            </w:r>
          </w:p>
        </w:tc>
        <w:tc>
          <w:tcPr>
            <w:tcW w:w="1077" w:type="dxa"/>
          </w:tcPr>
          <w:p>
            <w:pPr>
              <w:pStyle w:val="TableParagraph"/>
              <w:spacing w:line="142" w:lineRule="exact" w:before="159"/>
              <w:ind w:left="174"/>
              <w:rPr>
                <w:sz w:val="14"/>
              </w:rPr>
            </w:pPr>
            <w:r>
              <w:rPr>
                <w:sz w:val="14"/>
              </w:rPr>
              <w:t>Largo</w:t>
            </w:r>
            <w:r>
              <w:rPr>
                <w:spacing w:val="-5"/>
                <w:sz w:val="14"/>
              </w:rPr>
              <w:t> </w:t>
            </w:r>
            <w:r>
              <w:rPr>
                <w:spacing w:val="-2"/>
                <w:sz w:val="14"/>
              </w:rPr>
              <w:t>plazo</w:t>
            </w:r>
          </w:p>
        </w:tc>
        <w:tc>
          <w:tcPr>
            <w:tcW w:w="923" w:type="dxa"/>
          </w:tcPr>
          <w:p>
            <w:pPr>
              <w:pStyle w:val="TableParagraph"/>
              <w:spacing w:line="142" w:lineRule="exact" w:before="159"/>
              <w:ind w:left="105"/>
              <w:rPr>
                <w:sz w:val="14"/>
              </w:rPr>
            </w:pPr>
            <w:r>
              <w:rPr>
                <w:sz w:val="14"/>
              </w:rPr>
              <w:t>Corto</w:t>
            </w:r>
            <w:r>
              <w:rPr>
                <w:spacing w:val="-5"/>
                <w:sz w:val="14"/>
              </w:rPr>
              <w:t> </w:t>
            </w:r>
            <w:r>
              <w:rPr>
                <w:spacing w:val="-2"/>
                <w:sz w:val="14"/>
              </w:rPr>
              <w:t>plazo</w:t>
            </w:r>
          </w:p>
        </w:tc>
        <w:tc>
          <w:tcPr>
            <w:tcW w:w="993" w:type="dxa"/>
          </w:tcPr>
          <w:p>
            <w:pPr>
              <w:pStyle w:val="TableParagraph"/>
              <w:spacing w:line="145" w:lineRule="exact" w:before="156"/>
              <w:ind w:left="109"/>
              <w:rPr>
                <w:b/>
                <w:sz w:val="14"/>
              </w:rPr>
            </w:pPr>
            <w:r>
              <w:rPr>
                <w:b/>
                <w:sz w:val="14"/>
              </w:rPr>
              <w:t>Largo</w:t>
            </w:r>
            <w:r>
              <w:rPr>
                <w:b/>
                <w:spacing w:val="-6"/>
                <w:sz w:val="14"/>
              </w:rPr>
              <w:t> </w:t>
            </w:r>
            <w:r>
              <w:rPr>
                <w:b/>
                <w:spacing w:val="-2"/>
                <w:sz w:val="14"/>
              </w:rPr>
              <w:t>plazo</w:t>
            </w:r>
          </w:p>
        </w:tc>
        <w:tc>
          <w:tcPr>
            <w:tcW w:w="1130" w:type="dxa"/>
          </w:tcPr>
          <w:p>
            <w:pPr>
              <w:pStyle w:val="TableParagraph"/>
              <w:spacing w:line="145" w:lineRule="exact" w:before="156"/>
              <w:ind w:left="184"/>
              <w:rPr>
                <w:b/>
                <w:sz w:val="14"/>
              </w:rPr>
            </w:pPr>
            <w:r>
              <w:rPr>
                <w:b/>
                <w:sz w:val="14"/>
              </w:rPr>
              <w:t>Corto</w:t>
            </w:r>
            <w:r>
              <w:rPr>
                <w:b/>
                <w:spacing w:val="-8"/>
                <w:sz w:val="14"/>
              </w:rPr>
              <w:t> </w:t>
            </w:r>
            <w:r>
              <w:rPr>
                <w:b/>
                <w:spacing w:val="-2"/>
                <w:sz w:val="14"/>
              </w:rPr>
              <w:t>plazo</w:t>
            </w:r>
          </w:p>
        </w:tc>
      </w:tr>
      <w:tr>
        <w:trPr>
          <w:trHeight w:val="321" w:hRule="atLeast"/>
        </w:trPr>
        <w:tc>
          <w:tcPr>
            <w:tcW w:w="2978" w:type="dxa"/>
          </w:tcPr>
          <w:p>
            <w:pPr>
              <w:pStyle w:val="TableParagraph"/>
              <w:spacing w:line="160" w:lineRule="exact"/>
              <w:ind w:left="69" w:right="125"/>
              <w:rPr>
                <w:sz w:val="14"/>
              </w:rPr>
            </w:pPr>
            <w:r>
              <w:rPr>
                <w:sz w:val="14"/>
              </w:rPr>
              <w:t>Pérdida</w:t>
            </w:r>
            <w:r>
              <w:rPr>
                <w:spacing w:val="-5"/>
                <w:sz w:val="14"/>
              </w:rPr>
              <w:t> </w:t>
            </w:r>
            <w:r>
              <w:rPr>
                <w:sz w:val="14"/>
              </w:rPr>
              <w:t>por</w:t>
            </w:r>
            <w:r>
              <w:rPr>
                <w:spacing w:val="-9"/>
                <w:sz w:val="14"/>
              </w:rPr>
              <w:t> </w:t>
            </w:r>
            <w:r>
              <w:rPr>
                <w:sz w:val="14"/>
              </w:rPr>
              <w:t>deterioro</w:t>
            </w:r>
            <w:r>
              <w:rPr>
                <w:spacing w:val="-7"/>
                <w:sz w:val="14"/>
              </w:rPr>
              <w:t> </w:t>
            </w:r>
            <w:r>
              <w:rPr>
                <w:sz w:val="14"/>
              </w:rPr>
              <w:t>al</w:t>
            </w:r>
            <w:r>
              <w:rPr>
                <w:spacing w:val="-8"/>
                <w:sz w:val="14"/>
              </w:rPr>
              <w:t> </w:t>
            </w:r>
            <w:r>
              <w:rPr>
                <w:sz w:val="14"/>
              </w:rPr>
              <w:t>inicio</w:t>
            </w:r>
            <w:r>
              <w:rPr>
                <w:spacing w:val="-8"/>
                <w:sz w:val="14"/>
              </w:rPr>
              <w:t> </w:t>
            </w:r>
            <w:r>
              <w:rPr>
                <w:sz w:val="14"/>
              </w:rPr>
              <w:t>del</w:t>
            </w:r>
            <w:r>
              <w:rPr>
                <w:spacing w:val="-5"/>
                <w:sz w:val="14"/>
              </w:rPr>
              <w:t> </w:t>
            </w:r>
            <w:r>
              <w:rPr>
                <w:sz w:val="14"/>
              </w:rPr>
              <w:t>ejercicio</w:t>
            </w:r>
            <w:r>
              <w:rPr>
                <w:spacing w:val="40"/>
                <w:sz w:val="14"/>
              </w:rPr>
              <w:t> </w:t>
            </w:r>
            <w:r>
              <w:rPr>
                <w:spacing w:val="-4"/>
                <w:sz w:val="14"/>
              </w:rPr>
              <w:t>2024</w:t>
            </w:r>
          </w:p>
        </w:tc>
        <w:tc>
          <w:tcPr>
            <w:tcW w:w="710" w:type="dxa"/>
          </w:tcPr>
          <w:p>
            <w:pPr>
              <w:pStyle w:val="TableParagraph"/>
              <w:rPr>
                <w:rFonts w:ascii="Times New Roman"/>
                <w:sz w:val="14"/>
              </w:rPr>
            </w:pPr>
          </w:p>
        </w:tc>
        <w:tc>
          <w:tcPr>
            <w:tcW w:w="566" w:type="dxa"/>
          </w:tcPr>
          <w:p>
            <w:pPr>
              <w:pStyle w:val="TableParagraph"/>
              <w:rPr>
                <w:rFonts w:ascii="Times New Roman"/>
                <w:sz w:val="14"/>
              </w:rPr>
            </w:pPr>
          </w:p>
        </w:tc>
        <w:tc>
          <w:tcPr>
            <w:tcW w:w="561" w:type="dxa"/>
          </w:tcPr>
          <w:p>
            <w:pPr>
              <w:pStyle w:val="TableParagraph"/>
              <w:rPr>
                <w:rFonts w:ascii="Times New Roman"/>
                <w:sz w:val="14"/>
              </w:rPr>
            </w:pPr>
          </w:p>
        </w:tc>
        <w:tc>
          <w:tcPr>
            <w:tcW w:w="554" w:type="dxa"/>
          </w:tcPr>
          <w:p>
            <w:pPr>
              <w:pStyle w:val="TableParagraph"/>
              <w:rPr>
                <w:rFonts w:ascii="Times New Roman"/>
                <w:sz w:val="14"/>
              </w:rPr>
            </w:pPr>
          </w:p>
        </w:tc>
        <w:tc>
          <w:tcPr>
            <w:tcW w:w="1077" w:type="dxa"/>
          </w:tcPr>
          <w:p>
            <w:pPr>
              <w:pStyle w:val="TableParagraph"/>
              <w:rPr>
                <w:rFonts w:ascii="Times New Roman"/>
                <w:sz w:val="14"/>
              </w:rPr>
            </w:pPr>
          </w:p>
        </w:tc>
        <w:tc>
          <w:tcPr>
            <w:tcW w:w="923" w:type="dxa"/>
          </w:tcPr>
          <w:p>
            <w:pPr>
              <w:pStyle w:val="TableParagraph"/>
              <w:rPr>
                <w:rFonts w:ascii="Times New Roman"/>
                <w:sz w:val="14"/>
              </w:rPr>
            </w:pPr>
          </w:p>
        </w:tc>
        <w:tc>
          <w:tcPr>
            <w:tcW w:w="993" w:type="dxa"/>
          </w:tcPr>
          <w:p>
            <w:pPr>
              <w:pStyle w:val="TableParagraph"/>
              <w:rPr>
                <w:rFonts w:ascii="Times New Roman"/>
                <w:sz w:val="14"/>
              </w:rPr>
            </w:pPr>
          </w:p>
        </w:tc>
        <w:tc>
          <w:tcPr>
            <w:tcW w:w="1130" w:type="dxa"/>
          </w:tcPr>
          <w:p>
            <w:pPr>
              <w:pStyle w:val="TableParagraph"/>
              <w:rPr>
                <w:rFonts w:ascii="Times New Roman"/>
                <w:sz w:val="14"/>
              </w:rPr>
            </w:pPr>
          </w:p>
        </w:tc>
      </w:tr>
      <w:tr>
        <w:trPr>
          <w:trHeight w:val="1259" w:hRule="atLeast"/>
        </w:trPr>
        <w:tc>
          <w:tcPr>
            <w:tcW w:w="2978" w:type="dxa"/>
          </w:tcPr>
          <w:p>
            <w:pPr>
              <w:pStyle w:val="TableParagraph"/>
              <w:spacing w:line="446" w:lineRule="auto" w:before="137"/>
              <w:ind w:left="223" w:right="381"/>
              <w:rPr>
                <w:sz w:val="14"/>
              </w:rPr>
            </w:pPr>
            <w:r>
              <w:rPr>
                <w:sz w:val="14"/>
              </w:rPr>
              <w:t>(+)</w:t>
            </w:r>
            <w:r>
              <w:rPr>
                <w:spacing w:val="-10"/>
                <w:sz w:val="14"/>
              </w:rPr>
              <w:t> </w:t>
            </w:r>
            <w:r>
              <w:rPr>
                <w:sz w:val="14"/>
              </w:rPr>
              <w:t>Corrección</w:t>
            </w:r>
            <w:r>
              <w:rPr>
                <w:spacing w:val="-10"/>
                <w:sz w:val="14"/>
              </w:rPr>
              <w:t> </w:t>
            </w:r>
            <w:r>
              <w:rPr>
                <w:sz w:val="14"/>
              </w:rPr>
              <w:t>valorativa</w:t>
            </w:r>
            <w:r>
              <w:rPr>
                <w:spacing w:val="-10"/>
                <w:sz w:val="14"/>
              </w:rPr>
              <w:t> </w:t>
            </w:r>
            <w:r>
              <w:rPr>
                <w:sz w:val="14"/>
              </w:rPr>
              <w:t>por</w:t>
            </w:r>
            <w:r>
              <w:rPr>
                <w:spacing w:val="-8"/>
                <w:sz w:val="14"/>
              </w:rPr>
              <w:t> </w:t>
            </w:r>
            <w:r>
              <w:rPr>
                <w:sz w:val="14"/>
              </w:rPr>
              <w:t>deterioro</w:t>
            </w:r>
            <w:r>
              <w:rPr>
                <w:spacing w:val="40"/>
                <w:sz w:val="14"/>
              </w:rPr>
              <w:t> </w:t>
            </w:r>
            <w:r>
              <w:rPr>
                <w:sz w:val="14"/>
              </w:rPr>
              <w:t>(-) Reversión del deterioro</w:t>
            </w:r>
          </w:p>
          <w:p>
            <w:pPr>
              <w:pStyle w:val="TableParagraph"/>
              <w:spacing w:before="1"/>
              <w:ind w:left="223"/>
              <w:rPr>
                <w:sz w:val="14"/>
              </w:rPr>
            </w:pPr>
            <w:r>
              <w:rPr>
                <w:sz w:val="14"/>
              </w:rPr>
              <w:t>(-)</w:t>
            </w:r>
            <w:r>
              <w:rPr>
                <w:spacing w:val="-4"/>
                <w:sz w:val="14"/>
              </w:rPr>
              <w:t> </w:t>
            </w:r>
            <w:r>
              <w:rPr>
                <w:sz w:val="14"/>
              </w:rPr>
              <w:t>Salidas</w:t>
            </w:r>
            <w:r>
              <w:rPr>
                <w:spacing w:val="-1"/>
                <w:sz w:val="14"/>
              </w:rPr>
              <w:t> </w:t>
            </w:r>
            <w:r>
              <w:rPr>
                <w:sz w:val="14"/>
              </w:rPr>
              <w:t>y</w:t>
            </w:r>
            <w:r>
              <w:rPr>
                <w:spacing w:val="-1"/>
                <w:sz w:val="14"/>
              </w:rPr>
              <w:t> </w:t>
            </w:r>
            <w:r>
              <w:rPr>
                <w:spacing w:val="-2"/>
                <w:sz w:val="14"/>
              </w:rPr>
              <w:t>reducciones</w:t>
            </w:r>
          </w:p>
          <w:p>
            <w:pPr>
              <w:pStyle w:val="TableParagraph"/>
              <w:ind w:left="69" w:right="125" w:firstLine="76"/>
              <w:rPr>
                <w:sz w:val="14"/>
              </w:rPr>
            </w:pPr>
            <w:r>
              <w:rPr>
                <w:sz w:val="14"/>
              </w:rPr>
              <w:t>(+/-)</w:t>
            </w:r>
            <w:r>
              <w:rPr>
                <w:spacing w:val="-10"/>
                <w:sz w:val="14"/>
              </w:rPr>
              <w:t> </w:t>
            </w:r>
            <w:r>
              <w:rPr>
                <w:sz w:val="14"/>
              </w:rPr>
              <w:t>Traspasos</w:t>
            </w:r>
            <w:r>
              <w:rPr>
                <w:spacing w:val="-10"/>
                <w:sz w:val="14"/>
              </w:rPr>
              <w:t> </w:t>
            </w:r>
            <w:r>
              <w:rPr>
                <w:sz w:val="14"/>
              </w:rPr>
              <w:t>y</w:t>
            </w:r>
            <w:r>
              <w:rPr>
                <w:spacing w:val="-9"/>
                <w:sz w:val="14"/>
              </w:rPr>
              <w:t> </w:t>
            </w:r>
            <w:r>
              <w:rPr>
                <w:sz w:val="14"/>
              </w:rPr>
              <w:t>otras</w:t>
            </w:r>
            <w:r>
              <w:rPr>
                <w:spacing w:val="-10"/>
                <w:sz w:val="14"/>
              </w:rPr>
              <w:t> </w:t>
            </w:r>
            <w:r>
              <w:rPr>
                <w:sz w:val="14"/>
              </w:rPr>
              <w:t>variaciones</w:t>
            </w:r>
            <w:r>
              <w:rPr>
                <w:spacing w:val="40"/>
                <w:sz w:val="14"/>
              </w:rPr>
              <w:t> </w:t>
            </w:r>
            <w:r>
              <w:rPr>
                <w:sz w:val="14"/>
              </w:rPr>
              <w:t>(combinaciones de negocio, etc.)</w:t>
            </w:r>
          </w:p>
        </w:tc>
        <w:tc>
          <w:tcPr>
            <w:tcW w:w="710" w:type="dxa"/>
          </w:tcPr>
          <w:p>
            <w:pPr>
              <w:pStyle w:val="TableParagraph"/>
              <w:rPr>
                <w:rFonts w:ascii="Times New Roman"/>
                <w:sz w:val="14"/>
              </w:rPr>
            </w:pPr>
          </w:p>
        </w:tc>
        <w:tc>
          <w:tcPr>
            <w:tcW w:w="566" w:type="dxa"/>
          </w:tcPr>
          <w:p>
            <w:pPr>
              <w:pStyle w:val="TableParagraph"/>
              <w:rPr>
                <w:rFonts w:ascii="Times New Roman"/>
                <w:sz w:val="14"/>
              </w:rPr>
            </w:pPr>
          </w:p>
        </w:tc>
        <w:tc>
          <w:tcPr>
            <w:tcW w:w="561" w:type="dxa"/>
          </w:tcPr>
          <w:p>
            <w:pPr>
              <w:pStyle w:val="TableParagraph"/>
              <w:rPr>
                <w:rFonts w:ascii="Times New Roman"/>
                <w:sz w:val="14"/>
              </w:rPr>
            </w:pPr>
          </w:p>
        </w:tc>
        <w:tc>
          <w:tcPr>
            <w:tcW w:w="554" w:type="dxa"/>
          </w:tcPr>
          <w:p>
            <w:pPr>
              <w:pStyle w:val="TableParagraph"/>
              <w:rPr>
                <w:rFonts w:ascii="Times New Roman"/>
                <w:sz w:val="14"/>
              </w:rPr>
            </w:pPr>
          </w:p>
        </w:tc>
        <w:tc>
          <w:tcPr>
            <w:tcW w:w="1077" w:type="dxa"/>
          </w:tcPr>
          <w:p>
            <w:pPr>
              <w:pStyle w:val="TableParagraph"/>
              <w:rPr>
                <w:rFonts w:ascii="Times New Roman"/>
                <w:sz w:val="14"/>
              </w:rPr>
            </w:pPr>
          </w:p>
        </w:tc>
        <w:tc>
          <w:tcPr>
            <w:tcW w:w="923" w:type="dxa"/>
          </w:tcPr>
          <w:p>
            <w:pPr>
              <w:pStyle w:val="TableParagraph"/>
              <w:rPr>
                <w:rFonts w:ascii="Times New Roman"/>
                <w:sz w:val="14"/>
              </w:rPr>
            </w:pPr>
          </w:p>
        </w:tc>
        <w:tc>
          <w:tcPr>
            <w:tcW w:w="993" w:type="dxa"/>
          </w:tcPr>
          <w:p>
            <w:pPr>
              <w:pStyle w:val="TableParagraph"/>
              <w:rPr>
                <w:rFonts w:ascii="Times New Roman"/>
                <w:sz w:val="14"/>
              </w:rPr>
            </w:pPr>
          </w:p>
        </w:tc>
        <w:tc>
          <w:tcPr>
            <w:tcW w:w="1130" w:type="dxa"/>
          </w:tcPr>
          <w:p>
            <w:pPr>
              <w:pStyle w:val="TableParagraph"/>
              <w:rPr>
                <w:rFonts w:ascii="Times New Roman"/>
                <w:sz w:val="14"/>
              </w:rPr>
            </w:pPr>
          </w:p>
        </w:tc>
      </w:tr>
      <w:tr>
        <w:trPr>
          <w:trHeight w:val="323" w:hRule="atLeast"/>
        </w:trPr>
        <w:tc>
          <w:tcPr>
            <w:tcW w:w="2978" w:type="dxa"/>
          </w:tcPr>
          <w:p>
            <w:pPr>
              <w:pStyle w:val="TableParagraph"/>
              <w:spacing w:line="160" w:lineRule="atLeast"/>
              <w:ind w:left="69" w:right="125"/>
              <w:rPr>
                <w:sz w:val="14"/>
              </w:rPr>
            </w:pPr>
            <w:r>
              <w:rPr>
                <w:sz w:val="14"/>
              </w:rPr>
              <w:t>Pérdida</w:t>
            </w:r>
            <w:r>
              <w:rPr>
                <w:spacing w:val="-5"/>
                <w:sz w:val="14"/>
              </w:rPr>
              <w:t> </w:t>
            </w:r>
            <w:r>
              <w:rPr>
                <w:sz w:val="14"/>
              </w:rPr>
              <w:t>por</w:t>
            </w:r>
            <w:r>
              <w:rPr>
                <w:spacing w:val="-9"/>
                <w:sz w:val="14"/>
              </w:rPr>
              <w:t> </w:t>
            </w:r>
            <w:r>
              <w:rPr>
                <w:sz w:val="14"/>
              </w:rPr>
              <w:t>deterioro</w:t>
            </w:r>
            <w:r>
              <w:rPr>
                <w:spacing w:val="-7"/>
                <w:sz w:val="14"/>
              </w:rPr>
              <w:t> </w:t>
            </w:r>
            <w:r>
              <w:rPr>
                <w:sz w:val="14"/>
              </w:rPr>
              <w:t>al</w:t>
            </w:r>
            <w:r>
              <w:rPr>
                <w:spacing w:val="-8"/>
                <w:sz w:val="14"/>
              </w:rPr>
              <w:t> </w:t>
            </w:r>
            <w:r>
              <w:rPr>
                <w:sz w:val="14"/>
              </w:rPr>
              <w:t>final</w:t>
            </w:r>
            <w:r>
              <w:rPr>
                <w:spacing w:val="-5"/>
                <w:sz w:val="14"/>
              </w:rPr>
              <w:t> </w:t>
            </w:r>
            <w:r>
              <w:rPr>
                <w:sz w:val="14"/>
              </w:rPr>
              <w:t>del</w:t>
            </w:r>
            <w:r>
              <w:rPr>
                <w:spacing w:val="-5"/>
                <w:sz w:val="14"/>
              </w:rPr>
              <w:t> </w:t>
            </w:r>
            <w:r>
              <w:rPr>
                <w:sz w:val="14"/>
              </w:rPr>
              <w:t>ejercicio</w:t>
            </w:r>
            <w:r>
              <w:rPr>
                <w:spacing w:val="40"/>
                <w:sz w:val="14"/>
              </w:rPr>
              <w:t> </w:t>
            </w:r>
            <w:r>
              <w:rPr>
                <w:spacing w:val="-4"/>
                <w:sz w:val="14"/>
              </w:rPr>
              <w:t>2024</w:t>
            </w:r>
          </w:p>
        </w:tc>
        <w:tc>
          <w:tcPr>
            <w:tcW w:w="710" w:type="dxa"/>
          </w:tcPr>
          <w:p>
            <w:pPr>
              <w:pStyle w:val="TableParagraph"/>
              <w:rPr>
                <w:rFonts w:ascii="Times New Roman"/>
                <w:sz w:val="14"/>
              </w:rPr>
            </w:pPr>
          </w:p>
        </w:tc>
        <w:tc>
          <w:tcPr>
            <w:tcW w:w="566" w:type="dxa"/>
          </w:tcPr>
          <w:p>
            <w:pPr>
              <w:pStyle w:val="TableParagraph"/>
              <w:rPr>
                <w:rFonts w:ascii="Times New Roman"/>
                <w:sz w:val="14"/>
              </w:rPr>
            </w:pPr>
          </w:p>
        </w:tc>
        <w:tc>
          <w:tcPr>
            <w:tcW w:w="561" w:type="dxa"/>
          </w:tcPr>
          <w:p>
            <w:pPr>
              <w:pStyle w:val="TableParagraph"/>
              <w:rPr>
                <w:rFonts w:ascii="Times New Roman"/>
                <w:sz w:val="14"/>
              </w:rPr>
            </w:pPr>
          </w:p>
        </w:tc>
        <w:tc>
          <w:tcPr>
            <w:tcW w:w="554" w:type="dxa"/>
          </w:tcPr>
          <w:p>
            <w:pPr>
              <w:pStyle w:val="TableParagraph"/>
              <w:rPr>
                <w:rFonts w:ascii="Times New Roman"/>
                <w:sz w:val="14"/>
              </w:rPr>
            </w:pPr>
          </w:p>
        </w:tc>
        <w:tc>
          <w:tcPr>
            <w:tcW w:w="1077" w:type="dxa"/>
          </w:tcPr>
          <w:p>
            <w:pPr>
              <w:pStyle w:val="TableParagraph"/>
              <w:rPr>
                <w:rFonts w:ascii="Times New Roman"/>
                <w:sz w:val="14"/>
              </w:rPr>
            </w:pPr>
          </w:p>
        </w:tc>
        <w:tc>
          <w:tcPr>
            <w:tcW w:w="923" w:type="dxa"/>
          </w:tcPr>
          <w:p>
            <w:pPr>
              <w:pStyle w:val="TableParagraph"/>
              <w:rPr>
                <w:rFonts w:ascii="Times New Roman"/>
                <w:sz w:val="14"/>
              </w:rPr>
            </w:pPr>
          </w:p>
        </w:tc>
        <w:tc>
          <w:tcPr>
            <w:tcW w:w="993" w:type="dxa"/>
          </w:tcPr>
          <w:p>
            <w:pPr>
              <w:pStyle w:val="TableParagraph"/>
              <w:rPr>
                <w:rFonts w:ascii="Times New Roman"/>
                <w:sz w:val="14"/>
              </w:rPr>
            </w:pPr>
          </w:p>
        </w:tc>
        <w:tc>
          <w:tcPr>
            <w:tcW w:w="1130" w:type="dxa"/>
          </w:tcPr>
          <w:p>
            <w:pPr>
              <w:pStyle w:val="TableParagraph"/>
              <w:rPr>
                <w:rFonts w:ascii="Times New Roman"/>
                <w:sz w:val="14"/>
              </w:rPr>
            </w:pPr>
          </w:p>
        </w:tc>
      </w:tr>
      <w:tr>
        <w:trPr>
          <w:trHeight w:val="1305" w:hRule="atLeast"/>
        </w:trPr>
        <w:tc>
          <w:tcPr>
            <w:tcW w:w="2978" w:type="dxa"/>
          </w:tcPr>
          <w:p>
            <w:pPr>
              <w:pStyle w:val="TableParagraph"/>
              <w:spacing w:line="446" w:lineRule="auto" w:before="137"/>
              <w:ind w:left="223" w:right="381"/>
              <w:rPr>
                <w:sz w:val="14"/>
              </w:rPr>
            </w:pPr>
            <w:r>
              <w:rPr>
                <w:sz w:val="14"/>
              </w:rPr>
              <w:t>(+)</w:t>
            </w:r>
            <w:r>
              <w:rPr>
                <w:spacing w:val="-10"/>
                <w:sz w:val="14"/>
              </w:rPr>
              <w:t> </w:t>
            </w:r>
            <w:r>
              <w:rPr>
                <w:sz w:val="14"/>
              </w:rPr>
              <w:t>Corrección</w:t>
            </w:r>
            <w:r>
              <w:rPr>
                <w:spacing w:val="-10"/>
                <w:sz w:val="14"/>
              </w:rPr>
              <w:t> </w:t>
            </w:r>
            <w:r>
              <w:rPr>
                <w:sz w:val="14"/>
              </w:rPr>
              <w:t>valorativa</w:t>
            </w:r>
            <w:r>
              <w:rPr>
                <w:spacing w:val="-10"/>
                <w:sz w:val="14"/>
              </w:rPr>
              <w:t> </w:t>
            </w:r>
            <w:r>
              <w:rPr>
                <w:sz w:val="14"/>
              </w:rPr>
              <w:t>por</w:t>
            </w:r>
            <w:r>
              <w:rPr>
                <w:spacing w:val="-8"/>
                <w:sz w:val="14"/>
              </w:rPr>
              <w:t> </w:t>
            </w:r>
            <w:r>
              <w:rPr>
                <w:sz w:val="14"/>
              </w:rPr>
              <w:t>deterioro</w:t>
            </w:r>
            <w:r>
              <w:rPr>
                <w:spacing w:val="40"/>
                <w:sz w:val="14"/>
              </w:rPr>
              <w:t> </w:t>
            </w:r>
            <w:r>
              <w:rPr>
                <w:sz w:val="14"/>
              </w:rPr>
              <w:t>(-) Reversión del deterioro</w:t>
            </w:r>
          </w:p>
          <w:p>
            <w:pPr>
              <w:pStyle w:val="TableParagraph"/>
              <w:spacing w:before="16"/>
              <w:ind w:left="223"/>
              <w:rPr>
                <w:sz w:val="14"/>
              </w:rPr>
            </w:pPr>
            <w:r>
              <w:rPr>
                <w:sz w:val="14"/>
              </w:rPr>
              <w:t>(-)</w:t>
            </w:r>
            <w:r>
              <w:rPr>
                <w:spacing w:val="-4"/>
                <w:sz w:val="14"/>
              </w:rPr>
              <w:t> </w:t>
            </w:r>
            <w:r>
              <w:rPr>
                <w:sz w:val="14"/>
              </w:rPr>
              <w:t>Salidas</w:t>
            </w:r>
            <w:r>
              <w:rPr>
                <w:spacing w:val="-1"/>
                <w:sz w:val="14"/>
              </w:rPr>
              <w:t> </w:t>
            </w:r>
            <w:r>
              <w:rPr>
                <w:sz w:val="14"/>
              </w:rPr>
              <w:t>y</w:t>
            </w:r>
            <w:r>
              <w:rPr>
                <w:spacing w:val="-1"/>
                <w:sz w:val="14"/>
              </w:rPr>
              <w:t> </w:t>
            </w:r>
            <w:r>
              <w:rPr>
                <w:spacing w:val="-2"/>
                <w:sz w:val="14"/>
              </w:rPr>
              <w:t>reducciones</w:t>
            </w:r>
          </w:p>
          <w:p>
            <w:pPr>
              <w:pStyle w:val="TableParagraph"/>
              <w:ind w:left="69" w:right="125" w:firstLine="76"/>
              <w:rPr>
                <w:sz w:val="14"/>
              </w:rPr>
            </w:pPr>
            <w:r>
              <w:rPr>
                <w:sz w:val="14"/>
              </w:rPr>
              <w:t>(+/-)</w:t>
            </w:r>
            <w:r>
              <w:rPr>
                <w:spacing w:val="-10"/>
                <w:sz w:val="14"/>
              </w:rPr>
              <w:t> </w:t>
            </w:r>
            <w:r>
              <w:rPr>
                <w:sz w:val="14"/>
              </w:rPr>
              <w:t>Traspasos</w:t>
            </w:r>
            <w:r>
              <w:rPr>
                <w:spacing w:val="-10"/>
                <w:sz w:val="14"/>
              </w:rPr>
              <w:t> </w:t>
            </w:r>
            <w:r>
              <w:rPr>
                <w:sz w:val="14"/>
              </w:rPr>
              <w:t>y</w:t>
            </w:r>
            <w:r>
              <w:rPr>
                <w:spacing w:val="-9"/>
                <w:sz w:val="14"/>
              </w:rPr>
              <w:t> </w:t>
            </w:r>
            <w:r>
              <w:rPr>
                <w:sz w:val="14"/>
              </w:rPr>
              <w:t>otras</w:t>
            </w:r>
            <w:r>
              <w:rPr>
                <w:spacing w:val="-10"/>
                <w:sz w:val="14"/>
              </w:rPr>
              <w:t> </w:t>
            </w:r>
            <w:r>
              <w:rPr>
                <w:sz w:val="14"/>
              </w:rPr>
              <w:t>variaciones</w:t>
            </w:r>
            <w:r>
              <w:rPr>
                <w:spacing w:val="40"/>
                <w:sz w:val="14"/>
              </w:rPr>
              <w:t> </w:t>
            </w:r>
            <w:r>
              <w:rPr>
                <w:sz w:val="14"/>
              </w:rPr>
              <w:t>(combinaciones de negocio, etc.)</w:t>
            </w:r>
          </w:p>
        </w:tc>
        <w:tc>
          <w:tcPr>
            <w:tcW w:w="710" w:type="dxa"/>
          </w:tcPr>
          <w:p>
            <w:pPr>
              <w:pStyle w:val="TableParagraph"/>
              <w:rPr>
                <w:rFonts w:ascii="Times New Roman"/>
                <w:sz w:val="14"/>
              </w:rPr>
            </w:pPr>
          </w:p>
        </w:tc>
        <w:tc>
          <w:tcPr>
            <w:tcW w:w="566" w:type="dxa"/>
          </w:tcPr>
          <w:p>
            <w:pPr>
              <w:pStyle w:val="TableParagraph"/>
              <w:rPr>
                <w:rFonts w:ascii="Times New Roman"/>
                <w:sz w:val="14"/>
              </w:rPr>
            </w:pPr>
          </w:p>
        </w:tc>
        <w:tc>
          <w:tcPr>
            <w:tcW w:w="561" w:type="dxa"/>
          </w:tcPr>
          <w:p>
            <w:pPr>
              <w:pStyle w:val="TableParagraph"/>
              <w:rPr>
                <w:rFonts w:ascii="Times New Roman"/>
                <w:sz w:val="14"/>
              </w:rPr>
            </w:pPr>
          </w:p>
        </w:tc>
        <w:tc>
          <w:tcPr>
            <w:tcW w:w="554" w:type="dxa"/>
          </w:tcPr>
          <w:p>
            <w:pPr>
              <w:pStyle w:val="TableParagraph"/>
              <w:rPr>
                <w:rFonts w:ascii="Times New Roman"/>
                <w:sz w:val="14"/>
              </w:rPr>
            </w:pPr>
          </w:p>
        </w:tc>
        <w:tc>
          <w:tcPr>
            <w:tcW w:w="1077" w:type="dxa"/>
          </w:tcPr>
          <w:p>
            <w:pPr>
              <w:pStyle w:val="TableParagraph"/>
              <w:rPr>
                <w:rFonts w:ascii="Times New Roman"/>
                <w:sz w:val="14"/>
              </w:rPr>
            </w:pPr>
          </w:p>
        </w:tc>
        <w:tc>
          <w:tcPr>
            <w:tcW w:w="923" w:type="dxa"/>
          </w:tcPr>
          <w:p>
            <w:pPr>
              <w:pStyle w:val="TableParagraph"/>
              <w:rPr>
                <w:rFonts w:ascii="Times New Roman"/>
                <w:sz w:val="14"/>
              </w:rPr>
            </w:pPr>
          </w:p>
        </w:tc>
        <w:tc>
          <w:tcPr>
            <w:tcW w:w="993" w:type="dxa"/>
          </w:tcPr>
          <w:p>
            <w:pPr>
              <w:pStyle w:val="TableParagraph"/>
              <w:rPr>
                <w:rFonts w:ascii="Times New Roman"/>
                <w:sz w:val="14"/>
              </w:rPr>
            </w:pPr>
          </w:p>
        </w:tc>
        <w:tc>
          <w:tcPr>
            <w:tcW w:w="1130" w:type="dxa"/>
          </w:tcPr>
          <w:p>
            <w:pPr>
              <w:pStyle w:val="TableParagraph"/>
              <w:rPr>
                <w:rFonts w:ascii="Times New Roman"/>
                <w:sz w:val="14"/>
              </w:rPr>
            </w:pPr>
          </w:p>
        </w:tc>
      </w:tr>
      <w:tr>
        <w:trPr>
          <w:trHeight w:val="321" w:hRule="atLeast"/>
        </w:trPr>
        <w:tc>
          <w:tcPr>
            <w:tcW w:w="2978" w:type="dxa"/>
          </w:tcPr>
          <w:p>
            <w:pPr>
              <w:pStyle w:val="TableParagraph"/>
              <w:spacing w:line="160" w:lineRule="exact"/>
              <w:ind w:left="69" w:right="125"/>
              <w:rPr>
                <w:sz w:val="14"/>
              </w:rPr>
            </w:pPr>
            <w:r>
              <w:rPr>
                <w:sz w:val="14"/>
              </w:rPr>
              <w:t>Pérdida</w:t>
            </w:r>
            <w:r>
              <w:rPr>
                <w:spacing w:val="-5"/>
                <w:sz w:val="14"/>
              </w:rPr>
              <w:t> </w:t>
            </w:r>
            <w:r>
              <w:rPr>
                <w:sz w:val="14"/>
              </w:rPr>
              <w:t>por</w:t>
            </w:r>
            <w:r>
              <w:rPr>
                <w:spacing w:val="-9"/>
                <w:sz w:val="14"/>
              </w:rPr>
              <w:t> </w:t>
            </w:r>
            <w:r>
              <w:rPr>
                <w:sz w:val="14"/>
              </w:rPr>
              <w:t>deterioro</w:t>
            </w:r>
            <w:r>
              <w:rPr>
                <w:spacing w:val="-7"/>
                <w:sz w:val="14"/>
              </w:rPr>
              <w:t> </w:t>
            </w:r>
            <w:r>
              <w:rPr>
                <w:sz w:val="14"/>
              </w:rPr>
              <w:t>al</w:t>
            </w:r>
            <w:r>
              <w:rPr>
                <w:spacing w:val="-8"/>
                <w:sz w:val="14"/>
              </w:rPr>
              <w:t> </w:t>
            </w:r>
            <w:r>
              <w:rPr>
                <w:sz w:val="14"/>
              </w:rPr>
              <w:t>final</w:t>
            </w:r>
            <w:r>
              <w:rPr>
                <w:spacing w:val="-5"/>
                <w:sz w:val="14"/>
              </w:rPr>
              <w:t> </w:t>
            </w:r>
            <w:r>
              <w:rPr>
                <w:sz w:val="14"/>
              </w:rPr>
              <w:t>del</w:t>
            </w:r>
            <w:r>
              <w:rPr>
                <w:spacing w:val="-5"/>
                <w:sz w:val="14"/>
              </w:rPr>
              <w:t> </w:t>
            </w:r>
            <w:r>
              <w:rPr>
                <w:sz w:val="14"/>
              </w:rPr>
              <w:t>ejercicio</w:t>
            </w:r>
            <w:r>
              <w:rPr>
                <w:spacing w:val="40"/>
                <w:sz w:val="14"/>
              </w:rPr>
              <w:t> </w:t>
            </w:r>
            <w:r>
              <w:rPr>
                <w:spacing w:val="-4"/>
                <w:sz w:val="14"/>
              </w:rPr>
              <w:t>2025</w:t>
            </w:r>
          </w:p>
        </w:tc>
        <w:tc>
          <w:tcPr>
            <w:tcW w:w="710" w:type="dxa"/>
          </w:tcPr>
          <w:p>
            <w:pPr>
              <w:pStyle w:val="TableParagraph"/>
              <w:rPr>
                <w:rFonts w:ascii="Times New Roman"/>
                <w:sz w:val="14"/>
              </w:rPr>
            </w:pPr>
          </w:p>
        </w:tc>
        <w:tc>
          <w:tcPr>
            <w:tcW w:w="566" w:type="dxa"/>
          </w:tcPr>
          <w:p>
            <w:pPr>
              <w:pStyle w:val="TableParagraph"/>
              <w:rPr>
                <w:rFonts w:ascii="Times New Roman"/>
                <w:sz w:val="14"/>
              </w:rPr>
            </w:pPr>
          </w:p>
        </w:tc>
        <w:tc>
          <w:tcPr>
            <w:tcW w:w="561" w:type="dxa"/>
          </w:tcPr>
          <w:p>
            <w:pPr>
              <w:pStyle w:val="TableParagraph"/>
              <w:rPr>
                <w:rFonts w:ascii="Times New Roman"/>
                <w:sz w:val="14"/>
              </w:rPr>
            </w:pPr>
          </w:p>
        </w:tc>
        <w:tc>
          <w:tcPr>
            <w:tcW w:w="554" w:type="dxa"/>
          </w:tcPr>
          <w:p>
            <w:pPr>
              <w:pStyle w:val="TableParagraph"/>
              <w:rPr>
                <w:rFonts w:ascii="Times New Roman"/>
                <w:sz w:val="14"/>
              </w:rPr>
            </w:pPr>
          </w:p>
        </w:tc>
        <w:tc>
          <w:tcPr>
            <w:tcW w:w="1077" w:type="dxa"/>
          </w:tcPr>
          <w:p>
            <w:pPr>
              <w:pStyle w:val="TableParagraph"/>
              <w:rPr>
                <w:rFonts w:ascii="Times New Roman"/>
                <w:sz w:val="14"/>
              </w:rPr>
            </w:pPr>
          </w:p>
        </w:tc>
        <w:tc>
          <w:tcPr>
            <w:tcW w:w="923" w:type="dxa"/>
          </w:tcPr>
          <w:p>
            <w:pPr>
              <w:pStyle w:val="TableParagraph"/>
              <w:rPr>
                <w:rFonts w:ascii="Times New Roman"/>
                <w:sz w:val="14"/>
              </w:rPr>
            </w:pPr>
          </w:p>
        </w:tc>
        <w:tc>
          <w:tcPr>
            <w:tcW w:w="993" w:type="dxa"/>
          </w:tcPr>
          <w:p>
            <w:pPr>
              <w:pStyle w:val="TableParagraph"/>
              <w:rPr>
                <w:rFonts w:ascii="Times New Roman"/>
                <w:sz w:val="14"/>
              </w:rPr>
            </w:pPr>
          </w:p>
        </w:tc>
        <w:tc>
          <w:tcPr>
            <w:tcW w:w="1130" w:type="dxa"/>
          </w:tcPr>
          <w:p>
            <w:pPr>
              <w:pStyle w:val="TableParagraph"/>
              <w:rPr>
                <w:rFonts w:ascii="Times New Roman"/>
                <w:sz w:val="14"/>
              </w:rPr>
            </w:pPr>
          </w:p>
        </w:tc>
      </w:tr>
    </w:tbl>
    <w:p>
      <w:pPr>
        <w:pStyle w:val="TableParagraph"/>
        <w:spacing w:after="0"/>
        <w:rPr>
          <w:rFonts w:ascii="Times New Roman"/>
          <w:sz w:val="14"/>
        </w:rPr>
        <w:sectPr>
          <w:pgSz w:w="11910" w:h="16840"/>
          <w:pgMar w:header="286" w:footer="1060" w:top="1920" w:bottom="1260" w:left="360" w:right="360"/>
        </w:sectPr>
      </w:pPr>
    </w:p>
    <w:p>
      <w:pPr>
        <w:pStyle w:val="BodyText"/>
      </w:pPr>
    </w:p>
    <w:p>
      <w:pPr>
        <w:pStyle w:val="BodyText"/>
        <w:spacing w:before="199"/>
      </w:pPr>
    </w:p>
    <w:p>
      <w:pPr>
        <w:pStyle w:val="Heading3"/>
        <w:numPr>
          <w:ilvl w:val="0"/>
          <w:numId w:val="17"/>
        </w:numPr>
        <w:tabs>
          <w:tab w:pos="1906" w:val="left" w:leader="none"/>
        </w:tabs>
        <w:spacing w:line="240" w:lineRule="auto" w:before="0" w:after="0"/>
        <w:ind w:left="1906" w:right="0" w:hanging="282"/>
        <w:jc w:val="left"/>
      </w:pPr>
      <w:r>
        <w:rPr/>
        <w:t>Correcciones</w:t>
      </w:r>
      <w:r>
        <w:rPr>
          <w:spacing w:val="-8"/>
        </w:rPr>
        <w:t> </w:t>
      </w:r>
      <w:r>
        <w:rPr/>
        <w:t>por</w:t>
      </w:r>
      <w:r>
        <w:rPr>
          <w:spacing w:val="-9"/>
        </w:rPr>
        <w:t> </w:t>
      </w:r>
      <w:r>
        <w:rPr/>
        <w:t>deterioro</w:t>
      </w:r>
      <w:r>
        <w:rPr>
          <w:spacing w:val="-7"/>
        </w:rPr>
        <w:t> </w:t>
      </w:r>
      <w:r>
        <w:rPr/>
        <w:t>del</w:t>
      </w:r>
      <w:r>
        <w:rPr>
          <w:spacing w:val="-7"/>
        </w:rPr>
        <w:t> </w:t>
      </w:r>
      <w:r>
        <w:rPr/>
        <w:t>valor</w:t>
      </w:r>
      <w:r>
        <w:rPr>
          <w:spacing w:val="-7"/>
        </w:rPr>
        <w:t> </w:t>
      </w:r>
      <w:r>
        <w:rPr/>
        <w:t>originadas</w:t>
      </w:r>
      <w:r>
        <w:rPr>
          <w:spacing w:val="-6"/>
        </w:rPr>
        <w:t> </w:t>
      </w:r>
      <w:r>
        <w:rPr/>
        <w:t>por</w:t>
      </w:r>
      <w:r>
        <w:rPr>
          <w:spacing w:val="-7"/>
        </w:rPr>
        <w:t> </w:t>
      </w:r>
      <w:r>
        <w:rPr/>
        <w:t>el</w:t>
      </w:r>
      <w:r>
        <w:rPr>
          <w:spacing w:val="-4"/>
        </w:rPr>
        <w:t> </w:t>
      </w:r>
      <w:r>
        <w:rPr/>
        <w:t>riesgo</w:t>
      </w:r>
      <w:r>
        <w:rPr>
          <w:spacing w:val="-6"/>
        </w:rPr>
        <w:t> </w:t>
      </w:r>
      <w:r>
        <w:rPr/>
        <w:t>de</w:t>
      </w:r>
      <w:r>
        <w:rPr>
          <w:spacing w:val="-8"/>
        </w:rPr>
        <w:t> </w:t>
      </w:r>
      <w:r>
        <w:rPr>
          <w:spacing w:val="-2"/>
        </w:rPr>
        <w:t>crédito</w:t>
      </w:r>
    </w:p>
    <w:p>
      <w:pPr>
        <w:pStyle w:val="BodyText"/>
        <w:rPr>
          <w:b/>
        </w:rPr>
      </w:pPr>
    </w:p>
    <w:p>
      <w:pPr>
        <w:pStyle w:val="BodyText"/>
        <w:spacing w:before="1"/>
        <w:ind w:left="1908" w:right="1308"/>
      </w:pPr>
      <w:r>
        <w:rPr/>
        <w:t>En el presente ejercicio la sociedad no ha detectado pérdidas por deterioro de saldos a </w:t>
      </w:r>
      <w:r>
        <w:rPr>
          <w:spacing w:val="-2"/>
        </w:rPr>
        <w:t>cobrar.</w:t>
      </w:r>
    </w:p>
    <w:p>
      <w:pPr>
        <w:pStyle w:val="BodyText"/>
      </w:pPr>
    </w:p>
    <w:p>
      <w:pPr>
        <w:pStyle w:val="Heading3"/>
        <w:numPr>
          <w:ilvl w:val="0"/>
          <w:numId w:val="17"/>
        </w:numPr>
        <w:tabs>
          <w:tab w:pos="1906" w:val="left" w:leader="none"/>
        </w:tabs>
        <w:spacing w:line="240" w:lineRule="auto" w:before="0" w:after="0"/>
        <w:ind w:left="1906" w:right="0" w:hanging="282"/>
        <w:jc w:val="left"/>
      </w:pPr>
      <w:r>
        <w:rPr/>
        <w:t>Impago</w:t>
      </w:r>
      <w:r>
        <w:rPr>
          <w:spacing w:val="-8"/>
        </w:rPr>
        <w:t> </w:t>
      </w:r>
      <w:r>
        <w:rPr/>
        <w:t>e</w:t>
      </w:r>
      <w:r>
        <w:rPr>
          <w:spacing w:val="-9"/>
        </w:rPr>
        <w:t> </w:t>
      </w:r>
      <w:r>
        <w:rPr/>
        <w:t>incumplimientos</w:t>
      </w:r>
      <w:r>
        <w:rPr>
          <w:spacing w:val="-10"/>
        </w:rPr>
        <w:t> </w:t>
      </w:r>
      <w:r>
        <w:rPr/>
        <w:t>de</w:t>
      </w:r>
      <w:r>
        <w:rPr>
          <w:spacing w:val="-8"/>
        </w:rPr>
        <w:t> </w:t>
      </w:r>
      <w:r>
        <w:rPr/>
        <w:t>condiciones</w:t>
      </w:r>
      <w:r>
        <w:rPr>
          <w:spacing w:val="-7"/>
        </w:rPr>
        <w:t> </w:t>
      </w:r>
      <w:r>
        <w:rPr>
          <w:spacing w:val="-2"/>
        </w:rPr>
        <w:t>contractuales.</w:t>
      </w:r>
    </w:p>
    <w:p>
      <w:pPr>
        <w:pStyle w:val="BodyText"/>
        <w:spacing w:before="1"/>
        <w:rPr>
          <w:b/>
        </w:rPr>
      </w:pPr>
    </w:p>
    <w:p>
      <w:pPr>
        <w:pStyle w:val="BodyText"/>
        <w:ind w:left="1908"/>
      </w:pPr>
      <w:r>
        <w:rPr/>
        <w:t>Durante</w:t>
      </w:r>
      <w:r>
        <w:rPr>
          <w:spacing w:val="-5"/>
        </w:rPr>
        <w:t> </w:t>
      </w:r>
      <w:r>
        <w:rPr/>
        <w:t>el</w:t>
      </w:r>
      <w:r>
        <w:rPr>
          <w:spacing w:val="-10"/>
        </w:rPr>
        <w:t> </w:t>
      </w:r>
      <w:r>
        <w:rPr/>
        <w:t>ejercicio</w:t>
      </w:r>
      <w:r>
        <w:rPr>
          <w:spacing w:val="-8"/>
        </w:rPr>
        <w:t> </w:t>
      </w:r>
      <w:r>
        <w:rPr/>
        <w:t>no</w:t>
      </w:r>
      <w:r>
        <w:rPr>
          <w:spacing w:val="-7"/>
        </w:rPr>
        <w:t> </w:t>
      </w:r>
      <w:r>
        <w:rPr/>
        <w:t>se</w:t>
      </w:r>
      <w:r>
        <w:rPr>
          <w:spacing w:val="-5"/>
        </w:rPr>
        <w:t> </w:t>
      </w:r>
      <w:r>
        <w:rPr/>
        <w:t>ha</w:t>
      </w:r>
      <w:r>
        <w:rPr>
          <w:spacing w:val="-9"/>
        </w:rPr>
        <w:t> </w:t>
      </w:r>
      <w:r>
        <w:rPr/>
        <w:t>producido</w:t>
      </w:r>
      <w:r>
        <w:rPr>
          <w:spacing w:val="-8"/>
        </w:rPr>
        <w:t> </w:t>
      </w:r>
      <w:r>
        <w:rPr/>
        <w:t>ningún</w:t>
      </w:r>
      <w:r>
        <w:rPr>
          <w:spacing w:val="-5"/>
        </w:rPr>
        <w:t> </w:t>
      </w:r>
      <w:r>
        <w:rPr/>
        <w:t>impago</w:t>
      </w:r>
      <w:r>
        <w:rPr>
          <w:spacing w:val="-8"/>
        </w:rPr>
        <w:t> </w:t>
      </w:r>
      <w:r>
        <w:rPr/>
        <w:t>ni</w:t>
      </w:r>
      <w:r>
        <w:rPr>
          <w:spacing w:val="-5"/>
        </w:rPr>
        <w:t> </w:t>
      </w:r>
      <w:r>
        <w:rPr/>
        <w:t>incumplimiento</w:t>
      </w:r>
      <w:r>
        <w:rPr>
          <w:spacing w:val="-8"/>
        </w:rPr>
        <w:t> </w:t>
      </w:r>
      <w:r>
        <w:rPr>
          <w:spacing w:val="-2"/>
        </w:rPr>
        <w:t>contractual.</w:t>
      </w:r>
    </w:p>
    <w:p>
      <w:pPr>
        <w:pStyle w:val="ListParagraph"/>
        <w:numPr>
          <w:ilvl w:val="1"/>
          <w:numId w:val="19"/>
        </w:numPr>
        <w:tabs>
          <w:tab w:pos="1975" w:val="left" w:leader="none"/>
        </w:tabs>
        <w:spacing w:line="240" w:lineRule="auto" w:before="229" w:after="0"/>
        <w:ind w:left="1975" w:right="0" w:hanging="274"/>
        <w:jc w:val="left"/>
        <w:rPr>
          <w:sz w:val="20"/>
        </w:rPr>
      </w:pPr>
      <w:r>
        <w:rPr>
          <w:spacing w:val="43"/>
          <w:sz w:val="20"/>
          <w:u w:val="single"/>
        </w:rPr>
        <w:t> </w:t>
      </w:r>
      <w:r>
        <w:rPr>
          <w:sz w:val="20"/>
          <w:u w:val="single"/>
        </w:rPr>
        <w:t>Información</w:t>
      </w:r>
      <w:r>
        <w:rPr>
          <w:spacing w:val="-7"/>
          <w:sz w:val="20"/>
          <w:u w:val="single"/>
        </w:rPr>
        <w:t> </w:t>
      </w:r>
      <w:r>
        <w:rPr>
          <w:sz w:val="20"/>
          <w:u w:val="single"/>
        </w:rPr>
        <w:t>relacionada</w:t>
      </w:r>
      <w:r>
        <w:rPr>
          <w:spacing w:val="-7"/>
          <w:sz w:val="20"/>
          <w:u w:val="single"/>
        </w:rPr>
        <w:t> </w:t>
      </w:r>
      <w:r>
        <w:rPr>
          <w:sz w:val="20"/>
          <w:u w:val="single"/>
        </w:rPr>
        <w:t>con</w:t>
      </w:r>
      <w:r>
        <w:rPr>
          <w:spacing w:val="-5"/>
          <w:sz w:val="20"/>
          <w:u w:val="single"/>
        </w:rPr>
        <w:t> </w:t>
      </w:r>
      <w:r>
        <w:rPr>
          <w:sz w:val="20"/>
          <w:u w:val="single"/>
        </w:rPr>
        <w:t>la</w:t>
      </w:r>
      <w:r>
        <w:rPr>
          <w:spacing w:val="-7"/>
          <w:sz w:val="20"/>
          <w:u w:val="single"/>
        </w:rPr>
        <w:t> </w:t>
      </w:r>
      <w:r>
        <w:rPr>
          <w:sz w:val="20"/>
          <w:u w:val="single"/>
        </w:rPr>
        <w:t>cuenta</w:t>
      </w:r>
      <w:r>
        <w:rPr>
          <w:spacing w:val="-3"/>
          <w:sz w:val="20"/>
          <w:u w:val="single"/>
        </w:rPr>
        <w:t> </w:t>
      </w:r>
      <w:r>
        <w:rPr>
          <w:sz w:val="20"/>
          <w:u w:val="single"/>
        </w:rPr>
        <w:t>de</w:t>
      </w:r>
      <w:r>
        <w:rPr>
          <w:spacing w:val="-4"/>
          <w:sz w:val="20"/>
          <w:u w:val="single"/>
        </w:rPr>
        <w:t> </w:t>
      </w:r>
      <w:r>
        <w:rPr>
          <w:sz w:val="20"/>
          <w:u w:val="single"/>
        </w:rPr>
        <w:t>pérdidas</w:t>
      </w:r>
      <w:r>
        <w:rPr>
          <w:spacing w:val="-3"/>
          <w:sz w:val="20"/>
          <w:u w:val="single"/>
        </w:rPr>
        <w:t> </w:t>
      </w:r>
      <w:r>
        <w:rPr>
          <w:sz w:val="20"/>
          <w:u w:val="single"/>
        </w:rPr>
        <w:t>y</w:t>
      </w:r>
      <w:r>
        <w:rPr>
          <w:spacing w:val="-10"/>
          <w:sz w:val="20"/>
          <w:u w:val="single"/>
        </w:rPr>
        <w:t> </w:t>
      </w:r>
      <w:r>
        <w:rPr>
          <w:sz w:val="20"/>
          <w:u w:val="single"/>
        </w:rPr>
        <w:t>ganancias</w:t>
      </w:r>
      <w:r>
        <w:rPr>
          <w:spacing w:val="-2"/>
          <w:sz w:val="20"/>
          <w:u w:val="single"/>
        </w:rPr>
        <w:t> </w:t>
      </w:r>
      <w:r>
        <w:rPr>
          <w:sz w:val="20"/>
          <w:u w:val="single"/>
        </w:rPr>
        <w:t>y</w:t>
      </w:r>
      <w:r>
        <w:rPr>
          <w:spacing w:val="-7"/>
          <w:sz w:val="20"/>
          <w:u w:val="single"/>
        </w:rPr>
        <w:t> </w:t>
      </w:r>
      <w:r>
        <w:rPr>
          <w:sz w:val="20"/>
          <w:u w:val="single"/>
        </w:rPr>
        <w:t>el</w:t>
      </w:r>
      <w:r>
        <w:rPr>
          <w:spacing w:val="-4"/>
          <w:sz w:val="20"/>
          <w:u w:val="single"/>
        </w:rPr>
        <w:t> </w:t>
      </w:r>
      <w:r>
        <w:rPr>
          <w:sz w:val="20"/>
          <w:u w:val="single"/>
        </w:rPr>
        <w:t>patrimonio</w:t>
      </w:r>
      <w:r>
        <w:rPr>
          <w:spacing w:val="-7"/>
          <w:sz w:val="20"/>
          <w:u w:val="single"/>
        </w:rPr>
        <w:t> </w:t>
      </w:r>
      <w:r>
        <w:rPr>
          <w:spacing w:val="-4"/>
          <w:sz w:val="20"/>
          <w:u w:val="single"/>
        </w:rPr>
        <w:t>neto</w:t>
      </w:r>
    </w:p>
    <w:p>
      <w:pPr>
        <w:pStyle w:val="BodyText"/>
      </w:pPr>
    </w:p>
    <w:p>
      <w:pPr>
        <w:pStyle w:val="BodyText"/>
        <w:spacing w:before="1"/>
        <w:ind w:left="1795"/>
      </w:pPr>
      <w:r>
        <w:rPr>
          <w:u w:val="single"/>
        </w:rPr>
        <w:t>Ingresos</w:t>
      </w:r>
      <w:r>
        <w:rPr>
          <w:spacing w:val="-10"/>
          <w:u w:val="single"/>
        </w:rPr>
        <w:t> </w:t>
      </w:r>
      <w:r>
        <w:rPr>
          <w:spacing w:val="-2"/>
          <w:u w:val="single"/>
        </w:rPr>
        <w:t>financieros.</w:t>
      </w:r>
    </w:p>
    <w:p>
      <w:pPr>
        <w:pStyle w:val="BodyText"/>
      </w:pPr>
    </w:p>
    <w:p>
      <w:pPr>
        <w:pStyle w:val="BodyText"/>
        <w:ind w:left="1795" w:right="1307"/>
        <w:jc w:val="both"/>
      </w:pPr>
      <w:r>
        <w:rPr/>
        <w:t>El</w:t>
      </w:r>
      <w:r>
        <w:rPr>
          <w:spacing w:val="-3"/>
        </w:rPr>
        <w:t> </w:t>
      </w:r>
      <w:r>
        <w:rPr/>
        <w:t>epígrafe</w:t>
      </w:r>
      <w:r>
        <w:rPr>
          <w:spacing w:val="-3"/>
        </w:rPr>
        <w:t> </w:t>
      </w:r>
      <w:r>
        <w:rPr/>
        <w:t>de</w:t>
      </w:r>
      <w:r>
        <w:rPr>
          <w:spacing w:val="-1"/>
        </w:rPr>
        <w:t> </w:t>
      </w:r>
      <w:r>
        <w:rPr/>
        <w:t>ingresos</w:t>
      </w:r>
      <w:r>
        <w:rPr>
          <w:spacing w:val="-1"/>
        </w:rPr>
        <w:t> </w:t>
      </w:r>
      <w:r>
        <w:rPr/>
        <w:t>financieros</w:t>
      </w:r>
      <w:r>
        <w:rPr>
          <w:spacing w:val="-1"/>
        </w:rPr>
        <w:t> </w:t>
      </w:r>
      <w:r>
        <w:rPr/>
        <w:t>de</w:t>
      </w:r>
      <w:r>
        <w:rPr>
          <w:spacing w:val="-1"/>
        </w:rPr>
        <w:t> </w:t>
      </w:r>
      <w:r>
        <w:rPr/>
        <w:t>valores</w:t>
      </w:r>
      <w:r>
        <w:rPr>
          <w:spacing w:val="-1"/>
        </w:rPr>
        <w:t> </w:t>
      </w:r>
      <w:r>
        <w:rPr/>
        <w:t>negociables y</w:t>
      </w:r>
      <w:r>
        <w:rPr>
          <w:spacing w:val="-5"/>
        </w:rPr>
        <w:t> </w:t>
      </w:r>
      <w:r>
        <w:rPr/>
        <w:t>otros</w:t>
      </w:r>
      <w:r>
        <w:rPr>
          <w:spacing w:val="-1"/>
        </w:rPr>
        <w:t> </w:t>
      </w:r>
      <w:r>
        <w:rPr/>
        <w:t>instrumentos</w:t>
      </w:r>
      <w:r>
        <w:rPr>
          <w:spacing w:val="-1"/>
        </w:rPr>
        <w:t> </w:t>
      </w:r>
      <w:r>
        <w:rPr/>
        <w:t>financieros de la cuenta de pérdidas y ganancias refleja un importe de 1.028.236,91 euros y 881.894,79 euros en los ejercicios 2025 y 2024 respectivamente. En ambos ejercicios los importes se deben principalmente a intereses por el depósito a plazo fijo y pequeñas bonificaciones financieras.</w:t>
      </w:r>
    </w:p>
    <w:p>
      <w:pPr>
        <w:pStyle w:val="BodyText"/>
      </w:pPr>
    </w:p>
    <w:p>
      <w:pPr>
        <w:pStyle w:val="BodyText"/>
        <w:ind w:left="1795"/>
        <w:jc w:val="both"/>
      </w:pPr>
      <w:r>
        <w:rPr>
          <w:u w:val="single"/>
        </w:rPr>
        <w:t>Gastos</w:t>
      </w:r>
      <w:r>
        <w:rPr>
          <w:spacing w:val="-6"/>
          <w:u w:val="single"/>
        </w:rPr>
        <w:t> </w:t>
      </w:r>
      <w:r>
        <w:rPr>
          <w:spacing w:val="-2"/>
          <w:u w:val="single"/>
        </w:rPr>
        <w:t>financieros.</w:t>
      </w:r>
    </w:p>
    <w:p>
      <w:pPr>
        <w:pStyle w:val="BodyText"/>
        <w:spacing w:before="229"/>
        <w:ind w:left="1795"/>
      </w:pPr>
      <w:r>
        <w:rPr/>
        <w:t>El</w:t>
      </w:r>
      <w:r>
        <w:rPr>
          <w:spacing w:val="-5"/>
        </w:rPr>
        <w:t> </w:t>
      </w:r>
      <w:r>
        <w:rPr/>
        <w:t>desglose</w:t>
      </w:r>
      <w:r>
        <w:rPr>
          <w:spacing w:val="-8"/>
        </w:rPr>
        <w:t> </w:t>
      </w:r>
      <w:r>
        <w:rPr/>
        <w:t>del</w:t>
      </w:r>
      <w:r>
        <w:rPr>
          <w:spacing w:val="-4"/>
        </w:rPr>
        <w:t> </w:t>
      </w:r>
      <w:r>
        <w:rPr/>
        <w:t>epígrafe</w:t>
      </w:r>
      <w:r>
        <w:rPr>
          <w:spacing w:val="-7"/>
        </w:rPr>
        <w:t> </w:t>
      </w:r>
      <w:r>
        <w:rPr/>
        <w:t>de</w:t>
      </w:r>
      <w:r>
        <w:rPr>
          <w:spacing w:val="-4"/>
        </w:rPr>
        <w:t> </w:t>
      </w:r>
      <w:r>
        <w:rPr/>
        <w:t>gastos</w:t>
      </w:r>
      <w:r>
        <w:rPr>
          <w:spacing w:val="-5"/>
        </w:rPr>
        <w:t> </w:t>
      </w:r>
      <w:r>
        <w:rPr/>
        <w:t>financieros</w:t>
      </w:r>
      <w:r>
        <w:rPr>
          <w:spacing w:val="-6"/>
        </w:rPr>
        <w:t> </w:t>
      </w:r>
      <w:r>
        <w:rPr/>
        <w:t>es</w:t>
      </w:r>
      <w:r>
        <w:rPr>
          <w:spacing w:val="-3"/>
        </w:rPr>
        <w:t> </w:t>
      </w:r>
      <w:r>
        <w:rPr/>
        <w:t>el</w:t>
      </w:r>
      <w:r>
        <w:rPr>
          <w:spacing w:val="-8"/>
        </w:rPr>
        <w:t> </w:t>
      </w:r>
      <w:r>
        <w:rPr>
          <w:spacing w:val="-2"/>
        </w:rPr>
        <w:t>siguiente:</w:t>
      </w:r>
    </w:p>
    <w:p>
      <w:pPr>
        <w:pStyle w:val="BodyText"/>
        <w:spacing w:before="68"/>
      </w:pPr>
    </w:p>
    <w:p>
      <w:pPr>
        <w:tabs>
          <w:tab w:pos="431" w:val="left" w:leader="none"/>
          <w:tab w:pos="1739" w:val="left" w:leader="none"/>
          <w:tab w:pos="2615" w:val="left" w:leader="none"/>
        </w:tabs>
        <w:spacing w:before="0"/>
        <w:ind w:left="0" w:right="3209" w:firstLine="0"/>
        <w:jc w:val="right"/>
        <w:rPr>
          <w:b/>
          <w:sz w:val="20"/>
        </w:rPr>
      </w:pP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tabs>
          <w:tab w:pos="5359" w:val="left" w:leader="none"/>
          <w:tab w:pos="5428" w:val="left" w:leader="none"/>
          <w:tab w:pos="7127" w:val="left" w:leader="none"/>
        </w:tabs>
        <w:spacing w:line="326" w:lineRule="auto" w:before="82"/>
        <w:ind w:left="1848" w:right="3279" w:firstLine="0"/>
        <w:jc w:val="right"/>
        <w:rPr>
          <w:b/>
          <w:sz w:val="20"/>
        </w:rPr>
      </w:pPr>
      <w:r>
        <w:rPr>
          <w:sz w:val="20"/>
        </w:rPr>
        <w:t>Por deudas con entidades de crédito</w:t>
        <w:tab/>
        <w:tab/>
        <w:t>2.119.389,70</w:t>
      </w:r>
      <w:r>
        <w:rPr>
          <w:spacing w:val="40"/>
          <w:sz w:val="20"/>
        </w:rPr>
        <w:t> </w:t>
      </w:r>
      <w:r>
        <w:rPr>
          <w:sz w:val="20"/>
        </w:rPr>
        <w:t>2.112.289,96 Otras Deudas</w:t>
        <w:tab/>
      </w:r>
      <w:r>
        <w:rPr>
          <w:spacing w:val="80"/>
          <w:w w:val="150"/>
          <w:sz w:val="20"/>
          <w:u w:val="single"/>
        </w:rPr>
        <w:t> </w:t>
      </w:r>
      <w:r>
        <w:rPr>
          <w:sz w:val="20"/>
          <w:u w:val="single"/>
        </w:rPr>
        <w:t>286.385,29</w:t>
        <w:tab/>
      </w:r>
      <w:r>
        <w:rPr>
          <w:spacing w:val="-2"/>
          <w:sz w:val="20"/>
          <w:u w:val="single"/>
        </w:rPr>
        <w:t>3.496,93</w:t>
      </w:r>
      <w:r>
        <w:rPr>
          <w:spacing w:val="-2"/>
          <w:sz w:val="20"/>
          <w:u w:val="none"/>
        </w:rPr>
        <w:t> </w:t>
      </w:r>
      <w:r>
        <w:rPr>
          <w:b/>
          <w:sz w:val="20"/>
          <w:u w:val="none"/>
        </w:rPr>
        <w:t>Total </w:t>
      </w:r>
      <w:r>
        <w:rPr>
          <w:b/>
          <w:spacing w:val="40"/>
          <w:sz w:val="20"/>
          <w:u w:val="single"/>
        </w:rPr>
        <w:t> </w:t>
      </w:r>
      <w:r>
        <w:rPr>
          <w:b/>
          <w:sz w:val="20"/>
          <w:u w:val="single"/>
        </w:rPr>
        <w:t>2.405.774,99</w:t>
      </w:r>
      <w:r>
        <w:rPr>
          <w:b/>
          <w:spacing w:val="40"/>
          <w:sz w:val="20"/>
          <w:u w:val="single"/>
        </w:rPr>
        <w:t> </w:t>
      </w:r>
      <w:r>
        <w:rPr>
          <w:b/>
          <w:sz w:val="20"/>
          <w:u w:val="single"/>
        </w:rPr>
        <w:t>2.115.786,89</w:t>
      </w:r>
    </w:p>
    <w:p>
      <w:pPr>
        <w:pStyle w:val="BodyText"/>
        <w:spacing w:before="156"/>
        <w:ind w:left="1795" w:right="1338"/>
        <w:jc w:val="both"/>
      </w:pPr>
      <w:r>
        <w:rPr/>
        <mc:AlternateContent>
          <mc:Choice Requires="wps">
            <w:drawing>
              <wp:anchor distT="0" distB="0" distL="0" distR="0" allowOverlap="1" layoutInCell="1" locked="0" behindDoc="0" simplePos="0" relativeHeight="15761920">
                <wp:simplePos x="0" y="0"/>
                <wp:positionH relativeFrom="page">
                  <wp:posOffset>6966436</wp:posOffset>
                </wp:positionH>
                <wp:positionV relativeFrom="paragraph">
                  <wp:posOffset>703202</wp:posOffset>
                </wp:positionV>
                <wp:extent cx="263525" cy="327596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5.370281pt;width:20.75pt;height:257.95pt;mso-position-horizontal-relative:page;mso-position-vertical-relative:paragraph;z-index:15761920" type="#_x0000_t202" id="docshape11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48</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 intereses del crédito otorgado por el Banco Europeo de Inversiones (BEI) para la construcción de un sistema</w:t>
      </w:r>
      <w:r>
        <w:rPr>
          <w:spacing w:val="-3"/>
        </w:rPr>
        <w:t> </w:t>
      </w:r>
      <w:r>
        <w:rPr/>
        <w:t>de autobús de tránsito rápido integrado</w:t>
      </w:r>
      <w:r>
        <w:rPr>
          <w:spacing w:val="-1"/>
        </w:rPr>
        <w:t> </w:t>
      </w:r>
      <w:r>
        <w:rPr/>
        <w:t>tipo Bus Rapid</w:t>
      </w:r>
      <w:r>
        <w:rPr>
          <w:spacing w:val="-1"/>
        </w:rPr>
        <w:t> </w:t>
      </w:r>
      <w:r>
        <w:rPr/>
        <w:t>Transit (BRT) denominado proyecto “BRT-Metroguagua” ascienden a 1.606.855,79 euros en el ejercicio 2025 y de 1.624.044,80 euros en 2024 (ver nota 5.2).</w:t>
      </w:r>
    </w:p>
    <w:p>
      <w:pPr>
        <w:pStyle w:val="BodyText"/>
        <w:spacing w:before="2"/>
      </w:pPr>
    </w:p>
    <w:p>
      <w:pPr>
        <w:pStyle w:val="BodyText"/>
        <w:ind w:left="1795"/>
        <w:jc w:val="both"/>
      </w:pPr>
      <w:r>
        <w:rPr>
          <w:u w:val="single"/>
        </w:rPr>
        <w:t>Otros</w:t>
      </w:r>
      <w:r>
        <w:rPr>
          <w:spacing w:val="-6"/>
          <w:u w:val="single"/>
        </w:rPr>
        <w:t> </w:t>
      </w:r>
      <w:r>
        <w:rPr>
          <w:u w:val="single"/>
        </w:rPr>
        <w:t>ingresos y</w:t>
      </w:r>
      <w:r>
        <w:rPr>
          <w:spacing w:val="-10"/>
          <w:u w:val="single"/>
        </w:rPr>
        <w:t> </w:t>
      </w:r>
      <w:r>
        <w:rPr>
          <w:u w:val="single"/>
        </w:rPr>
        <w:t>gastos</w:t>
      </w:r>
      <w:r>
        <w:rPr>
          <w:spacing w:val="-6"/>
          <w:u w:val="single"/>
        </w:rPr>
        <w:t> </w:t>
      </w:r>
      <w:r>
        <w:rPr>
          <w:u w:val="single"/>
        </w:rPr>
        <w:t>de</w:t>
      </w:r>
      <w:r>
        <w:rPr>
          <w:spacing w:val="-4"/>
          <w:u w:val="single"/>
        </w:rPr>
        <w:t> </w:t>
      </w:r>
      <w:r>
        <w:rPr>
          <w:u w:val="single"/>
        </w:rPr>
        <w:t>carácter</w:t>
      </w:r>
      <w:r>
        <w:rPr>
          <w:spacing w:val="-4"/>
          <w:u w:val="single"/>
        </w:rPr>
        <w:t> </w:t>
      </w:r>
      <w:r>
        <w:rPr>
          <w:spacing w:val="-2"/>
          <w:u w:val="single"/>
        </w:rPr>
        <w:t>financiero.</w:t>
      </w:r>
    </w:p>
    <w:p>
      <w:pPr>
        <w:pStyle w:val="BodyText"/>
        <w:spacing w:before="229"/>
        <w:ind w:left="1795" w:right="1308"/>
        <w:jc w:val="both"/>
      </w:pPr>
      <w:r>
        <w:rPr/>
        <w:t>Dentro de Otros ingresos y gastos de carácter financiero nos encontramos 1.606.855,79 euros</w:t>
      </w:r>
      <w:r>
        <w:rPr>
          <w:spacing w:val="-2"/>
        </w:rPr>
        <w:t> </w:t>
      </w:r>
      <w:r>
        <w:rPr/>
        <w:t>en</w:t>
      </w:r>
      <w:r>
        <w:rPr>
          <w:spacing w:val="-5"/>
        </w:rPr>
        <w:t> </w:t>
      </w:r>
      <w:r>
        <w:rPr/>
        <w:t>2025 y</w:t>
      </w:r>
      <w:r>
        <w:rPr>
          <w:spacing w:val="-5"/>
        </w:rPr>
        <w:t> </w:t>
      </w:r>
      <w:r>
        <w:rPr/>
        <w:t>1.624.044,80</w:t>
      </w:r>
      <w:r>
        <w:rPr>
          <w:spacing w:val="-4"/>
        </w:rPr>
        <w:t> </w:t>
      </w:r>
      <w:r>
        <w:rPr/>
        <w:t>euros</w:t>
      </w:r>
      <w:r>
        <w:rPr>
          <w:spacing w:val="-2"/>
        </w:rPr>
        <w:t> </w:t>
      </w:r>
      <w:r>
        <w:rPr/>
        <w:t>en</w:t>
      </w:r>
      <w:r>
        <w:rPr>
          <w:spacing w:val="-4"/>
        </w:rPr>
        <w:t> </w:t>
      </w:r>
      <w:r>
        <w:rPr/>
        <w:t>2024</w:t>
      </w:r>
      <w:r>
        <w:rPr>
          <w:spacing w:val="-1"/>
        </w:rPr>
        <w:t> </w:t>
      </w:r>
      <w:r>
        <w:rPr/>
        <w:t>correspondientes</w:t>
      </w:r>
      <w:r>
        <w:rPr>
          <w:spacing w:val="-2"/>
        </w:rPr>
        <w:t> </w:t>
      </w:r>
      <w:r>
        <w:rPr/>
        <w:t>a</w:t>
      </w:r>
      <w:r>
        <w:rPr>
          <w:spacing w:val="-1"/>
        </w:rPr>
        <w:t> </w:t>
      </w:r>
      <w:r>
        <w:rPr/>
        <w:t>la</w:t>
      </w:r>
      <w:r>
        <w:rPr>
          <w:spacing w:val="-5"/>
        </w:rPr>
        <w:t> </w:t>
      </w:r>
      <w:r>
        <w:rPr/>
        <w:t>Incorporación</w:t>
      </w:r>
      <w:r>
        <w:rPr>
          <w:spacing w:val="-3"/>
        </w:rPr>
        <w:t> </w:t>
      </w:r>
      <w:r>
        <w:rPr/>
        <w:t>al</w:t>
      </w:r>
      <w:r>
        <w:rPr>
          <w:spacing w:val="-2"/>
        </w:rPr>
        <w:t> </w:t>
      </w:r>
      <w:r>
        <w:rPr/>
        <w:t>activo, “BRT-Metroguagua”</w:t>
      </w:r>
      <w:r>
        <w:rPr>
          <w:spacing w:val="-2"/>
        </w:rPr>
        <w:t> </w:t>
      </w:r>
      <w:r>
        <w:rPr/>
        <w:t>de</w:t>
      </w:r>
      <w:r>
        <w:rPr>
          <w:spacing w:val="-5"/>
        </w:rPr>
        <w:t> </w:t>
      </w:r>
      <w:r>
        <w:rPr/>
        <w:t>los</w:t>
      </w:r>
      <w:r>
        <w:rPr>
          <w:spacing w:val="-1"/>
        </w:rPr>
        <w:t> </w:t>
      </w:r>
      <w:r>
        <w:rPr/>
        <w:t>gastos</w:t>
      </w:r>
      <w:r>
        <w:rPr>
          <w:spacing w:val="-4"/>
        </w:rPr>
        <w:t> </w:t>
      </w:r>
      <w:r>
        <w:rPr/>
        <w:t>financieros</w:t>
      </w:r>
      <w:r>
        <w:rPr>
          <w:spacing w:val="-2"/>
        </w:rPr>
        <w:t> </w:t>
      </w:r>
      <w:r>
        <w:rPr/>
        <w:t>correspondientes</w:t>
      </w:r>
      <w:r>
        <w:rPr>
          <w:spacing w:val="-2"/>
        </w:rPr>
        <w:t> </w:t>
      </w:r>
      <w:r>
        <w:rPr/>
        <w:t>a</w:t>
      </w:r>
      <w:r>
        <w:rPr>
          <w:spacing w:val="-3"/>
        </w:rPr>
        <w:t> </w:t>
      </w:r>
      <w:r>
        <w:rPr/>
        <w:t>la</w:t>
      </w:r>
      <w:r>
        <w:rPr>
          <w:spacing w:val="-3"/>
        </w:rPr>
        <w:t> </w:t>
      </w:r>
      <w:r>
        <w:rPr/>
        <w:t>financiación</w:t>
      </w:r>
      <w:r>
        <w:rPr>
          <w:spacing w:val="-5"/>
        </w:rPr>
        <w:t> </w:t>
      </w:r>
      <w:r>
        <w:rPr/>
        <w:t>específica del BEI (ver nota 5.2).</w:t>
      </w:r>
    </w:p>
    <w:p>
      <w:pPr>
        <w:pStyle w:val="BodyText"/>
        <w:spacing w:before="229"/>
      </w:pPr>
    </w:p>
    <w:p>
      <w:pPr>
        <w:pStyle w:val="ListParagraph"/>
        <w:numPr>
          <w:ilvl w:val="1"/>
          <w:numId w:val="19"/>
        </w:numPr>
        <w:tabs>
          <w:tab w:pos="1975" w:val="left" w:leader="none"/>
        </w:tabs>
        <w:spacing w:line="240" w:lineRule="auto" w:before="1" w:after="0"/>
        <w:ind w:left="1975" w:right="0" w:hanging="274"/>
        <w:jc w:val="left"/>
        <w:rPr>
          <w:sz w:val="20"/>
        </w:rPr>
      </w:pPr>
      <w:r>
        <w:rPr>
          <w:spacing w:val="26"/>
          <w:sz w:val="20"/>
          <w:u w:val="single"/>
        </w:rPr>
        <w:t>  </w:t>
      </w:r>
      <w:r>
        <w:rPr>
          <w:sz w:val="20"/>
          <w:u w:val="single"/>
        </w:rPr>
        <w:t>Otra</w:t>
      </w:r>
      <w:r>
        <w:rPr>
          <w:spacing w:val="-1"/>
          <w:sz w:val="20"/>
          <w:u w:val="single"/>
        </w:rPr>
        <w:t> </w:t>
      </w:r>
      <w:r>
        <w:rPr>
          <w:spacing w:val="-2"/>
          <w:sz w:val="20"/>
          <w:u w:val="single"/>
        </w:rPr>
        <w:t>información.</w:t>
      </w:r>
    </w:p>
    <w:p>
      <w:pPr>
        <w:pStyle w:val="BodyText"/>
      </w:pPr>
    </w:p>
    <w:p>
      <w:pPr>
        <w:pStyle w:val="BodyText"/>
        <w:spacing w:before="1"/>
        <w:ind w:left="1795"/>
      </w:pPr>
      <w:r>
        <w:rPr>
          <w:u w:val="single"/>
        </w:rPr>
        <w:t>Valor</w:t>
      </w:r>
      <w:r>
        <w:rPr>
          <w:spacing w:val="-8"/>
          <w:u w:val="single"/>
        </w:rPr>
        <w:t> </w:t>
      </w:r>
      <w:r>
        <w:rPr>
          <w:spacing w:val="-2"/>
          <w:u w:val="single"/>
        </w:rPr>
        <w:t>razonable.</w:t>
      </w:r>
    </w:p>
    <w:p>
      <w:pPr>
        <w:pStyle w:val="BodyText"/>
        <w:spacing w:before="228"/>
        <w:ind w:left="1795" w:right="1315"/>
        <w:jc w:val="both"/>
      </w:pPr>
      <w:r>
        <w:rPr/>
        <w:t>El valor en libros de los activos financieros es una aproximación aceptable del valor </w:t>
      </w:r>
      <w:r>
        <w:rPr>
          <w:spacing w:val="-2"/>
        </w:rPr>
        <w:t>razonable.</w:t>
      </w:r>
    </w:p>
    <w:p>
      <w:pPr>
        <w:pStyle w:val="BodyText"/>
        <w:spacing w:before="1"/>
      </w:pPr>
    </w:p>
    <w:p>
      <w:pPr>
        <w:pStyle w:val="BodyText"/>
        <w:ind w:left="1795" w:right="1314"/>
        <w:jc w:val="both"/>
      </w:pPr>
      <w:r>
        <w:rPr/>
        <w:t>Los instrumentos de patrimonio no cotizados en un mercado activo, según lo establecido en la norma de registro y valoración novena del NPGC, se valoran por su coste.</w:t>
      </w:r>
    </w:p>
    <w:p>
      <w:pPr>
        <w:pStyle w:val="BodyText"/>
        <w:spacing w:before="229"/>
        <w:ind w:left="1795" w:right="1309"/>
        <w:jc w:val="both"/>
      </w:pPr>
      <w:r>
        <w:rPr/>
        <w:t>La Sociedad</w:t>
      </w:r>
      <w:r>
        <w:rPr>
          <w:spacing w:val="-1"/>
        </w:rPr>
        <w:t> </w:t>
      </w:r>
      <w:r>
        <w:rPr/>
        <w:t>no</w:t>
      </w:r>
      <w:r>
        <w:rPr>
          <w:spacing w:val="-1"/>
        </w:rPr>
        <w:t> </w:t>
      </w:r>
      <w:r>
        <w:rPr/>
        <w:t>dispone de activos financieros en los que el valor razonable se determina, en su totalidad o en parte, tomando como referencia los precios cotizados en mercados activos, ni se estima utilizando una técnica de valoración.</w:t>
      </w:r>
    </w:p>
    <w:p>
      <w:pPr>
        <w:pStyle w:val="BodyText"/>
        <w:spacing w:after="0"/>
        <w:jc w:val="both"/>
        <w:sectPr>
          <w:pgSz w:w="11910" w:h="16840"/>
          <w:pgMar w:header="286" w:footer="1060" w:top="1920" w:bottom="1260" w:left="360" w:right="360"/>
        </w:sectPr>
      </w:pPr>
    </w:p>
    <w:p>
      <w:pPr>
        <w:pStyle w:val="BodyText"/>
      </w:pPr>
    </w:p>
    <w:p>
      <w:pPr>
        <w:pStyle w:val="BodyText"/>
        <w:spacing w:before="199"/>
      </w:pPr>
    </w:p>
    <w:p>
      <w:pPr>
        <w:pStyle w:val="BodyText"/>
        <w:ind w:left="1768"/>
      </w:pPr>
      <w:r>
        <w:rPr>
          <w:u w:val="single"/>
        </w:rPr>
        <w:t>Empresas</w:t>
      </w:r>
      <w:r>
        <w:rPr>
          <w:spacing w:val="-6"/>
          <w:u w:val="single"/>
        </w:rPr>
        <w:t> </w:t>
      </w:r>
      <w:r>
        <w:rPr>
          <w:u w:val="single"/>
        </w:rPr>
        <w:t>del</w:t>
      </w:r>
      <w:r>
        <w:rPr>
          <w:spacing w:val="-9"/>
          <w:u w:val="single"/>
        </w:rPr>
        <w:t> </w:t>
      </w:r>
      <w:r>
        <w:rPr>
          <w:u w:val="single"/>
        </w:rPr>
        <w:t>grupo,</w:t>
      </w:r>
      <w:r>
        <w:rPr>
          <w:spacing w:val="-7"/>
          <w:u w:val="single"/>
        </w:rPr>
        <w:t> </w:t>
      </w:r>
      <w:r>
        <w:rPr>
          <w:u w:val="single"/>
        </w:rPr>
        <w:t>multigrupo</w:t>
      </w:r>
      <w:r>
        <w:rPr>
          <w:spacing w:val="-3"/>
          <w:u w:val="single"/>
        </w:rPr>
        <w:t> </w:t>
      </w:r>
      <w:r>
        <w:rPr>
          <w:u w:val="single"/>
        </w:rPr>
        <w:t>y</w:t>
      </w:r>
      <w:r>
        <w:rPr>
          <w:spacing w:val="-11"/>
          <w:u w:val="single"/>
        </w:rPr>
        <w:t> </w:t>
      </w:r>
      <w:r>
        <w:rPr>
          <w:spacing w:val="-2"/>
          <w:u w:val="single"/>
        </w:rPr>
        <w:t>asociadas.</w:t>
      </w:r>
    </w:p>
    <w:p>
      <w:pPr>
        <w:pStyle w:val="BodyText"/>
        <w:spacing w:before="3"/>
      </w:pPr>
    </w:p>
    <w:p>
      <w:pPr>
        <w:pStyle w:val="ListParagraph"/>
        <w:numPr>
          <w:ilvl w:val="0"/>
          <w:numId w:val="20"/>
        </w:numPr>
        <w:tabs>
          <w:tab w:pos="2128" w:val="left" w:leader="none"/>
        </w:tabs>
        <w:spacing w:line="240" w:lineRule="auto" w:before="0" w:after="0"/>
        <w:ind w:left="2128" w:right="1338" w:hanging="360"/>
        <w:jc w:val="both"/>
        <w:rPr>
          <w:sz w:val="20"/>
        </w:rPr>
      </w:pPr>
      <w:r>
        <w:rPr>
          <w:sz w:val="20"/>
        </w:rPr>
        <w:t>No</w:t>
      </w:r>
      <w:r>
        <w:rPr>
          <w:spacing w:val="-4"/>
          <w:sz w:val="20"/>
        </w:rPr>
        <w:t> </w:t>
      </w:r>
      <w:r>
        <w:rPr>
          <w:sz w:val="20"/>
        </w:rPr>
        <w:t>se</w:t>
      </w:r>
      <w:r>
        <w:rPr>
          <w:spacing w:val="-5"/>
          <w:sz w:val="20"/>
        </w:rPr>
        <w:t> </w:t>
      </w:r>
      <w:r>
        <w:rPr>
          <w:sz w:val="20"/>
        </w:rPr>
        <w:t>han</w:t>
      </w:r>
      <w:r>
        <w:rPr>
          <w:spacing w:val="-5"/>
          <w:sz w:val="20"/>
        </w:rPr>
        <w:t> </w:t>
      </w:r>
      <w:r>
        <w:rPr>
          <w:sz w:val="20"/>
        </w:rPr>
        <w:t>registrado</w:t>
      </w:r>
      <w:r>
        <w:rPr>
          <w:spacing w:val="-5"/>
          <w:sz w:val="20"/>
        </w:rPr>
        <w:t> </w:t>
      </w:r>
      <w:r>
        <w:rPr>
          <w:sz w:val="20"/>
        </w:rPr>
        <w:t>modificaciones</w:t>
      </w:r>
      <w:r>
        <w:rPr>
          <w:spacing w:val="-2"/>
          <w:sz w:val="20"/>
        </w:rPr>
        <w:t> </w:t>
      </w:r>
      <w:r>
        <w:rPr>
          <w:sz w:val="20"/>
        </w:rPr>
        <w:t>en</w:t>
      </w:r>
      <w:r>
        <w:rPr>
          <w:spacing w:val="-1"/>
          <w:sz w:val="20"/>
        </w:rPr>
        <w:t> </w:t>
      </w:r>
      <w:r>
        <w:rPr>
          <w:sz w:val="20"/>
        </w:rPr>
        <w:t>las</w:t>
      </w:r>
      <w:r>
        <w:rPr>
          <w:spacing w:val="-3"/>
          <w:sz w:val="20"/>
        </w:rPr>
        <w:t> </w:t>
      </w:r>
      <w:r>
        <w:rPr>
          <w:sz w:val="20"/>
        </w:rPr>
        <w:t>dos</w:t>
      </w:r>
      <w:r>
        <w:rPr>
          <w:spacing w:val="-2"/>
          <w:sz w:val="20"/>
        </w:rPr>
        <w:t> </w:t>
      </w:r>
      <w:r>
        <w:rPr>
          <w:sz w:val="20"/>
        </w:rPr>
        <w:t>sociedades</w:t>
      </w:r>
      <w:r>
        <w:rPr>
          <w:spacing w:val="-3"/>
          <w:sz w:val="20"/>
        </w:rPr>
        <w:t> </w:t>
      </w:r>
      <w:r>
        <w:rPr>
          <w:sz w:val="20"/>
        </w:rPr>
        <w:t>participadas</w:t>
      </w:r>
      <w:r>
        <w:rPr>
          <w:spacing w:val="-3"/>
          <w:sz w:val="20"/>
        </w:rPr>
        <w:t> </w:t>
      </w:r>
      <w:r>
        <w:rPr>
          <w:sz w:val="20"/>
        </w:rPr>
        <w:t>al</w:t>
      </w:r>
      <w:r>
        <w:rPr>
          <w:spacing w:val="-2"/>
          <w:sz w:val="20"/>
        </w:rPr>
        <w:t> </w:t>
      </w:r>
      <w:r>
        <w:rPr>
          <w:sz w:val="20"/>
        </w:rPr>
        <w:t>no</w:t>
      </w:r>
      <w:r>
        <w:rPr>
          <w:spacing w:val="-1"/>
          <w:sz w:val="20"/>
        </w:rPr>
        <w:t> </w:t>
      </w:r>
      <w:r>
        <w:rPr>
          <w:sz w:val="20"/>
        </w:rPr>
        <w:t>disponer de cuentas definitivas de las empresas del grupo y no mostrar las cuentas provisionales cambios significativos en el deterioro de participaciones.</w:t>
      </w:r>
      <w:r>
        <w:rPr>
          <w:spacing w:val="40"/>
          <w:sz w:val="20"/>
        </w:rPr>
        <w:t> </w:t>
      </w:r>
      <w:r>
        <w:rPr>
          <w:sz w:val="20"/>
        </w:rPr>
        <w:t>La Sociedad posee participaciones en las siguientes empresas asociadas al 31 de diciembre:</w:t>
      </w:r>
    </w:p>
    <w:p>
      <w:pPr>
        <w:pStyle w:val="ListParagraph"/>
        <w:numPr>
          <w:ilvl w:val="1"/>
          <w:numId w:val="20"/>
        </w:numPr>
        <w:tabs>
          <w:tab w:pos="2048" w:val="left" w:leader="none"/>
        </w:tabs>
        <w:spacing w:line="240" w:lineRule="auto" w:before="227" w:after="0"/>
        <w:ind w:left="2048" w:right="0" w:hanging="280"/>
        <w:jc w:val="left"/>
        <w:rPr>
          <w:sz w:val="20"/>
        </w:rPr>
      </w:pPr>
      <w:r>
        <w:rPr>
          <w:spacing w:val="-4"/>
          <w:sz w:val="20"/>
        </w:rPr>
        <w:t>Denominación:</w:t>
      </w:r>
      <w:r>
        <w:rPr>
          <w:spacing w:val="-5"/>
          <w:sz w:val="20"/>
        </w:rPr>
        <w:t> </w:t>
      </w:r>
      <w:r>
        <w:rPr>
          <w:spacing w:val="-4"/>
          <w:sz w:val="20"/>
        </w:rPr>
        <w:t>Gexco,</w:t>
      </w:r>
      <w:r>
        <w:rPr>
          <w:spacing w:val="-5"/>
          <w:sz w:val="20"/>
        </w:rPr>
        <w:t> </w:t>
      </w:r>
      <w:r>
        <w:rPr>
          <w:spacing w:val="-4"/>
          <w:sz w:val="20"/>
        </w:rPr>
        <w:t>S.L.</w:t>
      </w:r>
    </w:p>
    <w:p>
      <w:pPr>
        <w:pStyle w:val="BodyText"/>
        <w:spacing w:before="1"/>
        <w:ind w:left="2054" w:right="1308"/>
      </w:pPr>
      <w:r>
        <w:rPr/>
        <w:t>Domicilio:</w:t>
      </w:r>
      <w:r>
        <w:rPr>
          <w:spacing w:val="-10"/>
        </w:rPr>
        <w:t> </w:t>
      </w:r>
      <w:r>
        <w:rPr/>
        <w:t>Avda.</w:t>
      </w:r>
      <w:r>
        <w:rPr>
          <w:spacing w:val="-10"/>
        </w:rPr>
        <w:t> </w:t>
      </w:r>
      <w:r>
        <w:rPr/>
        <w:t>Rafael</w:t>
      </w:r>
      <w:r>
        <w:rPr>
          <w:spacing w:val="-11"/>
        </w:rPr>
        <w:t> </w:t>
      </w:r>
      <w:r>
        <w:rPr/>
        <w:t>Cabrera,</w:t>
      </w:r>
      <w:r>
        <w:rPr>
          <w:spacing w:val="-12"/>
        </w:rPr>
        <w:t> </w:t>
      </w:r>
      <w:r>
        <w:rPr/>
        <w:t>s/n,</w:t>
      </w:r>
      <w:r>
        <w:rPr>
          <w:spacing w:val="-10"/>
        </w:rPr>
        <w:t> </w:t>
      </w:r>
      <w:r>
        <w:rPr/>
        <w:t>-</w:t>
      </w:r>
      <w:r>
        <w:rPr>
          <w:spacing w:val="-8"/>
        </w:rPr>
        <w:t> </w:t>
      </w:r>
      <w:r>
        <w:rPr/>
        <w:t>Estación</w:t>
      </w:r>
      <w:r>
        <w:rPr>
          <w:spacing w:val="-9"/>
        </w:rPr>
        <w:t> </w:t>
      </w:r>
      <w:r>
        <w:rPr/>
        <w:t>de</w:t>
      </w:r>
      <w:r>
        <w:rPr>
          <w:spacing w:val="-9"/>
        </w:rPr>
        <w:t> </w:t>
      </w:r>
      <w:r>
        <w:rPr/>
        <w:t>Guaguas</w:t>
      </w:r>
      <w:r>
        <w:rPr>
          <w:spacing w:val="-8"/>
        </w:rPr>
        <w:t> </w:t>
      </w:r>
      <w:r>
        <w:rPr/>
        <w:t>-</w:t>
      </w:r>
      <w:r>
        <w:rPr>
          <w:spacing w:val="-9"/>
        </w:rPr>
        <w:t> </w:t>
      </w:r>
      <w:r>
        <w:rPr/>
        <w:t>Las</w:t>
      </w:r>
      <w:r>
        <w:rPr>
          <w:spacing w:val="-8"/>
        </w:rPr>
        <w:t> </w:t>
      </w:r>
      <w:r>
        <w:rPr/>
        <w:t>Palmas</w:t>
      </w:r>
      <w:r>
        <w:rPr>
          <w:spacing w:val="-8"/>
        </w:rPr>
        <w:t> </w:t>
      </w:r>
      <w:r>
        <w:rPr/>
        <w:t>de</w:t>
      </w:r>
      <w:r>
        <w:rPr>
          <w:spacing w:val="-9"/>
        </w:rPr>
        <w:t> </w:t>
      </w:r>
      <w:r>
        <w:rPr/>
        <w:t>G.C. </w:t>
      </w:r>
      <w:r>
        <w:rPr>
          <w:spacing w:val="-2"/>
        </w:rPr>
        <w:t>Actividad:</w:t>
      </w:r>
      <w:r>
        <w:rPr>
          <w:spacing w:val="-12"/>
        </w:rPr>
        <w:t> </w:t>
      </w:r>
      <w:r>
        <w:rPr>
          <w:spacing w:val="-2"/>
        </w:rPr>
        <w:t>Mantenimiento</w:t>
      </w:r>
      <w:r>
        <w:rPr>
          <w:spacing w:val="-12"/>
        </w:rPr>
        <w:t> </w:t>
      </w:r>
      <w:r>
        <w:rPr>
          <w:spacing w:val="-2"/>
        </w:rPr>
        <w:t>y</w:t>
      </w:r>
      <w:r>
        <w:rPr>
          <w:spacing w:val="-12"/>
        </w:rPr>
        <w:t> </w:t>
      </w:r>
      <w:r>
        <w:rPr>
          <w:spacing w:val="-2"/>
        </w:rPr>
        <w:t>conservación</w:t>
      </w:r>
      <w:r>
        <w:rPr>
          <w:spacing w:val="-12"/>
        </w:rPr>
        <w:t> </w:t>
      </w:r>
      <w:r>
        <w:rPr>
          <w:spacing w:val="-2"/>
        </w:rPr>
        <w:t>de</w:t>
      </w:r>
      <w:r>
        <w:rPr>
          <w:spacing w:val="-12"/>
        </w:rPr>
        <w:t> </w:t>
      </w:r>
      <w:r>
        <w:rPr>
          <w:spacing w:val="-2"/>
        </w:rPr>
        <w:t>Estación</w:t>
      </w:r>
      <w:r>
        <w:rPr>
          <w:spacing w:val="-12"/>
        </w:rPr>
        <w:t> </w:t>
      </w:r>
      <w:r>
        <w:rPr>
          <w:spacing w:val="-2"/>
        </w:rPr>
        <w:t>de</w:t>
      </w:r>
      <w:r>
        <w:rPr>
          <w:spacing w:val="-12"/>
        </w:rPr>
        <w:t> </w:t>
      </w:r>
      <w:r>
        <w:rPr>
          <w:spacing w:val="-2"/>
        </w:rPr>
        <w:t>Guaguas</w:t>
      </w:r>
      <w:r>
        <w:rPr>
          <w:spacing w:val="-11"/>
        </w:rPr>
        <w:t> </w:t>
      </w:r>
      <w:r>
        <w:rPr>
          <w:spacing w:val="-2"/>
        </w:rPr>
        <w:t>de</w:t>
      </w:r>
      <w:r>
        <w:rPr>
          <w:spacing w:val="-12"/>
        </w:rPr>
        <w:t> </w:t>
      </w:r>
      <w:r>
        <w:rPr>
          <w:spacing w:val="-2"/>
        </w:rPr>
        <w:t>Las</w:t>
      </w:r>
      <w:r>
        <w:rPr>
          <w:spacing w:val="-10"/>
        </w:rPr>
        <w:t> </w:t>
      </w:r>
      <w:r>
        <w:rPr>
          <w:spacing w:val="-2"/>
        </w:rPr>
        <w:t>Palmas</w:t>
      </w:r>
      <w:r>
        <w:rPr>
          <w:spacing w:val="-11"/>
        </w:rPr>
        <w:t> </w:t>
      </w:r>
      <w:r>
        <w:rPr>
          <w:spacing w:val="-2"/>
        </w:rPr>
        <w:t>de</w:t>
      </w:r>
      <w:r>
        <w:rPr>
          <w:spacing w:val="-12"/>
        </w:rPr>
        <w:t> </w:t>
      </w:r>
      <w:r>
        <w:rPr>
          <w:spacing w:val="-2"/>
        </w:rPr>
        <w:t>G.C. </w:t>
      </w:r>
      <w:r>
        <w:rPr/>
        <w:t>Porcentaje</w:t>
      </w:r>
      <w:r>
        <w:rPr>
          <w:spacing w:val="-2"/>
        </w:rPr>
        <w:t> </w:t>
      </w:r>
      <w:r>
        <w:rPr/>
        <w:t>participación directa:</w:t>
      </w:r>
      <w:r>
        <w:rPr>
          <w:spacing w:val="-1"/>
        </w:rPr>
        <w:t> </w:t>
      </w:r>
      <w:r>
        <w:rPr/>
        <w:t>33,33</w:t>
      </w:r>
      <w:r>
        <w:rPr>
          <w:spacing w:val="-2"/>
        </w:rPr>
        <w:t> </w:t>
      </w:r>
      <w:r>
        <w:rPr/>
        <w:t>por 100</w:t>
      </w:r>
    </w:p>
    <w:p>
      <w:pPr>
        <w:pStyle w:val="BodyText"/>
        <w:spacing w:before="1"/>
      </w:pPr>
    </w:p>
    <w:p>
      <w:pPr>
        <w:pStyle w:val="BodyText"/>
        <w:spacing w:line="229" w:lineRule="exact"/>
        <w:ind w:right="5295"/>
        <w:jc w:val="center"/>
      </w:pPr>
      <w:r>
        <w:rPr>
          <w:spacing w:val="-4"/>
        </w:rPr>
        <w:t>Datos</w:t>
      </w:r>
      <w:r>
        <w:rPr>
          <w:spacing w:val="-3"/>
        </w:rPr>
        <w:t> </w:t>
      </w:r>
      <w:r>
        <w:rPr>
          <w:spacing w:val="-4"/>
        </w:rPr>
        <w:t>balance</w:t>
      </w:r>
      <w:r>
        <w:rPr>
          <w:spacing w:val="-6"/>
        </w:rPr>
        <w:t> </w:t>
      </w:r>
      <w:r>
        <w:rPr>
          <w:spacing w:val="-4"/>
        </w:rPr>
        <w:t>2024:</w:t>
      </w:r>
    </w:p>
    <w:p>
      <w:pPr>
        <w:pStyle w:val="BodyText"/>
        <w:tabs>
          <w:tab w:pos="4324" w:val="left" w:leader="none"/>
        </w:tabs>
        <w:spacing w:line="229" w:lineRule="exact"/>
        <w:ind w:right="53"/>
        <w:jc w:val="center"/>
      </w:pPr>
      <w:r>
        <w:rPr>
          <w:spacing w:val="-2"/>
        </w:rPr>
        <w:t>Capital</w:t>
      </w:r>
      <w:r>
        <w:rPr/>
        <w:tab/>
      </w:r>
      <w:r>
        <w:rPr>
          <w:spacing w:val="-2"/>
        </w:rPr>
        <w:t>54.091,09</w:t>
      </w:r>
    </w:p>
    <w:p>
      <w:pPr>
        <w:pStyle w:val="BodyText"/>
        <w:tabs>
          <w:tab w:pos="4055" w:val="left" w:leader="none"/>
        </w:tabs>
        <w:spacing w:before="1"/>
        <w:ind w:right="53"/>
        <w:jc w:val="center"/>
      </w:pPr>
      <w:r>
        <w:rPr>
          <w:spacing w:val="-2"/>
        </w:rPr>
        <w:t>Reservas</w:t>
      </w:r>
      <w:r>
        <w:rPr/>
        <w:tab/>
      </w:r>
      <w:r>
        <w:rPr>
          <w:spacing w:val="-2"/>
        </w:rPr>
        <w:t>1.520.861,88</w:t>
      </w:r>
    </w:p>
    <w:p>
      <w:pPr>
        <w:pStyle w:val="BodyText"/>
        <w:tabs>
          <w:tab w:pos="4216" w:val="left" w:leader="none"/>
        </w:tabs>
        <w:ind w:right="52"/>
        <w:jc w:val="center"/>
      </w:pPr>
      <w:r>
        <w:rPr/>
        <w:t>Resultado</w:t>
      </w:r>
      <w:r>
        <w:rPr>
          <w:spacing w:val="-7"/>
        </w:rPr>
        <w:t> </w:t>
      </w:r>
      <w:r>
        <w:rPr/>
        <w:t>del</w:t>
      </w:r>
      <w:r>
        <w:rPr>
          <w:spacing w:val="-11"/>
        </w:rPr>
        <w:t> </w:t>
      </w:r>
      <w:r>
        <w:rPr/>
        <w:t>ejercicio</w:t>
      </w:r>
      <w:r>
        <w:rPr>
          <w:spacing w:val="-7"/>
        </w:rPr>
        <w:t> </w:t>
      </w:r>
      <w:r>
        <w:rPr>
          <w:spacing w:val="-2"/>
        </w:rPr>
        <w:t>(beneficios)</w:t>
      </w:r>
      <w:r>
        <w:rPr/>
        <w:tab/>
      </w:r>
      <w:r>
        <w:rPr>
          <w:spacing w:val="-2"/>
        </w:rPr>
        <w:t>199.851,68</w:t>
      </w:r>
    </w:p>
    <w:p>
      <w:pPr>
        <w:pStyle w:val="BodyText"/>
        <w:spacing w:before="1"/>
      </w:pPr>
    </w:p>
    <w:p>
      <w:pPr>
        <w:pStyle w:val="BodyText"/>
        <w:ind w:right="3777"/>
        <w:jc w:val="center"/>
      </w:pPr>
      <w:r>
        <w:rPr>
          <w:spacing w:val="-4"/>
        </w:rPr>
        <w:t>Valor de</w:t>
      </w:r>
      <w:r>
        <w:rPr>
          <w:spacing w:val="-3"/>
        </w:rPr>
        <w:t> </w:t>
      </w:r>
      <w:r>
        <w:rPr>
          <w:spacing w:val="-4"/>
        </w:rPr>
        <w:t>la participación</w:t>
      </w:r>
      <w:r>
        <w:rPr>
          <w:spacing w:val="-3"/>
        </w:rPr>
        <w:t> </w:t>
      </w:r>
      <w:r>
        <w:rPr>
          <w:spacing w:val="-4"/>
        </w:rPr>
        <w:t>a</w:t>
      </w:r>
      <w:r>
        <w:rPr>
          <w:spacing w:val="-3"/>
        </w:rPr>
        <w:t> </w:t>
      </w:r>
      <w:r>
        <w:rPr>
          <w:spacing w:val="-4"/>
        </w:rPr>
        <w:t>31/12/2024:</w:t>
      </w:r>
    </w:p>
    <w:p>
      <w:pPr>
        <w:pStyle w:val="BodyText"/>
        <w:tabs>
          <w:tab w:pos="4217" w:val="left" w:leader="none"/>
        </w:tabs>
        <w:spacing w:line="229" w:lineRule="exact" w:before="1"/>
        <w:ind w:right="53"/>
        <w:jc w:val="center"/>
      </w:pPr>
      <w:r>
        <w:rPr>
          <w:spacing w:val="-2"/>
        </w:rPr>
        <w:t>Teórico</w:t>
      </w:r>
      <w:r>
        <w:rPr/>
        <w:tab/>
      </w:r>
      <w:r>
        <w:rPr>
          <w:spacing w:val="-2"/>
        </w:rPr>
        <w:t>592.664,40</w:t>
      </w:r>
    </w:p>
    <w:p>
      <w:pPr>
        <w:pStyle w:val="BodyText"/>
        <w:tabs>
          <w:tab w:pos="4324" w:val="left" w:leader="none"/>
        </w:tabs>
        <w:spacing w:line="229" w:lineRule="exact"/>
        <w:ind w:right="53"/>
        <w:jc w:val="center"/>
      </w:pPr>
      <w:r>
        <w:rPr>
          <w:spacing w:val="-2"/>
        </w:rPr>
        <w:t>Contabilizado</w:t>
      </w:r>
      <w:r>
        <w:rPr/>
        <w:tab/>
      </w:r>
      <w:r>
        <w:rPr>
          <w:spacing w:val="-2"/>
        </w:rPr>
        <w:t>18.030,34</w:t>
      </w:r>
    </w:p>
    <w:p>
      <w:pPr>
        <w:pStyle w:val="BodyText"/>
      </w:pPr>
    </w:p>
    <w:p>
      <w:pPr>
        <w:pStyle w:val="BodyText"/>
        <w:spacing w:before="1"/>
      </w:pPr>
    </w:p>
    <w:p>
      <w:pPr>
        <w:pStyle w:val="ListParagraph"/>
        <w:numPr>
          <w:ilvl w:val="1"/>
          <w:numId w:val="20"/>
        </w:numPr>
        <w:tabs>
          <w:tab w:pos="2051" w:val="left" w:leader="none"/>
          <w:tab w:pos="2054" w:val="left" w:leader="none"/>
        </w:tabs>
        <w:spacing w:line="240" w:lineRule="auto" w:before="0" w:after="0"/>
        <w:ind w:left="2054" w:right="3576" w:hanging="356"/>
        <w:jc w:val="left"/>
        <w:rPr>
          <w:sz w:val="20"/>
        </w:rPr>
      </w:pPr>
      <w:r>
        <w:rPr>
          <w:sz w:val="20"/>
        </w:rPr>
        <w:t>Denominación:</w:t>
      </w:r>
      <w:r>
        <w:rPr>
          <w:spacing w:val="-8"/>
          <w:sz w:val="20"/>
        </w:rPr>
        <w:t> </w:t>
      </w:r>
      <w:r>
        <w:rPr>
          <w:sz w:val="20"/>
        </w:rPr>
        <w:t>Red</w:t>
      </w:r>
      <w:r>
        <w:rPr>
          <w:spacing w:val="-7"/>
          <w:sz w:val="20"/>
        </w:rPr>
        <w:t> </w:t>
      </w:r>
      <w:r>
        <w:rPr>
          <w:sz w:val="20"/>
        </w:rPr>
        <w:t>Canarias</w:t>
      </w:r>
      <w:r>
        <w:rPr>
          <w:spacing w:val="-6"/>
          <w:sz w:val="20"/>
        </w:rPr>
        <w:t> </w:t>
      </w:r>
      <w:r>
        <w:rPr>
          <w:sz w:val="20"/>
        </w:rPr>
        <w:t>de</w:t>
      </w:r>
      <w:r>
        <w:rPr>
          <w:spacing w:val="-8"/>
          <w:sz w:val="20"/>
        </w:rPr>
        <w:t> </w:t>
      </w:r>
      <w:r>
        <w:rPr>
          <w:sz w:val="20"/>
        </w:rPr>
        <w:t>Transportes</w:t>
      </w:r>
      <w:r>
        <w:rPr>
          <w:spacing w:val="-6"/>
          <w:sz w:val="20"/>
        </w:rPr>
        <w:t> </w:t>
      </w:r>
      <w:r>
        <w:rPr>
          <w:sz w:val="20"/>
        </w:rPr>
        <w:t>Integrales,</w:t>
      </w:r>
      <w:r>
        <w:rPr>
          <w:spacing w:val="-9"/>
          <w:sz w:val="20"/>
        </w:rPr>
        <w:t> </w:t>
      </w:r>
      <w:r>
        <w:rPr>
          <w:sz w:val="20"/>
        </w:rPr>
        <w:t>S.L. Domicilio:</w:t>
      </w:r>
      <w:r>
        <w:rPr>
          <w:spacing w:val="-3"/>
          <w:sz w:val="20"/>
        </w:rPr>
        <w:t> </w:t>
      </w:r>
      <w:r>
        <w:rPr>
          <w:sz w:val="20"/>
        </w:rPr>
        <w:t>C/</w:t>
      </w:r>
      <w:r>
        <w:rPr>
          <w:spacing w:val="-3"/>
          <w:sz w:val="20"/>
        </w:rPr>
        <w:t> </w:t>
      </w:r>
      <w:r>
        <w:rPr>
          <w:sz w:val="20"/>
        </w:rPr>
        <w:t>Bravo</w:t>
      </w:r>
      <w:r>
        <w:rPr>
          <w:spacing w:val="-4"/>
          <w:sz w:val="20"/>
        </w:rPr>
        <w:t> </w:t>
      </w:r>
      <w:r>
        <w:rPr>
          <w:sz w:val="20"/>
        </w:rPr>
        <w:t>Murillo,</w:t>
      </w:r>
      <w:r>
        <w:rPr>
          <w:spacing w:val="-3"/>
          <w:sz w:val="20"/>
        </w:rPr>
        <w:t> </w:t>
      </w:r>
      <w:r>
        <w:rPr>
          <w:sz w:val="20"/>
        </w:rPr>
        <w:t>nº</w:t>
      </w:r>
      <w:r>
        <w:rPr>
          <w:spacing w:val="-4"/>
          <w:sz w:val="20"/>
        </w:rPr>
        <w:t> </w:t>
      </w:r>
      <w:r>
        <w:rPr>
          <w:sz w:val="20"/>
        </w:rPr>
        <w:t>17.</w:t>
      </w:r>
      <w:r>
        <w:rPr>
          <w:spacing w:val="-3"/>
          <w:sz w:val="20"/>
        </w:rPr>
        <w:t> </w:t>
      </w:r>
      <w:r>
        <w:rPr>
          <w:sz w:val="20"/>
        </w:rPr>
        <w:t>Las</w:t>
      </w:r>
      <w:r>
        <w:rPr>
          <w:spacing w:val="-1"/>
          <w:sz w:val="20"/>
        </w:rPr>
        <w:t> </w:t>
      </w:r>
      <w:r>
        <w:rPr>
          <w:sz w:val="20"/>
        </w:rPr>
        <w:t>Palmas</w:t>
      </w:r>
      <w:r>
        <w:rPr>
          <w:spacing w:val="-1"/>
          <w:sz w:val="20"/>
        </w:rPr>
        <w:t> </w:t>
      </w:r>
      <w:r>
        <w:rPr>
          <w:sz w:val="20"/>
        </w:rPr>
        <w:t>de</w:t>
      </w:r>
      <w:r>
        <w:rPr>
          <w:spacing w:val="-2"/>
          <w:sz w:val="20"/>
        </w:rPr>
        <w:t> </w:t>
      </w:r>
      <w:r>
        <w:rPr>
          <w:sz w:val="20"/>
        </w:rPr>
        <w:t>G.C.</w:t>
      </w:r>
      <w:r>
        <w:rPr>
          <w:sz w:val="20"/>
        </w:rPr>
        <w:t> </w:t>
      </w:r>
      <w:r>
        <w:rPr>
          <w:spacing w:val="-4"/>
          <w:sz w:val="20"/>
        </w:rPr>
        <w:t>Actividad: Mantenimiento y</w:t>
      </w:r>
      <w:r>
        <w:rPr>
          <w:spacing w:val="-5"/>
          <w:sz w:val="20"/>
        </w:rPr>
        <w:t> </w:t>
      </w:r>
      <w:r>
        <w:rPr>
          <w:spacing w:val="-4"/>
          <w:sz w:val="20"/>
        </w:rPr>
        <w:t>reposición de máquinas electrónicas. </w:t>
      </w:r>
      <w:r>
        <w:rPr>
          <w:sz w:val="20"/>
        </w:rPr>
        <w:t>Porcentaje</w:t>
      </w:r>
      <w:r>
        <w:rPr>
          <w:spacing w:val="-2"/>
          <w:sz w:val="20"/>
        </w:rPr>
        <w:t> </w:t>
      </w:r>
      <w:r>
        <w:rPr>
          <w:sz w:val="20"/>
        </w:rPr>
        <w:t>participación directa:</w:t>
      </w:r>
      <w:r>
        <w:rPr>
          <w:spacing w:val="-1"/>
          <w:sz w:val="20"/>
        </w:rPr>
        <w:t> </w:t>
      </w:r>
      <w:r>
        <w:rPr>
          <w:sz w:val="20"/>
        </w:rPr>
        <w:t>33,33</w:t>
      </w:r>
      <w:r>
        <w:rPr>
          <w:spacing w:val="-2"/>
          <w:sz w:val="20"/>
        </w:rPr>
        <w:t> </w:t>
      </w:r>
      <w:r>
        <w:rPr>
          <w:sz w:val="20"/>
        </w:rPr>
        <w:t>por 100</w:t>
      </w:r>
    </w:p>
    <w:p>
      <w:pPr>
        <w:pStyle w:val="BodyText"/>
        <w:spacing w:before="229"/>
        <w:ind w:right="5295"/>
        <w:jc w:val="center"/>
      </w:pPr>
      <w:r>
        <w:rPr>
          <w:spacing w:val="-4"/>
        </w:rPr>
        <w:t>Datos</w:t>
      </w:r>
      <w:r>
        <w:rPr>
          <w:spacing w:val="-3"/>
        </w:rPr>
        <w:t> </w:t>
      </w:r>
      <w:r>
        <w:rPr>
          <w:spacing w:val="-4"/>
        </w:rPr>
        <w:t>balance</w:t>
      </w:r>
      <w:r>
        <w:rPr>
          <w:spacing w:val="-6"/>
        </w:rPr>
        <w:t> </w:t>
      </w:r>
      <w:r>
        <w:rPr>
          <w:spacing w:val="-4"/>
        </w:rPr>
        <w:t>2024:</w:t>
      </w:r>
    </w:p>
    <w:p>
      <w:pPr>
        <w:pStyle w:val="BodyText"/>
        <w:tabs>
          <w:tab w:pos="4380" w:val="left" w:leader="none"/>
        </w:tabs>
        <w:spacing w:before="1"/>
        <w:jc w:val="center"/>
      </w:pPr>
      <w:r>
        <w:rPr>
          <w:spacing w:val="-2"/>
        </w:rPr>
        <w:t>Capital</w:t>
      </w:r>
      <w:r>
        <w:rPr/>
        <w:tab/>
      </w:r>
      <w:r>
        <w:rPr>
          <w:spacing w:val="-2"/>
        </w:rPr>
        <w:t>18.030,36</w:t>
      </w:r>
    </w:p>
    <w:p>
      <w:pPr>
        <w:pStyle w:val="BodyText"/>
        <w:tabs>
          <w:tab w:pos="4271" w:val="left" w:leader="none"/>
        </w:tabs>
        <w:spacing w:line="229" w:lineRule="exact"/>
        <w:jc w:val="center"/>
      </w:pPr>
      <w:r>
        <w:rPr>
          <w:spacing w:val="-2"/>
        </w:rPr>
        <w:t>Reservas</w:t>
      </w:r>
      <w:r>
        <w:rPr/>
        <w:tab/>
      </w:r>
      <w:r>
        <w:rPr>
          <w:spacing w:val="-2"/>
        </w:rPr>
        <w:t>963.266,42</w:t>
      </w:r>
    </w:p>
    <w:p>
      <w:pPr>
        <w:pStyle w:val="BodyText"/>
        <w:tabs>
          <w:tab w:pos="4272" w:val="left" w:leader="none"/>
        </w:tabs>
        <w:spacing w:line="229" w:lineRule="exact"/>
        <w:jc w:val="center"/>
      </w:pPr>
      <w:r>
        <w:rPr>
          <w:spacing w:val="-4"/>
        </w:rPr>
        <w:t>Resultados</w:t>
      </w:r>
      <w:r>
        <w:rPr>
          <w:spacing w:val="-3"/>
        </w:rPr>
        <w:t> </w:t>
      </w:r>
      <w:r>
        <w:rPr>
          <w:spacing w:val="-4"/>
        </w:rPr>
        <w:t>del</w:t>
      </w:r>
      <w:r>
        <w:rPr>
          <w:spacing w:val="-5"/>
        </w:rPr>
        <w:t> </w:t>
      </w:r>
      <w:r>
        <w:rPr>
          <w:spacing w:val="-4"/>
        </w:rPr>
        <w:t>ejercicio</w:t>
      </w:r>
      <w:r>
        <w:rPr>
          <w:spacing w:val="-2"/>
        </w:rPr>
        <w:t> </w:t>
      </w:r>
      <w:r>
        <w:rPr>
          <w:spacing w:val="-4"/>
        </w:rPr>
        <w:t>(beneficio)</w:t>
      </w:r>
      <w:r>
        <w:rPr/>
        <w:tab/>
      </w:r>
      <w:r>
        <w:rPr>
          <w:spacing w:val="-2"/>
        </w:rPr>
        <w:t>126.015,04</w:t>
      </w:r>
    </w:p>
    <w:p>
      <w:pPr>
        <w:pStyle w:val="BodyText"/>
        <w:spacing w:before="1"/>
      </w:pPr>
    </w:p>
    <w:p>
      <w:pPr>
        <w:pStyle w:val="BodyText"/>
        <w:ind w:right="3777"/>
        <w:jc w:val="center"/>
      </w:pPr>
      <w:r>
        <w:rPr>
          <w:spacing w:val="-4"/>
        </w:rPr>
        <w:t>Valor de</w:t>
      </w:r>
      <w:r>
        <w:rPr>
          <w:spacing w:val="-3"/>
        </w:rPr>
        <w:t> </w:t>
      </w:r>
      <w:r>
        <w:rPr>
          <w:spacing w:val="-4"/>
        </w:rPr>
        <w:t>la participación</w:t>
      </w:r>
      <w:r>
        <w:rPr>
          <w:spacing w:val="-3"/>
        </w:rPr>
        <w:t> </w:t>
      </w:r>
      <w:r>
        <w:rPr>
          <w:spacing w:val="-4"/>
        </w:rPr>
        <w:t>a</w:t>
      </w:r>
      <w:r>
        <w:rPr>
          <w:spacing w:val="-3"/>
        </w:rPr>
        <w:t> </w:t>
      </w:r>
      <w:r>
        <w:rPr>
          <w:spacing w:val="-4"/>
        </w:rPr>
        <w:t>31/12/2024:</w:t>
      </w:r>
    </w:p>
    <w:p>
      <w:pPr>
        <w:pStyle w:val="BodyText"/>
        <w:tabs>
          <w:tab w:pos="4271" w:val="left" w:leader="none"/>
        </w:tabs>
        <w:spacing w:before="1"/>
        <w:jc w:val="center"/>
      </w:pPr>
      <w:r>
        <w:rPr/>
        <mc:AlternateContent>
          <mc:Choice Requires="wps">
            <w:drawing>
              <wp:anchor distT="0" distB="0" distL="0" distR="0" allowOverlap="1" layoutInCell="1" locked="0" behindDoc="0" simplePos="0" relativeHeight="15762432">
                <wp:simplePos x="0" y="0"/>
                <wp:positionH relativeFrom="page">
                  <wp:posOffset>6966436</wp:posOffset>
                </wp:positionH>
                <wp:positionV relativeFrom="paragraph">
                  <wp:posOffset>87847</wp:posOffset>
                </wp:positionV>
                <wp:extent cx="263525" cy="327596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6.917146pt;width:20.75pt;height:257.95pt;mso-position-horizontal-relative:page;mso-position-vertical-relative:paragraph;z-index:15762432" type="#_x0000_t202" id="docshape11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49</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2"/>
        </w:rPr>
        <w:t>Teórico</w:t>
      </w:r>
      <w:r>
        <w:rPr/>
        <w:tab/>
      </w:r>
      <w:r>
        <w:rPr>
          <w:spacing w:val="-2"/>
        </w:rPr>
        <w:t>369.319,85</w:t>
      </w:r>
    </w:p>
    <w:p>
      <w:pPr>
        <w:pStyle w:val="BodyText"/>
        <w:tabs>
          <w:tab w:pos="4491" w:val="left" w:leader="none"/>
        </w:tabs>
        <w:ind w:left="2"/>
        <w:jc w:val="center"/>
      </w:pPr>
      <w:r>
        <w:rPr>
          <w:spacing w:val="-2"/>
        </w:rPr>
        <w:t>Contabilizado</w:t>
      </w:r>
      <w:r>
        <w:rPr/>
        <w:tab/>
      </w:r>
      <w:r>
        <w:rPr>
          <w:spacing w:val="-2"/>
        </w:rPr>
        <w:t>6.010,24</w:t>
      </w:r>
    </w:p>
    <w:p>
      <w:pPr>
        <w:pStyle w:val="BodyText"/>
        <w:spacing w:before="229"/>
      </w:pPr>
    </w:p>
    <w:p>
      <w:pPr>
        <w:pStyle w:val="BodyText"/>
        <w:ind w:left="1699"/>
      </w:pPr>
      <w:r>
        <w:rPr/>
        <w:t>Las</w:t>
      </w:r>
      <w:r>
        <w:rPr>
          <w:spacing w:val="-7"/>
        </w:rPr>
        <w:t> </w:t>
      </w:r>
      <w:r>
        <w:rPr/>
        <w:t>entidades</w:t>
      </w:r>
      <w:r>
        <w:rPr>
          <w:spacing w:val="-7"/>
        </w:rPr>
        <w:t> </w:t>
      </w:r>
      <w:r>
        <w:rPr/>
        <w:t>participadas</w:t>
      </w:r>
      <w:r>
        <w:rPr>
          <w:spacing w:val="-4"/>
        </w:rPr>
        <w:t> </w:t>
      </w:r>
      <w:r>
        <w:rPr/>
        <w:t>no</w:t>
      </w:r>
      <w:r>
        <w:rPr>
          <w:spacing w:val="-10"/>
        </w:rPr>
        <w:t> </w:t>
      </w:r>
      <w:r>
        <w:rPr/>
        <w:t>cotizan</w:t>
      </w:r>
      <w:r>
        <w:rPr>
          <w:spacing w:val="-9"/>
        </w:rPr>
        <w:t> </w:t>
      </w:r>
      <w:r>
        <w:rPr/>
        <w:t>en</w:t>
      </w:r>
      <w:r>
        <w:rPr>
          <w:spacing w:val="-8"/>
        </w:rPr>
        <w:t> </w:t>
      </w:r>
      <w:r>
        <w:rPr>
          <w:spacing w:val="-2"/>
        </w:rPr>
        <w:t>Bolsa.</w:t>
      </w:r>
    </w:p>
    <w:p>
      <w:pPr>
        <w:pStyle w:val="BodyText"/>
        <w:spacing w:before="2"/>
      </w:pPr>
    </w:p>
    <w:p>
      <w:pPr>
        <w:pStyle w:val="ListParagraph"/>
        <w:numPr>
          <w:ilvl w:val="0"/>
          <w:numId w:val="20"/>
        </w:numPr>
        <w:tabs>
          <w:tab w:pos="2128" w:val="left" w:leader="none"/>
        </w:tabs>
        <w:spacing w:line="240" w:lineRule="auto" w:before="1" w:after="0"/>
        <w:ind w:left="2128" w:right="1338" w:hanging="360"/>
        <w:jc w:val="left"/>
        <w:rPr>
          <w:sz w:val="20"/>
        </w:rPr>
      </w:pPr>
      <w:r>
        <w:rPr>
          <w:sz w:val="20"/>
        </w:rPr>
        <w:t>Los movimientos habidos durante el ejercicio 2025 en instrumentos de patrimonio en empresas del grupo y asociadas han sido los siguientes:</w:t>
      </w:r>
    </w:p>
    <w:p>
      <w:pPr>
        <w:pStyle w:val="BodyText"/>
        <w:spacing w:before="207" w:after="1"/>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7"/>
        <w:gridCol w:w="1257"/>
        <w:gridCol w:w="1120"/>
        <w:gridCol w:w="1175"/>
        <w:gridCol w:w="1182"/>
      </w:tblGrid>
      <w:tr>
        <w:trPr>
          <w:trHeight w:val="210" w:hRule="atLeast"/>
        </w:trPr>
        <w:tc>
          <w:tcPr>
            <w:tcW w:w="3907" w:type="dxa"/>
          </w:tcPr>
          <w:p>
            <w:pPr>
              <w:pStyle w:val="TableParagraph"/>
              <w:rPr>
                <w:rFonts w:ascii="Times New Roman"/>
                <w:sz w:val="14"/>
              </w:rPr>
            </w:pPr>
          </w:p>
        </w:tc>
        <w:tc>
          <w:tcPr>
            <w:tcW w:w="1257" w:type="dxa"/>
          </w:tcPr>
          <w:p>
            <w:pPr>
              <w:pStyle w:val="TableParagraph"/>
              <w:spacing w:line="191" w:lineRule="exact"/>
              <w:ind w:left="383"/>
              <w:rPr>
                <w:b/>
                <w:sz w:val="18"/>
              </w:rPr>
            </w:pPr>
            <w:r>
              <w:rPr>
                <w:b/>
                <w:spacing w:val="-2"/>
                <w:sz w:val="18"/>
              </w:rPr>
              <w:t>Saldo</w:t>
            </w:r>
          </w:p>
        </w:tc>
        <w:tc>
          <w:tcPr>
            <w:tcW w:w="1120" w:type="dxa"/>
          </w:tcPr>
          <w:p>
            <w:pPr>
              <w:pStyle w:val="TableParagraph"/>
              <w:rPr>
                <w:rFonts w:ascii="Times New Roman"/>
                <w:sz w:val="14"/>
              </w:rPr>
            </w:pPr>
          </w:p>
        </w:tc>
        <w:tc>
          <w:tcPr>
            <w:tcW w:w="1175" w:type="dxa"/>
          </w:tcPr>
          <w:p>
            <w:pPr>
              <w:pStyle w:val="TableParagraph"/>
              <w:rPr>
                <w:rFonts w:ascii="Times New Roman"/>
                <w:sz w:val="14"/>
              </w:rPr>
            </w:pPr>
          </w:p>
        </w:tc>
        <w:tc>
          <w:tcPr>
            <w:tcW w:w="1182" w:type="dxa"/>
          </w:tcPr>
          <w:p>
            <w:pPr>
              <w:pStyle w:val="TableParagraph"/>
              <w:spacing w:line="191" w:lineRule="exact"/>
              <w:ind w:left="347"/>
              <w:rPr>
                <w:b/>
                <w:sz w:val="18"/>
              </w:rPr>
            </w:pPr>
            <w:r>
              <w:rPr>
                <w:b/>
                <w:spacing w:val="-2"/>
                <w:sz w:val="18"/>
              </w:rPr>
              <w:t>Saldo</w:t>
            </w:r>
          </w:p>
        </w:tc>
      </w:tr>
      <w:tr>
        <w:trPr>
          <w:trHeight w:val="213" w:hRule="atLeast"/>
        </w:trPr>
        <w:tc>
          <w:tcPr>
            <w:tcW w:w="3907" w:type="dxa"/>
          </w:tcPr>
          <w:p>
            <w:pPr>
              <w:pStyle w:val="TableParagraph"/>
              <w:spacing w:line="193" w:lineRule="exact"/>
              <w:ind w:left="69"/>
              <w:rPr>
                <w:b/>
                <w:sz w:val="18"/>
              </w:rPr>
            </w:pPr>
            <w:r>
              <w:rPr>
                <w:b/>
                <w:spacing w:val="-2"/>
                <w:sz w:val="18"/>
                <w:u w:val="single"/>
              </w:rPr>
              <w:t>Inversión</w:t>
            </w:r>
          </w:p>
        </w:tc>
        <w:tc>
          <w:tcPr>
            <w:tcW w:w="1257" w:type="dxa"/>
          </w:tcPr>
          <w:p>
            <w:pPr>
              <w:pStyle w:val="TableParagraph"/>
              <w:spacing w:line="193" w:lineRule="exact"/>
              <w:ind w:left="177"/>
              <w:rPr>
                <w:b/>
                <w:sz w:val="18"/>
              </w:rPr>
            </w:pPr>
            <w:r>
              <w:rPr>
                <w:b/>
                <w:spacing w:val="-2"/>
                <w:sz w:val="18"/>
              </w:rPr>
              <w:t>31/12/2024</w:t>
            </w:r>
          </w:p>
        </w:tc>
        <w:tc>
          <w:tcPr>
            <w:tcW w:w="1120" w:type="dxa"/>
          </w:tcPr>
          <w:p>
            <w:pPr>
              <w:pStyle w:val="TableParagraph"/>
              <w:spacing w:line="193" w:lineRule="exact"/>
              <w:ind w:left="338"/>
              <w:rPr>
                <w:b/>
                <w:sz w:val="18"/>
              </w:rPr>
            </w:pPr>
            <w:r>
              <w:rPr>
                <w:b/>
                <w:spacing w:val="-2"/>
                <w:sz w:val="18"/>
              </w:rPr>
              <w:t>Altas</w:t>
            </w:r>
          </w:p>
        </w:tc>
        <w:tc>
          <w:tcPr>
            <w:tcW w:w="1175" w:type="dxa"/>
          </w:tcPr>
          <w:p>
            <w:pPr>
              <w:pStyle w:val="TableParagraph"/>
              <w:spacing w:line="193" w:lineRule="exact"/>
              <w:ind w:left="349"/>
              <w:rPr>
                <w:b/>
                <w:sz w:val="18"/>
              </w:rPr>
            </w:pPr>
            <w:r>
              <w:rPr>
                <w:b/>
                <w:spacing w:val="-2"/>
                <w:sz w:val="18"/>
              </w:rPr>
              <w:t>Bajas</w:t>
            </w:r>
          </w:p>
        </w:tc>
        <w:tc>
          <w:tcPr>
            <w:tcW w:w="1182" w:type="dxa"/>
          </w:tcPr>
          <w:p>
            <w:pPr>
              <w:pStyle w:val="TableParagraph"/>
              <w:spacing w:line="193" w:lineRule="exact"/>
              <w:ind w:left="143"/>
              <w:rPr>
                <w:b/>
                <w:sz w:val="18"/>
              </w:rPr>
            </w:pPr>
            <w:r>
              <w:rPr>
                <w:b/>
                <w:spacing w:val="-2"/>
                <w:sz w:val="18"/>
              </w:rPr>
              <w:t>31/12/2025</w:t>
            </w:r>
          </w:p>
        </w:tc>
      </w:tr>
      <w:tr>
        <w:trPr>
          <w:trHeight w:val="205" w:hRule="atLeast"/>
        </w:trPr>
        <w:tc>
          <w:tcPr>
            <w:tcW w:w="3907" w:type="dxa"/>
          </w:tcPr>
          <w:p>
            <w:pPr>
              <w:pStyle w:val="TableParagraph"/>
              <w:spacing w:line="186" w:lineRule="exact"/>
              <w:ind w:left="69"/>
              <w:rPr>
                <w:sz w:val="18"/>
              </w:rPr>
            </w:pPr>
            <w:r>
              <w:rPr>
                <w:sz w:val="18"/>
              </w:rPr>
              <w:t>Gexco</w:t>
            </w:r>
            <w:r>
              <w:rPr>
                <w:spacing w:val="-3"/>
                <w:sz w:val="18"/>
              </w:rPr>
              <w:t> </w:t>
            </w:r>
            <w:r>
              <w:rPr>
                <w:spacing w:val="-4"/>
                <w:sz w:val="18"/>
              </w:rPr>
              <w:t>S.L.</w:t>
            </w:r>
          </w:p>
        </w:tc>
        <w:tc>
          <w:tcPr>
            <w:tcW w:w="1257" w:type="dxa"/>
          </w:tcPr>
          <w:p>
            <w:pPr>
              <w:pStyle w:val="TableParagraph"/>
              <w:spacing w:line="186" w:lineRule="exact"/>
              <w:ind w:right="56"/>
              <w:jc w:val="right"/>
              <w:rPr>
                <w:sz w:val="18"/>
              </w:rPr>
            </w:pPr>
            <w:r>
              <w:rPr>
                <w:spacing w:val="-2"/>
                <w:sz w:val="18"/>
              </w:rPr>
              <w:t>18.030,34</w:t>
            </w:r>
          </w:p>
        </w:tc>
        <w:tc>
          <w:tcPr>
            <w:tcW w:w="1120" w:type="dxa"/>
          </w:tcPr>
          <w:p>
            <w:pPr>
              <w:pStyle w:val="TableParagraph"/>
              <w:rPr>
                <w:rFonts w:ascii="Times New Roman"/>
                <w:sz w:val="14"/>
              </w:rPr>
            </w:pPr>
          </w:p>
        </w:tc>
        <w:tc>
          <w:tcPr>
            <w:tcW w:w="1175" w:type="dxa"/>
          </w:tcPr>
          <w:p>
            <w:pPr>
              <w:pStyle w:val="TableParagraph"/>
              <w:rPr>
                <w:rFonts w:ascii="Times New Roman"/>
                <w:sz w:val="14"/>
              </w:rPr>
            </w:pPr>
          </w:p>
        </w:tc>
        <w:tc>
          <w:tcPr>
            <w:tcW w:w="1182" w:type="dxa"/>
          </w:tcPr>
          <w:p>
            <w:pPr>
              <w:pStyle w:val="TableParagraph"/>
              <w:spacing w:line="186" w:lineRule="exact"/>
              <w:ind w:right="54"/>
              <w:jc w:val="right"/>
              <w:rPr>
                <w:sz w:val="18"/>
              </w:rPr>
            </w:pPr>
            <w:r>
              <w:rPr>
                <w:spacing w:val="-2"/>
                <w:sz w:val="18"/>
              </w:rPr>
              <w:t>18.030,34</w:t>
            </w:r>
          </w:p>
        </w:tc>
      </w:tr>
      <w:tr>
        <w:trPr>
          <w:trHeight w:val="208" w:hRule="atLeast"/>
        </w:trPr>
        <w:tc>
          <w:tcPr>
            <w:tcW w:w="3907" w:type="dxa"/>
          </w:tcPr>
          <w:p>
            <w:pPr>
              <w:pStyle w:val="TableParagraph"/>
              <w:spacing w:line="188" w:lineRule="exact"/>
              <w:ind w:left="69"/>
              <w:rPr>
                <w:sz w:val="18"/>
              </w:rPr>
            </w:pPr>
            <w:r>
              <w:rPr>
                <w:sz w:val="18"/>
              </w:rPr>
              <w:t>Canarias</w:t>
            </w:r>
            <w:r>
              <w:rPr>
                <w:spacing w:val="-8"/>
                <w:sz w:val="18"/>
              </w:rPr>
              <w:t> </w:t>
            </w:r>
            <w:r>
              <w:rPr>
                <w:sz w:val="18"/>
              </w:rPr>
              <w:t>Trunking</w:t>
            </w:r>
            <w:r>
              <w:rPr>
                <w:spacing w:val="-3"/>
                <w:sz w:val="18"/>
              </w:rPr>
              <w:t> </w:t>
            </w:r>
            <w:r>
              <w:rPr>
                <w:spacing w:val="-4"/>
                <w:sz w:val="18"/>
              </w:rPr>
              <w:t>S.L.</w:t>
            </w:r>
          </w:p>
        </w:tc>
        <w:tc>
          <w:tcPr>
            <w:tcW w:w="1257" w:type="dxa"/>
          </w:tcPr>
          <w:p>
            <w:pPr>
              <w:pStyle w:val="TableParagraph"/>
              <w:spacing w:line="188" w:lineRule="exact"/>
              <w:ind w:right="55"/>
              <w:jc w:val="right"/>
              <w:rPr>
                <w:sz w:val="18"/>
              </w:rPr>
            </w:pPr>
            <w:r>
              <w:rPr>
                <w:spacing w:val="-4"/>
                <w:sz w:val="18"/>
              </w:rPr>
              <w:t>0,00</w:t>
            </w:r>
          </w:p>
        </w:tc>
        <w:tc>
          <w:tcPr>
            <w:tcW w:w="1120" w:type="dxa"/>
          </w:tcPr>
          <w:p>
            <w:pPr>
              <w:pStyle w:val="TableParagraph"/>
              <w:rPr>
                <w:rFonts w:ascii="Times New Roman"/>
                <w:sz w:val="14"/>
              </w:rPr>
            </w:pPr>
          </w:p>
        </w:tc>
        <w:tc>
          <w:tcPr>
            <w:tcW w:w="1175" w:type="dxa"/>
          </w:tcPr>
          <w:p>
            <w:pPr>
              <w:pStyle w:val="TableParagraph"/>
              <w:rPr>
                <w:rFonts w:ascii="Times New Roman"/>
                <w:sz w:val="14"/>
              </w:rPr>
            </w:pPr>
          </w:p>
        </w:tc>
        <w:tc>
          <w:tcPr>
            <w:tcW w:w="1182" w:type="dxa"/>
          </w:tcPr>
          <w:p>
            <w:pPr>
              <w:pStyle w:val="TableParagraph"/>
              <w:spacing w:line="188" w:lineRule="exact"/>
              <w:ind w:right="51"/>
              <w:jc w:val="right"/>
              <w:rPr>
                <w:sz w:val="18"/>
              </w:rPr>
            </w:pPr>
            <w:r>
              <w:rPr>
                <w:spacing w:val="-4"/>
                <w:sz w:val="18"/>
              </w:rPr>
              <w:t>0,00</w:t>
            </w:r>
          </w:p>
        </w:tc>
      </w:tr>
      <w:tr>
        <w:trPr>
          <w:trHeight w:val="241" w:hRule="atLeast"/>
        </w:trPr>
        <w:tc>
          <w:tcPr>
            <w:tcW w:w="3907" w:type="dxa"/>
          </w:tcPr>
          <w:p>
            <w:pPr>
              <w:pStyle w:val="TableParagraph"/>
              <w:spacing w:line="206" w:lineRule="exact" w:before="15"/>
              <w:ind w:left="69"/>
              <w:rPr>
                <w:sz w:val="18"/>
              </w:rPr>
            </w:pPr>
            <w:r>
              <w:rPr>
                <w:sz w:val="18"/>
              </w:rPr>
              <w:t>Red</w:t>
            </w:r>
            <w:r>
              <w:rPr>
                <w:spacing w:val="-1"/>
                <w:sz w:val="18"/>
              </w:rPr>
              <w:t> </w:t>
            </w:r>
            <w:r>
              <w:rPr>
                <w:sz w:val="18"/>
              </w:rPr>
              <w:t>Canarias</w:t>
            </w:r>
            <w:r>
              <w:rPr>
                <w:spacing w:val="-3"/>
                <w:sz w:val="18"/>
              </w:rPr>
              <w:t> </w:t>
            </w:r>
            <w:r>
              <w:rPr>
                <w:sz w:val="18"/>
              </w:rPr>
              <w:t>de Trasportes</w:t>
            </w:r>
            <w:r>
              <w:rPr>
                <w:spacing w:val="-3"/>
                <w:sz w:val="18"/>
              </w:rPr>
              <w:t> </w:t>
            </w:r>
            <w:r>
              <w:rPr>
                <w:sz w:val="18"/>
              </w:rPr>
              <w:t>Integrales</w:t>
            </w:r>
            <w:r>
              <w:rPr>
                <w:spacing w:val="-2"/>
                <w:sz w:val="18"/>
              </w:rPr>
              <w:t> </w:t>
            </w:r>
            <w:r>
              <w:rPr>
                <w:spacing w:val="-4"/>
                <w:sz w:val="18"/>
              </w:rPr>
              <w:t>S.L.</w:t>
            </w:r>
          </w:p>
        </w:tc>
        <w:tc>
          <w:tcPr>
            <w:tcW w:w="1257" w:type="dxa"/>
          </w:tcPr>
          <w:p>
            <w:pPr>
              <w:pStyle w:val="TableParagraph"/>
              <w:spacing w:line="206" w:lineRule="exact" w:before="15"/>
              <w:ind w:right="56"/>
              <w:jc w:val="right"/>
              <w:rPr>
                <w:sz w:val="18"/>
              </w:rPr>
            </w:pPr>
            <w:r>
              <w:rPr>
                <w:spacing w:val="-2"/>
                <w:sz w:val="18"/>
              </w:rPr>
              <w:t>6.010,24</w:t>
            </w:r>
          </w:p>
        </w:tc>
        <w:tc>
          <w:tcPr>
            <w:tcW w:w="1120" w:type="dxa"/>
          </w:tcPr>
          <w:p>
            <w:pPr>
              <w:pStyle w:val="TableParagraph"/>
              <w:rPr>
                <w:rFonts w:ascii="Times New Roman"/>
                <w:sz w:val="16"/>
              </w:rPr>
            </w:pPr>
          </w:p>
        </w:tc>
        <w:tc>
          <w:tcPr>
            <w:tcW w:w="1175" w:type="dxa"/>
          </w:tcPr>
          <w:p>
            <w:pPr>
              <w:pStyle w:val="TableParagraph"/>
              <w:rPr>
                <w:rFonts w:ascii="Times New Roman"/>
                <w:sz w:val="16"/>
              </w:rPr>
            </w:pPr>
          </w:p>
        </w:tc>
        <w:tc>
          <w:tcPr>
            <w:tcW w:w="1182" w:type="dxa"/>
          </w:tcPr>
          <w:p>
            <w:pPr>
              <w:pStyle w:val="TableParagraph"/>
              <w:spacing w:line="206" w:lineRule="exact" w:before="15"/>
              <w:ind w:right="53"/>
              <w:jc w:val="right"/>
              <w:rPr>
                <w:sz w:val="18"/>
              </w:rPr>
            </w:pPr>
            <w:r>
              <w:rPr>
                <w:spacing w:val="-2"/>
                <w:sz w:val="18"/>
              </w:rPr>
              <w:t>6.010,24</w:t>
            </w:r>
          </w:p>
        </w:tc>
      </w:tr>
      <w:tr>
        <w:trPr>
          <w:trHeight w:val="228" w:hRule="atLeast"/>
        </w:trPr>
        <w:tc>
          <w:tcPr>
            <w:tcW w:w="3907" w:type="dxa"/>
            <w:tcBorders>
              <w:bottom w:val="double" w:sz="4" w:space="0" w:color="000000"/>
            </w:tcBorders>
          </w:tcPr>
          <w:p>
            <w:pPr>
              <w:pStyle w:val="TableParagraph"/>
              <w:spacing w:line="204" w:lineRule="exact"/>
              <w:ind w:left="69"/>
              <w:rPr>
                <w:b/>
                <w:sz w:val="18"/>
              </w:rPr>
            </w:pPr>
            <w:r>
              <w:rPr>
                <w:b/>
                <w:spacing w:val="-2"/>
                <w:sz w:val="18"/>
              </w:rPr>
              <w:t>TOTAL</w:t>
            </w:r>
          </w:p>
        </w:tc>
        <w:tc>
          <w:tcPr>
            <w:tcW w:w="1257" w:type="dxa"/>
            <w:tcBorders>
              <w:bottom w:val="double" w:sz="4" w:space="0" w:color="000000"/>
            </w:tcBorders>
          </w:tcPr>
          <w:p>
            <w:pPr>
              <w:pStyle w:val="TableParagraph"/>
              <w:spacing w:line="204" w:lineRule="exact"/>
              <w:ind w:right="57"/>
              <w:jc w:val="right"/>
              <w:rPr>
                <w:b/>
                <w:sz w:val="18"/>
              </w:rPr>
            </w:pPr>
            <w:r>
              <w:rPr>
                <w:b/>
                <w:spacing w:val="-2"/>
                <w:sz w:val="18"/>
              </w:rPr>
              <w:t>24.040,58</w:t>
            </w:r>
          </w:p>
        </w:tc>
        <w:tc>
          <w:tcPr>
            <w:tcW w:w="1120" w:type="dxa"/>
            <w:tcBorders>
              <w:bottom w:val="double" w:sz="4" w:space="0" w:color="000000"/>
            </w:tcBorders>
          </w:tcPr>
          <w:p>
            <w:pPr>
              <w:pStyle w:val="TableParagraph"/>
              <w:rPr>
                <w:rFonts w:ascii="Times New Roman"/>
                <w:sz w:val="16"/>
              </w:rPr>
            </w:pPr>
          </w:p>
        </w:tc>
        <w:tc>
          <w:tcPr>
            <w:tcW w:w="1175" w:type="dxa"/>
            <w:tcBorders>
              <w:bottom w:val="double" w:sz="4" w:space="0" w:color="000000"/>
            </w:tcBorders>
          </w:tcPr>
          <w:p>
            <w:pPr>
              <w:pStyle w:val="TableParagraph"/>
              <w:rPr>
                <w:rFonts w:ascii="Times New Roman"/>
                <w:sz w:val="16"/>
              </w:rPr>
            </w:pPr>
          </w:p>
        </w:tc>
        <w:tc>
          <w:tcPr>
            <w:tcW w:w="1182" w:type="dxa"/>
            <w:tcBorders>
              <w:bottom w:val="double" w:sz="4" w:space="0" w:color="000000"/>
            </w:tcBorders>
          </w:tcPr>
          <w:p>
            <w:pPr>
              <w:pStyle w:val="TableParagraph"/>
              <w:spacing w:line="204" w:lineRule="exact"/>
              <w:ind w:right="54"/>
              <w:jc w:val="right"/>
              <w:rPr>
                <w:b/>
                <w:sz w:val="18"/>
              </w:rPr>
            </w:pPr>
            <w:r>
              <w:rPr>
                <w:b/>
                <w:spacing w:val="-2"/>
                <w:sz w:val="18"/>
              </w:rPr>
              <w:t>24.040,58</w:t>
            </w:r>
          </w:p>
        </w:tc>
      </w:tr>
      <w:tr>
        <w:trPr>
          <w:trHeight w:val="319" w:hRule="atLeast"/>
        </w:trPr>
        <w:tc>
          <w:tcPr>
            <w:tcW w:w="3907" w:type="dxa"/>
            <w:tcBorders>
              <w:top w:val="double" w:sz="4" w:space="0" w:color="000000"/>
            </w:tcBorders>
          </w:tcPr>
          <w:p>
            <w:pPr>
              <w:pStyle w:val="TableParagraph"/>
              <w:spacing w:before="64"/>
              <w:ind w:left="69"/>
              <w:rPr>
                <w:sz w:val="18"/>
              </w:rPr>
            </w:pPr>
            <w:r>
              <w:rPr>
                <w:spacing w:val="-2"/>
                <w:sz w:val="18"/>
                <w:u w:val="single"/>
              </w:rPr>
              <w:t>Deterioro</w:t>
            </w:r>
          </w:p>
        </w:tc>
        <w:tc>
          <w:tcPr>
            <w:tcW w:w="1257" w:type="dxa"/>
            <w:tcBorders>
              <w:top w:val="double" w:sz="4" w:space="0" w:color="000000"/>
            </w:tcBorders>
          </w:tcPr>
          <w:p>
            <w:pPr>
              <w:pStyle w:val="TableParagraph"/>
              <w:rPr>
                <w:rFonts w:ascii="Times New Roman"/>
                <w:sz w:val="18"/>
              </w:rPr>
            </w:pPr>
          </w:p>
        </w:tc>
        <w:tc>
          <w:tcPr>
            <w:tcW w:w="1120" w:type="dxa"/>
            <w:tcBorders>
              <w:top w:val="double" w:sz="4" w:space="0" w:color="000000"/>
            </w:tcBorders>
          </w:tcPr>
          <w:p>
            <w:pPr>
              <w:pStyle w:val="TableParagraph"/>
              <w:rPr>
                <w:rFonts w:ascii="Times New Roman"/>
                <w:sz w:val="18"/>
              </w:rPr>
            </w:pPr>
          </w:p>
        </w:tc>
        <w:tc>
          <w:tcPr>
            <w:tcW w:w="1175" w:type="dxa"/>
            <w:tcBorders>
              <w:top w:val="double" w:sz="4" w:space="0" w:color="000000"/>
            </w:tcBorders>
          </w:tcPr>
          <w:p>
            <w:pPr>
              <w:pStyle w:val="TableParagraph"/>
              <w:rPr>
                <w:rFonts w:ascii="Times New Roman"/>
                <w:sz w:val="18"/>
              </w:rPr>
            </w:pPr>
          </w:p>
        </w:tc>
        <w:tc>
          <w:tcPr>
            <w:tcW w:w="1182" w:type="dxa"/>
            <w:tcBorders>
              <w:top w:val="double" w:sz="4" w:space="0" w:color="000000"/>
            </w:tcBorders>
          </w:tcPr>
          <w:p>
            <w:pPr>
              <w:pStyle w:val="TableParagraph"/>
              <w:rPr>
                <w:rFonts w:ascii="Times New Roman"/>
                <w:sz w:val="18"/>
              </w:rPr>
            </w:pPr>
          </w:p>
        </w:tc>
      </w:tr>
      <w:tr>
        <w:trPr>
          <w:trHeight w:val="205" w:hRule="atLeast"/>
        </w:trPr>
        <w:tc>
          <w:tcPr>
            <w:tcW w:w="3907" w:type="dxa"/>
          </w:tcPr>
          <w:p>
            <w:pPr>
              <w:pStyle w:val="TableParagraph"/>
              <w:spacing w:line="186" w:lineRule="exact"/>
              <w:ind w:left="69"/>
              <w:rPr>
                <w:sz w:val="18"/>
              </w:rPr>
            </w:pPr>
            <w:r>
              <w:rPr>
                <w:sz w:val="18"/>
              </w:rPr>
              <w:t>Canarias</w:t>
            </w:r>
            <w:r>
              <w:rPr>
                <w:spacing w:val="-8"/>
                <w:sz w:val="18"/>
              </w:rPr>
              <w:t> </w:t>
            </w:r>
            <w:r>
              <w:rPr>
                <w:sz w:val="18"/>
              </w:rPr>
              <w:t>Trunking</w:t>
            </w:r>
            <w:r>
              <w:rPr>
                <w:spacing w:val="-3"/>
                <w:sz w:val="18"/>
              </w:rPr>
              <w:t> </w:t>
            </w:r>
            <w:r>
              <w:rPr>
                <w:spacing w:val="-4"/>
                <w:sz w:val="18"/>
              </w:rPr>
              <w:t>S.L.</w:t>
            </w:r>
          </w:p>
        </w:tc>
        <w:tc>
          <w:tcPr>
            <w:tcW w:w="1257" w:type="dxa"/>
          </w:tcPr>
          <w:p>
            <w:pPr>
              <w:pStyle w:val="TableParagraph"/>
              <w:spacing w:line="186" w:lineRule="exact"/>
              <w:ind w:right="55"/>
              <w:jc w:val="right"/>
              <w:rPr>
                <w:sz w:val="18"/>
              </w:rPr>
            </w:pPr>
            <w:r>
              <w:rPr>
                <w:spacing w:val="-4"/>
                <w:sz w:val="18"/>
              </w:rPr>
              <w:t>0,00</w:t>
            </w:r>
          </w:p>
        </w:tc>
        <w:tc>
          <w:tcPr>
            <w:tcW w:w="1120" w:type="dxa"/>
          </w:tcPr>
          <w:p>
            <w:pPr>
              <w:pStyle w:val="TableParagraph"/>
              <w:rPr>
                <w:rFonts w:ascii="Times New Roman"/>
                <w:sz w:val="14"/>
              </w:rPr>
            </w:pPr>
          </w:p>
        </w:tc>
        <w:tc>
          <w:tcPr>
            <w:tcW w:w="1175" w:type="dxa"/>
          </w:tcPr>
          <w:p>
            <w:pPr>
              <w:pStyle w:val="TableParagraph"/>
              <w:rPr>
                <w:rFonts w:ascii="Times New Roman"/>
                <w:sz w:val="14"/>
              </w:rPr>
            </w:pPr>
          </w:p>
        </w:tc>
        <w:tc>
          <w:tcPr>
            <w:tcW w:w="1182" w:type="dxa"/>
          </w:tcPr>
          <w:p>
            <w:pPr>
              <w:pStyle w:val="TableParagraph"/>
              <w:spacing w:line="186" w:lineRule="exact"/>
              <w:ind w:right="51"/>
              <w:jc w:val="right"/>
              <w:rPr>
                <w:sz w:val="18"/>
              </w:rPr>
            </w:pPr>
            <w:r>
              <w:rPr>
                <w:spacing w:val="-4"/>
                <w:sz w:val="18"/>
              </w:rPr>
              <w:t>0,00</w:t>
            </w:r>
          </w:p>
        </w:tc>
      </w:tr>
      <w:tr>
        <w:trPr>
          <w:trHeight w:val="208" w:hRule="atLeast"/>
        </w:trPr>
        <w:tc>
          <w:tcPr>
            <w:tcW w:w="3907" w:type="dxa"/>
          </w:tcPr>
          <w:p>
            <w:pPr>
              <w:pStyle w:val="TableParagraph"/>
              <w:spacing w:line="188" w:lineRule="exact"/>
              <w:ind w:right="59"/>
              <w:jc w:val="right"/>
              <w:rPr>
                <w:b/>
                <w:sz w:val="18"/>
              </w:rPr>
            </w:pPr>
            <w:r>
              <w:rPr>
                <w:b/>
                <w:sz w:val="18"/>
              </w:rPr>
              <w:t>TOTAL</w:t>
            </w:r>
            <w:r>
              <w:rPr>
                <w:b/>
                <w:spacing w:val="-3"/>
                <w:sz w:val="18"/>
              </w:rPr>
              <w:t> </w:t>
            </w:r>
            <w:r>
              <w:rPr>
                <w:b/>
                <w:spacing w:val="-4"/>
                <w:sz w:val="18"/>
              </w:rPr>
              <w:t>NETO</w:t>
            </w:r>
          </w:p>
        </w:tc>
        <w:tc>
          <w:tcPr>
            <w:tcW w:w="1257" w:type="dxa"/>
          </w:tcPr>
          <w:p>
            <w:pPr>
              <w:pStyle w:val="TableParagraph"/>
              <w:spacing w:line="188" w:lineRule="exact"/>
              <w:ind w:right="57"/>
              <w:jc w:val="right"/>
              <w:rPr>
                <w:b/>
                <w:sz w:val="18"/>
              </w:rPr>
            </w:pPr>
            <w:r>
              <w:rPr>
                <w:b/>
                <w:spacing w:val="-2"/>
                <w:sz w:val="18"/>
              </w:rPr>
              <w:t>24.040,58</w:t>
            </w:r>
          </w:p>
        </w:tc>
        <w:tc>
          <w:tcPr>
            <w:tcW w:w="1120" w:type="dxa"/>
          </w:tcPr>
          <w:p>
            <w:pPr>
              <w:pStyle w:val="TableParagraph"/>
              <w:rPr>
                <w:rFonts w:ascii="Times New Roman"/>
                <w:sz w:val="14"/>
              </w:rPr>
            </w:pPr>
          </w:p>
        </w:tc>
        <w:tc>
          <w:tcPr>
            <w:tcW w:w="1175" w:type="dxa"/>
          </w:tcPr>
          <w:p>
            <w:pPr>
              <w:pStyle w:val="TableParagraph"/>
              <w:rPr>
                <w:rFonts w:ascii="Times New Roman"/>
                <w:sz w:val="14"/>
              </w:rPr>
            </w:pPr>
          </w:p>
        </w:tc>
        <w:tc>
          <w:tcPr>
            <w:tcW w:w="1182" w:type="dxa"/>
          </w:tcPr>
          <w:p>
            <w:pPr>
              <w:pStyle w:val="TableParagraph"/>
              <w:spacing w:line="188" w:lineRule="exact"/>
              <w:ind w:right="54"/>
              <w:jc w:val="right"/>
              <w:rPr>
                <w:b/>
                <w:sz w:val="18"/>
              </w:rPr>
            </w:pPr>
            <w:r>
              <w:rPr>
                <w:b/>
                <w:spacing w:val="-2"/>
                <w:sz w:val="18"/>
              </w:rPr>
              <w:t>24.040,58</w:t>
            </w:r>
          </w:p>
        </w:tc>
      </w:tr>
    </w:tbl>
    <w:p>
      <w:pPr>
        <w:pStyle w:val="TableParagraph"/>
        <w:spacing w:after="0" w:line="188" w:lineRule="exact"/>
        <w:jc w:val="right"/>
        <w:rPr>
          <w:b/>
          <w:sz w:val="18"/>
        </w:rPr>
        <w:sectPr>
          <w:pgSz w:w="11910" w:h="16840"/>
          <w:pgMar w:header="286" w:footer="1060" w:top="1920" w:bottom="1260" w:left="360" w:right="360"/>
        </w:sectPr>
      </w:pPr>
    </w:p>
    <w:p>
      <w:pPr>
        <w:pStyle w:val="BodyText"/>
        <w:spacing w:before="201"/>
      </w:pPr>
    </w:p>
    <w:p>
      <w:pPr>
        <w:pStyle w:val="BodyText"/>
        <w:ind w:left="1699" w:right="1336"/>
        <w:jc w:val="both"/>
      </w:pPr>
      <w:r>
        <w:rPr/>
        <w:t>A efectos de presentación de las Cuentas Anuales de una empresa o sociedad se entenderá</w:t>
      </w:r>
      <w:r>
        <w:rPr>
          <w:spacing w:val="-3"/>
        </w:rPr>
        <w:t> </w:t>
      </w:r>
      <w:r>
        <w:rPr/>
        <w:t>que</w:t>
      </w:r>
      <w:r>
        <w:rPr>
          <w:spacing w:val="-3"/>
        </w:rPr>
        <w:t> </w:t>
      </w:r>
      <w:r>
        <w:rPr/>
        <w:t>otra</w:t>
      </w:r>
      <w:r>
        <w:rPr>
          <w:spacing w:val="-3"/>
        </w:rPr>
        <w:t> </w:t>
      </w:r>
      <w:r>
        <w:rPr/>
        <w:t>empresa</w:t>
      </w:r>
      <w:r>
        <w:rPr>
          <w:spacing w:val="-4"/>
        </w:rPr>
        <w:t> </w:t>
      </w:r>
      <w:r>
        <w:rPr/>
        <w:t>forma</w:t>
      </w:r>
      <w:r>
        <w:rPr>
          <w:spacing w:val="-4"/>
        </w:rPr>
        <w:t> </w:t>
      </w:r>
      <w:r>
        <w:rPr/>
        <w:t>parte</w:t>
      </w:r>
      <w:r>
        <w:rPr>
          <w:spacing w:val="-1"/>
        </w:rPr>
        <w:t> </w:t>
      </w:r>
      <w:r>
        <w:rPr/>
        <w:t>del</w:t>
      </w:r>
      <w:r>
        <w:rPr>
          <w:spacing w:val="-4"/>
        </w:rPr>
        <w:t> </w:t>
      </w:r>
      <w:r>
        <w:rPr/>
        <w:t>grupo</w:t>
      </w:r>
      <w:r>
        <w:rPr>
          <w:spacing w:val="-4"/>
        </w:rPr>
        <w:t> </w:t>
      </w:r>
      <w:r>
        <w:rPr/>
        <w:t>cuando</w:t>
      </w:r>
      <w:r>
        <w:rPr>
          <w:spacing w:val="-3"/>
        </w:rPr>
        <w:t> </w:t>
      </w:r>
      <w:r>
        <w:rPr/>
        <w:t>ambas</w:t>
      </w:r>
      <w:r>
        <w:rPr>
          <w:spacing w:val="-3"/>
        </w:rPr>
        <w:t> </w:t>
      </w:r>
      <w:r>
        <w:rPr/>
        <w:t>estén</w:t>
      </w:r>
      <w:r>
        <w:rPr>
          <w:spacing w:val="-1"/>
        </w:rPr>
        <w:t> </w:t>
      </w:r>
      <w:r>
        <w:rPr/>
        <w:t>vinculadas</w:t>
      </w:r>
      <w:r>
        <w:rPr>
          <w:spacing w:val="-2"/>
        </w:rPr>
        <w:t> </w:t>
      </w:r>
      <w:r>
        <w:rPr/>
        <w:t>por una relación de 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estatuarias.</w:t>
      </w:r>
    </w:p>
    <w:p>
      <w:pPr>
        <w:pStyle w:val="BodyText"/>
        <w:ind w:left="1699" w:right="1336"/>
        <w:jc w:val="both"/>
      </w:pPr>
      <w:r>
        <w:rPr/>
        <w:t>La Sociedad forma parte de un grupo por unidad de decisión en el que la entidad</w:t>
      </w:r>
      <w:r>
        <w:rPr>
          <w:spacing w:val="40"/>
        </w:rPr>
        <w:t> </w:t>
      </w:r>
      <w:r>
        <w:rPr/>
        <w:t>dominante es el Excelentísimo Ayuntamiento de Las Palmas de Gran Canaria.</w:t>
      </w:r>
      <w:r>
        <w:rPr>
          <w:spacing w:val="40"/>
        </w:rPr>
        <w:t> </w:t>
      </w:r>
      <w:r>
        <w:rPr/>
        <w:t>Forman parte de este mismo grupo además de Guaguas Municipales las siguientes entidades:</w:t>
      </w:r>
    </w:p>
    <w:p>
      <w:pPr>
        <w:pStyle w:val="BodyText"/>
        <w:spacing w:before="2" w:after="1"/>
      </w:pPr>
    </w:p>
    <w:tbl>
      <w:tblPr>
        <w:tblW w:w="0" w:type="auto"/>
        <w:jc w:val="left"/>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9"/>
      </w:tblGrid>
      <w:tr>
        <w:trPr>
          <w:trHeight w:val="299" w:hRule="atLeast"/>
        </w:trPr>
        <w:tc>
          <w:tcPr>
            <w:tcW w:w="7459" w:type="dxa"/>
          </w:tcPr>
          <w:p>
            <w:pPr>
              <w:pStyle w:val="TableParagraph"/>
              <w:spacing w:before="33"/>
              <w:ind w:left="67"/>
              <w:rPr>
                <w:sz w:val="20"/>
              </w:rPr>
            </w:pPr>
            <w:r>
              <w:rPr>
                <w:sz w:val="20"/>
              </w:rPr>
              <w:t>ORGANISMOS</w:t>
            </w:r>
            <w:r>
              <w:rPr>
                <w:spacing w:val="-12"/>
                <w:sz w:val="20"/>
              </w:rPr>
              <w:t> </w:t>
            </w:r>
            <w:r>
              <w:rPr>
                <w:sz w:val="20"/>
              </w:rPr>
              <w:t>AUTÓNOMOS</w:t>
            </w:r>
            <w:r>
              <w:rPr>
                <w:spacing w:val="-13"/>
                <w:sz w:val="20"/>
              </w:rPr>
              <w:t> </w:t>
            </w:r>
            <w:r>
              <w:rPr>
                <w:spacing w:val="-2"/>
                <w:sz w:val="20"/>
              </w:rPr>
              <w:t>LOCALES</w:t>
            </w:r>
          </w:p>
        </w:tc>
      </w:tr>
      <w:tr>
        <w:trPr>
          <w:trHeight w:val="299" w:hRule="atLeast"/>
        </w:trPr>
        <w:tc>
          <w:tcPr>
            <w:tcW w:w="7459" w:type="dxa"/>
          </w:tcPr>
          <w:p>
            <w:pPr>
              <w:pStyle w:val="TableParagraph"/>
              <w:spacing w:before="33"/>
              <w:ind w:left="67"/>
              <w:rPr>
                <w:sz w:val="20"/>
              </w:rPr>
            </w:pPr>
            <w:r>
              <w:rPr>
                <w:sz w:val="20"/>
              </w:rPr>
              <w:t>Agencia</w:t>
            </w:r>
            <w:r>
              <w:rPr>
                <w:spacing w:val="-4"/>
                <w:sz w:val="20"/>
              </w:rPr>
              <w:t> </w:t>
            </w:r>
            <w:r>
              <w:rPr>
                <w:sz w:val="20"/>
              </w:rPr>
              <w:t>Local</w:t>
            </w:r>
            <w:r>
              <w:rPr>
                <w:spacing w:val="-8"/>
                <w:sz w:val="20"/>
              </w:rPr>
              <w:t> </w:t>
            </w:r>
            <w:r>
              <w:rPr>
                <w:sz w:val="20"/>
              </w:rPr>
              <w:t>Gestora</w:t>
            </w:r>
            <w:r>
              <w:rPr>
                <w:spacing w:val="-3"/>
                <w:sz w:val="20"/>
              </w:rPr>
              <w:t> </w:t>
            </w:r>
            <w:r>
              <w:rPr>
                <w:sz w:val="20"/>
              </w:rPr>
              <w:t>de</w:t>
            </w:r>
            <w:r>
              <w:rPr>
                <w:spacing w:val="-3"/>
                <w:sz w:val="20"/>
              </w:rPr>
              <w:t> </w:t>
            </w:r>
            <w:r>
              <w:rPr>
                <w:sz w:val="20"/>
              </w:rPr>
              <w:t>la</w:t>
            </w:r>
            <w:r>
              <w:rPr>
                <w:spacing w:val="-7"/>
                <w:sz w:val="20"/>
              </w:rPr>
              <w:t> </w:t>
            </w:r>
            <w:r>
              <w:rPr>
                <w:spacing w:val="-2"/>
                <w:sz w:val="20"/>
              </w:rPr>
              <w:t>Energía</w:t>
            </w:r>
          </w:p>
        </w:tc>
      </w:tr>
      <w:tr>
        <w:trPr>
          <w:trHeight w:val="299" w:hRule="atLeast"/>
        </w:trPr>
        <w:tc>
          <w:tcPr>
            <w:tcW w:w="7459" w:type="dxa"/>
          </w:tcPr>
          <w:p>
            <w:pPr>
              <w:pStyle w:val="TableParagraph"/>
              <w:spacing w:before="33"/>
              <w:ind w:left="67"/>
              <w:rPr>
                <w:sz w:val="20"/>
              </w:rPr>
            </w:pPr>
            <w:r>
              <w:rPr>
                <w:sz w:val="20"/>
              </w:rPr>
              <w:t>Inst.</w:t>
            </w:r>
            <w:r>
              <w:rPr>
                <w:spacing w:val="-5"/>
                <w:sz w:val="20"/>
              </w:rPr>
              <w:t> </w:t>
            </w:r>
            <w:r>
              <w:rPr>
                <w:sz w:val="20"/>
              </w:rPr>
              <w:t>M.</w:t>
            </w:r>
            <w:r>
              <w:rPr>
                <w:spacing w:val="-6"/>
                <w:sz w:val="20"/>
              </w:rPr>
              <w:t> </w:t>
            </w:r>
            <w:r>
              <w:rPr>
                <w:sz w:val="20"/>
              </w:rPr>
              <w:t>Formación</w:t>
            </w:r>
            <w:r>
              <w:rPr>
                <w:spacing w:val="-3"/>
                <w:sz w:val="20"/>
              </w:rPr>
              <w:t> </w:t>
            </w:r>
            <w:r>
              <w:rPr>
                <w:sz w:val="20"/>
              </w:rPr>
              <w:t>y</w:t>
            </w:r>
            <w:r>
              <w:rPr>
                <w:spacing w:val="-7"/>
                <w:sz w:val="20"/>
              </w:rPr>
              <w:t> </w:t>
            </w:r>
            <w:r>
              <w:rPr>
                <w:spacing w:val="-2"/>
                <w:sz w:val="20"/>
              </w:rPr>
              <w:t>Empleo</w:t>
            </w:r>
          </w:p>
        </w:tc>
      </w:tr>
      <w:tr>
        <w:trPr>
          <w:trHeight w:val="302" w:hRule="atLeast"/>
        </w:trPr>
        <w:tc>
          <w:tcPr>
            <w:tcW w:w="7459" w:type="dxa"/>
          </w:tcPr>
          <w:p>
            <w:pPr>
              <w:pStyle w:val="TableParagraph"/>
              <w:spacing w:before="33"/>
              <w:ind w:left="67"/>
              <w:rPr>
                <w:sz w:val="20"/>
              </w:rPr>
            </w:pPr>
            <w:r>
              <w:rPr>
                <w:sz w:val="20"/>
              </w:rPr>
              <w:t>Inst.</w:t>
            </w:r>
            <w:r>
              <w:rPr>
                <w:spacing w:val="-7"/>
                <w:sz w:val="20"/>
              </w:rPr>
              <w:t> </w:t>
            </w:r>
            <w:r>
              <w:rPr>
                <w:sz w:val="20"/>
              </w:rPr>
              <w:t>M.</w:t>
            </w:r>
            <w:r>
              <w:rPr>
                <w:spacing w:val="-5"/>
                <w:sz w:val="20"/>
              </w:rPr>
              <w:t> </w:t>
            </w:r>
            <w:r>
              <w:rPr>
                <w:sz w:val="20"/>
              </w:rPr>
              <w:t>Deporte</w:t>
            </w:r>
            <w:r>
              <w:rPr>
                <w:spacing w:val="-7"/>
                <w:sz w:val="20"/>
              </w:rPr>
              <w:t> </w:t>
            </w:r>
            <w:r>
              <w:rPr>
                <w:spacing w:val="-4"/>
                <w:sz w:val="20"/>
              </w:rPr>
              <w:t>(IMD)</w:t>
            </w:r>
          </w:p>
        </w:tc>
      </w:tr>
    </w:tbl>
    <w:p>
      <w:pPr>
        <w:pStyle w:val="BodyText"/>
        <w:spacing w:before="9"/>
        <w:rPr>
          <w:sz w:val="7"/>
        </w:rPr>
      </w:pPr>
    </w:p>
    <w:tbl>
      <w:tblPr>
        <w:tblW w:w="0" w:type="auto"/>
        <w:jc w:val="left"/>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9"/>
      </w:tblGrid>
      <w:tr>
        <w:trPr>
          <w:trHeight w:val="299" w:hRule="atLeast"/>
        </w:trPr>
        <w:tc>
          <w:tcPr>
            <w:tcW w:w="7459" w:type="dxa"/>
          </w:tcPr>
          <w:p>
            <w:pPr>
              <w:pStyle w:val="TableParagraph"/>
              <w:spacing w:before="33"/>
              <w:ind w:left="67"/>
              <w:rPr>
                <w:sz w:val="20"/>
              </w:rPr>
            </w:pPr>
            <w:r>
              <w:rPr>
                <w:sz w:val="20"/>
              </w:rPr>
              <w:t>SOCIEDADES</w:t>
            </w:r>
            <w:r>
              <w:rPr>
                <w:spacing w:val="-12"/>
                <w:sz w:val="20"/>
              </w:rPr>
              <w:t> </w:t>
            </w:r>
            <w:r>
              <w:rPr>
                <w:sz w:val="20"/>
              </w:rPr>
              <w:t>MERCANTILES</w:t>
            </w:r>
            <w:r>
              <w:rPr>
                <w:spacing w:val="-11"/>
                <w:sz w:val="20"/>
              </w:rPr>
              <w:t> </w:t>
            </w:r>
            <w:r>
              <w:rPr>
                <w:sz w:val="20"/>
              </w:rPr>
              <w:t>Y</w:t>
            </w:r>
            <w:r>
              <w:rPr>
                <w:spacing w:val="-12"/>
                <w:sz w:val="20"/>
              </w:rPr>
              <w:t> </w:t>
            </w:r>
            <w:r>
              <w:rPr>
                <w:sz w:val="20"/>
              </w:rPr>
              <w:t>ENTIDADES</w:t>
            </w:r>
            <w:r>
              <w:rPr>
                <w:spacing w:val="-12"/>
                <w:sz w:val="20"/>
              </w:rPr>
              <w:t> </w:t>
            </w:r>
            <w:r>
              <w:rPr>
                <w:sz w:val="20"/>
              </w:rPr>
              <w:t>PÚBLICAS</w:t>
            </w:r>
            <w:r>
              <w:rPr>
                <w:spacing w:val="-12"/>
                <w:sz w:val="20"/>
              </w:rPr>
              <w:t> </w:t>
            </w:r>
            <w:r>
              <w:rPr>
                <w:spacing w:val="-2"/>
                <w:sz w:val="20"/>
              </w:rPr>
              <w:t>EMPRESARIALES</w:t>
            </w:r>
          </w:p>
        </w:tc>
      </w:tr>
      <w:tr>
        <w:trPr>
          <w:trHeight w:val="460" w:hRule="atLeast"/>
        </w:trPr>
        <w:tc>
          <w:tcPr>
            <w:tcW w:w="7459" w:type="dxa"/>
          </w:tcPr>
          <w:p>
            <w:pPr>
              <w:pStyle w:val="TableParagraph"/>
              <w:spacing w:line="228" w:lineRule="exact"/>
              <w:ind w:left="67" w:right="196"/>
              <w:rPr>
                <w:sz w:val="20"/>
              </w:rPr>
            </w:pPr>
            <w:r>
              <w:rPr>
                <w:sz w:val="20"/>
              </w:rPr>
              <w:t>Empresa</w:t>
            </w:r>
            <w:r>
              <w:rPr>
                <w:spacing w:val="-7"/>
                <w:sz w:val="20"/>
              </w:rPr>
              <w:t> </w:t>
            </w:r>
            <w:r>
              <w:rPr>
                <w:sz w:val="20"/>
              </w:rPr>
              <w:t>de</w:t>
            </w:r>
            <w:r>
              <w:rPr>
                <w:spacing w:val="-6"/>
                <w:sz w:val="20"/>
              </w:rPr>
              <w:t> </w:t>
            </w:r>
            <w:r>
              <w:rPr>
                <w:sz w:val="20"/>
              </w:rPr>
              <w:t>Recaudación</w:t>
            </w:r>
            <w:r>
              <w:rPr>
                <w:spacing w:val="-3"/>
                <w:sz w:val="20"/>
              </w:rPr>
              <w:t> </w:t>
            </w:r>
            <w:r>
              <w:rPr>
                <w:sz w:val="20"/>
              </w:rPr>
              <w:t>Ejecutiva</w:t>
            </w:r>
            <w:r>
              <w:rPr>
                <w:spacing w:val="-5"/>
                <w:sz w:val="20"/>
              </w:rPr>
              <w:t> </w:t>
            </w:r>
            <w:r>
              <w:rPr>
                <w:sz w:val="20"/>
              </w:rPr>
              <w:t>de</w:t>
            </w:r>
            <w:r>
              <w:rPr>
                <w:spacing w:val="-3"/>
                <w:sz w:val="20"/>
              </w:rPr>
              <w:t> </w:t>
            </w:r>
            <w:r>
              <w:rPr>
                <w:sz w:val="20"/>
              </w:rPr>
              <w:t>Las</w:t>
            </w:r>
            <w:r>
              <w:rPr>
                <w:spacing w:val="-4"/>
                <w:sz w:val="20"/>
              </w:rPr>
              <w:t> </w:t>
            </w:r>
            <w:r>
              <w:rPr>
                <w:sz w:val="20"/>
              </w:rPr>
              <w:t>Palmas</w:t>
            </w:r>
            <w:r>
              <w:rPr>
                <w:spacing w:val="-4"/>
                <w:sz w:val="20"/>
              </w:rPr>
              <w:t> </w:t>
            </w:r>
            <w:r>
              <w:rPr>
                <w:sz w:val="20"/>
              </w:rPr>
              <w:t>de</w:t>
            </w:r>
            <w:r>
              <w:rPr>
                <w:spacing w:val="-6"/>
                <w:sz w:val="20"/>
              </w:rPr>
              <w:t> </w:t>
            </w:r>
            <w:r>
              <w:rPr>
                <w:sz w:val="20"/>
              </w:rPr>
              <w:t>Gran</w:t>
            </w:r>
            <w:r>
              <w:rPr>
                <w:spacing w:val="-7"/>
                <w:sz w:val="20"/>
              </w:rPr>
              <w:t> </w:t>
            </w:r>
            <w:r>
              <w:rPr>
                <w:sz w:val="20"/>
              </w:rPr>
              <w:t>Canaria </w:t>
            </w:r>
            <w:r>
              <w:rPr>
                <w:spacing w:val="-2"/>
                <w:sz w:val="20"/>
              </w:rPr>
              <w:t>(ERELPASA)</w:t>
            </w:r>
          </w:p>
        </w:tc>
      </w:tr>
      <w:tr>
        <w:trPr>
          <w:trHeight w:val="299" w:hRule="atLeast"/>
        </w:trPr>
        <w:tc>
          <w:tcPr>
            <w:tcW w:w="7459" w:type="dxa"/>
          </w:tcPr>
          <w:p>
            <w:pPr>
              <w:pStyle w:val="TableParagraph"/>
              <w:spacing w:before="33"/>
              <w:ind w:left="67"/>
              <w:rPr>
                <w:sz w:val="20"/>
              </w:rPr>
            </w:pPr>
            <w:r>
              <w:rPr>
                <w:sz w:val="20"/>
              </w:rPr>
              <w:t>Prom.</w:t>
            </w:r>
            <w:r>
              <w:rPr>
                <w:spacing w:val="-7"/>
                <w:sz w:val="20"/>
              </w:rPr>
              <w:t> </w:t>
            </w:r>
            <w:r>
              <w:rPr>
                <w:sz w:val="20"/>
              </w:rPr>
              <w:t>Ciudad</w:t>
            </w:r>
            <w:r>
              <w:rPr>
                <w:spacing w:val="-7"/>
                <w:sz w:val="20"/>
              </w:rPr>
              <w:t> </w:t>
            </w:r>
            <w:r>
              <w:rPr>
                <w:sz w:val="20"/>
              </w:rPr>
              <w:t>de</w:t>
            </w:r>
            <w:r>
              <w:rPr>
                <w:spacing w:val="-6"/>
                <w:sz w:val="20"/>
              </w:rPr>
              <w:t> </w:t>
            </w:r>
            <w:r>
              <w:rPr>
                <w:sz w:val="20"/>
              </w:rPr>
              <w:t>Las</w:t>
            </w:r>
            <w:r>
              <w:rPr>
                <w:spacing w:val="-5"/>
                <w:sz w:val="20"/>
              </w:rPr>
              <w:t> </w:t>
            </w:r>
            <w:r>
              <w:rPr>
                <w:sz w:val="20"/>
              </w:rPr>
              <w:t>Palmas</w:t>
            </w:r>
            <w:r>
              <w:rPr>
                <w:spacing w:val="-5"/>
                <w:sz w:val="20"/>
              </w:rPr>
              <w:t> </w:t>
            </w:r>
            <w:r>
              <w:rPr>
                <w:sz w:val="20"/>
              </w:rPr>
              <w:t>de</w:t>
            </w:r>
            <w:r>
              <w:rPr>
                <w:spacing w:val="-7"/>
                <w:sz w:val="20"/>
              </w:rPr>
              <w:t> </w:t>
            </w:r>
            <w:r>
              <w:rPr>
                <w:sz w:val="20"/>
              </w:rPr>
              <w:t>Gran</w:t>
            </w:r>
            <w:r>
              <w:rPr>
                <w:spacing w:val="-6"/>
                <w:sz w:val="20"/>
              </w:rPr>
              <w:t> </w:t>
            </w:r>
            <w:r>
              <w:rPr>
                <w:sz w:val="20"/>
              </w:rPr>
              <w:t>Canaria,</w:t>
            </w:r>
            <w:r>
              <w:rPr>
                <w:spacing w:val="-4"/>
                <w:sz w:val="20"/>
              </w:rPr>
              <w:t> S.A.</w:t>
            </w:r>
          </w:p>
        </w:tc>
      </w:tr>
      <w:tr>
        <w:trPr>
          <w:trHeight w:val="301" w:hRule="atLeast"/>
        </w:trPr>
        <w:tc>
          <w:tcPr>
            <w:tcW w:w="7459" w:type="dxa"/>
          </w:tcPr>
          <w:p>
            <w:pPr>
              <w:pStyle w:val="TableParagraph"/>
              <w:spacing w:before="33"/>
              <w:ind w:left="67"/>
              <w:rPr>
                <w:sz w:val="20"/>
              </w:rPr>
            </w:pPr>
            <w:r>
              <w:rPr>
                <w:sz w:val="20"/>
              </w:rPr>
              <w:t>Hotel</w:t>
            </w:r>
            <w:r>
              <w:rPr>
                <w:spacing w:val="-10"/>
                <w:sz w:val="20"/>
              </w:rPr>
              <w:t> </w:t>
            </w:r>
            <w:r>
              <w:rPr>
                <w:sz w:val="20"/>
              </w:rPr>
              <w:t>Santa</w:t>
            </w:r>
            <w:r>
              <w:rPr>
                <w:spacing w:val="-6"/>
                <w:sz w:val="20"/>
              </w:rPr>
              <w:t> </w:t>
            </w:r>
            <w:r>
              <w:rPr>
                <w:sz w:val="20"/>
              </w:rPr>
              <w:t>Catalina,</w:t>
            </w:r>
            <w:r>
              <w:rPr>
                <w:spacing w:val="-9"/>
                <w:sz w:val="20"/>
              </w:rPr>
              <w:t> </w:t>
            </w:r>
            <w:r>
              <w:rPr>
                <w:spacing w:val="-4"/>
                <w:sz w:val="20"/>
              </w:rPr>
              <w:t>S.A.</w:t>
            </w:r>
          </w:p>
        </w:tc>
      </w:tr>
      <w:tr>
        <w:trPr>
          <w:trHeight w:val="299" w:hRule="atLeast"/>
        </w:trPr>
        <w:tc>
          <w:tcPr>
            <w:tcW w:w="7459" w:type="dxa"/>
          </w:tcPr>
          <w:p>
            <w:pPr>
              <w:pStyle w:val="TableParagraph"/>
              <w:spacing w:before="30"/>
              <w:ind w:left="67"/>
              <w:rPr>
                <w:sz w:val="20"/>
              </w:rPr>
            </w:pPr>
            <w:r>
              <w:rPr>
                <w:sz w:val="20"/>
              </w:rPr>
              <w:t>S.</w:t>
            </w:r>
            <w:r>
              <w:rPr>
                <w:spacing w:val="-6"/>
                <w:sz w:val="20"/>
              </w:rPr>
              <w:t> </w:t>
            </w:r>
            <w:r>
              <w:rPr>
                <w:sz w:val="20"/>
              </w:rPr>
              <w:t>M.</w:t>
            </w:r>
            <w:r>
              <w:rPr>
                <w:spacing w:val="-3"/>
                <w:sz w:val="20"/>
              </w:rPr>
              <w:t> </w:t>
            </w:r>
            <w:r>
              <w:rPr>
                <w:sz w:val="20"/>
              </w:rPr>
              <w:t>Aparcamientos</w:t>
            </w:r>
            <w:r>
              <w:rPr>
                <w:spacing w:val="-3"/>
                <w:sz w:val="20"/>
              </w:rPr>
              <w:t> </w:t>
            </w:r>
            <w:r>
              <w:rPr>
                <w:sz w:val="20"/>
              </w:rPr>
              <w:t>y</w:t>
            </w:r>
            <w:r>
              <w:rPr>
                <w:spacing w:val="-8"/>
                <w:sz w:val="20"/>
              </w:rPr>
              <w:t> </w:t>
            </w:r>
            <w:r>
              <w:rPr>
                <w:sz w:val="20"/>
              </w:rPr>
              <w:t>Gest.</w:t>
            </w:r>
            <w:r>
              <w:rPr>
                <w:spacing w:val="-6"/>
                <w:sz w:val="20"/>
              </w:rPr>
              <w:t> </w:t>
            </w:r>
            <w:r>
              <w:rPr>
                <w:sz w:val="20"/>
              </w:rPr>
              <w:t>Urb.,</w:t>
            </w:r>
            <w:r>
              <w:rPr>
                <w:spacing w:val="-3"/>
                <w:sz w:val="20"/>
              </w:rPr>
              <w:t> </w:t>
            </w:r>
            <w:r>
              <w:rPr>
                <w:spacing w:val="-4"/>
                <w:sz w:val="20"/>
              </w:rPr>
              <w:t>S.A.</w:t>
            </w:r>
          </w:p>
        </w:tc>
      </w:tr>
      <w:tr>
        <w:trPr>
          <w:trHeight w:val="299" w:hRule="atLeast"/>
        </w:trPr>
        <w:tc>
          <w:tcPr>
            <w:tcW w:w="7459" w:type="dxa"/>
          </w:tcPr>
          <w:p>
            <w:pPr>
              <w:pStyle w:val="TableParagraph"/>
              <w:spacing w:before="30"/>
              <w:ind w:left="67"/>
              <w:rPr>
                <w:sz w:val="20"/>
              </w:rPr>
            </w:pPr>
            <w:r>
              <w:rPr>
                <w:sz w:val="20"/>
              </w:rPr>
              <w:t>S.</w:t>
            </w:r>
            <w:r>
              <w:rPr>
                <w:spacing w:val="-6"/>
                <w:sz w:val="20"/>
              </w:rPr>
              <w:t> </w:t>
            </w:r>
            <w:r>
              <w:rPr>
                <w:sz w:val="20"/>
              </w:rPr>
              <w:t>M.</w:t>
            </w:r>
            <w:r>
              <w:rPr>
                <w:spacing w:val="-3"/>
                <w:sz w:val="20"/>
              </w:rPr>
              <w:t> </w:t>
            </w:r>
            <w:r>
              <w:rPr>
                <w:sz w:val="20"/>
              </w:rPr>
              <w:t>Gest.</w:t>
            </w:r>
            <w:r>
              <w:rPr>
                <w:spacing w:val="-5"/>
                <w:sz w:val="20"/>
              </w:rPr>
              <w:t> </w:t>
            </w:r>
            <w:r>
              <w:rPr>
                <w:sz w:val="20"/>
              </w:rPr>
              <w:t>Urb.</w:t>
            </w:r>
            <w:r>
              <w:rPr>
                <w:spacing w:val="-3"/>
                <w:sz w:val="20"/>
              </w:rPr>
              <w:t> </w:t>
            </w:r>
            <w:r>
              <w:rPr>
                <w:sz w:val="20"/>
              </w:rPr>
              <w:t>Las</w:t>
            </w:r>
            <w:r>
              <w:rPr>
                <w:spacing w:val="-2"/>
                <w:sz w:val="20"/>
              </w:rPr>
              <w:t> </w:t>
            </w:r>
            <w:r>
              <w:rPr>
                <w:sz w:val="20"/>
              </w:rPr>
              <w:t>Palmas,</w:t>
            </w:r>
            <w:r>
              <w:rPr>
                <w:spacing w:val="-7"/>
                <w:sz w:val="20"/>
              </w:rPr>
              <w:t> </w:t>
            </w:r>
            <w:r>
              <w:rPr>
                <w:sz w:val="20"/>
              </w:rPr>
              <w:t>S.A.</w:t>
            </w:r>
            <w:r>
              <w:rPr>
                <w:spacing w:val="-2"/>
                <w:sz w:val="20"/>
              </w:rPr>
              <w:t> (GEURSA)</w:t>
            </w:r>
          </w:p>
        </w:tc>
      </w:tr>
    </w:tbl>
    <w:p>
      <w:pPr>
        <w:pStyle w:val="BodyText"/>
        <w:spacing w:before="8" w:after="1"/>
        <w:rPr>
          <w:sz w:val="6"/>
        </w:rPr>
      </w:pPr>
    </w:p>
    <w:tbl>
      <w:tblPr>
        <w:tblW w:w="0" w:type="auto"/>
        <w:jc w:val="left"/>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9"/>
      </w:tblGrid>
      <w:tr>
        <w:trPr>
          <w:trHeight w:val="460" w:hRule="atLeast"/>
        </w:trPr>
        <w:tc>
          <w:tcPr>
            <w:tcW w:w="7459" w:type="dxa"/>
          </w:tcPr>
          <w:p>
            <w:pPr>
              <w:pStyle w:val="TableParagraph"/>
              <w:spacing w:line="230" w:lineRule="exact"/>
              <w:ind w:left="67" w:right="196"/>
              <w:rPr>
                <w:sz w:val="20"/>
              </w:rPr>
            </w:pPr>
            <w:r>
              <w:rPr>
                <w:sz w:val="20"/>
              </w:rPr>
              <w:t>FUNDACIONES,</w:t>
            </w:r>
            <w:r>
              <w:rPr>
                <w:spacing w:val="-7"/>
                <w:sz w:val="20"/>
              </w:rPr>
              <w:t> </w:t>
            </w:r>
            <w:r>
              <w:rPr>
                <w:sz w:val="20"/>
              </w:rPr>
              <w:t>INSTITUCIONES</w:t>
            </w:r>
            <w:r>
              <w:rPr>
                <w:spacing w:val="-6"/>
                <w:sz w:val="20"/>
              </w:rPr>
              <w:t> </w:t>
            </w:r>
            <w:r>
              <w:rPr>
                <w:sz w:val="20"/>
              </w:rPr>
              <w:t>SIN</w:t>
            </w:r>
            <w:r>
              <w:rPr>
                <w:spacing w:val="-6"/>
                <w:sz w:val="20"/>
              </w:rPr>
              <w:t> </w:t>
            </w:r>
            <w:r>
              <w:rPr>
                <w:sz w:val="20"/>
              </w:rPr>
              <w:t>ÁNIMO</w:t>
            </w:r>
            <w:r>
              <w:rPr>
                <w:spacing w:val="-6"/>
                <w:sz w:val="20"/>
              </w:rPr>
              <w:t> </w:t>
            </w:r>
            <w:r>
              <w:rPr>
                <w:sz w:val="20"/>
              </w:rPr>
              <w:t>DE</w:t>
            </w:r>
            <w:r>
              <w:rPr>
                <w:spacing w:val="-7"/>
                <w:sz w:val="20"/>
              </w:rPr>
              <w:t> </w:t>
            </w:r>
            <w:r>
              <w:rPr>
                <w:sz w:val="20"/>
              </w:rPr>
              <w:t>LUCRO</w:t>
            </w:r>
            <w:r>
              <w:rPr>
                <w:spacing w:val="-2"/>
                <w:sz w:val="20"/>
              </w:rPr>
              <w:t> </w:t>
            </w:r>
            <w:r>
              <w:rPr>
                <w:sz w:val="20"/>
              </w:rPr>
              <w:t>Y</w:t>
            </w:r>
            <w:r>
              <w:rPr>
                <w:spacing w:val="-11"/>
                <w:sz w:val="20"/>
              </w:rPr>
              <w:t> </w:t>
            </w:r>
            <w:r>
              <w:rPr>
                <w:sz w:val="20"/>
              </w:rPr>
              <w:t>COMUNIDADES DE USUARIOS</w:t>
            </w:r>
          </w:p>
        </w:tc>
      </w:tr>
      <w:tr>
        <w:trPr>
          <w:trHeight w:val="299" w:hRule="atLeast"/>
        </w:trPr>
        <w:tc>
          <w:tcPr>
            <w:tcW w:w="7459" w:type="dxa"/>
          </w:tcPr>
          <w:p>
            <w:pPr>
              <w:pStyle w:val="TableParagraph"/>
              <w:spacing w:before="33"/>
              <w:ind w:left="67"/>
              <w:rPr>
                <w:sz w:val="20"/>
              </w:rPr>
            </w:pPr>
            <w:r>
              <w:rPr>
                <w:sz w:val="20"/>
              </w:rPr>
              <w:t>F.</w:t>
            </w:r>
            <w:r>
              <w:rPr>
                <w:spacing w:val="-6"/>
                <w:sz w:val="20"/>
              </w:rPr>
              <w:t> </w:t>
            </w:r>
            <w:r>
              <w:rPr>
                <w:sz w:val="20"/>
              </w:rPr>
              <w:t>Canaria</w:t>
            </w:r>
            <w:r>
              <w:rPr>
                <w:spacing w:val="-5"/>
                <w:sz w:val="20"/>
              </w:rPr>
              <w:t> </w:t>
            </w:r>
            <w:r>
              <w:rPr>
                <w:sz w:val="20"/>
              </w:rPr>
              <w:t>Auditorio y</w:t>
            </w:r>
            <w:r>
              <w:rPr>
                <w:spacing w:val="-9"/>
                <w:sz w:val="20"/>
              </w:rPr>
              <w:t> </w:t>
            </w:r>
            <w:r>
              <w:rPr>
                <w:sz w:val="20"/>
              </w:rPr>
              <w:t>Teatro</w:t>
            </w:r>
            <w:r>
              <w:rPr>
                <w:spacing w:val="-6"/>
                <w:sz w:val="20"/>
              </w:rPr>
              <w:t> </w:t>
            </w:r>
            <w:r>
              <w:rPr>
                <w:sz w:val="20"/>
              </w:rPr>
              <w:t>de</w:t>
            </w:r>
            <w:r>
              <w:rPr>
                <w:spacing w:val="-6"/>
                <w:sz w:val="20"/>
              </w:rPr>
              <w:t> </w:t>
            </w:r>
            <w:r>
              <w:rPr>
                <w:sz w:val="20"/>
              </w:rPr>
              <w:t>Las</w:t>
            </w:r>
            <w:r>
              <w:rPr>
                <w:spacing w:val="-4"/>
                <w:sz w:val="20"/>
              </w:rPr>
              <w:t> </w:t>
            </w:r>
            <w:r>
              <w:rPr>
                <w:sz w:val="20"/>
              </w:rPr>
              <w:t>Palmas</w:t>
            </w:r>
            <w:r>
              <w:rPr>
                <w:spacing w:val="-4"/>
                <w:sz w:val="20"/>
              </w:rPr>
              <w:t> </w:t>
            </w:r>
            <w:r>
              <w:rPr>
                <w:sz w:val="20"/>
              </w:rPr>
              <w:t>de</w:t>
            </w:r>
            <w:r>
              <w:rPr>
                <w:spacing w:val="-5"/>
                <w:sz w:val="20"/>
              </w:rPr>
              <w:t> </w:t>
            </w:r>
            <w:r>
              <w:rPr>
                <w:sz w:val="20"/>
              </w:rPr>
              <w:t>Gran</w:t>
            </w:r>
            <w:r>
              <w:rPr>
                <w:spacing w:val="-5"/>
                <w:sz w:val="20"/>
              </w:rPr>
              <w:t> </w:t>
            </w:r>
            <w:r>
              <w:rPr>
                <w:spacing w:val="-2"/>
                <w:sz w:val="20"/>
              </w:rPr>
              <w:t>Canaria</w:t>
            </w:r>
          </w:p>
        </w:tc>
      </w:tr>
      <w:tr>
        <w:trPr>
          <w:trHeight w:val="299" w:hRule="atLeast"/>
        </w:trPr>
        <w:tc>
          <w:tcPr>
            <w:tcW w:w="7459" w:type="dxa"/>
          </w:tcPr>
          <w:p>
            <w:pPr>
              <w:pStyle w:val="TableParagraph"/>
              <w:spacing w:before="33"/>
              <w:ind w:left="67"/>
              <w:rPr>
                <w:sz w:val="20"/>
              </w:rPr>
            </w:pPr>
            <w:r>
              <w:rPr>
                <w:sz w:val="20"/>
              </w:rPr>
              <w:t>Federación</w:t>
            </w:r>
            <w:r>
              <w:rPr>
                <w:spacing w:val="-8"/>
                <w:sz w:val="20"/>
              </w:rPr>
              <w:t> </w:t>
            </w:r>
            <w:r>
              <w:rPr>
                <w:sz w:val="20"/>
              </w:rPr>
              <w:t>Española</w:t>
            </w:r>
            <w:r>
              <w:rPr>
                <w:spacing w:val="-9"/>
                <w:sz w:val="20"/>
              </w:rPr>
              <w:t> </w:t>
            </w:r>
            <w:r>
              <w:rPr>
                <w:sz w:val="20"/>
              </w:rPr>
              <w:t>de</w:t>
            </w:r>
            <w:r>
              <w:rPr>
                <w:spacing w:val="-6"/>
                <w:sz w:val="20"/>
              </w:rPr>
              <w:t> </w:t>
            </w:r>
            <w:r>
              <w:rPr>
                <w:sz w:val="20"/>
              </w:rPr>
              <w:t>Municipios</w:t>
            </w:r>
            <w:r>
              <w:rPr>
                <w:spacing w:val="-5"/>
                <w:sz w:val="20"/>
              </w:rPr>
              <w:t> </w:t>
            </w:r>
            <w:r>
              <w:rPr>
                <w:sz w:val="20"/>
              </w:rPr>
              <w:t>y</w:t>
            </w:r>
            <w:r>
              <w:rPr>
                <w:spacing w:val="-10"/>
                <w:sz w:val="20"/>
              </w:rPr>
              <w:t> </w:t>
            </w:r>
            <w:r>
              <w:rPr>
                <w:spacing w:val="-2"/>
                <w:sz w:val="20"/>
              </w:rPr>
              <w:t>Provincias</w:t>
            </w:r>
          </w:p>
        </w:tc>
      </w:tr>
      <w:tr>
        <w:trPr>
          <w:trHeight w:val="301" w:hRule="atLeast"/>
        </w:trPr>
        <w:tc>
          <w:tcPr>
            <w:tcW w:w="7459" w:type="dxa"/>
          </w:tcPr>
          <w:p>
            <w:pPr>
              <w:pStyle w:val="TableParagraph"/>
              <w:spacing w:before="33"/>
              <w:ind w:left="67"/>
              <w:rPr>
                <w:sz w:val="20"/>
              </w:rPr>
            </w:pPr>
            <w:r>
              <w:rPr>
                <w:sz w:val="20"/>
              </w:rPr>
              <w:t>Federación</w:t>
            </w:r>
            <w:r>
              <w:rPr>
                <w:spacing w:val="-9"/>
                <w:sz w:val="20"/>
              </w:rPr>
              <w:t> </w:t>
            </w:r>
            <w:r>
              <w:rPr>
                <w:sz w:val="20"/>
              </w:rPr>
              <w:t>Canaria</w:t>
            </w:r>
            <w:r>
              <w:rPr>
                <w:spacing w:val="-9"/>
                <w:sz w:val="20"/>
              </w:rPr>
              <w:t> </w:t>
            </w:r>
            <w:r>
              <w:rPr>
                <w:sz w:val="20"/>
              </w:rPr>
              <w:t>de</w:t>
            </w:r>
            <w:r>
              <w:rPr>
                <w:spacing w:val="-9"/>
                <w:sz w:val="20"/>
              </w:rPr>
              <w:t> </w:t>
            </w:r>
            <w:r>
              <w:rPr>
                <w:spacing w:val="-2"/>
                <w:sz w:val="20"/>
              </w:rPr>
              <w:t>Municipios</w:t>
            </w:r>
          </w:p>
        </w:tc>
      </w:tr>
      <w:tr>
        <w:trPr>
          <w:trHeight w:val="299" w:hRule="atLeast"/>
        </w:trPr>
        <w:tc>
          <w:tcPr>
            <w:tcW w:w="7459" w:type="dxa"/>
          </w:tcPr>
          <w:p>
            <w:pPr>
              <w:pStyle w:val="TableParagraph"/>
              <w:spacing w:before="30"/>
              <w:ind w:left="67"/>
              <w:rPr>
                <w:sz w:val="20"/>
              </w:rPr>
            </w:pPr>
            <w:r>
              <w:rPr>
                <w:sz w:val="20"/>
              </w:rPr>
              <w:t>Confederación</w:t>
            </w:r>
            <w:r>
              <w:rPr>
                <w:spacing w:val="-12"/>
                <w:sz w:val="20"/>
              </w:rPr>
              <w:t> </w:t>
            </w:r>
            <w:r>
              <w:rPr>
                <w:sz w:val="20"/>
              </w:rPr>
              <w:t>de</w:t>
            </w:r>
            <w:r>
              <w:rPr>
                <w:spacing w:val="-11"/>
                <w:sz w:val="20"/>
              </w:rPr>
              <w:t> </w:t>
            </w:r>
            <w:r>
              <w:rPr>
                <w:sz w:val="20"/>
              </w:rPr>
              <w:t>Municipios</w:t>
            </w:r>
            <w:r>
              <w:rPr>
                <w:spacing w:val="-13"/>
                <w:sz w:val="20"/>
              </w:rPr>
              <w:t> </w:t>
            </w:r>
            <w:r>
              <w:rPr>
                <w:sz w:val="20"/>
              </w:rPr>
              <w:t>Ultraperiféricos</w:t>
            </w:r>
            <w:r>
              <w:rPr>
                <w:spacing w:val="-13"/>
                <w:sz w:val="20"/>
              </w:rPr>
              <w:t> </w:t>
            </w:r>
            <w:r>
              <w:rPr>
                <w:spacing w:val="-2"/>
                <w:sz w:val="20"/>
              </w:rPr>
              <w:t>(CMU)</w:t>
            </w:r>
          </w:p>
        </w:tc>
      </w:tr>
    </w:tbl>
    <w:p>
      <w:pPr>
        <w:pStyle w:val="BodyText"/>
        <w:spacing w:before="4" w:after="1"/>
        <w:rPr>
          <w:sz w:val="9"/>
        </w:rPr>
      </w:pPr>
    </w:p>
    <w:tbl>
      <w:tblPr>
        <w:tblW w:w="0" w:type="auto"/>
        <w:jc w:val="left"/>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59"/>
      </w:tblGrid>
      <w:tr>
        <w:trPr>
          <w:trHeight w:val="299" w:hRule="atLeast"/>
        </w:trPr>
        <w:tc>
          <w:tcPr>
            <w:tcW w:w="7459" w:type="dxa"/>
          </w:tcPr>
          <w:p>
            <w:pPr>
              <w:pStyle w:val="TableParagraph"/>
              <w:spacing w:before="30"/>
              <w:ind w:left="67"/>
              <w:rPr>
                <w:sz w:val="20"/>
              </w:rPr>
            </w:pPr>
            <w:r>
              <w:rPr>
                <w:spacing w:val="-2"/>
                <w:sz w:val="20"/>
              </w:rPr>
              <w:t>CONSORCIOS</w:t>
            </w:r>
          </w:p>
        </w:tc>
      </w:tr>
      <w:tr>
        <w:trPr>
          <w:trHeight w:val="299" w:hRule="atLeast"/>
        </w:trPr>
        <w:tc>
          <w:tcPr>
            <w:tcW w:w="7459" w:type="dxa"/>
          </w:tcPr>
          <w:p>
            <w:pPr>
              <w:pStyle w:val="TableParagraph"/>
              <w:spacing w:before="33"/>
              <w:ind w:left="67"/>
              <w:rPr>
                <w:sz w:val="20"/>
              </w:rPr>
            </w:pPr>
            <w:r>
              <w:rPr>
                <w:sz w:val="20"/>
              </w:rPr>
              <w:t>C.</w:t>
            </w:r>
            <w:r>
              <w:rPr>
                <w:spacing w:val="-5"/>
                <w:sz w:val="20"/>
              </w:rPr>
              <w:t> </w:t>
            </w:r>
            <w:r>
              <w:rPr>
                <w:sz w:val="20"/>
              </w:rPr>
              <w:t>F.</w:t>
            </w:r>
            <w:r>
              <w:rPr>
                <w:spacing w:val="-5"/>
                <w:sz w:val="20"/>
              </w:rPr>
              <w:t> </w:t>
            </w:r>
            <w:r>
              <w:rPr>
                <w:sz w:val="20"/>
              </w:rPr>
              <w:t>Pca.</w:t>
            </w:r>
            <w:r>
              <w:rPr>
                <w:spacing w:val="-2"/>
                <w:sz w:val="20"/>
              </w:rPr>
              <w:t> </w:t>
            </w:r>
            <w:r>
              <w:rPr>
                <w:sz w:val="20"/>
              </w:rPr>
              <w:t>Local</w:t>
            </w:r>
            <w:r>
              <w:rPr>
                <w:spacing w:val="-7"/>
                <w:sz w:val="20"/>
              </w:rPr>
              <w:t> </w:t>
            </w:r>
            <w:r>
              <w:rPr>
                <w:sz w:val="20"/>
              </w:rPr>
              <w:t>Museo</w:t>
            </w:r>
            <w:r>
              <w:rPr>
                <w:spacing w:val="-5"/>
                <w:sz w:val="20"/>
              </w:rPr>
              <w:t> </w:t>
            </w:r>
            <w:r>
              <w:rPr>
                <w:spacing w:val="-2"/>
                <w:sz w:val="20"/>
              </w:rPr>
              <w:t>Nestor</w:t>
            </w:r>
          </w:p>
        </w:tc>
      </w:tr>
    </w:tbl>
    <w:p>
      <w:pPr>
        <w:pStyle w:val="ListParagraph"/>
        <w:numPr>
          <w:ilvl w:val="1"/>
          <w:numId w:val="19"/>
        </w:numPr>
        <w:tabs>
          <w:tab w:pos="1975" w:val="left" w:leader="none"/>
        </w:tabs>
        <w:spacing w:line="240" w:lineRule="auto" w:before="228" w:after="0"/>
        <w:ind w:left="1975" w:right="0" w:hanging="274"/>
        <w:jc w:val="left"/>
        <w:rPr>
          <w:sz w:val="20"/>
        </w:rPr>
      </w:pPr>
      <w:r>
        <w:rPr>
          <w:sz w:val="20"/>
        </w:rPr>
        <mc:AlternateContent>
          <mc:Choice Requires="wps">
            <w:drawing>
              <wp:anchor distT="0" distB="0" distL="0" distR="0" allowOverlap="1" layoutInCell="1" locked="0" behindDoc="0" simplePos="0" relativeHeight="15762944">
                <wp:simplePos x="0" y="0"/>
                <wp:positionH relativeFrom="page">
                  <wp:posOffset>6966436</wp:posOffset>
                </wp:positionH>
                <wp:positionV relativeFrom="paragraph">
                  <wp:posOffset>-147156</wp:posOffset>
                </wp:positionV>
                <wp:extent cx="263525" cy="327596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1.587139pt;width:20.75pt;height:257.95pt;mso-position-horizontal-relative:page;mso-position-vertical-relative:paragraph;z-index:15762944" type="#_x0000_t202" id="docshape11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69"/>
          <w:w w:val="150"/>
          <w:sz w:val="20"/>
          <w:u w:val="single"/>
        </w:rPr>
        <w:t> </w:t>
      </w:r>
      <w:r>
        <w:rPr>
          <w:sz w:val="20"/>
          <w:u w:val="single"/>
        </w:rPr>
        <w:t>Información</w:t>
      </w:r>
      <w:r>
        <w:rPr>
          <w:spacing w:val="-5"/>
          <w:sz w:val="20"/>
          <w:u w:val="single"/>
        </w:rPr>
        <w:t> </w:t>
      </w:r>
      <w:r>
        <w:rPr>
          <w:sz w:val="20"/>
          <w:u w:val="single"/>
        </w:rPr>
        <w:t>sobre</w:t>
      </w:r>
      <w:r>
        <w:rPr>
          <w:spacing w:val="-6"/>
          <w:sz w:val="20"/>
          <w:u w:val="single"/>
        </w:rPr>
        <w:t> </w:t>
      </w:r>
      <w:r>
        <w:rPr>
          <w:sz w:val="20"/>
          <w:u w:val="single"/>
        </w:rPr>
        <w:t>la</w:t>
      </w:r>
      <w:r>
        <w:rPr>
          <w:spacing w:val="-5"/>
          <w:sz w:val="20"/>
          <w:u w:val="single"/>
        </w:rPr>
        <w:t> </w:t>
      </w:r>
      <w:r>
        <w:rPr>
          <w:sz w:val="20"/>
          <w:u w:val="single"/>
        </w:rPr>
        <w:t>naturaleza y</w:t>
      </w:r>
      <w:r>
        <w:rPr>
          <w:spacing w:val="-9"/>
          <w:sz w:val="20"/>
          <w:u w:val="single"/>
        </w:rPr>
        <w:t> </w:t>
      </w:r>
      <w:r>
        <w:rPr>
          <w:sz w:val="20"/>
          <w:u w:val="single"/>
        </w:rPr>
        <w:t>el</w:t>
      </w:r>
      <w:r>
        <w:rPr>
          <w:spacing w:val="-6"/>
          <w:sz w:val="20"/>
          <w:u w:val="single"/>
        </w:rPr>
        <w:t> </w:t>
      </w:r>
      <w:r>
        <w:rPr>
          <w:sz w:val="20"/>
          <w:u w:val="single"/>
        </w:rPr>
        <w:t>nivel</w:t>
      </w:r>
      <w:r>
        <w:rPr>
          <w:spacing w:val="-3"/>
          <w:sz w:val="20"/>
          <w:u w:val="single"/>
        </w:rPr>
        <w:t> </w:t>
      </w:r>
      <w:r>
        <w:rPr>
          <w:sz w:val="20"/>
          <w:u w:val="single"/>
        </w:rPr>
        <w:t>de</w:t>
      </w:r>
      <w:r>
        <w:rPr>
          <w:spacing w:val="-5"/>
          <w:sz w:val="20"/>
          <w:u w:val="single"/>
        </w:rPr>
        <w:t> </w:t>
      </w:r>
      <w:r>
        <w:rPr>
          <w:sz w:val="20"/>
          <w:u w:val="single"/>
        </w:rPr>
        <w:t>riesgo</w:t>
      </w:r>
      <w:r>
        <w:rPr>
          <w:spacing w:val="-6"/>
          <w:sz w:val="20"/>
          <w:u w:val="single"/>
        </w:rPr>
        <w:t> </w:t>
      </w:r>
      <w:r>
        <w:rPr>
          <w:sz w:val="20"/>
          <w:u w:val="single"/>
        </w:rPr>
        <w:t>procedente</w:t>
      </w:r>
      <w:r>
        <w:rPr>
          <w:spacing w:val="-5"/>
          <w:sz w:val="20"/>
          <w:u w:val="single"/>
        </w:rPr>
        <w:t> </w:t>
      </w:r>
      <w:r>
        <w:rPr>
          <w:sz w:val="20"/>
          <w:u w:val="single"/>
        </w:rPr>
        <w:t>de</w:t>
      </w:r>
      <w:r>
        <w:rPr>
          <w:spacing w:val="-2"/>
          <w:sz w:val="20"/>
          <w:u w:val="single"/>
        </w:rPr>
        <w:t> </w:t>
      </w:r>
      <w:r>
        <w:rPr>
          <w:sz w:val="20"/>
          <w:u w:val="single"/>
        </w:rPr>
        <w:t>activos</w:t>
      </w:r>
      <w:r>
        <w:rPr>
          <w:spacing w:val="-3"/>
          <w:sz w:val="20"/>
          <w:u w:val="single"/>
        </w:rPr>
        <w:t> </w:t>
      </w:r>
      <w:r>
        <w:rPr>
          <w:spacing w:val="-2"/>
          <w:sz w:val="20"/>
          <w:u w:val="single"/>
        </w:rPr>
        <w:t>financieros:</w:t>
      </w:r>
    </w:p>
    <w:p>
      <w:pPr>
        <w:pStyle w:val="BodyText"/>
        <w:spacing w:before="1"/>
      </w:pPr>
    </w:p>
    <w:p>
      <w:pPr>
        <w:pStyle w:val="BodyText"/>
        <w:ind w:left="1699" w:right="1335"/>
        <w:jc w:val="both"/>
      </w:pPr>
      <w:r>
        <w:rPr/>
        <w:t>Por su actividad normal la Sociedad está expuesta a diferentes riesgos financieros, básicamente, riesgo de crédito, riesgo de liquidez y riesgo de mercado, siendo este último</w:t>
      </w:r>
      <w:r>
        <w:rPr>
          <w:spacing w:val="40"/>
        </w:rPr>
        <w:t> </w:t>
      </w:r>
      <w:r>
        <w:rPr/>
        <w:t>el que se refiere a riesgo de tipo de cambio, de tipo de interés y otros riesgos de precio.</w:t>
      </w:r>
    </w:p>
    <w:p>
      <w:pPr>
        <w:pStyle w:val="BodyText"/>
        <w:spacing w:before="229"/>
        <w:ind w:left="1699"/>
        <w:jc w:val="both"/>
      </w:pPr>
      <w:r>
        <w:rPr>
          <w:u w:val="single"/>
        </w:rPr>
        <w:t>Riesgo</w:t>
      </w:r>
      <w:r>
        <w:rPr>
          <w:spacing w:val="-7"/>
          <w:u w:val="single"/>
        </w:rPr>
        <w:t> </w:t>
      </w:r>
      <w:r>
        <w:rPr>
          <w:u w:val="single"/>
        </w:rPr>
        <w:t>de</w:t>
      </w:r>
      <w:r>
        <w:rPr>
          <w:spacing w:val="-8"/>
          <w:u w:val="single"/>
        </w:rPr>
        <w:t> </w:t>
      </w:r>
      <w:r>
        <w:rPr>
          <w:spacing w:val="-2"/>
          <w:u w:val="single"/>
        </w:rPr>
        <w:t>crédito:</w:t>
      </w:r>
    </w:p>
    <w:p>
      <w:pPr>
        <w:pStyle w:val="BodyText"/>
        <w:spacing w:before="1"/>
      </w:pPr>
    </w:p>
    <w:p>
      <w:pPr>
        <w:pStyle w:val="BodyText"/>
        <w:ind w:left="1699" w:right="1335"/>
        <w:jc w:val="both"/>
      </w:pPr>
      <w:r>
        <w:rPr/>
        <w:t>Básicamente se refiere a las ventas a crédito a clientes y deudores. Para prevenir los posibles efectos, los créditos a clientes y deudores se conceden en base al estudio previo de la solvencia y efectuando un seguimiento riguroso de los créditos y cobros. La cartera</w:t>
      </w:r>
      <w:r>
        <w:rPr>
          <w:spacing w:val="40"/>
        </w:rPr>
        <w:t> </w:t>
      </w:r>
      <w:r>
        <w:rPr/>
        <w:t>de clientes se encuentra diversificada. Durante el ejercicio 2014 se firmó con una empresa independiente la gestión de la red de ventas de recarga de los títulos no personalizados (Bono guagua sin contacto – LPA Movilidad), trasladando el riesgo de crédito de dichas ventas a la mencionada empresa.</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699"/>
      </w:pPr>
      <w:r>
        <w:rPr>
          <w:u w:val="single"/>
        </w:rPr>
        <w:t>Riesgo</w:t>
      </w:r>
      <w:r>
        <w:rPr>
          <w:spacing w:val="-7"/>
          <w:u w:val="single"/>
        </w:rPr>
        <w:t> </w:t>
      </w:r>
      <w:r>
        <w:rPr>
          <w:u w:val="single"/>
        </w:rPr>
        <w:t>de</w:t>
      </w:r>
      <w:r>
        <w:rPr>
          <w:spacing w:val="-5"/>
          <w:u w:val="single"/>
        </w:rPr>
        <w:t> </w:t>
      </w:r>
      <w:r>
        <w:rPr>
          <w:spacing w:val="-2"/>
          <w:u w:val="single"/>
        </w:rPr>
        <w:t>liquidez:</w:t>
      </w:r>
    </w:p>
    <w:p>
      <w:pPr>
        <w:pStyle w:val="BodyText"/>
        <w:spacing w:before="229"/>
        <w:ind w:left="1699" w:right="1339"/>
        <w:jc w:val="both"/>
      </w:pPr>
      <w:r>
        <w:rPr/>
        <w:t>La Sociedad procura mantener un ratio de liquidez adecuado en todo momento para poder hacer frente a sus compromisos procurando que el activo corriente sin incluir las</w:t>
      </w:r>
      <w:r>
        <w:rPr>
          <w:spacing w:val="40"/>
        </w:rPr>
        <w:t> </w:t>
      </w:r>
      <w:r>
        <w:rPr/>
        <w:t>existencias cubra razonablemente el exigible corriente.</w:t>
      </w:r>
    </w:p>
    <w:p>
      <w:pPr>
        <w:pStyle w:val="BodyText"/>
        <w:spacing w:before="1"/>
      </w:pPr>
    </w:p>
    <w:p>
      <w:pPr>
        <w:pStyle w:val="BodyText"/>
        <w:ind w:left="1699"/>
        <w:jc w:val="both"/>
      </w:pPr>
      <w:r>
        <w:rPr>
          <w:u w:val="single"/>
        </w:rPr>
        <w:t>Riesgo</w:t>
      </w:r>
      <w:r>
        <w:rPr>
          <w:spacing w:val="-6"/>
          <w:u w:val="single"/>
        </w:rPr>
        <w:t> </w:t>
      </w:r>
      <w:r>
        <w:rPr>
          <w:u w:val="single"/>
        </w:rPr>
        <w:t>de</w:t>
      </w:r>
      <w:r>
        <w:rPr>
          <w:spacing w:val="-3"/>
          <w:u w:val="single"/>
        </w:rPr>
        <w:t> </w:t>
      </w:r>
      <w:r>
        <w:rPr>
          <w:u w:val="single"/>
        </w:rPr>
        <w:t>tipo</w:t>
      </w:r>
      <w:r>
        <w:rPr>
          <w:spacing w:val="-6"/>
          <w:u w:val="single"/>
        </w:rPr>
        <w:t> </w:t>
      </w:r>
      <w:r>
        <w:rPr>
          <w:u w:val="single"/>
        </w:rPr>
        <w:t>de</w:t>
      </w:r>
      <w:r>
        <w:rPr>
          <w:spacing w:val="-6"/>
          <w:u w:val="single"/>
        </w:rPr>
        <w:t> </w:t>
      </w:r>
      <w:r>
        <w:rPr>
          <w:spacing w:val="-2"/>
          <w:u w:val="single"/>
        </w:rPr>
        <w:t>mercado:</w:t>
      </w:r>
    </w:p>
    <w:p>
      <w:pPr>
        <w:pStyle w:val="BodyText"/>
        <w:spacing w:before="229"/>
        <w:ind w:left="1699" w:right="1308"/>
      </w:pPr>
      <w:r>
        <w:rPr/>
        <w:t>Debido a la actividad y ámbito de actuación de la Sociedad, principalmente en el mercado local, no está sometida a riesgos de tipo de cambio.</w:t>
      </w:r>
    </w:p>
    <w:p>
      <w:pPr>
        <w:pStyle w:val="BodyText"/>
        <w:spacing w:before="1"/>
      </w:pPr>
    </w:p>
    <w:p>
      <w:pPr>
        <w:pStyle w:val="BodyText"/>
        <w:ind w:left="1699" w:right="1308"/>
      </w:pPr>
      <w:r>
        <w:rPr/>
        <w:t>Los riesgos de tipo de interés son mínimos debido a que la Sociedad</w:t>
      </w:r>
      <w:r>
        <w:rPr>
          <w:spacing w:val="-1"/>
        </w:rPr>
        <w:t> </w:t>
      </w:r>
      <w:r>
        <w:rPr/>
        <w:t>concede préstamos a tipo de interés fijo.</w:t>
      </w:r>
    </w:p>
    <w:p>
      <w:pPr>
        <w:pStyle w:val="ListParagraph"/>
        <w:numPr>
          <w:ilvl w:val="1"/>
          <w:numId w:val="19"/>
        </w:numPr>
        <w:tabs>
          <w:tab w:pos="1975" w:val="left" w:leader="none"/>
        </w:tabs>
        <w:spacing w:line="240" w:lineRule="auto" w:before="229" w:after="0"/>
        <w:ind w:left="1975" w:right="0" w:hanging="274"/>
        <w:jc w:val="left"/>
        <w:rPr>
          <w:sz w:val="20"/>
        </w:rPr>
      </w:pPr>
      <w:r>
        <w:rPr>
          <w:spacing w:val="44"/>
          <w:sz w:val="20"/>
          <w:u w:val="single"/>
        </w:rPr>
        <w:t> </w:t>
      </w:r>
      <w:r>
        <w:rPr>
          <w:sz w:val="20"/>
          <w:u w:val="single"/>
        </w:rPr>
        <w:t>Información</w:t>
      </w:r>
      <w:r>
        <w:rPr>
          <w:spacing w:val="-6"/>
          <w:sz w:val="20"/>
          <w:u w:val="single"/>
        </w:rPr>
        <w:t> </w:t>
      </w:r>
      <w:r>
        <w:rPr>
          <w:sz w:val="20"/>
          <w:u w:val="single"/>
        </w:rPr>
        <w:t>sobre</w:t>
      </w:r>
      <w:r>
        <w:rPr>
          <w:spacing w:val="-5"/>
          <w:sz w:val="20"/>
          <w:u w:val="single"/>
        </w:rPr>
        <w:t> </w:t>
      </w:r>
      <w:r>
        <w:rPr>
          <w:sz w:val="20"/>
          <w:u w:val="single"/>
        </w:rPr>
        <w:t>la</w:t>
      </w:r>
      <w:r>
        <w:rPr>
          <w:spacing w:val="-4"/>
          <w:sz w:val="20"/>
          <w:u w:val="single"/>
        </w:rPr>
        <w:t> </w:t>
      </w:r>
      <w:r>
        <w:rPr>
          <w:sz w:val="20"/>
          <w:u w:val="single"/>
        </w:rPr>
        <w:t>naturaleza</w:t>
      </w:r>
      <w:r>
        <w:rPr>
          <w:spacing w:val="-1"/>
          <w:sz w:val="20"/>
          <w:u w:val="single"/>
        </w:rPr>
        <w:t> </w:t>
      </w:r>
      <w:r>
        <w:rPr>
          <w:sz w:val="20"/>
          <w:u w:val="single"/>
        </w:rPr>
        <w:t>y</w:t>
      </w:r>
      <w:r>
        <w:rPr>
          <w:spacing w:val="-9"/>
          <w:sz w:val="20"/>
          <w:u w:val="single"/>
        </w:rPr>
        <w:t> </w:t>
      </w:r>
      <w:r>
        <w:rPr>
          <w:sz w:val="20"/>
          <w:u w:val="single"/>
        </w:rPr>
        <w:t>el</w:t>
      </w:r>
      <w:r>
        <w:rPr>
          <w:spacing w:val="-6"/>
          <w:sz w:val="20"/>
          <w:u w:val="single"/>
        </w:rPr>
        <w:t> </w:t>
      </w:r>
      <w:r>
        <w:rPr>
          <w:sz w:val="20"/>
          <w:u w:val="single"/>
        </w:rPr>
        <w:t>nivel</w:t>
      </w:r>
      <w:r>
        <w:rPr>
          <w:spacing w:val="-3"/>
          <w:sz w:val="20"/>
          <w:u w:val="single"/>
        </w:rPr>
        <w:t> </w:t>
      </w:r>
      <w:r>
        <w:rPr>
          <w:sz w:val="20"/>
          <w:u w:val="single"/>
        </w:rPr>
        <w:t>de</w:t>
      </w:r>
      <w:r>
        <w:rPr>
          <w:spacing w:val="-6"/>
          <w:sz w:val="20"/>
          <w:u w:val="single"/>
        </w:rPr>
        <w:t> </w:t>
      </w:r>
      <w:r>
        <w:rPr>
          <w:sz w:val="20"/>
          <w:u w:val="single"/>
        </w:rPr>
        <w:t>riesgo</w:t>
      </w:r>
      <w:r>
        <w:rPr>
          <w:spacing w:val="-6"/>
          <w:sz w:val="20"/>
          <w:u w:val="single"/>
        </w:rPr>
        <w:t> </w:t>
      </w:r>
      <w:r>
        <w:rPr>
          <w:sz w:val="20"/>
          <w:u w:val="single"/>
        </w:rPr>
        <w:t>procedente</w:t>
      </w:r>
      <w:r>
        <w:rPr>
          <w:spacing w:val="-7"/>
          <w:sz w:val="20"/>
          <w:u w:val="single"/>
        </w:rPr>
        <w:t> </w:t>
      </w:r>
      <w:r>
        <w:rPr>
          <w:sz w:val="20"/>
          <w:u w:val="single"/>
        </w:rPr>
        <w:t>de</w:t>
      </w:r>
      <w:r>
        <w:rPr>
          <w:spacing w:val="-3"/>
          <w:sz w:val="20"/>
          <w:u w:val="single"/>
        </w:rPr>
        <w:t> </w:t>
      </w:r>
      <w:r>
        <w:rPr>
          <w:sz w:val="20"/>
          <w:u w:val="single"/>
        </w:rPr>
        <w:t>pasivos</w:t>
      </w:r>
      <w:r>
        <w:rPr>
          <w:spacing w:val="-4"/>
          <w:sz w:val="20"/>
          <w:u w:val="single"/>
        </w:rPr>
        <w:t> </w:t>
      </w:r>
      <w:r>
        <w:rPr>
          <w:spacing w:val="-2"/>
          <w:sz w:val="20"/>
          <w:u w:val="single"/>
        </w:rPr>
        <w:t>financieros.</w:t>
      </w:r>
    </w:p>
    <w:p>
      <w:pPr>
        <w:pStyle w:val="BodyText"/>
        <w:spacing w:before="1"/>
      </w:pPr>
    </w:p>
    <w:p>
      <w:pPr>
        <w:pStyle w:val="BodyText"/>
        <w:ind w:left="1701" w:right="1337"/>
        <w:jc w:val="both"/>
      </w:pPr>
      <w:r>
        <w:rPr/>
        <w:t>Por su actividad normal la Sociedad está expuesta a diferentes riesgos financieros, básicamente, riesgo de crédito, riesgo de liquidez y riesgo de mercado, siendo este último el que se refiere a riesgo de tipo de cambio, de tipo de interés y otros riesgos de precio.</w:t>
      </w:r>
    </w:p>
    <w:p>
      <w:pPr>
        <w:pStyle w:val="BodyText"/>
        <w:spacing w:before="229"/>
        <w:ind w:left="1701" w:right="1338"/>
        <w:jc w:val="both"/>
      </w:pPr>
      <w:r>
        <w:rPr/>
        <w:t>La Sociedad está sujeta al riesgo de tipo de interés y tiene su origen básicamente en las deudas con entidades financieras por los préstamos contratados con tipo de interés </w:t>
      </w:r>
      <w:r>
        <w:rPr>
          <w:spacing w:val="-2"/>
        </w:rPr>
        <w:t>variable.</w:t>
      </w:r>
    </w:p>
    <w:p>
      <w:pPr>
        <w:pStyle w:val="Heading2"/>
        <w:numPr>
          <w:ilvl w:val="0"/>
          <w:numId w:val="21"/>
        </w:numPr>
        <w:tabs>
          <w:tab w:pos="1726" w:val="left" w:leader="none"/>
        </w:tabs>
        <w:spacing w:line="240" w:lineRule="auto" w:before="227" w:after="0"/>
        <w:ind w:left="1726" w:right="0" w:hanging="385"/>
        <w:jc w:val="left"/>
        <w:rPr>
          <w:u w:val="none"/>
        </w:rPr>
      </w:pPr>
      <w:r>
        <w:rPr>
          <w:u w:val="single"/>
        </w:rPr>
        <w:t>FONDOS</w:t>
      </w:r>
      <w:r>
        <w:rPr>
          <w:spacing w:val="-7"/>
          <w:u w:val="single"/>
        </w:rPr>
        <w:t> </w:t>
      </w:r>
      <w:r>
        <w:rPr>
          <w:spacing w:val="-2"/>
          <w:u w:val="single"/>
        </w:rPr>
        <w:t>PROPIOS.</w:t>
      </w:r>
    </w:p>
    <w:p>
      <w:pPr>
        <w:pStyle w:val="BodyText"/>
        <w:spacing w:before="3"/>
        <w:rPr>
          <w:b/>
        </w:rPr>
      </w:pPr>
    </w:p>
    <w:p>
      <w:pPr>
        <w:pStyle w:val="BodyText"/>
        <w:ind w:left="1701" w:right="1339"/>
        <w:jc w:val="both"/>
      </w:pPr>
      <w:r>
        <w:rPr/>
        <w:t>El capital social de la Entidad, totalmente suscrito y desembolsado asciende a 15.608.538,40 euros y está representado por 5.341 acciones nominativas de 2.922,40 euros nominales cada una, cuya titularidad corresponde al Excmo. Ayuntamiento de Las Palmas de Gran Canaria.</w:t>
      </w:r>
    </w:p>
    <w:p>
      <w:pPr>
        <w:pStyle w:val="BodyText"/>
      </w:pPr>
    </w:p>
    <w:p>
      <w:pPr>
        <w:pStyle w:val="BodyText"/>
        <w:ind w:left="1701" w:right="1335"/>
        <w:jc w:val="both"/>
      </w:pPr>
      <w:r>
        <w:rPr/>
        <mc:AlternateContent>
          <mc:Choice Requires="wps">
            <w:drawing>
              <wp:anchor distT="0" distB="0" distL="0" distR="0" allowOverlap="1" layoutInCell="1" locked="0" behindDoc="0" simplePos="0" relativeHeight="15763456">
                <wp:simplePos x="0" y="0"/>
                <wp:positionH relativeFrom="page">
                  <wp:posOffset>6966436</wp:posOffset>
                </wp:positionH>
                <wp:positionV relativeFrom="paragraph">
                  <wp:posOffset>533898</wp:posOffset>
                </wp:positionV>
                <wp:extent cx="263525" cy="327596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2.039227pt;width:20.75pt;height:257.95pt;mso-position-horizontal-relative:page;mso-position-vertical-relative:paragraph;z-index:15763456" type="#_x0000_t202" id="docshape11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51</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Durante los ejercicios 2017 y 2018 se produjeron aportaciones de socios por parte del Excmo. Ayuntamiento de Las Palmas de Gran Canaria por importe de 1.500.000 euros</w:t>
      </w:r>
      <w:r>
        <w:rPr>
          <w:spacing w:val="40"/>
        </w:rPr>
        <w:t> </w:t>
      </w:r>
      <w:r>
        <w:rPr/>
        <w:t>para cada uno de los años. En base a lo aprobado en la Junta General de Accionistas de</w:t>
      </w:r>
      <w:r>
        <w:rPr>
          <w:spacing w:val="40"/>
        </w:rPr>
        <w:t> </w:t>
      </w:r>
      <w:r>
        <w:rPr/>
        <w:t>23 de abril de 2020 se aplicaron dichas aportaciones de socios a compensar resultados negativos de ejercicios anteriores, y el excedente a Reservas Voluntarias.</w:t>
      </w:r>
    </w:p>
    <w:p>
      <w:pPr>
        <w:pStyle w:val="BodyText"/>
      </w:pPr>
    </w:p>
    <w:p>
      <w:pPr>
        <w:pStyle w:val="BodyText"/>
        <w:ind w:left="1701" w:right="1336"/>
        <w:jc w:val="both"/>
      </w:pPr>
      <w:r>
        <w:rPr/>
        <w:t>Según establecen los artículos 89 y siguientes del Decreto de 17 de junio de 1955, que aprueba el Reglamento de Servicios de las Corporaciones Locales “los entes locales podrán constituir sociedades anónimas municipales para la gestión directa de los servicios municipales.</w:t>
      </w:r>
      <w:r>
        <w:rPr>
          <w:spacing w:val="-1"/>
        </w:rPr>
        <w:t> </w:t>
      </w:r>
      <w:r>
        <w:rPr/>
        <w:t>La corporación interesada será</w:t>
      </w:r>
      <w:r>
        <w:rPr>
          <w:spacing w:val="-1"/>
        </w:rPr>
        <w:t> </w:t>
      </w:r>
      <w:r>
        <w:rPr/>
        <w:t>propietaria</w:t>
      </w:r>
      <w:r>
        <w:rPr>
          <w:spacing w:val="-1"/>
        </w:rPr>
        <w:t> </w:t>
      </w:r>
      <w:r>
        <w:rPr/>
        <w:t>exclusiva</w:t>
      </w:r>
      <w:r>
        <w:rPr>
          <w:spacing w:val="-1"/>
        </w:rPr>
        <w:t> </w:t>
      </w:r>
      <w:r>
        <w:rPr/>
        <w:t>del</w:t>
      </w:r>
      <w:r>
        <w:rPr>
          <w:spacing w:val="-1"/>
        </w:rPr>
        <w:t> </w:t>
      </w:r>
      <w:r>
        <w:rPr/>
        <w:t>capital de la sociedad y</w:t>
      </w:r>
      <w:r>
        <w:rPr>
          <w:spacing w:val="-2"/>
        </w:rPr>
        <w:t> </w:t>
      </w:r>
      <w:r>
        <w:rPr/>
        <w:t>no</w:t>
      </w:r>
      <w:r>
        <w:rPr>
          <w:spacing w:val="-2"/>
        </w:rPr>
        <w:t> </w:t>
      </w:r>
      <w:r>
        <w:rPr/>
        <w:t>podrá transferirlo ni destinarlo</w:t>
      </w:r>
      <w:r>
        <w:rPr>
          <w:spacing w:val="-2"/>
        </w:rPr>
        <w:t> </w:t>
      </w:r>
      <w:r>
        <w:rPr/>
        <w:t>a otras finalidades, salvo</w:t>
      </w:r>
      <w:r>
        <w:rPr>
          <w:spacing w:val="-2"/>
        </w:rPr>
        <w:t> </w:t>
      </w:r>
      <w:r>
        <w:rPr/>
        <w:t>en</w:t>
      </w:r>
      <w:r>
        <w:rPr>
          <w:spacing w:val="-2"/>
        </w:rPr>
        <w:t> </w:t>
      </w:r>
      <w:r>
        <w:rPr/>
        <w:t>los</w:t>
      </w:r>
      <w:r>
        <w:rPr>
          <w:spacing w:val="-1"/>
        </w:rPr>
        <w:t> </w:t>
      </w:r>
      <w:r>
        <w:rPr/>
        <w:t>supuestos regulados en la sección cuarta del citado Reglamento”.</w:t>
      </w:r>
    </w:p>
    <w:p>
      <w:pPr>
        <w:pStyle w:val="Heading2"/>
        <w:numPr>
          <w:ilvl w:val="0"/>
          <w:numId w:val="21"/>
        </w:numPr>
        <w:tabs>
          <w:tab w:pos="1729" w:val="left" w:leader="none"/>
        </w:tabs>
        <w:spacing w:line="240" w:lineRule="auto" w:before="228" w:after="0"/>
        <w:ind w:left="1729" w:right="0" w:hanging="388"/>
        <w:jc w:val="left"/>
        <w:rPr>
          <w:u w:val="none"/>
        </w:rPr>
      </w:pPr>
      <w:r>
        <w:rPr>
          <w:spacing w:val="-2"/>
          <w:u w:val="single"/>
        </w:rPr>
        <w:t>EXISTENCIAS.</w:t>
      </w:r>
    </w:p>
    <w:p>
      <w:pPr>
        <w:pStyle w:val="BodyText"/>
        <w:spacing w:before="3"/>
        <w:rPr>
          <w:b/>
        </w:rPr>
      </w:pPr>
    </w:p>
    <w:p>
      <w:pPr>
        <w:pStyle w:val="BodyText"/>
        <w:ind w:left="1699" w:right="1335"/>
        <w:jc w:val="both"/>
      </w:pPr>
      <w:r>
        <w:rPr/>
        <w:t>Se corresponde, básicamente, con repuestos de taller y soportes para recargas de títulos de viaje cuyos importes al 31 de diciembre de 2025 y 2024, ascienden a 2.151.114,85</w:t>
      </w:r>
      <w:r>
        <w:rPr>
          <w:spacing w:val="40"/>
        </w:rPr>
        <w:t> </w:t>
      </w:r>
      <w:r>
        <w:rPr/>
        <w:t>euros y 2.136.705,10 euros, respectivamente. No hay recogido ni al cierre del ejercicio</w:t>
      </w:r>
      <w:r>
        <w:rPr>
          <w:spacing w:val="40"/>
        </w:rPr>
        <w:t> </w:t>
      </w:r>
      <w:r>
        <w:rPr/>
        <w:t>2024 ni del</w:t>
      </w:r>
      <w:r>
        <w:rPr>
          <w:spacing w:val="-1"/>
        </w:rPr>
        <w:t> </w:t>
      </w:r>
      <w:r>
        <w:rPr/>
        <w:t>ejercicio 2025 ningún deterioro. Al</w:t>
      </w:r>
      <w:r>
        <w:rPr>
          <w:spacing w:val="-1"/>
        </w:rPr>
        <w:t> </w:t>
      </w:r>
      <w:r>
        <w:rPr/>
        <w:t>cierre del ejercicio</w:t>
      </w:r>
      <w:r>
        <w:rPr>
          <w:spacing w:val="-1"/>
        </w:rPr>
        <w:t> </w:t>
      </w:r>
      <w:r>
        <w:rPr/>
        <w:t>2024 existían anticipos de proveedores por valor de 250,00 euros. En el cierre de 2025 el importe de los mismos ha sido de 2.100,00 euros. No existen compromisos firmes de compra y</w:t>
      </w:r>
      <w:r>
        <w:rPr>
          <w:spacing w:val="-1"/>
        </w:rPr>
        <w:t> </w:t>
      </w:r>
      <w:r>
        <w:rPr/>
        <w:t>venta, ni contratos de futuro sobre las existencias, ni limitaciones de disponibilidad.</w:t>
      </w:r>
    </w:p>
    <w:p>
      <w:pPr>
        <w:pStyle w:val="BodyText"/>
        <w:spacing w:after="0"/>
        <w:jc w:val="both"/>
        <w:sectPr>
          <w:pgSz w:w="11910" w:h="16840"/>
          <w:pgMar w:header="286" w:footer="1060" w:top="1920" w:bottom="1260" w:left="360" w:right="360"/>
        </w:sectPr>
      </w:pPr>
    </w:p>
    <w:p>
      <w:pPr>
        <w:pStyle w:val="BodyText"/>
        <w:spacing w:before="199"/>
      </w:pPr>
    </w:p>
    <w:p>
      <w:pPr>
        <w:pStyle w:val="Heading2"/>
        <w:numPr>
          <w:ilvl w:val="1"/>
          <w:numId w:val="21"/>
        </w:numPr>
        <w:tabs>
          <w:tab w:pos="1972" w:val="left" w:leader="none"/>
        </w:tabs>
        <w:spacing w:line="240" w:lineRule="auto" w:before="0" w:after="0"/>
        <w:ind w:left="1972" w:right="0" w:hanging="273"/>
        <w:jc w:val="left"/>
        <w:rPr>
          <w:u w:val="none"/>
        </w:rPr>
      </w:pPr>
      <w:r>
        <w:rPr>
          <w:u w:val="single"/>
        </w:rPr>
        <w:t>SITUACION</w:t>
      </w:r>
      <w:r>
        <w:rPr>
          <w:spacing w:val="-13"/>
          <w:u w:val="single"/>
        </w:rPr>
        <w:t> </w:t>
      </w:r>
      <w:r>
        <w:rPr>
          <w:spacing w:val="-2"/>
          <w:u w:val="single"/>
        </w:rPr>
        <w:t>FISCAL.</w:t>
      </w:r>
    </w:p>
    <w:p>
      <w:pPr>
        <w:pStyle w:val="BodyText"/>
        <w:spacing w:before="1"/>
        <w:rPr>
          <w:b/>
        </w:rPr>
      </w:pPr>
    </w:p>
    <w:p>
      <w:pPr>
        <w:pStyle w:val="ListParagraph"/>
        <w:numPr>
          <w:ilvl w:val="2"/>
          <w:numId w:val="21"/>
        </w:numPr>
        <w:tabs>
          <w:tab w:pos="2016" w:val="left" w:leader="none"/>
        </w:tabs>
        <w:spacing w:line="240" w:lineRule="auto" w:before="0" w:after="0"/>
        <w:ind w:left="2016" w:right="0" w:hanging="392"/>
        <w:jc w:val="left"/>
        <w:rPr>
          <w:sz w:val="20"/>
        </w:rPr>
      </w:pPr>
      <w:r>
        <w:rPr>
          <w:sz w:val="20"/>
          <w:u w:val="single"/>
        </w:rPr>
        <w:t>Saldos</w:t>
      </w:r>
      <w:r>
        <w:rPr>
          <w:spacing w:val="-9"/>
          <w:sz w:val="20"/>
          <w:u w:val="single"/>
        </w:rPr>
        <w:t> </w:t>
      </w:r>
      <w:r>
        <w:rPr>
          <w:sz w:val="20"/>
          <w:u w:val="single"/>
        </w:rPr>
        <w:t>con</w:t>
      </w:r>
      <w:r>
        <w:rPr>
          <w:spacing w:val="-10"/>
          <w:sz w:val="20"/>
          <w:u w:val="single"/>
        </w:rPr>
        <w:t> </w:t>
      </w:r>
      <w:r>
        <w:rPr>
          <w:sz w:val="20"/>
          <w:u w:val="single"/>
        </w:rPr>
        <w:t>administraciones</w:t>
      </w:r>
      <w:r>
        <w:rPr>
          <w:spacing w:val="-10"/>
          <w:sz w:val="20"/>
          <w:u w:val="single"/>
        </w:rPr>
        <w:t> </w:t>
      </w:r>
      <w:r>
        <w:rPr>
          <w:spacing w:val="-2"/>
          <w:sz w:val="20"/>
          <w:u w:val="single"/>
        </w:rPr>
        <w:t>públicas</w:t>
      </w:r>
    </w:p>
    <w:p>
      <w:pPr>
        <w:pStyle w:val="BodyText"/>
        <w:spacing w:before="10"/>
        <w:rPr>
          <w:sz w:val="19"/>
        </w:rPr>
      </w:pPr>
    </w:p>
    <w:tbl>
      <w:tblPr>
        <w:tblW w:w="0" w:type="auto"/>
        <w:jc w:val="left"/>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2"/>
        <w:gridCol w:w="1419"/>
        <w:gridCol w:w="1421"/>
      </w:tblGrid>
      <w:tr>
        <w:trPr>
          <w:trHeight w:val="688" w:hRule="atLeast"/>
        </w:trPr>
        <w:tc>
          <w:tcPr>
            <w:tcW w:w="5002" w:type="dxa"/>
            <w:tcBorders>
              <w:top w:val="nil"/>
              <w:left w:val="nil"/>
            </w:tcBorders>
          </w:tcPr>
          <w:p>
            <w:pPr>
              <w:pStyle w:val="TableParagraph"/>
              <w:spacing w:line="227" w:lineRule="exact"/>
              <w:ind w:left="74"/>
              <w:rPr>
                <w:b/>
                <w:i/>
                <w:sz w:val="20"/>
              </w:rPr>
            </w:pPr>
            <w:r>
              <w:rPr>
                <w:b/>
                <w:i/>
                <w:spacing w:val="-2"/>
                <w:sz w:val="20"/>
                <w:u w:val="single"/>
              </w:rPr>
              <w:t>DEUDORES</w:t>
            </w:r>
          </w:p>
        </w:tc>
        <w:tc>
          <w:tcPr>
            <w:tcW w:w="1419" w:type="dxa"/>
          </w:tcPr>
          <w:p>
            <w:pPr>
              <w:pStyle w:val="TableParagraph"/>
              <w:spacing w:before="225"/>
              <w:ind w:left="8" w:right="2"/>
              <w:jc w:val="center"/>
              <w:rPr>
                <w:b/>
                <w:sz w:val="20"/>
              </w:rPr>
            </w:pPr>
            <w:r>
              <w:rPr>
                <w:b/>
                <w:spacing w:val="-4"/>
                <w:sz w:val="20"/>
              </w:rPr>
              <w:t>2025</w:t>
            </w:r>
          </w:p>
        </w:tc>
        <w:tc>
          <w:tcPr>
            <w:tcW w:w="1421" w:type="dxa"/>
          </w:tcPr>
          <w:p>
            <w:pPr>
              <w:pStyle w:val="TableParagraph"/>
              <w:spacing w:before="225"/>
              <w:ind w:left="5" w:right="3"/>
              <w:jc w:val="center"/>
              <w:rPr>
                <w:b/>
                <w:sz w:val="20"/>
              </w:rPr>
            </w:pPr>
            <w:r>
              <w:rPr>
                <w:b/>
                <w:spacing w:val="-4"/>
                <w:sz w:val="20"/>
              </w:rPr>
              <w:t>2024</w:t>
            </w:r>
          </w:p>
        </w:tc>
      </w:tr>
      <w:tr>
        <w:trPr>
          <w:trHeight w:val="230" w:hRule="atLeast"/>
        </w:trPr>
        <w:tc>
          <w:tcPr>
            <w:tcW w:w="5002" w:type="dxa"/>
          </w:tcPr>
          <w:p>
            <w:pPr>
              <w:pStyle w:val="TableParagraph"/>
              <w:spacing w:line="210" w:lineRule="exact"/>
              <w:ind w:left="69"/>
              <w:rPr>
                <w:sz w:val="20"/>
              </w:rPr>
            </w:pPr>
            <w:r>
              <w:rPr>
                <w:sz w:val="20"/>
              </w:rPr>
              <w:t>HP</w:t>
            </w:r>
            <w:r>
              <w:rPr>
                <w:spacing w:val="-8"/>
                <w:sz w:val="20"/>
              </w:rPr>
              <w:t> </w:t>
            </w:r>
            <w:r>
              <w:rPr>
                <w:sz w:val="20"/>
              </w:rPr>
              <w:t>Deudora</w:t>
            </w:r>
            <w:r>
              <w:rPr>
                <w:spacing w:val="-6"/>
                <w:sz w:val="20"/>
              </w:rPr>
              <w:t> </w:t>
            </w:r>
            <w:r>
              <w:rPr>
                <w:sz w:val="20"/>
              </w:rPr>
              <w:t>por</w:t>
            </w:r>
            <w:r>
              <w:rPr>
                <w:spacing w:val="-3"/>
                <w:sz w:val="20"/>
              </w:rPr>
              <w:t> </w:t>
            </w:r>
            <w:r>
              <w:rPr>
                <w:spacing w:val="-5"/>
                <w:sz w:val="20"/>
              </w:rPr>
              <w:t>IVA</w:t>
            </w:r>
          </w:p>
        </w:tc>
        <w:tc>
          <w:tcPr>
            <w:tcW w:w="1419" w:type="dxa"/>
          </w:tcPr>
          <w:p>
            <w:pPr>
              <w:pStyle w:val="TableParagraph"/>
              <w:spacing w:line="210" w:lineRule="exact"/>
              <w:ind w:right="60"/>
              <w:jc w:val="right"/>
              <w:rPr>
                <w:sz w:val="20"/>
              </w:rPr>
            </w:pPr>
            <w:r>
              <w:rPr>
                <w:spacing w:val="-4"/>
                <w:sz w:val="20"/>
              </w:rPr>
              <w:t>0,00</w:t>
            </w:r>
          </w:p>
        </w:tc>
        <w:tc>
          <w:tcPr>
            <w:tcW w:w="1421" w:type="dxa"/>
          </w:tcPr>
          <w:p>
            <w:pPr>
              <w:pStyle w:val="TableParagraph"/>
              <w:spacing w:line="210" w:lineRule="exact"/>
              <w:ind w:right="63"/>
              <w:jc w:val="right"/>
              <w:rPr>
                <w:sz w:val="20"/>
              </w:rPr>
            </w:pPr>
            <w:r>
              <w:rPr>
                <w:spacing w:val="-4"/>
                <w:sz w:val="20"/>
              </w:rPr>
              <w:t>0,00</w:t>
            </w:r>
          </w:p>
        </w:tc>
      </w:tr>
      <w:tr>
        <w:trPr>
          <w:trHeight w:val="230" w:hRule="atLeast"/>
        </w:trPr>
        <w:tc>
          <w:tcPr>
            <w:tcW w:w="5002" w:type="dxa"/>
          </w:tcPr>
          <w:p>
            <w:pPr>
              <w:pStyle w:val="TableParagraph"/>
              <w:spacing w:line="210" w:lineRule="exact"/>
              <w:ind w:left="69"/>
              <w:rPr>
                <w:sz w:val="20"/>
              </w:rPr>
            </w:pPr>
            <w:r>
              <w:rPr>
                <w:sz w:val="20"/>
              </w:rPr>
              <w:t>HP</w:t>
            </w:r>
            <w:r>
              <w:rPr>
                <w:spacing w:val="-8"/>
                <w:sz w:val="20"/>
              </w:rPr>
              <w:t> </w:t>
            </w:r>
            <w:r>
              <w:rPr>
                <w:sz w:val="20"/>
              </w:rPr>
              <w:t>devolución</w:t>
            </w:r>
            <w:r>
              <w:rPr>
                <w:spacing w:val="-6"/>
                <w:sz w:val="20"/>
              </w:rPr>
              <w:t> </w:t>
            </w:r>
            <w:r>
              <w:rPr>
                <w:sz w:val="20"/>
              </w:rPr>
              <w:t>Impuesto</w:t>
            </w:r>
            <w:r>
              <w:rPr>
                <w:spacing w:val="-7"/>
                <w:sz w:val="20"/>
              </w:rPr>
              <w:t> </w:t>
            </w:r>
            <w:r>
              <w:rPr>
                <w:sz w:val="20"/>
              </w:rPr>
              <w:t>de</w:t>
            </w:r>
            <w:r>
              <w:rPr>
                <w:spacing w:val="-4"/>
                <w:sz w:val="20"/>
              </w:rPr>
              <w:t> </w:t>
            </w:r>
            <w:r>
              <w:rPr>
                <w:spacing w:val="-2"/>
                <w:sz w:val="20"/>
              </w:rPr>
              <w:t>Gasolina</w:t>
            </w:r>
          </w:p>
        </w:tc>
        <w:tc>
          <w:tcPr>
            <w:tcW w:w="1419" w:type="dxa"/>
          </w:tcPr>
          <w:p>
            <w:pPr>
              <w:pStyle w:val="TableParagraph"/>
              <w:spacing w:line="210" w:lineRule="exact"/>
              <w:ind w:right="61"/>
              <w:jc w:val="right"/>
              <w:rPr>
                <w:sz w:val="20"/>
              </w:rPr>
            </w:pPr>
            <w:r>
              <w:rPr>
                <w:spacing w:val="-2"/>
                <w:sz w:val="20"/>
              </w:rPr>
              <w:t>110.128,58</w:t>
            </w:r>
          </w:p>
        </w:tc>
        <w:tc>
          <w:tcPr>
            <w:tcW w:w="1421" w:type="dxa"/>
          </w:tcPr>
          <w:p>
            <w:pPr>
              <w:pStyle w:val="TableParagraph"/>
              <w:spacing w:line="210" w:lineRule="exact"/>
              <w:ind w:right="64"/>
              <w:jc w:val="right"/>
              <w:rPr>
                <w:sz w:val="20"/>
              </w:rPr>
            </w:pPr>
            <w:r>
              <w:rPr>
                <w:spacing w:val="-2"/>
                <w:sz w:val="20"/>
              </w:rPr>
              <w:t>109.167,63</w:t>
            </w:r>
          </w:p>
        </w:tc>
      </w:tr>
      <w:tr>
        <w:trPr>
          <w:trHeight w:val="230" w:hRule="atLeast"/>
        </w:trPr>
        <w:tc>
          <w:tcPr>
            <w:tcW w:w="5002" w:type="dxa"/>
          </w:tcPr>
          <w:p>
            <w:pPr>
              <w:pStyle w:val="TableParagraph"/>
              <w:spacing w:line="210" w:lineRule="exact"/>
              <w:ind w:left="69"/>
              <w:rPr>
                <w:sz w:val="20"/>
              </w:rPr>
            </w:pPr>
            <w:r>
              <w:rPr>
                <w:sz w:val="20"/>
              </w:rPr>
              <w:t>HP</w:t>
            </w:r>
            <w:r>
              <w:rPr>
                <w:spacing w:val="-8"/>
                <w:sz w:val="20"/>
              </w:rPr>
              <w:t> </w:t>
            </w:r>
            <w:r>
              <w:rPr>
                <w:sz w:val="20"/>
              </w:rPr>
              <w:t>Deudora</w:t>
            </w:r>
            <w:r>
              <w:rPr>
                <w:spacing w:val="-6"/>
                <w:sz w:val="20"/>
              </w:rPr>
              <w:t> </w:t>
            </w:r>
            <w:r>
              <w:rPr>
                <w:sz w:val="20"/>
              </w:rPr>
              <w:t>por</w:t>
            </w:r>
            <w:r>
              <w:rPr>
                <w:spacing w:val="-3"/>
                <w:sz w:val="20"/>
              </w:rPr>
              <w:t> </w:t>
            </w:r>
            <w:r>
              <w:rPr>
                <w:spacing w:val="-4"/>
                <w:sz w:val="20"/>
              </w:rPr>
              <w:t>IGIC</w:t>
            </w:r>
          </w:p>
        </w:tc>
        <w:tc>
          <w:tcPr>
            <w:tcW w:w="1419" w:type="dxa"/>
          </w:tcPr>
          <w:p>
            <w:pPr>
              <w:pStyle w:val="TableParagraph"/>
              <w:spacing w:line="210" w:lineRule="exact"/>
              <w:ind w:right="61"/>
              <w:jc w:val="right"/>
              <w:rPr>
                <w:sz w:val="20"/>
              </w:rPr>
            </w:pPr>
            <w:r>
              <w:rPr>
                <w:spacing w:val="-2"/>
                <w:sz w:val="20"/>
              </w:rPr>
              <w:t>900.791,02</w:t>
            </w:r>
          </w:p>
        </w:tc>
        <w:tc>
          <w:tcPr>
            <w:tcW w:w="1421" w:type="dxa"/>
          </w:tcPr>
          <w:p>
            <w:pPr>
              <w:pStyle w:val="TableParagraph"/>
              <w:spacing w:line="210" w:lineRule="exact"/>
              <w:ind w:right="62"/>
              <w:jc w:val="right"/>
              <w:rPr>
                <w:sz w:val="20"/>
              </w:rPr>
            </w:pPr>
            <w:r>
              <w:rPr>
                <w:spacing w:val="-2"/>
                <w:sz w:val="20"/>
              </w:rPr>
              <w:t>1.292.705,43</w:t>
            </w:r>
          </w:p>
        </w:tc>
      </w:tr>
      <w:tr>
        <w:trPr>
          <w:trHeight w:val="230" w:hRule="atLeast"/>
        </w:trPr>
        <w:tc>
          <w:tcPr>
            <w:tcW w:w="5002" w:type="dxa"/>
          </w:tcPr>
          <w:p>
            <w:pPr>
              <w:pStyle w:val="TableParagraph"/>
              <w:spacing w:line="210" w:lineRule="exact"/>
              <w:ind w:left="69"/>
              <w:rPr>
                <w:sz w:val="20"/>
              </w:rPr>
            </w:pPr>
            <w:r>
              <w:rPr>
                <w:sz w:val="20"/>
              </w:rPr>
              <w:t>Autoridad</w:t>
            </w:r>
            <w:r>
              <w:rPr>
                <w:spacing w:val="-9"/>
                <w:sz w:val="20"/>
              </w:rPr>
              <w:t> </w:t>
            </w:r>
            <w:r>
              <w:rPr>
                <w:sz w:val="20"/>
              </w:rPr>
              <w:t>Única</w:t>
            </w:r>
            <w:r>
              <w:rPr>
                <w:spacing w:val="-8"/>
                <w:sz w:val="20"/>
              </w:rPr>
              <w:t> </w:t>
            </w:r>
            <w:r>
              <w:rPr>
                <w:sz w:val="20"/>
              </w:rPr>
              <w:t>del</w:t>
            </w:r>
            <w:r>
              <w:rPr>
                <w:spacing w:val="-6"/>
                <w:sz w:val="20"/>
              </w:rPr>
              <w:t> </w:t>
            </w:r>
            <w:r>
              <w:rPr>
                <w:sz w:val="20"/>
              </w:rPr>
              <w:t>Transporte</w:t>
            </w:r>
            <w:r>
              <w:rPr>
                <w:spacing w:val="-9"/>
                <w:sz w:val="20"/>
              </w:rPr>
              <w:t> </w:t>
            </w:r>
            <w:r>
              <w:rPr>
                <w:spacing w:val="-2"/>
                <w:sz w:val="20"/>
              </w:rPr>
              <w:t>Subvenciones</w:t>
            </w:r>
          </w:p>
        </w:tc>
        <w:tc>
          <w:tcPr>
            <w:tcW w:w="1419" w:type="dxa"/>
          </w:tcPr>
          <w:p>
            <w:pPr>
              <w:pStyle w:val="TableParagraph"/>
              <w:spacing w:line="210" w:lineRule="exact"/>
              <w:ind w:right="61"/>
              <w:jc w:val="right"/>
              <w:rPr>
                <w:sz w:val="20"/>
              </w:rPr>
            </w:pPr>
            <w:r>
              <w:rPr>
                <w:spacing w:val="-2"/>
                <w:sz w:val="20"/>
              </w:rPr>
              <w:t>27.135.997,2</w:t>
            </w:r>
          </w:p>
        </w:tc>
        <w:tc>
          <w:tcPr>
            <w:tcW w:w="1421" w:type="dxa"/>
          </w:tcPr>
          <w:p>
            <w:pPr>
              <w:pStyle w:val="TableParagraph"/>
              <w:spacing w:line="210" w:lineRule="exact"/>
              <w:ind w:right="64"/>
              <w:jc w:val="right"/>
              <w:rPr>
                <w:sz w:val="20"/>
              </w:rPr>
            </w:pPr>
            <w:r>
              <w:rPr>
                <w:spacing w:val="-2"/>
                <w:sz w:val="20"/>
              </w:rPr>
              <w:t>20.009.760,7</w:t>
            </w:r>
          </w:p>
        </w:tc>
      </w:tr>
      <w:tr>
        <w:trPr>
          <w:trHeight w:val="230" w:hRule="atLeast"/>
        </w:trPr>
        <w:tc>
          <w:tcPr>
            <w:tcW w:w="5002" w:type="dxa"/>
          </w:tcPr>
          <w:p>
            <w:pPr>
              <w:pStyle w:val="TableParagraph"/>
              <w:spacing w:line="210" w:lineRule="exact"/>
              <w:ind w:left="69"/>
              <w:rPr>
                <w:sz w:val="20"/>
              </w:rPr>
            </w:pPr>
            <w:r>
              <w:rPr>
                <w:sz w:val="20"/>
              </w:rPr>
              <w:t>Excmo.</w:t>
            </w:r>
            <w:r>
              <w:rPr>
                <w:spacing w:val="-7"/>
                <w:sz w:val="20"/>
              </w:rPr>
              <w:t> </w:t>
            </w:r>
            <w:r>
              <w:rPr>
                <w:sz w:val="20"/>
              </w:rPr>
              <w:t>Ayuntamiento</w:t>
            </w:r>
            <w:r>
              <w:rPr>
                <w:spacing w:val="-8"/>
                <w:sz w:val="20"/>
              </w:rPr>
              <w:t> </w:t>
            </w:r>
            <w:r>
              <w:rPr>
                <w:sz w:val="20"/>
              </w:rPr>
              <w:t>de</w:t>
            </w:r>
            <w:r>
              <w:rPr>
                <w:spacing w:val="-4"/>
                <w:sz w:val="20"/>
              </w:rPr>
              <w:t> </w:t>
            </w:r>
            <w:r>
              <w:rPr>
                <w:sz w:val="20"/>
              </w:rPr>
              <w:t>las</w:t>
            </w:r>
            <w:r>
              <w:rPr>
                <w:spacing w:val="-5"/>
                <w:sz w:val="20"/>
              </w:rPr>
              <w:t> </w:t>
            </w:r>
            <w:r>
              <w:rPr>
                <w:sz w:val="20"/>
              </w:rPr>
              <w:t>Palmas</w:t>
            </w:r>
            <w:r>
              <w:rPr>
                <w:spacing w:val="-6"/>
                <w:sz w:val="20"/>
              </w:rPr>
              <w:t> </w:t>
            </w:r>
            <w:r>
              <w:rPr>
                <w:sz w:val="20"/>
              </w:rPr>
              <w:t>de</w:t>
            </w:r>
            <w:r>
              <w:rPr>
                <w:spacing w:val="-7"/>
                <w:sz w:val="20"/>
              </w:rPr>
              <w:t> </w:t>
            </w:r>
            <w:r>
              <w:rPr>
                <w:sz w:val="20"/>
              </w:rPr>
              <w:t>Gran</w:t>
            </w:r>
            <w:r>
              <w:rPr>
                <w:spacing w:val="-7"/>
                <w:sz w:val="20"/>
              </w:rPr>
              <w:t> </w:t>
            </w:r>
            <w:r>
              <w:rPr>
                <w:spacing w:val="-2"/>
                <w:sz w:val="20"/>
              </w:rPr>
              <w:t>Canaria</w:t>
            </w:r>
          </w:p>
        </w:tc>
        <w:tc>
          <w:tcPr>
            <w:tcW w:w="1419" w:type="dxa"/>
          </w:tcPr>
          <w:p>
            <w:pPr>
              <w:pStyle w:val="TableParagraph"/>
              <w:spacing w:line="210" w:lineRule="exact"/>
              <w:ind w:right="60"/>
              <w:jc w:val="right"/>
              <w:rPr>
                <w:sz w:val="20"/>
              </w:rPr>
            </w:pPr>
            <w:r>
              <w:rPr>
                <w:spacing w:val="-2"/>
                <w:sz w:val="20"/>
              </w:rPr>
              <w:t>5.846.360,43</w:t>
            </w:r>
          </w:p>
        </w:tc>
        <w:tc>
          <w:tcPr>
            <w:tcW w:w="1421" w:type="dxa"/>
          </w:tcPr>
          <w:p>
            <w:pPr>
              <w:pStyle w:val="TableParagraph"/>
              <w:spacing w:line="210" w:lineRule="exact"/>
              <w:ind w:right="64"/>
              <w:jc w:val="right"/>
              <w:rPr>
                <w:sz w:val="20"/>
              </w:rPr>
            </w:pPr>
            <w:r>
              <w:rPr>
                <w:spacing w:val="-2"/>
                <w:sz w:val="20"/>
              </w:rPr>
              <w:t>281.965,23</w:t>
            </w:r>
          </w:p>
        </w:tc>
      </w:tr>
      <w:tr>
        <w:trPr>
          <w:trHeight w:val="230" w:hRule="atLeast"/>
        </w:trPr>
        <w:tc>
          <w:tcPr>
            <w:tcW w:w="5002" w:type="dxa"/>
          </w:tcPr>
          <w:p>
            <w:pPr>
              <w:pStyle w:val="TableParagraph"/>
              <w:spacing w:line="210" w:lineRule="exact"/>
              <w:ind w:left="69"/>
              <w:rPr>
                <w:sz w:val="20"/>
              </w:rPr>
            </w:pPr>
            <w:r>
              <w:rPr>
                <w:sz w:val="20"/>
              </w:rPr>
              <w:t>Seguridad</w:t>
            </w:r>
            <w:r>
              <w:rPr>
                <w:spacing w:val="-12"/>
                <w:sz w:val="20"/>
              </w:rPr>
              <w:t> </w:t>
            </w:r>
            <w:r>
              <w:rPr>
                <w:sz w:val="20"/>
              </w:rPr>
              <w:t>Social</w:t>
            </w:r>
            <w:r>
              <w:rPr>
                <w:spacing w:val="-13"/>
                <w:sz w:val="20"/>
              </w:rPr>
              <w:t> </w:t>
            </w:r>
            <w:r>
              <w:rPr>
                <w:sz w:val="20"/>
              </w:rPr>
              <w:t>deudora-Pagos</w:t>
            </w:r>
            <w:r>
              <w:rPr>
                <w:spacing w:val="-12"/>
                <w:sz w:val="20"/>
              </w:rPr>
              <w:t> </w:t>
            </w:r>
            <w:r>
              <w:rPr>
                <w:spacing w:val="-2"/>
                <w:sz w:val="20"/>
              </w:rPr>
              <w:t>Delegados</w:t>
            </w:r>
          </w:p>
        </w:tc>
        <w:tc>
          <w:tcPr>
            <w:tcW w:w="1419" w:type="dxa"/>
          </w:tcPr>
          <w:p>
            <w:pPr>
              <w:pStyle w:val="TableParagraph"/>
              <w:spacing w:line="210" w:lineRule="exact"/>
              <w:ind w:right="60"/>
              <w:jc w:val="right"/>
              <w:rPr>
                <w:sz w:val="20"/>
              </w:rPr>
            </w:pPr>
            <w:r>
              <w:rPr>
                <w:spacing w:val="-2"/>
                <w:sz w:val="20"/>
              </w:rPr>
              <w:t>245.070,01</w:t>
            </w:r>
          </w:p>
        </w:tc>
        <w:tc>
          <w:tcPr>
            <w:tcW w:w="1421" w:type="dxa"/>
          </w:tcPr>
          <w:p>
            <w:pPr>
              <w:pStyle w:val="TableParagraph"/>
              <w:spacing w:line="210" w:lineRule="exact"/>
              <w:ind w:right="64"/>
              <w:jc w:val="right"/>
              <w:rPr>
                <w:sz w:val="20"/>
              </w:rPr>
            </w:pPr>
            <w:r>
              <w:rPr>
                <w:spacing w:val="-2"/>
                <w:sz w:val="20"/>
              </w:rPr>
              <w:t>227.016,41</w:t>
            </w:r>
          </w:p>
        </w:tc>
      </w:tr>
      <w:tr>
        <w:trPr>
          <w:trHeight w:val="230" w:hRule="atLeast"/>
        </w:trPr>
        <w:tc>
          <w:tcPr>
            <w:tcW w:w="5002" w:type="dxa"/>
          </w:tcPr>
          <w:p>
            <w:pPr>
              <w:pStyle w:val="TableParagraph"/>
              <w:spacing w:line="210" w:lineRule="exact"/>
              <w:ind w:left="69"/>
              <w:rPr>
                <w:sz w:val="20"/>
              </w:rPr>
            </w:pPr>
            <w:r>
              <w:rPr>
                <w:sz w:val="20"/>
              </w:rPr>
              <w:t>IGIC</w:t>
            </w:r>
            <w:r>
              <w:rPr>
                <w:spacing w:val="-6"/>
                <w:sz w:val="20"/>
              </w:rPr>
              <w:t> </w:t>
            </w:r>
            <w:r>
              <w:rPr>
                <w:spacing w:val="-2"/>
                <w:sz w:val="20"/>
              </w:rPr>
              <w:t>Soportado</w:t>
            </w:r>
          </w:p>
        </w:tc>
        <w:tc>
          <w:tcPr>
            <w:tcW w:w="1419" w:type="dxa"/>
          </w:tcPr>
          <w:p>
            <w:pPr>
              <w:pStyle w:val="TableParagraph"/>
              <w:spacing w:line="210" w:lineRule="exact"/>
              <w:ind w:right="60"/>
              <w:jc w:val="right"/>
              <w:rPr>
                <w:sz w:val="20"/>
              </w:rPr>
            </w:pPr>
            <w:r>
              <w:rPr>
                <w:spacing w:val="-4"/>
                <w:sz w:val="20"/>
              </w:rPr>
              <w:t>0,00</w:t>
            </w:r>
          </w:p>
        </w:tc>
        <w:tc>
          <w:tcPr>
            <w:tcW w:w="1421" w:type="dxa"/>
          </w:tcPr>
          <w:p>
            <w:pPr>
              <w:pStyle w:val="TableParagraph"/>
              <w:spacing w:line="210" w:lineRule="exact"/>
              <w:ind w:right="63"/>
              <w:jc w:val="right"/>
              <w:rPr>
                <w:sz w:val="20"/>
              </w:rPr>
            </w:pPr>
            <w:r>
              <w:rPr>
                <w:spacing w:val="-4"/>
                <w:sz w:val="20"/>
              </w:rPr>
              <w:t>0,00</w:t>
            </w:r>
          </w:p>
        </w:tc>
      </w:tr>
      <w:tr>
        <w:trPr>
          <w:trHeight w:val="230" w:hRule="atLeast"/>
        </w:trPr>
        <w:tc>
          <w:tcPr>
            <w:tcW w:w="5002" w:type="dxa"/>
          </w:tcPr>
          <w:p>
            <w:pPr>
              <w:pStyle w:val="TableParagraph"/>
              <w:spacing w:line="210" w:lineRule="exact"/>
              <w:ind w:left="69"/>
              <w:rPr>
                <w:sz w:val="20"/>
              </w:rPr>
            </w:pPr>
            <w:r>
              <w:rPr>
                <w:sz w:val="20"/>
              </w:rPr>
              <w:t>HP</w:t>
            </w:r>
            <w:r>
              <w:rPr>
                <w:spacing w:val="-8"/>
                <w:sz w:val="20"/>
              </w:rPr>
              <w:t> </w:t>
            </w:r>
            <w:r>
              <w:rPr>
                <w:sz w:val="20"/>
              </w:rPr>
              <w:t>por</w:t>
            </w:r>
            <w:r>
              <w:rPr>
                <w:spacing w:val="-4"/>
                <w:sz w:val="20"/>
              </w:rPr>
              <w:t> </w:t>
            </w:r>
            <w:r>
              <w:rPr>
                <w:sz w:val="20"/>
              </w:rPr>
              <w:t>Devolución</w:t>
            </w:r>
            <w:r>
              <w:rPr>
                <w:spacing w:val="-6"/>
                <w:sz w:val="20"/>
              </w:rPr>
              <w:t> </w:t>
            </w:r>
            <w:r>
              <w:rPr>
                <w:sz w:val="20"/>
              </w:rPr>
              <w:t>de</w:t>
            </w:r>
            <w:r>
              <w:rPr>
                <w:spacing w:val="-6"/>
                <w:sz w:val="20"/>
              </w:rPr>
              <w:t> </w:t>
            </w:r>
            <w:r>
              <w:rPr>
                <w:spacing w:val="-2"/>
                <w:sz w:val="20"/>
              </w:rPr>
              <w:t>impuestos</w:t>
            </w:r>
          </w:p>
        </w:tc>
        <w:tc>
          <w:tcPr>
            <w:tcW w:w="1419" w:type="dxa"/>
          </w:tcPr>
          <w:p>
            <w:pPr>
              <w:pStyle w:val="TableParagraph"/>
              <w:spacing w:line="210" w:lineRule="exact"/>
              <w:ind w:right="61"/>
              <w:jc w:val="right"/>
              <w:rPr>
                <w:sz w:val="20"/>
              </w:rPr>
            </w:pPr>
            <w:r>
              <w:rPr>
                <w:spacing w:val="-2"/>
                <w:sz w:val="20"/>
              </w:rPr>
              <w:t>118.825,91</w:t>
            </w:r>
          </w:p>
        </w:tc>
        <w:tc>
          <w:tcPr>
            <w:tcW w:w="1421" w:type="dxa"/>
          </w:tcPr>
          <w:p>
            <w:pPr>
              <w:pStyle w:val="TableParagraph"/>
              <w:spacing w:line="210" w:lineRule="exact"/>
              <w:ind w:right="64"/>
              <w:jc w:val="right"/>
              <w:rPr>
                <w:sz w:val="20"/>
              </w:rPr>
            </w:pPr>
            <w:r>
              <w:rPr>
                <w:spacing w:val="-2"/>
                <w:sz w:val="20"/>
              </w:rPr>
              <w:t>180.653,43</w:t>
            </w:r>
          </w:p>
        </w:tc>
      </w:tr>
      <w:tr>
        <w:trPr>
          <w:trHeight w:val="230" w:hRule="atLeast"/>
        </w:trPr>
        <w:tc>
          <w:tcPr>
            <w:tcW w:w="5002" w:type="dxa"/>
          </w:tcPr>
          <w:p>
            <w:pPr>
              <w:pStyle w:val="TableParagraph"/>
              <w:spacing w:line="210" w:lineRule="exact"/>
              <w:ind w:left="69"/>
              <w:rPr>
                <w:b/>
                <w:sz w:val="20"/>
              </w:rPr>
            </w:pPr>
            <w:r>
              <w:rPr>
                <w:b/>
                <w:spacing w:val="-2"/>
                <w:sz w:val="20"/>
              </w:rPr>
              <w:t>TOTAL</w:t>
            </w:r>
          </w:p>
        </w:tc>
        <w:tc>
          <w:tcPr>
            <w:tcW w:w="1419" w:type="dxa"/>
          </w:tcPr>
          <w:p>
            <w:pPr>
              <w:pStyle w:val="TableParagraph"/>
              <w:spacing w:line="210" w:lineRule="exact"/>
              <w:ind w:right="61"/>
              <w:jc w:val="right"/>
              <w:rPr>
                <w:b/>
                <w:sz w:val="20"/>
              </w:rPr>
            </w:pPr>
            <w:r>
              <w:rPr>
                <w:b/>
                <w:spacing w:val="-2"/>
                <w:sz w:val="20"/>
              </w:rPr>
              <w:t>34.357.173,15</w:t>
            </w:r>
          </w:p>
        </w:tc>
        <w:tc>
          <w:tcPr>
            <w:tcW w:w="1421" w:type="dxa"/>
          </w:tcPr>
          <w:p>
            <w:pPr>
              <w:pStyle w:val="TableParagraph"/>
              <w:spacing w:line="210" w:lineRule="exact"/>
              <w:ind w:right="63"/>
              <w:jc w:val="right"/>
              <w:rPr>
                <w:b/>
                <w:sz w:val="20"/>
              </w:rPr>
            </w:pPr>
            <w:r>
              <w:rPr>
                <w:b/>
                <w:spacing w:val="-2"/>
                <w:sz w:val="20"/>
              </w:rPr>
              <w:t>22.101.268,83</w:t>
            </w:r>
          </w:p>
        </w:tc>
      </w:tr>
    </w:tbl>
    <w:p>
      <w:pPr>
        <w:pStyle w:val="BodyText"/>
      </w:pPr>
    </w:p>
    <w:p>
      <w:pPr>
        <w:pStyle w:val="BodyText"/>
        <w:spacing w:before="226"/>
      </w:pPr>
    </w:p>
    <w:tbl>
      <w:tblPr>
        <w:tblW w:w="0" w:type="auto"/>
        <w:jc w:val="left"/>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2"/>
        <w:gridCol w:w="1419"/>
        <w:gridCol w:w="1421"/>
      </w:tblGrid>
      <w:tr>
        <w:trPr>
          <w:trHeight w:val="690" w:hRule="atLeast"/>
        </w:trPr>
        <w:tc>
          <w:tcPr>
            <w:tcW w:w="5002" w:type="dxa"/>
            <w:tcBorders>
              <w:top w:val="nil"/>
              <w:left w:val="nil"/>
            </w:tcBorders>
          </w:tcPr>
          <w:p>
            <w:pPr>
              <w:pStyle w:val="TableParagraph"/>
              <w:spacing w:line="227" w:lineRule="exact"/>
              <w:ind w:left="74"/>
              <w:rPr>
                <w:b/>
                <w:i/>
                <w:sz w:val="20"/>
              </w:rPr>
            </w:pPr>
            <w:r>
              <w:rPr>
                <w:b/>
                <w:i/>
                <w:spacing w:val="-2"/>
                <w:sz w:val="20"/>
                <w:u w:val="single"/>
              </w:rPr>
              <w:t>ACREEDORES</w:t>
            </w:r>
          </w:p>
        </w:tc>
        <w:tc>
          <w:tcPr>
            <w:tcW w:w="1419" w:type="dxa"/>
          </w:tcPr>
          <w:p>
            <w:pPr>
              <w:pStyle w:val="TableParagraph"/>
              <w:spacing w:before="225"/>
              <w:ind w:left="8" w:right="2"/>
              <w:jc w:val="center"/>
              <w:rPr>
                <w:b/>
                <w:sz w:val="20"/>
              </w:rPr>
            </w:pPr>
            <w:r>
              <w:rPr>
                <w:b/>
                <w:spacing w:val="-4"/>
                <w:sz w:val="20"/>
              </w:rPr>
              <w:t>2025</w:t>
            </w:r>
          </w:p>
        </w:tc>
        <w:tc>
          <w:tcPr>
            <w:tcW w:w="1421" w:type="dxa"/>
          </w:tcPr>
          <w:p>
            <w:pPr>
              <w:pStyle w:val="TableParagraph"/>
              <w:spacing w:before="225"/>
              <w:ind w:left="5" w:right="3"/>
              <w:jc w:val="center"/>
              <w:rPr>
                <w:b/>
                <w:sz w:val="20"/>
              </w:rPr>
            </w:pPr>
            <w:r>
              <w:rPr>
                <w:b/>
                <w:spacing w:val="-4"/>
                <w:sz w:val="20"/>
              </w:rPr>
              <w:t>2024</w:t>
            </w:r>
          </w:p>
        </w:tc>
      </w:tr>
      <w:tr>
        <w:trPr>
          <w:trHeight w:val="457" w:hRule="atLeast"/>
        </w:trPr>
        <w:tc>
          <w:tcPr>
            <w:tcW w:w="5002" w:type="dxa"/>
          </w:tcPr>
          <w:p>
            <w:pPr>
              <w:pStyle w:val="TableParagraph"/>
              <w:spacing w:line="230" w:lineRule="exact"/>
              <w:ind w:left="69"/>
              <w:rPr>
                <w:sz w:val="20"/>
              </w:rPr>
            </w:pPr>
            <w:r>
              <w:rPr>
                <w:sz w:val="20"/>
              </w:rPr>
              <w:t>Hacienda</w:t>
            </w:r>
            <w:r>
              <w:rPr>
                <w:spacing w:val="-10"/>
                <w:sz w:val="20"/>
              </w:rPr>
              <w:t> </w:t>
            </w:r>
            <w:r>
              <w:rPr>
                <w:sz w:val="20"/>
              </w:rPr>
              <w:t>Pública.</w:t>
            </w:r>
            <w:r>
              <w:rPr>
                <w:spacing w:val="-11"/>
                <w:sz w:val="20"/>
              </w:rPr>
              <w:t> </w:t>
            </w:r>
            <w:r>
              <w:rPr>
                <w:sz w:val="20"/>
              </w:rPr>
              <w:t>acreedora</w:t>
            </w:r>
            <w:r>
              <w:rPr>
                <w:spacing w:val="-11"/>
                <w:sz w:val="20"/>
              </w:rPr>
              <w:t> </w:t>
            </w:r>
            <w:r>
              <w:rPr>
                <w:sz w:val="20"/>
              </w:rPr>
              <w:t>por</w:t>
            </w:r>
            <w:r>
              <w:rPr>
                <w:spacing w:val="-11"/>
                <w:sz w:val="20"/>
              </w:rPr>
              <w:t> </w:t>
            </w:r>
            <w:r>
              <w:rPr>
                <w:sz w:val="20"/>
              </w:rPr>
              <w:t>retenciones </w:t>
            </w:r>
            <w:r>
              <w:rPr>
                <w:spacing w:val="-2"/>
                <w:sz w:val="20"/>
              </w:rPr>
              <w:t>practicadas</w:t>
            </w:r>
          </w:p>
        </w:tc>
        <w:tc>
          <w:tcPr>
            <w:tcW w:w="1419" w:type="dxa"/>
          </w:tcPr>
          <w:p>
            <w:pPr>
              <w:pStyle w:val="TableParagraph"/>
              <w:spacing w:line="227" w:lineRule="exact"/>
              <w:ind w:right="62"/>
              <w:jc w:val="right"/>
              <w:rPr>
                <w:sz w:val="20"/>
              </w:rPr>
            </w:pPr>
            <w:r>
              <w:rPr>
                <w:spacing w:val="-2"/>
                <w:sz w:val="20"/>
              </w:rPr>
              <w:t>598.299,52</w:t>
            </w:r>
          </w:p>
        </w:tc>
        <w:tc>
          <w:tcPr>
            <w:tcW w:w="1421" w:type="dxa"/>
          </w:tcPr>
          <w:p>
            <w:pPr>
              <w:pStyle w:val="TableParagraph"/>
              <w:spacing w:line="227" w:lineRule="exact"/>
              <w:ind w:right="64"/>
              <w:jc w:val="right"/>
              <w:rPr>
                <w:sz w:val="20"/>
              </w:rPr>
            </w:pPr>
            <w:r>
              <w:rPr>
                <w:spacing w:val="-2"/>
                <w:sz w:val="20"/>
              </w:rPr>
              <w:t>771.185,47</w:t>
            </w:r>
          </w:p>
        </w:tc>
      </w:tr>
      <w:tr>
        <w:trPr>
          <w:trHeight w:val="228" w:hRule="atLeast"/>
        </w:trPr>
        <w:tc>
          <w:tcPr>
            <w:tcW w:w="5002" w:type="dxa"/>
          </w:tcPr>
          <w:p>
            <w:pPr>
              <w:pStyle w:val="TableParagraph"/>
              <w:spacing w:line="208" w:lineRule="exact"/>
              <w:ind w:left="69"/>
              <w:rPr>
                <w:sz w:val="20"/>
              </w:rPr>
            </w:pPr>
            <w:r>
              <w:rPr>
                <w:sz w:val="20"/>
              </w:rPr>
              <w:t>Organismos</w:t>
            </w:r>
            <w:r>
              <w:rPr>
                <w:spacing w:val="-6"/>
                <w:sz w:val="20"/>
              </w:rPr>
              <w:t> </w:t>
            </w:r>
            <w:r>
              <w:rPr>
                <w:sz w:val="20"/>
              </w:rPr>
              <w:t>de</w:t>
            </w:r>
            <w:r>
              <w:rPr>
                <w:spacing w:val="-8"/>
                <w:sz w:val="20"/>
              </w:rPr>
              <w:t> </w:t>
            </w:r>
            <w:r>
              <w:rPr>
                <w:sz w:val="20"/>
              </w:rPr>
              <w:t>la</w:t>
            </w:r>
            <w:r>
              <w:rPr>
                <w:spacing w:val="-6"/>
                <w:sz w:val="20"/>
              </w:rPr>
              <w:t> </w:t>
            </w:r>
            <w:r>
              <w:rPr>
                <w:sz w:val="20"/>
              </w:rPr>
              <w:t>Seguridad</w:t>
            </w:r>
            <w:r>
              <w:rPr>
                <w:spacing w:val="-9"/>
                <w:sz w:val="20"/>
              </w:rPr>
              <w:t> </w:t>
            </w:r>
            <w:r>
              <w:rPr>
                <w:sz w:val="20"/>
              </w:rPr>
              <w:t>Social.</w:t>
            </w:r>
            <w:r>
              <w:rPr>
                <w:spacing w:val="-8"/>
                <w:sz w:val="20"/>
              </w:rPr>
              <w:t> </w:t>
            </w:r>
            <w:r>
              <w:rPr>
                <w:spacing w:val="-2"/>
                <w:sz w:val="20"/>
              </w:rPr>
              <w:t>Acreedores</w:t>
            </w:r>
          </w:p>
        </w:tc>
        <w:tc>
          <w:tcPr>
            <w:tcW w:w="1419" w:type="dxa"/>
          </w:tcPr>
          <w:p>
            <w:pPr>
              <w:pStyle w:val="TableParagraph"/>
              <w:spacing w:line="208" w:lineRule="exact"/>
              <w:ind w:right="60"/>
              <w:jc w:val="right"/>
              <w:rPr>
                <w:sz w:val="20"/>
              </w:rPr>
            </w:pPr>
            <w:r>
              <w:rPr>
                <w:spacing w:val="-2"/>
                <w:sz w:val="20"/>
              </w:rPr>
              <w:t>1.108.699,85</w:t>
            </w:r>
          </w:p>
        </w:tc>
        <w:tc>
          <w:tcPr>
            <w:tcW w:w="1421" w:type="dxa"/>
          </w:tcPr>
          <w:p>
            <w:pPr>
              <w:pStyle w:val="TableParagraph"/>
              <w:spacing w:line="208" w:lineRule="exact"/>
              <w:ind w:right="62"/>
              <w:jc w:val="right"/>
              <w:rPr>
                <w:sz w:val="20"/>
              </w:rPr>
            </w:pPr>
            <w:r>
              <w:rPr>
                <w:spacing w:val="-2"/>
                <w:sz w:val="20"/>
              </w:rPr>
              <w:t>1.192.665,64</w:t>
            </w:r>
          </w:p>
        </w:tc>
      </w:tr>
      <w:tr>
        <w:trPr>
          <w:trHeight w:val="230" w:hRule="atLeast"/>
        </w:trPr>
        <w:tc>
          <w:tcPr>
            <w:tcW w:w="5002" w:type="dxa"/>
          </w:tcPr>
          <w:p>
            <w:pPr>
              <w:pStyle w:val="TableParagraph"/>
              <w:spacing w:line="210" w:lineRule="exact"/>
              <w:ind w:left="69"/>
              <w:rPr>
                <w:sz w:val="20"/>
              </w:rPr>
            </w:pPr>
            <w:r>
              <w:rPr>
                <w:sz w:val="20"/>
              </w:rPr>
              <w:t>IGIC</w:t>
            </w:r>
            <w:r>
              <w:rPr>
                <w:spacing w:val="-6"/>
                <w:sz w:val="20"/>
              </w:rPr>
              <w:t> </w:t>
            </w:r>
            <w:r>
              <w:rPr>
                <w:spacing w:val="-2"/>
                <w:sz w:val="20"/>
              </w:rPr>
              <w:t>Repercutido</w:t>
            </w:r>
          </w:p>
        </w:tc>
        <w:tc>
          <w:tcPr>
            <w:tcW w:w="1419" w:type="dxa"/>
          </w:tcPr>
          <w:p>
            <w:pPr>
              <w:pStyle w:val="TableParagraph"/>
              <w:spacing w:line="210" w:lineRule="exact"/>
              <w:ind w:right="61"/>
              <w:jc w:val="right"/>
              <w:rPr>
                <w:sz w:val="20"/>
              </w:rPr>
            </w:pPr>
            <w:r>
              <w:rPr>
                <w:spacing w:val="-4"/>
                <w:sz w:val="20"/>
              </w:rPr>
              <w:t>0,00</w:t>
            </w:r>
          </w:p>
        </w:tc>
        <w:tc>
          <w:tcPr>
            <w:tcW w:w="1421" w:type="dxa"/>
          </w:tcPr>
          <w:p>
            <w:pPr>
              <w:pStyle w:val="TableParagraph"/>
              <w:spacing w:line="210" w:lineRule="exact"/>
              <w:ind w:right="63"/>
              <w:jc w:val="right"/>
              <w:rPr>
                <w:sz w:val="20"/>
              </w:rPr>
            </w:pPr>
            <w:r>
              <w:rPr>
                <w:spacing w:val="-4"/>
                <w:sz w:val="20"/>
              </w:rPr>
              <w:t>0,00</w:t>
            </w:r>
          </w:p>
        </w:tc>
      </w:tr>
      <w:tr>
        <w:trPr>
          <w:trHeight w:val="232" w:hRule="atLeast"/>
        </w:trPr>
        <w:tc>
          <w:tcPr>
            <w:tcW w:w="5002" w:type="dxa"/>
          </w:tcPr>
          <w:p>
            <w:pPr>
              <w:pStyle w:val="TableParagraph"/>
              <w:spacing w:line="212" w:lineRule="exact"/>
              <w:ind w:left="69"/>
              <w:rPr>
                <w:b/>
                <w:sz w:val="20"/>
              </w:rPr>
            </w:pPr>
            <w:r>
              <w:rPr>
                <w:b/>
                <w:spacing w:val="-2"/>
                <w:sz w:val="20"/>
              </w:rPr>
              <w:t>TOTAL</w:t>
            </w:r>
          </w:p>
        </w:tc>
        <w:tc>
          <w:tcPr>
            <w:tcW w:w="1419" w:type="dxa"/>
          </w:tcPr>
          <w:p>
            <w:pPr>
              <w:pStyle w:val="TableParagraph"/>
              <w:spacing w:line="212" w:lineRule="exact"/>
              <w:ind w:right="59"/>
              <w:jc w:val="right"/>
              <w:rPr>
                <w:b/>
                <w:sz w:val="20"/>
              </w:rPr>
            </w:pPr>
            <w:r>
              <w:rPr>
                <w:b/>
                <w:spacing w:val="-2"/>
                <w:sz w:val="20"/>
              </w:rPr>
              <w:t>1.706.999,37</w:t>
            </w:r>
          </w:p>
        </w:tc>
        <w:tc>
          <w:tcPr>
            <w:tcW w:w="1421" w:type="dxa"/>
          </w:tcPr>
          <w:p>
            <w:pPr>
              <w:pStyle w:val="TableParagraph"/>
              <w:spacing w:line="212" w:lineRule="exact"/>
              <w:ind w:right="62"/>
              <w:jc w:val="right"/>
              <w:rPr>
                <w:b/>
                <w:sz w:val="20"/>
              </w:rPr>
            </w:pPr>
            <w:r>
              <w:rPr>
                <w:b/>
                <w:spacing w:val="-2"/>
                <w:sz w:val="20"/>
              </w:rPr>
              <w:t>1.963.851,11</w:t>
            </w:r>
          </w:p>
        </w:tc>
      </w:tr>
    </w:tbl>
    <w:p>
      <w:pPr>
        <w:pStyle w:val="ListParagraph"/>
        <w:numPr>
          <w:ilvl w:val="1"/>
          <w:numId w:val="22"/>
        </w:numPr>
        <w:tabs>
          <w:tab w:pos="2406" w:val="left" w:leader="none"/>
        </w:tabs>
        <w:spacing w:line="240" w:lineRule="auto" w:before="227" w:after="0"/>
        <w:ind w:left="2406" w:right="0" w:hanging="496"/>
        <w:jc w:val="left"/>
        <w:rPr>
          <w:sz w:val="20"/>
          <w:u w:val="single"/>
        </w:rPr>
      </w:pPr>
      <w:r>
        <w:rPr>
          <w:sz w:val="20"/>
        </w:rPr>
        <mc:AlternateContent>
          <mc:Choice Requires="wps">
            <w:drawing>
              <wp:anchor distT="0" distB="0" distL="0" distR="0" allowOverlap="1" layoutInCell="1" locked="0" behindDoc="0" simplePos="0" relativeHeight="15763968">
                <wp:simplePos x="0" y="0"/>
                <wp:positionH relativeFrom="page">
                  <wp:posOffset>1441703</wp:posOffset>
                </wp:positionH>
                <wp:positionV relativeFrom="paragraph">
                  <wp:posOffset>276986</wp:posOffset>
                </wp:positionV>
                <wp:extent cx="1221105" cy="952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1221105" cy="9525"/>
                        </a:xfrm>
                        <a:custGeom>
                          <a:avLst/>
                          <a:gdLst/>
                          <a:ahLst/>
                          <a:cxnLst/>
                          <a:rect l="l" t="t" r="r" b="b"/>
                          <a:pathLst>
                            <a:path w="1221105" h="9525">
                              <a:moveTo>
                                <a:pt x="1220724" y="9144"/>
                              </a:moveTo>
                              <a:lnTo>
                                <a:pt x="0" y="9144"/>
                              </a:lnTo>
                              <a:lnTo>
                                <a:pt x="0" y="0"/>
                              </a:lnTo>
                              <a:lnTo>
                                <a:pt x="1220724" y="0"/>
                              </a:lnTo>
                              <a:lnTo>
                                <a:pt x="122072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519997pt;margin-top:21.809999pt;width:96.12pt;height:.72pt;mso-position-horizontal-relative:page;mso-position-vertical-relative:paragraph;z-index:15763968" id="docshape119" filled="true" fillcolor="#000000" stroked="false">
                <v:fill type="solid"/>
                <w10:wrap type="none"/>
              </v:rect>
            </w:pict>
          </mc:Fallback>
        </mc:AlternateContent>
      </w:r>
      <w:r>
        <w:rPr>
          <w:sz w:val="20"/>
        </w:rPr>
        <w:t>Base</w:t>
      </w:r>
      <w:r>
        <w:rPr>
          <w:spacing w:val="-7"/>
          <w:sz w:val="20"/>
        </w:rPr>
        <w:t> </w:t>
      </w:r>
      <w:r>
        <w:rPr>
          <w:spacing w:val="-2"/>
          <w:sz w:val="20"/>
        </w:rPr>
        <w:t>imponible.</w:t>
      </w:r>
    </w:p>
    <w:p>
      <w:pPr>
        <w:pStyle w:val="BodyText"/>
      </w:pPr>
    </w:p>
    <w:p>
      <w:pPr>
        <w:pStyle w:val="BodyText"/>
        <w:spacing w:before="1"/>
        <w:ind w:left="1701" w:right="1308"/>
      </w:pPr>
      <w:r>
        <w:rPr/>
        <mc:AlternateContent>
          <mc:Choice Requires="wps">
            <w:drawing>
              <wp:anchor distT="0" distB="0" distL="0" distR="0" allowOverlap="1" layoutInCell="1" locked="0" behindDoc="0" simplePos="0" relativeHeight="15764480">
                <wp:simplePos x="0" y="0"/>
                <wp:positionH relativeFrom="page">
                  <wp:posOffset>6966436</wp:posOffset>
                </wp:positionH>
                <wp:positionV relativeFrom="paragraph">
                  <wp:posOffset>578546</wp:posOffset>
                </wp:positionV>
                <wp:extent cx="263525" cy="327596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5.554813pt;width:20.75pt;height:257.95pt;mso-position-horizontal-relative:page;mso-position-vertical-relative:paragraph;z-index:15764480" type="#_x0000_t202" id="docshape12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 conciliación del importe neto de ingresos y gastos el ejercicio con la base imponible del Impuesto sobre Sociedades, es la siguiente:</w:t>
      </w:r>
    </w:p>
    <w:tbl>
      <w:tblPr>
        <w:tblW w:w="0" w:type="auto"/>
        <w:jc w:val="left"/>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1025"/>
        <w:gridCol w:w="1133"/>
        <w:gridCol w:w="994"/>
        <w:gridCol w:w="850"/>
        <w:gridCol w:w="1136"/>
        <w:gridCol w:w="992"/>
      </w:tblGrid>
      <w:tr>
        <w:trPr>
          <w:trHeight w:val="596" w:hRule="atLeast"/>
        </w:trPr>
        <w:tc>
          <w:tcPr>
            <w:tcW w:w="2520" w:type="dxa"/>
            <w:tcBorders>
              <w:top w:val="nil"/>
              <w:left w:val="nil"/>
              <w:right w:val="single" w:sz="4" w:space="0" w:color="000000"/>
            </w:tcBorders>
          </w:tcPr>
          <w:p>
            <w:pPr>
              <w:pStyle w:val="TableParagraph"/>
              <w:rPr>
                <w:rFonts w:ascii="Times New Roman"/>
                <w:sz w:val="16"/>
              </w:rPr>
            </w:pPr>
          </w:p>
        </w:tc>
        <w:tc>
          <w:tcPr>
            <w:tcW w:w="3152" w:type="dxa"/>
            <w:gridSpan w:val="3"/>
            <w:tcBorders>
              <w:top w:val="single" w:sz="4" w:space="0" w:color="000000"/>
              <w:left w:val="single" w:sz="4" w:space="0" w:color="000000"/>
              <w:right w:val="single" w:sz="4" w:space="0" w:color="000000"/>
            </w:tcBorders>
          </w:tcPr>
          <w:p>
            <w:pPr>
              <w:pStyle w:val="TableParagraph"/>
              <w:spacing w:before="55"/>
              <w:rPr>
                <w:sz w:val="14"/>
              </w:rPr>
            </w:pPr>
          </w:p>
          <w:p>
            <w:pPr>
              <w:pStyle w:val="TableParagraph"/>
              <w:ind w:left="573"/>
              <w:rPr>
                <w:sz w:val="14"/>
              </w:rPr>
            </w:pPr>
            <w:r>
              <w:rPr>
                <w:sz w:val="14"/>
              </w:rPr>
              <w:t>Cuenta</w:t>
            </w:r>
            <w:r>
              <w:rPr>
                <w:spacing w:val="-4"/>
                <w:sz w:val="14"/>
              </w:rPr>
              <w:t> </w:t>
            </w:r>
            <w:r>
              <w:rPr>
                <w:sz w:val="14"/>
              </w:rPr>
              <w:t>de</w:t>
            </w:r>
            <w:r>
              <w:rPr>
                <w:spacing w:val="-4"/>
                <w:sz w:val="14"/>
              </w:rPr>
              <w:t> </w:t>
            </w:r>
            <w:r>
              <w:rPr>
                <w:sz w:val="14"/>
              </w:rPr>
              <w:t>pérdidas</w:t>
            </w:r>
            <w:r>
              <w:rPr>
                <w:spacing w:val="-1"/>
                <w:sz w:val="14"/>
              </w:rPr>
              <w:t> </w:t>
            </w:r>
            <w:r>
              <w:rPr>
                <w:sz w:val="14"/>
              </w:rPr>
              <w:t>y</w:t>
            </w:r>
            <w:r>
              <w:rPr>
                <w:spacing w:val="-9"/>
                <w:sz w:val="14"/>
              </w:rPr>
              <w:t> </w:t>
            </w:r>
            <w:r>
              <w:rPr>
                <w:spacing w:val="-2"/>
                <w:sz w:val="14"/>
              </w:rPr>
              <w:t>ganancias</w:t>
            </w:r>
          </w:p>
        </w:tc>
        <w:tc>
          <w:tcPr>
            <w:tcW w:w="2978" w:type="dxa"/>
            <w:gridSpan w:val="3"/>
            <w:tcBorders>
              <w:top w:val="single" w:sz="4" w:space="0" w:color="000000"/>
              <w:left w:val="single" w:sz="4" w:space="0" w:color="000000"/>
              <w:right w:val="single" w:sz="4" w:space="0" w:color="000000"/>
            </w:tcBorders>
          </w:tcPr>
          <w:p>
            <w:pPr>
              <w:pStyle w:val="TableParagraph"/>
              <w:spacing w:before="135"/>
              <w:ind w:left="1007" w:hanging="908"/>
              <w:rPr>
                <w:sz w:val="14"/>
              </w:rPr>
            </w:pPr>
            <w:r>
              <w:rPr>
                <w:sz w:val="14"/>
              </w:rPr>
              <w:t>Ingresos</w:t>
            </w:r>
            <w:r>
              <w:rPr>
                <w:spacing w:val="-7"/>
                <w:sz w:val="14"/>
              </w:rPr>
              <w:t> </w:t>
            </w:r>
            <w:r>
              <w:rPr>
                <w:sz w:val="14"/>
              </w:rPr>
              <w:t>y</w:t>
            </w:r>
            <w:r>
              <w:rPr>
                <w:spacing w:val="-10"/>
                <w:sz w:val="14"/>
              </w:rPr>
              <w:t> </w:t>
            </w:r>
            <w:r>
              <w:rPr>
                <w:sz w:val="14"/>
              </w:rPr>
              <w:t>gastos</w:t>
            </w:r>
            <w:r>
              <w:rPr>
                <w:spacing w:val="-7"/>
                <w:sz w:val="14"/>
              </w:rPr>
              <w:t> </w:t>
            </w:r>
            <w:r>
              <w:rPr>
                <w:sz w:val="14"/>
              </w:rPr>
              <w:t>directamente</w:t>
            </w:r>
            <w:r>
              <w:rPr>
                <w:spacing w:val="-9"/>
                <w:sz w:val="14"/>
              </w:rPr>
              <w:t> </w:t>
            </w:r>
            <w:r>
              <w:rPr>
                <w:sz w:val="14"/>
              </w:rPr>
              <w:t>imputados</w:t>
            </w:r>
            <w:r>
              <w:rPr>
                <w:spacing w:val="-8"/>
                <w:sz w:val="14"/>
              </w:rPr>
              <w:t> </w:t>
            </w:r>
            <w:r>
              <w:rPr>
                <w:sz w:val="14"/>
              </w:rPr>
              <w:t>al</w:t>
            </w:r>
            <w:r>
              <w:rPr>
                <w:spacing w:val="40"/>
                <w:sz w:val="14"/>
              </w:rPr>
              <w:t> </w:t>
            </w:r>
            <w:r>
              <w:rPr>
                <w:sz w:val="14"/>
              </w:rPr>
              <w:t>patrimonio neto</w:t>
            </w:r>
          </w:p>
        </w:tc>
      </w:tr>
      <w:tr>
        <w:trPr>
          <w:trHeight w:val="299" w:hRule="atLeast"/>
        </w:trPr>
        <w:tc>
          <w:tcPr>
            <w:tcW w:w="4678" w:type="dxa"/>
            <w:gridSpan w:val="3"/>
          </w:tcPr>
          <w:p>
            <w:pPr>
              <w:pStyle w:val="TableParagraph"/>
              <w:spacing w:before="67"/>
              <w:ind w:left="69"/>
              <w:rPr>
                <w:sz w:val="14"/>
              </w:rPr>
            </w:pPr>
            <w:r>
              <w:rPr>
                <w:sz w:val="14"/>
              </w:rPr>
              <w:t>Saldo</w:t>
            </w:r>
            <w:r>
              <w:rPr>
                <w:spacing w:val="-4"/>
                <w:sz w:val="14"/>
              </w:rPr>
              <w:t> </w:t>
            </w:r>
            <w:r>
              <w:rPr>
                <w:sz w:val="14"/>
              </w:rPr>
              <w:t>de</w:t>
            </w:r>
            <w:r>
              <w:rPr>
                <w:spacing w:val="-4"/>
                <w:sz w:val="14"/>
              </w:rPr>
              <w:t> </w:t>
            </w:r>
            <w:r>
              <w:rPr>
                <w:sz w:val="14"/>
              </w:rPr>
              <w:t>ingresos</w:t>
            </w:r>
            <w:r>
              <w:rPr>
                <w:spacing w:val="-3"/>
                <w:sz w:val="14"/>
              </w:rPr>
              <w:t> </w:t>
            </w:r>
            <w:r>
              <w:rPr>
                <w:sz w:val="14"/>
              </w:rPr>
              <w:t>y</w:t>
            </w:r>
            <w:r>
              <w:rPr>
                <w:spacing w:val="-4"/>
                <w:sz w:val="14"/>
              </w:rPr>
              <w:t> </w:t>
            </w:r>
            <w:r>
              <w:rPr>
                <w:sz w:val="14"/>
              </w:rPr>
              <w:t>gastos</w:t>
            </w:r>
            <w:r>
              <w:rPr>
                <w:spacing w:val="-3"/>
                <w:sz w:val="14"/>
              </w:rPr>
              <w:t> </w:t>
            </w:r>
            <w:r>
              <w:rPr>
                <w:sz w:val="14"/>
              </w:rPr>
              <w:t>del</w:t>
            </w:r>
            <w:r>
              <w:rPr>
                <w:spacing w:val="-5"/>
                <w:sz w:val="14"/>
              </w:rPr>
              <w:t> </w:t>
            </w:r>
            <w:r>
              <w:rPr>
                <w:spacing w:val="-2"/>
                <w:sz w:val="14"/>
              </w:rPr>
              <w:t>ejercicio</w:t>
            </w:r>
          </w:p>
        </w:tc>
        <w:tc>
          <w:tcPr>
            <w:tcW w:w="994" w:type="dxa"/>
          </w:tcPr>
          <w:p>
            <w:pPr>
              <w:pStyle w:val="TableParagraph"/>
              <w:spacing w:before="67"/>
              <w:ind w:right="53"/>
              <w:jc w:val="right"/>
              <w:rPr>
                <w:sz w:val="14"/>
              </w:rPr>
            </w:pPr>
            <w:r>
              <w:rPr>
                <w:spacing w:val="-2"/>
                <w:sz w:val="14"/>
              </w:rPr>
              <w:t>6.269.808,27</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301" w:hRule="atLeast"/>
        </w:trPr>
        <w:tc>
          <w:tcPr>
            <w:tcW w:w="2520" w:type="dxa"/>
          </w:tcPr>
          <w:p>
            <w:pPr>
              <w:pStyle w:val="TableParagraph"/>
              <w:rPr>
                <w:rFonts w:ascii="Times New Roman"/>
                <w:sz w:val="16"/>
              </w:rPr>
            </w:pPr>
          </w:p>
        </w:tc>
        <w:tc>
          <w:tcPr>
            <w:tcW w:w="1025" w:type="dxa"/>
          </w:tcPr>
          <w:p>
            <w:pPr>
              <w:pStyle w:val="TableParagraph"/>
              <w:spacing w:before="70"/>
              <w:ind w:left="194"/>
              <w:rPr>
                <w:sz w:val="14"/>
              </w:rPr>
            </w:pPr>
            <w:r>
              <w:rPr>
                <w:spacing w:val="-2"/>
                <w:sz w:val="14"/>
              </w:rPr>
              <w:t>Aumentos</w:t>
            </w:r>
          </w:p>
        </w:tc>
        <w:tc>
          <w:tcPr>
            <w:tcW w:w="1133" w:type="dxa"/>
          </w:tcPr>
          <w:p>
            <w:pPr>
              <w:pStyle w:val="TableParagraph"/>
              <w:spacing w:before="70"/>
              <w:ind w:left="145"/>
              <w:rPr>
                <w:sz w:val="14"/>
              </w:rPr>
            </w:pPr>
            <w:r>
              <w:rPr>
                <w:spacing w:val="-2"/>
                <w:sz w:val="14"/>
              </w:rPr>
              <w:t>Diminuciones</w:t>
            </w:r>
          </w:p>
        </w:tc>
        <w:tc>
          <w:tcPr>
            <w:tcW w:w="994" w:type="dxa"/>
          </w:tcPr>
          <w:p>
            <w:pPr>
              <w:pStyle w:val="TableParagraph"/>
              <w:rPr>
                <w:rFonts w:ascii="Times New Roman"/>
                <w:sz w:val="16"/>
              </w:rPr>
            </w:pPr>
          </w:p>
        </w:tc>
        <w:tc>
          <w:tcPr>
            <w:tcW w:w="850" w:type="dxa"/>
          </w:tcPr>
          <w:p>
            <w:pPr>
              <w:pStyle w:val="TableParagraph"/>
              <w:spacing w:before="70"/>
              <w:ind w:left="104"/>
              <w:rPr>
                <w:sz w:val="14"/>
              </w:rPr>
            </w:pPr>
            <w:r>
              <w:rPr>
                <w:spacing w:val="-2"/>
                <w:sz w:val="14"/>
              </w:rPr>
              <w:t>Aumentos</w:t>
            </w:r>
          </w:p>
        </w:tc>
        <w:tc>
          <w:tcPr>
            <w:tcW w:w="1136" w:type="dxa"/>
          </w:tcPr>
          <w:p>
            <w:pPr>
              <w:pStyle w:val="TableParagraph"/>
              <w:spacing w:before="70"/>
              <w:ind w:left="144"/>
              <w:rPr>
                <w:sz w:val="14"/>
              </w:rPr>
            </w:pPr>
            <w:r>
              <w:rPr>
                <w:spacing w:val="-2"/>
                <w:sz w:val="14"/>
              </w:rPr>
              <w:t>Diminuciones</w:t>
            </w: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z w:val="14"/>
              </w:rPr>
              <w:t>Impuesto</w:t>
            </w:r>
            <w:r>
              <w:rPr>
                <w:spacing w:val="-8"/>
                <w:sz w:val="14"/>
              </w:rPr>
              <w:t> </w:t>
            </w:r>
            <w:r>
              <w:rPr>
                <w:sz w:val="14"/>
              </w:rPr>
              <w:t>sobre</w:t>
            </w:r>
            <w:r>
              <w:rPr>
                <w:spacing w:val="-9"/>
                <w:sz w:val="14"/>
              </w:rPr>
              <w:t> </w:t>
            </w:r>
            <w:r>
              <w:rPr>
                <w:spacing w:val="-2"/>
                <w:sz w:val="14"/>
              </w:rPr>
              <w:t>sociedades</w:t>
            </w:r>
          </w:p>
        </w:tc>
        <w:tc>
          <w:tcPr>
            <w:tcW w:w="1025" w:type="dxa"/>
          </w:tcPr>
          <w:p>
            <w:pPr>
              <w:pStyle w:val="TableParagraph"/>
              <w:spacing w:before="67"/>
              <w:ind w:right="53"/>
              <w:jc w:val="right"/>
              <w:rPr>
                <w:sz w:val="14"/>
              </w:rPr>
            </w:pPr>
            <w:r>
              <w:rPr>
                <w:spacing w:val="-2"/>
                <w:sz w:val="14"/>
              </w:rPr>
              <w:t>4.175,68</w:t>
            </w:r>
          </w:p>
        </w:tc>
        <w:tc>
          <w:tcPr>
            <w:tcW w:w="1133" w:type="dxa"/>
          </w:tcPr>
          <w:p>
            <w:pPr>
              <w:pStyle w:val="TableParagraph"/>
              <w:rPr>
                <w:rFonts w:ascii="Times New Roman"/>
                <w:sz w:val="16"/>
              </w:rPr>
            </w:pPr>
          </w:p>
        </w:tc>
        <w:tc>
          <w:tcPr>
            <w:tcW w:w="994" w:type="dxa"/>
          </w:tcPr>
          <w:p>
            <w:pPr>
              <w:pStyle w:val="TableParagraph"/>
              <w:spacing w:before="67"/>
              <w:ind w:right="53"/>
              <w:jc w:val="right"/>
              <w:rPr>
                <w:sz w:val="14"/>
              </w:rPr>
            </w:pPr>
            <w:r>
              <w:rPr>
                <w:spacing w:val="-2"/>
                <w:sz w:val="14"/>
              </w:rPr>
              <w:t>4.175,68</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pacing w:val="-2"/>
                <w:sz w:val="14"/>
              </w:rPr>
              <w:t>Diferencias</w:t>
            </w:r>
            <w:r>
              <w:rPr>
                <w:spacing w:val="9"/>
                <w:sz w:val="14"/>
              </w:rPr>
              <w:t> </w:t>
            </w:r>
            <w:r>
              <w:rPr>
                <w:spacing w:val="-2"/>
                <w:sz w:val="14"/>
              </w:rPr>
              <w:t>permanentes</w:t>
            </w:r>
          </w:p>
        </w:tc>
        <w:tc>
          <w:tcPr>
            <w:tcW w:w="1025" w:type="dxa"/>
          </w:tcPr>
          <w:p>
            <w:pPr>
              <w:pStyle w:val="TableParagraph"/>
              <w:spacing w:line="159" w:lineRule="exact"/>
              <w:ind w:right="52"/>
              <w:jc w:val="right"/>
              <w:rPr>
                <w:sz w:val="14"/>
              </w:rPr>
            </w:pPr>
            <w:r>
              <w:rPr>
                <w:spacing w:val="-2"/>
                <w:sz w:val="14"/>
              </w:rPr>
              <w:t>87.747.65</w:t>
            </w:r>
          </w:p>
        </w:tc>
        <w:tc>
          <w:tcPr>
            <w:tcW w:w="1133" w:type="dxa"/>
          </w:tcPr>
          <w:p>
            <w:pPr>
              <w:pStyle w:val="TableParagraph"/>
              <w:rPr>
                <w:rFonts w:ascii="Times New Roman"/>
                <w:sz w:val="16"/>
              </w:rPr>
            </w:pPr>
          </w:p>
        </w:tc>
        <w:tc>
          <w:tcPr>
            <w:tcW w:w="994" w:type="dxa"/>
          </w:tcPr>
          <w:p>
            <w:pPr>
              <w:pStyle w:val="TableParagraph"/>
              <w:spacing w:line="159" w:lineRule="exact"/>
              <w:ind w:right="53"/>
              <w:jc w:val="right"/>
              <w:rPr>
                <w:sz w:val="14"/>
              </w:rPr>
            </w:pPr>
            <w:r>
              <w:rPr>
                <w:spacing w:val="-2"/>
                <w:sz w:val="14"/>
              </w:rPr>
              <w:t>87.747.65</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301" w:hRule="atLeast"/>
        </w:trPr>
        <w:tc>
          <w:tcPr>
            <w:tcW w:w="2520" w:type="dxa"/>
          </w:tcPr>
          <w:p>
            <w:pPr>
              <w:pStyle w:val="TableParagraph"/>
              <w:spacing w:before="70"/>
              <w:ind w:left="69"/>
              <w:rPr>
                <w:sz w:val="14"/>
              </w:rPr>
            </w:pPr>
            <w:r>
              <w:rPr>
                <w:spacing w:val="-2"/>
                <w:sz w:val="14"/>
              </w:rPr>
              <w:t>Diferencias</w:t>
            </w:r>
            <w:r>
              <w:rPr>
                <w:spacing w:val="9"/>
                <w:sz w:val="14"/>
              </w:rPr>
              <w:t> </w:t>
            </w:r>
            <w:r>
              <w:rPr>
                <w:spacing w:val="-2"/>
                <w:sz w:val="14"/>
              </w:rPr>
              <w:t>temporales:</w:t>
            </w:r>
          </w:p>
        </w:tc>
        <w:tc>
          <w:tcPr>
            <w:tcW w:w="1025" w:type="dxa"/>
          </w:tcPr>
          <w:p>
            <w:pPr>
              <w:pStyle w:val="TableParagraph"/>
              <w:rPr>
                <w:rFonts w:ascii="Times New Roman"/>
                <w:sz w:val="16"/>
              </w:rPr>
            </w:pPr>
          </w:p>
        </w:tc>
        <w:tc>
          <w:tcPr>
            <w:tcW w:w="1133" w:type="dxa"/>
          </w:tcPr>
          <w:p>
            <w:pPr>
              <w:pStyle w:val="TableParagraph"/>
              <w:rPr>
                <w:rFonts w:ascii="Times New Roman"/>
                <w:sz w:val="16"/>
              </w:rPr>
            </w:pPr>
          </w:p>
        </w:tc>
        <w:tc>
          <w:tcPr>
            <w:tcW w:w="994" w:type="dxa"/>
          </w:tcPr>
          <w:p>
            <w:pPr>
              <w:pStyle w:val="TableParagraph"/>
              <w:rPr>
                <w:rFonts w:ascii="Times New Roman"/>
                <w:sz w:val="16"/>
              </w:rPr>
            </w:pP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z w:val="14"/>
              </w:rPr>
              <w:t>Provisión</w:t>
            </w:r>
            <w:r>
              <w:rPr>
                <w:spacing w:val="-9"/>
                <w:sz w:val="14"/>
              </w:rPr>
              <w:t> </w:t>
            </w:r>
            <w:r>
              <w:rPr>
                <w:spacing w:val="-2"/>
                <w:sz w:val="14"/>
              </w:rPr>
              <w:t>responsabilidades</w:t>
            </w:r>
          </w:p>
        </w:tc>
        <w:tc>
          <w:tcPr>
            <w:tcW w:w="1025" w:type="dxa"/>
          </w:tcPr>
          <w:p>
            <w:pPr>
              <w:pStyle w:val="TableParagraph"/>
              <w:spacing w:line="159" w:lineRule="exact"/>
              <w:ind w:right="52"/>
              <w:jc w:val="right"/>
              <w:rPr>
                <w:sz w:val="14"/>
              </w:rPr>
            </w:pPr>
            <w:r>
              <w:rPr>
                <w:spacing w:val="-2"/>
                <w:sz w:val="14"/>
              </w:rPr>
              <w:t>794.546.48</w:t>
            </w:r>
          </w:p>
        </w:tc>
        <w:tc>
          <w:tcPr>
            <w:tcW w:w="1133" w:type="dxa"/>
          </w:tcPr>
          <w:p>
            <w:pPr>
              <w:pStyle w:val="TableParagraph"/>
              <w:spacing w:line="159" w:lineRule="exact"/>
              <w:ind w:right="50"/>
              <w:jc w:val="right"/>
              <w:rPr>
                <w:sz w:val="14"/>
              </w:rPr>
            </w:pPr>
            <w:r>
              <w:rPr>
                <w:spacing w:val="-2"/>
                <w:sz w:val="14"/>
              </w:rPr>
              <w:t>1.786.623,60</w:t>
            </w:r>
          </w:p>
        </w:tc>
        <w:tc>
          <w:tcPr>
            <w:tcW w:w="994" w:type="dxa"/>
          </w:tcPr>
          <w:p>
            <w:pPr>
              <w:pStyle w:val="TableParagraph"/>
              <w:spacing w:line="159" w:lineRule="exact"/>
              <w:ind w:right="53"/>
              <w:jc w:val="right"/>
              <w:rPr>
                <w:sz w:val="14"/>
              </w:rPr>
            </w:pPr>
            <w:r>
              <w:rPr>
                <w:spacing w:val="-2"/>
                <w:sz w:val="14"/>
              </w:rPr>
              <w:t>-992.077,12</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z w:val="14"/>
              </w:rPr>
              <w:t>Exención</w:t>
            </w:r>
            <w:r>
              <w:rPr>
                <w:spacing w:val="-4"/>
                <w:sz w:val="14"/>
              </w:rPr>
              <w:t> </w:t>
            </w:r>
            <w:r>
              <w:rPr>
                <w:sz w:val="14"/>
              </w:rPr>
              <w:t>doble</w:t>
            </w:r>
            <w:r>
              <w:rPr>
                <w:spacing w:val="-3"/>
                <w:sz w:val="14"/>
              </w:rPr>
              <w:t> </w:t>
            </w:r>
            <w:r>
              <w:rPr>
                <w:sz w:val="14"/>
              </w:rPr>
              <w:t>por</w:t>
            </w:r>
            <w:r>
              <w:rPr>
                <w:spacing w:val="-6"/>
                <w:sz w:val="14"/>
              </w:rPr>
              <w:t> </w:t>
            </w:r>
            <w:r>
              <w:rPr>
                <w:spacing w:val="-2"/>
                <w:sz w:val="14"/>
              </w:rPr>
              <w:t>imposición</w:t>
            </w:r>
          </w:p>
        </w:tc>
        <w:tc>
          <w:tcPr>
            <w:tcW w:w="1025" w:type="dxa"/>
          </w:tcPr>
          <w:p>
            <w:pPr>
              <w:pStyle w:val="TableParagraph"/>
              <w:rPr>
                <w:rFonts w:ascii="Times New Roman"/>
                <w:sz w:val="16"/>
              </w:rPr>
            </w:pPr>
          </w:p>
        </w:tc>
        <w:tc>
          <w:tcPr>
            <w:tcW w:w="1133" w:type="dxa"/>
          </w:tcPr>
          <w:p>
            <w:pPr>
              <w:pStyle w:val="TableParagraph"/>
              <w:spacing w:line="159" w:lineRule="exact"/>
              <w:ind w:right="49"/>
              <w:jc w:val="right"/>
              <w:rPr>
                <w:sz w:val="14"/>
              </w:rPr>
            </w:pPr>
            <w:r>
              <w:rPr>
                <w:spacing w:val="-2"/>
                <w:sz w:val="14"/>
              </w:rPr>
              <w:t>379.962,00</w:t>
            </w:r>
          </w:p>
        </w:tc>
        <w:tc>
          <w:tcPr>
            <w:tcW w:w="994" w:type="dxa"/>
          </w:tcPr>
          <w:p>
            <w:pPr>
              <w:pStyle w:val="TableParagraph"/>
              <w:spacing w:line="159" w:lineRule="exact"/>
              <w:ind w:right="53"/>
              <w:jc w:val="right"/>
              <w:rPr>
                <w:sz w:val="14"/>
              </w:rPr>
            </w:pPr>
            <w:r>
              <w:rPr>
                <w:spacing w:val="-2"/>
                <w:sz w:val="14"/>
              </w:rPr>
              <w:t>-379.962,00</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301" w:hRule="atLeast"/>
        </w:trPr>
        <w:tc>
          <w:tcPr>
            <w:tcW w:w="2520" w:type="dxa"/>
          </w:tcPr>
          <w:p>
            <w:pPr>
              <w:pStyle w:val="TableParagraph"/>
              <w:spacing w:before="70"/>
              <w:ind w:left="69"/>
              <w:rPr>
                <w:sz w:val="14"/>
              </w:rPr>
            </w:pPr>
            <w:r>
              <w:rPr>
                <w:sz w:val="14"/>
              </w:rPr>
              <w:t>Aportación</w:t>
            </w:r>
            <w:r>
              <w:rPr>
                <w:spacing w:val="-4"/>
                <w:sz w:val="14"/>
              </w:rPr>
              <w:t> </w:t>
            </w:r>
            <w:r>
              <w:rPr>
                <w:sz w:val="14"/>
              </w:rPr>
              <w:t>a</w:t>
            </w:r>
            <w:r>
              <w:rPr>
                <w:spacing w:val="-6"/>
                <w:sz w:val="14"/>
              </w:rPr>
              <w:t> </w:t>
            </w:r>
            <w:r>
              <w:rPr>
                <w:sz w:val="14"/>
              </w:rPr>
              <w:t>plan</w:t>
            </w:r>
            <w:r>
              <w:rPr>
                <w:spacing w:val="-2"/>
                <w:sz w:val="14"/>
              </w:rPr>
              <w:t> </w:t>
            </w:r>
            <w:r>
              <w:rPr>
                <w:sz w:val="14"/>
              </w:rPr>
              <w:t>de</w:t>
            </w:r>
            <w:r>
              <w:rPr>
                <w:spacing w:val="-3"/>
                <w:sz w:val="14"/>
              </w:rPr>
              <w:t> </w:t>
            </w:r>
            <w:r>
              <w:rPr>
                <w:spacing w:val="-2"/>
                <w:sz w:val="14"/>
              </w:rPr>
              <w:t>pensiones</w:t>
            </w:r>
          </w:p>
        </w:tc>
        <w:tc>
          <w:tcPr>
            <w:tcW w:w="1025" w:type="dxa"/>
          </w:tcPr>
          <w:p>
            <w:pPr>
              <w:pStyle w:val="TableParagraph"/>
              <w:ind w:right="52"/>
              <w:jc w:val="right"/>
              <w:rPr>
                <w:sz w:val="14"/>
              </w:rPr>
            </w:pPr>
            <w:r>
              <w:rPr>
                <w:spacing w:val="-2"/>
                <w:sz w:val="14"/>
              </w:rPr>
              <w:t>85.476,41</w:t>
            </w:r>
          </w:p>
        </w:tc>
        <w:tc>
          <w:tcPr>
            <w:tcW w:w="1133" w:type="dxa"/>
          </w:tcPr>
          <w:p>
            <w:pPr>
              <w:pStyle w:val="TableParagraph"/>
              <w:ind w:right="49"/>
              <w:jc w:val="right"/>
              <w:rPr>
                <w:sz w:val="14"/>
              </w:rPr>
            </w:pPr>
            <w:r>
              <w:rPr>
                <w:spacing w:val="-2"/>
                <w:sz w:val="14"/>
              </w:rPr>
              <w:t>181.526,75</w:t>
            </w:r>
          </w:p>
        </w:tc>
        <w:tc>
          <w:tcPr>
            <w:tcW w:w="994" w:type="dxa"/>
          </w:tcPr>
          <w:p>
            <w:pPr>
              <w:pStyle w:val="TableParagraph"/>
              <w:ind w:right="52"/>
              <w:jc w:val="right"/>
              <w:rPr>
                <w:sz w:val="14"/>
              </w:rPr>
            </w:pPr>
            <w:r>
              <w:rPr>
                <w:spacing w:val="-2"/>
                <w:sz w:val="14"/>
              </w:rPr>
              <w:t>-96.050,34</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z w:val="14"/>
              </w:rPr>
              <w:t>30%</w:t>
            </w:r>
            <w:r>
              <w:rPr>
                <w:spacing w:val="-5"/>
                <w:sz w:val="14"/>
              </w:rPr>
              <w:t> </w:t>
            </w:r>
            <w:r>
              <w:rPr>
                <w:sz w:val="14"/>
              </w:rPr>
              <w:t>amortización</w:t>
            </w:r>
            <w:r>
              <w:rPr>
                <w:spacing w:val="-8"/>
                <w:sz w:val="14"/>
              </w:rPr>
              <w:t> </w:t>
            </w:r>
            <w:r>
              <w:rPr>
                <w:sz w:val="14"/>
              </w:rPr>
              <w:t>no</w:t>
            </w:r>
            <w:r>
              <w:rPr>
                <w:spacing w:val="-8"/>
                <w:sz w:val="14"/>
              </w:rPr>
              <w:t> </w:t>
            </w:r>
            <w:r>
              <w:rPr>
                <w:spacing w:val="-2"/>
                <w:sz w:val="14"/>
              </w:rPr>
              <w:t>deducible</w:t>
            </w:r>
          </w:p>
        </w:tc>
        <w:tc>
          <w:tcPr>
            <w:tcW w:w="1025" w:type="dxa"/>
          </w:tcPr>
          <w:p>
            <w:pPr>
              <w:pStyle w:val="TableParagraph"/>
              <w:rPr>
                <w:rFonts w:ascii="Times New Roman"/>
                <w:sz w:val="16"/>
              </w:rPr>
            </w:pPr>
          </w:p>
        </w:tc>
        <w:tc>
          <w:tcPr>
            <w:tcW w:w="1133" w:type="dxa"/>
          </w:tcPr>
          <w:p>
            <w:pPr>
              <w:pStyle w:val="TableParagraph"/>
              <w:rPr>
                <w:rFonts w:ascii="Times New Roman"/>
                <w:sz w:val="16"/>
              </w:rPr>
            </w:pPr>
          </w:p>
        </w:tc>
        <w:tc>
          <w:tcPr>
            <w:tcW w:w="994" w:type="dxa"/>
          </w:tcPr>
          <w:p>
            <w:pPr>
              <w:pStyle w:val="TableParagraph"/>
              <w:rPr>
                <w:rFonts w:ascii="Times New Roman"/>
                <w:sz w:val="16"/>
              </w:rPr>
            </w:pP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299" w:hRule="atLeast"/>
        </w:trPr>
        <w:tc>
          <w:tcPr>
            <w:tcW w:w="2520" w:type="dxa"/>
          </w:tcPr>
          <w:p>
            <w:pPr>
              <w:pStyle w:val="TableParagraph"/>
              <w:spacing w:before="67"/>
              <w:ind w:left="69"/>
              <w:rPr>
                <w:sz w:val="14"/>
              </w:rPr>
            </w:pPr>
            <w:r>
              <w:rPr>
                <w:spacing w:val="-4"/>
                <w:sz w:val="14"/>
              </w:rPr>
              <w:t>Total</w:t>
            </w:r>
          </w:p>
        </w:tc>
        <w:tc>
          <w:tcPr>
            <w:tcW w:w="1025" w:type="dxa"/>
          </w:tcPr>
          <w:p>
            <w:pPr>
              <w:pStyle w:val="TableParagraph"/>
              <w:rPr>
                <w:rFonts w:ascii="Times New Roman"/>
                <w:sz w:val="16"/>
              </w:rPr>
            </w:pPr>
          </w:p>
        </w:tc>
        <w:tc>
          <w:tcPr>
            <w:tcW w:w="1133" w:type="dxa"/>
          </w:tcPr>
          <w:p>
            <w:pPr>
              <w:pStyle w:val="TableParagraph"/>
              <w:rPr>
                <w:rFonts w:ascii="Times New Roman"/>
                <w:sz w:val="16"/>
              </w:rPr>
            </w:pPr>
          </w:p>
        </w:tc>
        <w:tc>
          <w:tcPr>
            <w:tcW w:w="994" w:type="dxa"/>
          </w:tcPr>
          <w:p>
            <w:pPr>
              <w:pStyle w:val="TableParagraph"/>
              <w:spacing w:before="67"/>
              <w:ind w:right="53"/>
              <w:jc w:val="right"/>
              <w:rPr>
                <w:sz w:val="14"/>
              </w:rPr>
            </w:pPr>
            <w:r>
              <w:rPr>
                <w:spacing w:val="-2"/>
                <w:sz w:val="14"/>
              </w:rPr>
              <w:t>4.983.642,14</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r>
        <w:trPr>
          <w:trHeight w:val="397" w:hRule="atLeast"/>
        </w:trPr>
        <w:tc>
          <w:tcPr>
            <w:tcW w:w="2520" w:type="dxa"/>
          </w:tcPr>
          <w:p>
            <w:pPr>
              <w:pStyle w:val="TableParagraph"/>
              <w:spacing w:before="118"/>
              <w:ind w:left="69"/>
              <w:rPr>
                <w:sz w:val="14"/>
              </w:rPr>
            </w:pPr>
            <w:r>
              <w:rPr>
                <w:sz w:val="14"/>
              </w:rPr>
              <w:t>Base</w:t>
            </w:r>
            <w:r>
              <w:rPr>
                <w:spacing w:val="-5"/>
                <w:sz w:val="14"/>
              </w:rPr>
              <w:t> </w:t>
            </w:r>
            <w:r>
              <w:rPr>
                <w:sz w:val="14"/>
              </w:rPr>
              <w:t>Imponible</w:t>
            </w:r>
            <w:r>
              <w:rPr>
                <w:spacing w:val="-7"/>
                <w:sz w:val="14"/>
              </w:rPr>
              <w:t> </w:t>
            </w:r>
            <w:r>
              <w:rPr>
                <w:sz w:val="14"/>
              </w:rPr>
              <w:t>(resultado</w:t>
            </w:r>
            <w:r>
              <w:rPr>
                <w:spacing w:val="-9"/>
                <w:sz w:val="14"/>
              </w:rPr>
              <w:t> </w:t>
            </w:r>
            <w:r>
              <w:rPr>
                <w:spacing w:val="-2"/>
                <w:sz w:val="14"/>
              </w:rPr>
              <w:t>fiscal)</w:t>
            </w:r>
          </w:p>
        </w:tc>
        <w:tc>
          <w:tcPr>
            <w:tcW w:w="1025" w:type="dxa"/>
          </w:tcPr>
          <w:p>
            <w:pPr>
              <w:pStyle w:val="TableParagraph"/>
              <w:rPr>
                <w:rFonts w:ascii="Times New Roman"/>
                <w:sz w:val="16"/>
              </w:rPr>
            </w:pPr>
          </w:p>
        </w:tc>
        <w:tc>
          <w:tcPr>
            <w:tcW w:w="1133" w:type="dxa"/>
          </w:tcPr>
          <w:p>
            <w:pPr>
              <w:pStyle w:val="TableParagraph"/>
              <w:rPr>
                <w:rFonts w:ascii="Times New Roman"/>
                <w:sz w:val="16"/>
              </w:rPr>
            </w:pPr>
          </w:p>
        </w:tc>
        <w:tc>
          <w:tcPr>
            <w:tcW w:w="994" w:type="dxa"/>
          </w:tcPr>
          <w:p>
            <w:pPr>
              <w:pStyle w:val="TableParagraph"/>
              <w:spacing w:before="118"/>
              <w:ind w:right="53"/>
              <w:jc w:val="right"/>
              <w:rPr>
                <w:sz w:val="14"/>
              </w:rPr>
            </w:pPr>
            <w:r>
              <w:rPr>
                <w:spacing w:val="-2"/>
                <w:sz w:val="14"/>
              </w:rPr>
              <w:t>4.983.642,14</w:t>
            </w:r>
          </w:p>
        </w:tc>
        <w:tc>
          <w:tcPr>
            <w:tcW w:w="850" w:type="dxa"/>
          </w:tcPr>
          <w:p>
            <w:pPr>
              <w:pStyle w:val="TableParagraph"/>
              <w:rPr>
                <w:rFonts w:ascii="Times New Roman"/>
                <w:sz w:val="16"/>
              </w:rPr>
            </w:pPr>
          </w:p>
        </w:tc>
        <w:tc>
          <w:tcPr>
            <w:tcW w:w="1136" w:type="dxa"/>
          </w:tcPr>
          <w:p>
            <w:pPr>
              <w:pStyle w:val="TableParagraph"/>
              <w:rPr>
                <w:rFonts w:ascii="Times New Roman"/>
                <w:sz w:val="16"/>
              </w:rPr>
            </w:pPr>
          </w:p>
        </w:tc>
        <w:tc>
          <w:tcPr>
            <w:tcW w:w="992" w:type="dxa"/>
          </w:tcPr>
          <w:p>
            <w:pPr>
              <w:pStyle w:val="TableParagraph"/>
              <w:rPr>
                <w:rFonts w:ascii="Times New Roman"/>
                <w:sz w:val="16"/>
              </w:rPr>
            </w:pPr>
          </w:p>
        </w:tc>
      </w:tr>
    </w:tbl>
    <w:p>
      <w:pPr>
        <w:pStyle w:val="TableParagraph"/>
        <w:spacing w:after="0"/>
        <w:rPr>
          <w:rFonts w:ascii="Times New Roman"/>
          <w:sz w:val="16"/>
        </w:rPr>
        <w:sectPr>
          <w:pgSz w:w="11910" w:h="16840"/>
          <w:pgMar w:header="286" w:footer="1060" w:top="1920" w:bottom="1260" w:left="360" w:right="360"/>
        </w:sectPr>
      </w:pPr>
    </w:p>
    <w:p>
      <w:pPr>
        <w:pStyle w:val="BodyText"/>
      </w:pPr>
    </w:p>
    <w:p>
      <w:pPr>
        <w:pStyle w:val="BodyText"/>
      </w:pPr>
    </w:p>
    <w:p>
      <w:pPr>
        <w:pStyle w:val="BodyText"/>
      </w:pPr>
    </w:p>
    <w:p>
      <w:pPr>
        <w:pStyle w:val="BodyText"/>
      </w:pPr>
    </w:p>
    <w:p>
      <w:pPr>
        <w:pStyle w:val="BodyText"/>
        <w:spacing w:before="200"/>
      </w:pPr>
    </w:p>
    <w:p>
      <w:pPr>
        <w:pStyle w:val="BodyText"/>
        <w:spacing w:before="1" w:after="3"/>
        <w:ind w:left="2248"/>
      </w:pPr>
      <w:r>
        <w:rPr/>
        <w:t>Las</w:t>
      </w:r>
      <w:r>
        <w:rPr>
          <w:spacing w:val="-9"/>
        </w:rPr>
        <w:t> </w:t>
      </w:r>
      <w:r>
        <w:rPr>
          <w:u w:val="single"/>
        </w:rPr>
        <w:t>Diferencias</w:t>
      </w:r>
      <w:r>
        <w:rPr>
          <w:spacing w:val="-9"/>
          <w:u w:val="single"/>
        </w:rPr>
        <w:t> </w:t>
      </w:r>
      <w:r>
        <w:rPr>
          <w:u w:val="single"/>
        </w:rPr>
        <w:t>Permanentes</w:t>
      </w:r>
      <w:r>
        <w:rPr>
          <w:spacing w:val="-8"/>
          <w:u w:val="none"/>
        </w:rPr>
        <w:t> </w:t>
      </w:r>
      <w:r>
        <w:rPr>
          <w:u w:val="none"/>
        </w:rPr>
        <w:t>se</w:t>
      </w:r>
      <w:r>
        <w:rPr>
          <w:spacing w:val="-11"/>
          <w:u w:val="none"/>
        </w:rPr>
        <w:t> </w:t>
      </w:r>
      <w:r>
        <w:rPr>
          <w:u w:val="none"/>
        </w:rPr>
        <w:t>corresponden</w:t>
      </w:r>
      <w:r>
        <w:rPr>
          <w:spacing w:val="-10"/>
          <w:u w:val="none"/>
        </w:rPr>
        <w:t> </w:t>
      </w:r>
      <w:r>
        <w:rPr>
          <w:spacing w:val="-4"/>
          <w:u w:val="none"/>
        </w:rPr>
        <w:t>con:</w:t>
      </w:r>
    </w:p>
    <w:tbl>
      <w:tblPr>
        <w:tblW w:w="0" w:type="auto"/>
        <w:jc w:val="left"/>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2"/>
        <w:gridCol w:w="1253"/>
        <w:gridCol w:w="1491"/>
      </w:tblGrid>
      <w:tr>
        <w:trPr>
          <w:trHeight w:val="412" w:hRule="atLeast"/>
        </w:trPr>
        <w:tc>
          <w:tcPr>
            <w:tcW w:w="5902" w:type="dxa"/>
            <w:tcBorders>
              <w:top w:val="nil"/>
              <w:left w:val="nil"/>
            </w:tcBorders>
          </w:tcPr>
          <w:p>
            <w:pPr>
              <w:pStyle w:val="TableParagraph"/>
              <w:rPr>
                <w:rFonts w:ascii="Times New Roman"/>
                <w:sz w:val="16"/>
              </w:rPr>
            </w:pPr>
          </w:p>
        </w:tc>
        <w:tc>
          <w:tcPr>
            <w:tcW w:w="1253" w:type="dxa"/>
          </w:tcPr>
          <w:p>
            <w:pPr>
              <w:pStyle w:val="TableParagraph"/>
              <w:spacing w:line="192" w:lineRule="exact" w:before="200"/>
              <w:ind w:left="184"/>
              <w:rPr>
                <w:b/>
                <w:sz w:val="18"/>
              </w:rPr>
            </w:pPr>
            <w:r>
              <w:rPr>
                <w:b/>
                <w:spacing w:val="-2"/>
                <w:sz w:val="18"/>
              </w:rPr>
              <w:t>Aumentos</w:t>
            </w:r>
          </w:p>
        </w:tc>
        <w:tc>
          <w:tcPr>
            <w:tcW w:w="1491" w:type="dxa"/>
          </w:tcPr>
          <w:p>
            <w:pPr>
              <w:pStyle w:val="TableParagraph"/>
              <w:spacing w:line="192" w:lineRule="exact" w:before="200"/>
              <w:ind w:right="94"/>
              <w:jc w:val="right"/>
              <w:rPr>
                <w:b/>
                <w:sz w:val="18"/>
              </w:rPr>
            </w:pPr>
            <w:r>
              <w:rPr>
                <w:b/>
                <w:spacing w:val="-2"/>
                <w:sz w:val="18"/>
              </w:rPr>
              <w:t>Disminuciones</w:t>
            </w:r>
          </w:p>
        </w:tc>
      </w:tr>
      <w:tr>
        <w:trPr>
          <w:trHeight w:val="256" w:hRule="atLeast"/>
        </w:trPr>
        <w:tc>
          <w:tcPr>
            <w:tcW w:w="5902" w:type="dxa"/>
          </w:tcPr>
          <w:p>
            <w:pPr>
              <w:pStyle w:val="TableParagraph"/>
              <w:spacing w:line="187" w:lineRule="exact" w:before="49"/>
              <w:ind w:left="69"/>
              <w:rPr>
                <w:sz w:val="18"/>
              </w:rPr>
            </w:pPr>
            <w:r>
              <w:rPr>
                <w:sz w:val="18"/>
              </w:rPr>
              <w:t>Sanciones</w:t>
            </w:r>
            <w:r>
              <w:rPr>
                <w:spacing w:val="-2"/>
                <w:sz w:val="18"/>
              </w:rPr>
              <w:t> </w:t>
            </w:r>
            <w:r>
              <w:rPr>
                <w:sz w:val="18"/>
              </w:rPr>
              <w:t>y</w:t>
            </w:r>
            <w:r>
              <w:rPr>
                <w:spacing w:val="-4"/>
                <w:sz w:val="18"/>
              </w:rPr>
              <w:t> </w:t>
            </w:r>
            <w:r>
              <w:rPr>
                <w:sz w:val="18"/>
              </w:rPr>
              <w:t>actas</w:t>
            </w:r>
            <w:r>
              <w:rPr>
                <w:spacing w:val="-1"/>
                <w:sz w:val="18"/>
              </w:rPr>
              <w:t> </w:t>
            </w:r>
            <w:r>
              <w:rPr>
                <w:sz w:val="18"/>
              </w:rPr>
              <w:t>y</w:t>
            </w:r>
            <w:r>
              <w:rPr>
                <w:spacing w:val="-2"/>
                <w:sz w:val="18"/>
              </w:rPr>
              <w:t> </w:t>
            </w:r>
            <w:r>
              <w:rPr>
                <w:sz w:val="18"/>
              </w:rPr>
              <w:t>otros</w:t>
            </w:r>
            <w:r>
              <w:rPr>
                <w:spacing w:val="-2"/>
                <w:sz w:val="18"/>
              </w:rPr>
              <w:t> </w:t>
            </w:r>
            <w:r>
              <w:rPr>
                <w:sz w:val="18"/>
              </w:rPr>
              <w:t>gastos</w:t>
            </w:r>
            <w:r>
              <w:rPr>
                <w:spacing w:val="-1"/>
                <w:sz w:val="18"/>
              </w:rPr>
              <w:t> </w:t>
            </w:r>
            <w:r>
              <w:rPr>
                <w:sz w:val="18"/>
              </w:rPr>
              <w:t>no</w:t>
            </w:r>
            <w:r>
              <w:rPr>
                <w:spacing w:val="-3"/>
                <w:sz w:val="18"/>
              </w:rPr>
              <w:t> </w:t>
            </w:r>
            <w:r>
              <w:rPr>
                <w:spacing w:val="-2"/>
                <w:sz w:val="18"/>
              </w:rPr>
              <w:t>deducibles</w:t>
            </w:r>
          </w:p>
        </w:tc>
        <w:tc>
          <w:tcPr>
            <w:tcW w:w="1253" w:type="dxa"/>
          </w:tcPr>
          <w:p>
            <w:pPr>
              <w:pStyle w:val="TableParagraph"/>
              <w:spacing w:line="187" w:lineRule="exact" w:before="49"/>
              <w:ind w:right="58"/>
              <w:jc w:val="right"/>
              <w:rPr>
                <w:sz w:val="18"/>
              </w:rPr>
            </w:pPr>
            <w:r>
              <w:rPr>
                <w:spacing w:val="-2"/>
                <w:sz w:val="18"/>
              </w:rPr>
              <w:t>979,36</w:t>
            </w:r>
          </w:p>
        </w:tc>
        <w:tc>
          <w:tcPr>
            <w:tcW w:w="1491" w:type="dxa"/>
          </w:tcPr>
          <w:p>
            <w:pPr>
              <w:pStyle w:val="TableParagraph"/>
              <w:rPr>
                <w:rFonts w:ascii="Times New Roman"/>
                <w:sz w:val="16"/>
              </w:rPr>
            </w:pPr>
          </w:p>
        </w:tc>
      </w:tr>
      <w:tr>
        <w:trPr>
          <w:trHeight w:val="254" w:hRule="atLeast"/>
        </w:trPr>
        <w:tc>
          <w:tcPr>
            <w:tcW w:w="5902" w:type="dxa"/>
          </w:tcPr>
          <w:p>
            <w:pPr>
              <w:pStyle w:val="TableParagraph"/>
              <w:spacing w:line="187" w:lineRule="exact" w:before="47"/>
              <w:ind w:left="69"/>
              <w:rPr>
                <w:sz w:val="18"/>
              </w:rPr>
            </w:pPr>
            <w:r>
              <w:rPr>
                <w:spacing w:val="-2"/>
                <w:sz w:val="18"/>
              </w:rPr>
              <w:t>Donaciones</w:t>
            </w:r>
          </w:p>
        </w:tc>
        <w:tc>
          <w:tcPr>
            <w:tcW w:w="1253" w:type="dxa"/>
          </w:tcPr>
          <w:p>
            <w:pPr>
              <w:pStyle w:val="TableParagraph"/>
              <w:spacing w:line="206" w:lineRule="exact"/>
              <w:ind w:right="60"/>
              <w:jc w:val="right"/>
              <w:rPr>
                <w:sz w:val="18"/>
              </w:rPr>
            </w:pPr>
            <w:r>
              <w:rPr>
                <w:spacing w:val="-2"/>
                <w:sz w:val="18"/>
              </w:rPr>
              <w:t>2.300,00</w:t>
            </w:r>
          </w:p>
        </w:tc>
        <w:tc>
          <w:tcPr>
            <w:tcW w:w="1491" w:type="dxa"/>
          </w:tcPr>
          <w:p>
            <w:pPr>
              <w:pStyle w:val="TableParagraph"/>
              <w:rPr>
                <w:rFonts w:ascii="Times New Roman"/>
                <w:sz w:val="16"/>
              </w:rPr>
            </w:pPr>
          </w:p>
        </w:tc>
      </w:tr>
      <w:tr>
        <w:trPr>
          <w:trHeight w:val="256" w:hRule="atLeast"/>
        </w:trPr>
        <w:tc>
          <w:tcPr>
            <w:tcW w:w="5902" w:type="dxa"/>
          </w:tcPr>
          <w:p>
            <w:pPr>
              <w:pStyle w:val="TableParagraph"/>
              <w:spacing w:line="189" w:lineRule="exact" w:before="47"/>
              <w:ind w:left="69"/>
              <w:rPr>
                <w:sz w:val="18"/>
              </w:rPr>
            </w:pPr>
            <w:r>
              <w:rPr>
                <w:spacing w:val="-2"/>
                <w:sz w:val="18"/>
              </w:rPr>
              <w:t>Otros</w:t>
            </w:r>
          </w:p>
        </w:tc>
        <w:tc>
          <w:tcPr>
            <w:tcW w:w="1253" w:type="dxa"/>
          </w:tcPr>
          <w:p>
            <w:pPr>
              <w:pStyle w:val="TableParagraph"/>
              <w:spacing w:line="206" w:lineRule="exact"/>
              <w:ind w:right="61"/>
              <w:jc w:val="right"/>
              <w:rPr>
                <w:sz w:val="18"/>
              </w:rPr>
            </w:pPr>
            <w:r>
              <w:rPr>
                <w:spacing w:val="-2"/>
                <w:sz w:val="18"/>
              </w:rPr>
              <w:t>84.468,29</w:t>
            </w:r>
          </w:p>
        </w:tc>
        <w:tc>
          <w:tcPr>
            <w:tcW w:w="1491" w:type="dxa"/>
          </w:tcPr>
          <w:p>
            <w:pPr>
              <w:pStyle w:val="TableParagraph"/>
              <w:rPr>
                <w:rFonts w:ascii="Times New Roman"/>
                <w:sz w:val="16"/>
              </w:rPr>
            </w:pPr>
          </w:p>
        </w:tc>
      </w:tr>
      <w:tr>
        <w:trPr>
          <w:trHeight w:val="254" w:hRule="atLeast"/>
        </w:trPr>
        <w:tc>
          <w:tcPr>
            <w:tcW w:w="5902" w:type="dxa"/>
          </w:tcPr>
          <w:p>
            <w:pPr>
              <w:pStyle w:val="TableParagraph"/>
              <w:spacing w:line="187" w:lineRule="exact" w:before="47"/>
              <w:ind w:left="69"/>
              <w:rPr>
                <w:sz w:val="18"/>
              </w:rPr>
            </w:pPr>
            <w:r>
              <w:rPr>
                <w:sz w:val="18"/>
              </w:rPr>
              <w:t>Exención</w:t>
            </w:r>
            <w:r>
              <w:rPr>
                <w:spacing w:val="-3"/>
                <w:sz w:val="18"/>
              </w:rPr>
              <w:t> </w:t>
            </w:r>
            <w:r>
              <w:rPr>
                <w:sz w:val="18"/>
              </w:rPr>
              <w:t>de</w:t>
            </w:r>
            <w:r>
              <w:rPr>
                <w:spacing w:val="-2"/>
                <w:sz w:val="18"/>
              </w:rPr>
              <w:t> dividendos</w:t>
            </w:r>
          </w:p>
        </w:tc>
        <w:tc>
          <w:tcPr>
            <w:tcW w:w="1253" w:type="dxa"/>
          </w:tcPr>
          <w:p>
            <w:pPr>
              <w:pStyle w:val="TableParagraph"/>
              <w:rPr>
                <w:rFonts w:ascii="Times New Roman"/>
                <w:sz w:val="16"/>
              </w:rPr>
            </w:pPr>
          </w:p>
        </w:tc>
        <w:tc>
          <w:tcPr>
            <w:tcW w:w="1491" w:type="dxa"/>
          </w:tcPr>
          <w:p>
            <w:pPr>
              <w:pStyle w:val="TableParagraph"/>
              <w:spacing w:line="187" w:lineRule="exact" w:before="47"/>
              <w:ind w:right="59"/>
              <w:jc w:val="right"/>
              <w:rPr>
                <w:sz w:val="18"/>
              </w:rPr>
            </w:pPr>
            <w:r>
              <w:rPr>
                <w:spacing w:val="-2"/>
                <w:sz w:val="18"/>
              </w:rPr>
              <w:t>379.962,00</w:t>
            </w:r>
          </w:p>
        </w:tc>
      </w:tr>
    </w:tbl>
    <w:p>
      <w:pPr>
        <w:tabs>
          <w:tab w:pos="6213" w:val="left" w:leader="none"/>
          <w:tab w:pos="7607" w:val="left" w:leader="none"/>
        </w:tabs>
        <w:spacing w:before="0"/>
        <w:ind w:left="2" w:right="0" w:firstLine="0"/>
        <w:jc w:val="center"/>
        <w:rPr>
          <w:b/>
          <w:sz w:val="18"/>
        </w:rPr>
      </w:pPr>
      <w:r>
        <w:rPr>
          <w:b/>
          <w:spacing w:val="-2"/>
          <w:position w:val="5"/>
          <w:sz w:val="18"/>
        </w:rPr>
        <w:t>Totales</w:t>
      </w:r>
      <w:r>
        <w:rPr>
          <w:b/>
          <w:position w:val="5"/>
          <w:sz w:val="18"/>
        </w:rPr>
        <w:tab/>
      </w:r>
      <w:r>
        <w:rPr>
          <w:b/>
          <w:spacing w:val="-2"/>
          <w:sz w:val="18"/>
        </w:rPr>
        <w:t>87.747,65</w:t>
      </w:r>
      <w:r>
        <w:rPr>
          <w:b/>
          <w:sz w:val="18"/>
        </w:rPr>
        <w:tab/>
      </w:r>
      <w:r>
        <w:rPr>
          <w:b/>
          <w:spacing w:val="-2"/>
          <w:sz w:val="18"/>
        </w:rPr>
        <w:t>379.962,00</w:t>
      </w:r>
    </w:p>
    <w:p>
      <w:pPr>
        <w:pStyle w:val="ListParagraph"/>
        <w:numPr>
          <w:ilvl w:val="1"/>
          <w:numId w:val="22"/>
        </w:numPr>
        <w:tabs>
          <w:tab w:pos="2349" w:val="left" w:leader="none"/>
        </w:tabs>
        <w:spacing w:line="240" w:lineRule="auto" w:before="226" w:after="0"/>
        <w:ind w:left="2349" w:right="0" w:hanging="439"/>
        <w:jc w:val="left"/>
        <w:rPr>
          <w:sz w:val="20"/>
          <w:u w:val="single"/>
        </w:rPr>
      </w:pPr>
      <w:r>
        <w:rPr>
          <w:spacing w:val="46"/>
          <w:sz w:val="20"/>
          <w:u w:val="single"/>
        </w:rPr>
        <w:t> </w:t>
      </w:r>
      <w:r>
        <w:rPr>
          <w:sz w:val="20"/>
          <w:u w:val="single"/>
        </w:rPr>
        <w:t>Liquidación</w:t>
      </w:r>
      <w:r>
        <w:rPr>
          <w:spacing w:val="-2"/>
          <w:sz w:val="20"/>
          <w:u w:val="single"/>
        </w:rPr>
        <w:t> </w:t>
      </w:r>
      <w:r>
        <w:rPr>
          <w:sz w:val="20"/>
          <w:u w:val="single"/>
        </w:rPr>
        <w:t>del</w:t>
      </w:r>
      <w:r>
        <w:rPr>
          <w:spacing w:val="-7"/>
          <w:sz w:val="20"/>
          <w:u w:val="single"/>
        </w:rPr>
        <w:t> </w:t>
      </w:r>
      <w:r>
        <w:rPr>
          <w:sz w:val="20"/>
          <w:u w:val="single"/>
        </w:rPr>
        <w:t>Impuesto</w:t>
      </w:r>
      <w:r>
        <w:rPr>
          <w:spacing w:val="-6"/>
          <w:sz w:val="20"/>
          <w:u w:val="single"/>
        </w:rPr>
        <w:t> </w:t>
      </w:r>
      <w:r>
        <w:rPr>
          <w:sz w:val="20"/>
          <w:u w:val="single"/>
        </w:rPr>
        <w:t>sobre</w:t>
      </w:r>
      <w:r>
        <w:rPr>
          <w:spacing w:val="-5"/>
          <w:sz w:val="20"/>
          <w:u w:val="single"/>
        </w:rPr>
        <w:t> </w:t>
      </w:r>
      <w:r>
        <w:rPr>
          <w:spacing w:val="-2"/>
          <w:sz w:val="20"/>
          <w:u w:val="single"/>
        </w:rPr>
        <w:t>Sociedades.</w:t>
      </w:r>
    </w:p>
    <w:p>
      <w:pPr>
        <w:pStyle w:val="BodyText"/>
      </w:pPr>
    </w:p>
    <w:p>
      <w:pPr>
        <w:pStyle w:val="BodyText"/>
        <w:ind w:left="1701"/>
      </w:pPr>
      <w:r>
        <w:rPr/>
        <w:t>La</w:t>
      </w:r>
      <w:r>
        <w:rPr>
          <w:spacing w:val="-6"/>
        </w:rPr>
        <w:t> </w:t>
      </w:r>
      <w:r>
        <w:rPr/>
        <w:t>conciliación</w:t>
      </w:r>
      <w:r>
        <w:rPr>
          <w:spacing w:val="-6"/>
        </w:rPr>
        <w:t> </w:t>
      </w:r>
      <w:r>
        <w:rPr/>
        <w:t>numérica</w:t>
      </w:r>
      <w:r>
        <w:rPr>
          <w:spacing w:val="-6"/>
        </w:rPr>
        <w:t> </w:t>
      </w:r>
      <w:r>
        <w:rPr/>
        <w:t>entre</w:t>
      </w:r>
      <w:r>
        <w:rPr>
          <w:spacing w:val="-6"/>
        </w:rPr>
        <w:t> </w:t>
      </w:r>
      <w:r>
        <w:rPr/>
        <w:t>la</w:t>
      </w:r>
      <w:r>
        <w:rPr>
          <w:spacing w:val="-6"/>
        </w:rPr>
        <w:t> </w:t>
      </w:r>
      <w:r>
        <w:rPr/>
        <w:t>cuota</w:t>
      </w:r>
      <w:r>
        <w:rPr>
          <w:spacing w:val="-7"/>
        </w:rPr>
        <w:t> </w:t>
      </w:r>
      <w:r>
        <w:rPr/>
        <w:t>íntegra y</w:t>
      </w:r>
      <w:r>
        <w:rPr>
          <w:spacing w:val="-7"/>
        </w:rPr>
        <w:t> </w:t>
      </w:r>
      <w:r>
        <w:rPr/>
        <w:t>el</w:t>
      </w:r>
      <w:r>
        <w:rPr>
          <w:spacing w:val="-6"/>
        </w:rPr>
        <w:t> </w:t>
      </w:r>
      <w:r>
        <w:rPr/>
        <w:t>resultado</w:t>
      </w:r>
      <w:r>
        <w:rPr>
          <w:spacing w:val="-6"/>
        </w:rPr>
        <w:t> </w:t>
      </w:r>
      <w:r>
        <w:rPr/>
        <w:t>de</w:t>
      </w:r>
      <w:r>
        <w:rPr>
          <w:spacing w:val="-7"/>
        </w:rPr>
        <w:t> </w:t>
      </w:r>
      <w:r>
        <w:rPr/>
        <w:t>la</w:t>
      </w:r>
      <w:r>
        <w:rPr>
          <w:spacing w:val="-6"/>
        </w:rPr>
        <w:t> </w:t>
      </w:r>
      <w:r>
        <w:rPr>
          <w:spacing w:val="-2"/>
        </w:rPr>
        <w:t>liquidación:</w:t>
      </w:r>
    </w:p>
    <w:p>
      <w:pPr>
        <w:pStyle w:val="BodyText"/>
        <w:spacing w:before="4"/>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0"/>
        <w:gridCol w:w="2656"/>
      </w:tblGrid>
      <w:tr>
        <w:trPr>
          <w:trHeight w:val="412" w:hRule="atLeast"/>
        </w:trPr>
        <w:tc>
          <w:tcPr>
            <w:tcW w:w="5990" w:type="dxa"/>
          </w:tcPr>
          <w:p>
            <w:pPr>
              <w:pStyle w:val="TableParagraph"/>
              <w:spacing w:line="201" w:lineRule="exact"/>
              <w:ind w:left="69"/>
              <w:rPr>
                <w:b/>
                <w:sz w:val="18"/>
              </w:rPr>
            </w:pPr>
            <w:r>
              <w:rPr>
                <w:b/>
                <w:sz w:val="18"/>
              </w:rPr>
              <w:t>Base</w:t>
            </w:r>
            <w:r>
              <w:rPr>
                <w:b/>
                <w:spacing w:val="-2"/>
                <w:sz w:val="18"/>
              </w:rPr>
              <w:t> </w:t>
            </w:r>
            <w:r>
              <w:rPr>
                <w:b/>
                <w:sz w:val="18"/>
              </w:rPr>
              <w:t>Imponible</w:t>
            </w:r>
            <w:r>
              <w:rPr>
                <w:b/>
                <w:spacing w:val="-3"/>
                <w:sz w:val="18"/>
              </w:rPr>
              <w:t> </w:t>
            </w:r>
            <w:r>
              <w:rPr>
                <w:b/>
                <w:sz w:val="18"/>
              </w:rPr>
              <w:t>antes</w:t>
            </w:r>
            <w:r>
              <w:rPr>
                <w:b/>
                <w:spacing w:val="-5"/>
                <w:sz w:val="18"/>
              </w:rPr>
              <w:t> </w:t>
            </w:r>
            <w:r>
              <w:rPr>
                <w:b/>
                <w:sz w:val="18"/>
              </w:rPr>
              <w:t>de</w:t>
            </w:r>
            <w:r>
              <w:rPr>
                <w:b/>
                <w:spacing w:val="-4"/>
                <w:sz w:val="18"/>
              </w:rPr>
              <w:t> </w:t>
            </w:r>
            <w:r>
              <w:rPr>
                <w:b/>
                <w:sz w:val="18"/>
              </w:rPr>
              <w:t>aplicación</w:t>
            </w:r>
            <w:r>
              <w:rPr>
                <w:b/>
                <w:spacing w:val="-3"/>
                <w:sz w:val="18"/>
              </w:rPr>
              <w:t> </w:t>
            </w:r>
            <w:r>
              <w:rPr>
                <w:b/>
                <w:sz w:val="18"/>
              </w:rPr>
              <w:t>de</w:t>
            </w:r>
            <w:r>
              <w:rPr>
                <w:b/>
                <w:spacing w:val="-4"/>
                <w:sz w:val="18"/>
              </w:rPr>
              <w:t> </w:t>
            </w:r>
            <w:r>
              <w:rPr>
                <w:b/>
                <w:sz w:val="18"/>
              </w:rPr>
              <w:t>reserva</w:t>
            </w:r>
            <w:r>
              <w:rPr>
                <w:b/>
                <w:spacing w:val="-5"/>
                <w:sz w:val="18"/>
              </w:rPr>
              <w:t> </w:t>
            </w:r>
            <w:r>
              <w:rPr>
                <w:b/>
                <w:sz w:val="18"/>
              </w:rPr>
              <w:t>de</w:t>
            </w:r>
            <w:r>
              <w:rPr>
                <w:b/>
                <w:spacing w:val="-4"/>
                <w:sz w:val="18"/>
              </w:rPr>
              <w:t> </w:t>
            </w:r>
            <w:r>
              <w:rPr>
                <w:b/>
                <w:sz w:val="18"/>
              </w:rPr>
              <w:t>capitalización</w:t>
            </w:r>
            <w:r>
              <w:rPr>
                <w:b/>
                <w:spacing w:val="-1"/>
                <w:sz w:val="18"/>
              </w:rPr>
              <w:t> </w:t>
            </w:r>
            <w:r>
              <w:rPr>
                <w:b/>
                <w:spacing w:val="-10"/>
                <w:sz w:val="18"/>
              </w:rPr>
              <w:t>y</w:t>
            </w:r>
          </w:p>
          <w:p>
            <w:pPr>
              <w:pStyle w:val="TableParagraph"/>
              <w:spacing w:line="192" w:lineRule="exact"/>
              <w:ind w:left="69"/>
              <w:rPr>
                <w:b/>
                <w:sz w:val="18"/>
              </w:rPr>
            </w:pPr>
            <w:r>
              <w:rPr>
                <w:b/>
                <w:sz w:val="18"/>
              </w:rPr>
              <w:t>compensación</w:t>
            </w:r>
            <w:r>
              <w:rPr>
                <w:b/>
                <w:spacing w:val="-3"/>
                <w:sz w:val="18"/>
              </w:rPr>
              <w:t> </w:t>
            </w:r>
            <w:r>
              <w:rPr>
                <w:b/>
                <w:sz w:val="18"/>
              </w:rPr>
              <w:t>bases</w:t>
            </w:r>
            <w:r>
              <w:rPr>
                <w:b/>
                <w:spacing w:val="-5"/>
                <w:sz w:val="18"/>
              </w:rPr>
              <w:t> </w:t>
            </w:r>
            <w:r>
              <w:rPr>
                <w:b/>
                <w:sz w:val="18"/>
              </w:rPr>
              <w:t>imponibles </w:t>
            </w:r>
            <w:r>
              <w:rPr>
                <w:b/>
                <w:spacing w:val="-2"/>
                <w:sz w:val="18"/>
              </w:rPr>
              <w:t>negativas</w:t>
            </w:r>
          </w:p>
        </w:tc>
        <w:tc>
          <w:tcPr>
            <w:tcW w:w="2656" w:type="dxa"/>
          </w:tcPr>
          <w:p>
            <w:pPr>
              <w:pStyle w:val="TableParagraph"/>
              <w:spacing w:line="192" w:lineRule="exact" w:before="200"/>
              <w:ind w:right="59"/>
              <w:jc w:val="right"/>
              <w:rPr>
                <w:b/>
                <w:sz w:val="18"/>
              </w:rPr>
            </w:pPr>
            <w:r>
              <w:rPr>
                <w:b/>
                <w:spacing w:val="-2"/>
                <w:sz w:val="18"/>
              </w:rPr>
              <w:t>4.893.642,14</w:t>
            </w:r>
          </w:p>
        </w:tc>
      </w:tr>
      <w:tr>
        <w:trPr>
          <w:trHeight w:val="256" w:hRule="atLeast"/>
        </w:trPr>
        <w:tc>
          <w:tcPr>
            <w:tcW w:w="5990" w:type="dxa"/>
          </w:tcPr>
          <w:p>
            <w:pPr>
              <w:pStyle w:val="TableParagraph"/>
              <w:spacing w:line="206" w:lineRule="exact"/>
              <w:ind w:left="69"/>
              <w:rPr>
                <w:sz w:val="18"/>
              </w:rPr>
            </w:pPr>
            <w:r>
              <w:rPr>
                <w:sz w:val="18"/>
              </w:rPr>
              <w:t>Reserva</w:t>
            </w:r>
            <w:r>
              <w:rPr>
                <w:spacing w:val="-2"/>
                <w:sz w:val="18"/>
              </w:rPr>
              <w:t> </w:t>
            </w:r>
            <w:r>
              <w:rPr>
                <w:sz w:val="18"/>
              </w:rPr>
              <w:t>de</w:t>
            </w:r>
            <w:r>
              <w:rPr>
                <w:spacing w:val="-1"/>
                <w:sz w:val="18"/>
              </w:rPr>
              <w:t> </w:t>
            </w:r>
            <w:r>
              <w:rPr>
                <w:spacing w:val="-2"/>
                <w:sz w:val="18"/>
              </w:rPr>
              <w:t>capitalización</w:t>
            </w:r>
          </w:p>
        </w:tc>
        <w:tc>
          <w:tcPr>
            <w:tcW w:w="2656" w:type="dxa"/>
          </w:tcPr>
          <w:p>
            <w:pPr>
              <w:pStyle w:val="TableParagraph"/>
              <w:spacing w:line="206" w:lineRule="exact"/>
              <w:ind w:right="58"/>
              <w:jc w:val="right"/>
              <w:rPr>
                <w:sz w:val="18"/>
              </w:rPr>
            </w:pPr>
            <w:r>
              <w:rPr>
                <w:spacing w:val="-2"/>
                <w:sz w:val="18"/>
              </w:rPr>
              <w:t>-375.795,40</w:t>
            </w:r>
          </w:p>
        </w:tc>
      </w:tr>
      <w:tr>
        <w:trPr>
          <w:trHeight w:val="253" w:hRule="atLeast"/>
        </w:trPr>
        <w:tc>
          <w:tcPr>
            <w:tcW w:w="5990" w:type="dxa"/>
          </w:tcPr>
          <w:p>
            <w:pPr>
              <w:pStyle w:val="TableParagraph"/>
              <w:spacing w:line="206" w:lineRule="exact"/>
              <w:ind w:left="69"/>
              <w:rPr>
                <w:sz w:val="18"/>
              </w:rPr>
            </w:pPr>
            <w:r>
              <w:rPr>
                <w:sz w:val="18"/>
              </w:rPr>
              <w:t>Compensación</w:t>
            </w:r>
            <w:r>
              <w:rPr>
                <w:spacing w:val="-6"/>
                <w:sz w:val="18"/>
              </w:rPr>
              <w:t> </w:t>
            </w:r>
            <w:r>
              <w:rPr>
                <w:sz w:val="18"/>
              </w:rPr>
              <w:t>bases</w:t>
            </w:r>
            <w:r>
              <w:rPr>
                <w:spacing w:val="-5"/>
                <w:sz w:val="18"/>
              </w:rPr>
              <w:t> </w:t>
            </w:r>
            <w:r>
              <w:rPr>
                <w:sz w:val="18"/>
              </w:rPr>
              <w:t>imponibles</w:t>
            </w:r>
            <w:r>
              <w:rPr>
                <w:spacing w:val="-3"/>
                <w:sz w:val="18"/>
              </w:rPr>
              <w:t> </w:t>
            </w:r>
            <w:r>
              <w:rPr>
                <w:sz w:val="18"/>
              </w:rPr>
              <w:t>negativas</w:t>
            </w:r>
            <w:r>
              <w:rPr>
                <w:spacing w:val="-4"/>
                <w:sz w:val="18"/>
              </w:rPr>
              <w:t> </w:t>
            </w:r>
            <w:r>
              <w:rPr>
                <w:sz w:val="18"/>
              </w:rPr>
              <w:t>ejer.</w:t>
            </w:r>
            <w:r>
              <w:rPr>
                <w:spacing w:val="-6"/>
                <w:sz w:val="18"/>
              </w:rPr>
              <w:t> </w:t>
            </w:r>
            <w:r>
              <w:rPr>
                <w:spacing w:val="-2"/>
                <w:sz w:val="18"/>
              </w:rPr>
              <w:t>anteriores</w:t>
            </w:r>
          </w:p>
        </w:tc>
        <w:tc>
          <w:tcPr>
            <w:tcW w:w="2656" w:type="dxa"/>
          </w:tcPr>
          <w:p>
            <w:pPr>
              <w:pStyle w:val="TableParagraph"/>
              <w:spacing w:line="206" w:lineRule="exact"/>
              <w:ind w:right="59"/>
              <w:jc w:val="right"/>
              <w:rPr>
                <w:sz w:val="18"/>
              </w:rPr>
            </w:pPr>
            <w:r>
              <w:rPr>
                <w:spacing w:val="-2"/>
                <w:sz w:val="18"/>
              </w:rPr>
              <w:t>-2.446.821,07</w:t>
            </w:r>
          </w:p>
        </w:tc>
      </w:tr>
      <w:tr>
        <w:trPr>
          <w:trHeight w:val="256" w:hRule="atLeast"/>
        </w:trPr>
        <w:tc>
          <w:tcPr>
            <w:tcW w:w="5990" w:type="dxa"/>
          </w:tcPr>
          <w:p>
            <w:pPr>
              <w:pStyle w:val="TableParagraph"/>
              <w:spacing w:line="201" w:lineRule="exact"/>
              <w:ind w:left="69"/>
              <w:rPr>
                <w:b/>
                <w:sz w:val="18"/>
              </w:rPr>
            </w:pPr>
            <w:r>
              <w:rPr>
                <w:b/>
                <w:sz w:val="18"/>
              </w:rPr>
              <w:t>Base</w:t>
            </w:r>
            <w:r>
              <w:rPr>
                <w:b/>
                <w:spacing w:val="-1"/>
                <w:sz w:val="18"/>
              </w:rPr>
              <w:t> </w:t>
            </w:r>
            <w:r>
              <w:rPr>
                <w:b/>
                <w:spacing w:val="-2"/>
                <w:sz w:val="18"/>
              </w:rPr>
              <w:t>Imponible</w:t>
            </w:r>
          </w:p>
        </w:tc>
        <w:tc>
          <w:tcPr>
            <w:tcW w:w="2656" w:type="dxa"/>
          </w:tcPr>
          <w:p>
            <w:pPr>
              <w:pStyle w:val="TableParagraph"/>
              <w:spacing w:line="194" w:lineRule="exact" w:before="42"/>
              <w:ind w:right="59"/>
              <w:jc w:val="right"/>
              <w:rPr>
                <w:b/>
                <w:sz w:val="18"/>
              </w:rPr>
            </w:pPr>
            <w:r>
              <w:rPr>
                <w:b/>
                <w:spacing w:val="-2"/>
                <w:sz w:val="18"/>
              </w:rPr>
              <w:t>2.071.025,67</w:t>
            </w:r>
          </w:p>
        </w:tc>
      </w:tr>
      <w:tr>
        <w:trPr>
          <w:trHeight w:val="253" w:hRule="atLeast"/>
        </w:trPr>
        <w:tc>
          <w:tcPr>
            <w:tcW w:w="5990" w:type="dxa"/>
          </w:tcPr>
          <w:p>
            <w:pPr>
              <w:pStyle w:val="TableParagraph"/>
              <w:spacing w:line="201" w:lineRule="exact"/>
              <w:ind w:left="69"/>
              <w:rPr>
                <w:b/>
                <w:sz w:val="18"/>
              </w:rPr>
            </w:pPr>
            <w:r>
              <w:rPr>
                <w:b/>
                <w:sz w:val="18"/>
              </w:rPr>
              <w:t>Cuota</w:t>
            </w:r>
            <w:r>
              <w:rPr>
                <w:b/>
                <w:spacing w:val="-3"/>
                <w:sz w:val="18"/>
              </w:rPr>
              <w:t> </w:t>
            </w:r>
            <w:r>
              <w:rPr>
                <w:b/>
                <w:sz w:val="18"/>
              </w:rPr>
              <w:t>íntegra </w:t>
            </w:r>
            <w:r>
              <w:rPr>
                <w:b/>
                <w:spacing w:val="-5"/>
                <w:sz w:val="18"/>
              </w:rPr>
              <w:t>25%</w:t>
            </w:r>
          </w:p>
        </w:tc>
        <w:tc>
          <w:tcPr>
            <w:tcW w:w="2656" w:type="dxa"/>
          </w:tcPr>
          <w:p>
            <w:pPr>
              <w:pStyle w:val="TableParagraph"/>
              <w:spacing w:line="201" w:lineRule="exact"/>
              <w:ind w:right="58"/>
              <w:jc w:val="right"/>
              <w:rPr>
                <w:b/>
                <w:sz w:val="18"/>
              </w:rPr>
            </w:pPr>
            <w:r>
              <w:rPr>
                <w:b/>
                <w:spacing w:val="-2"/>
                <w:sz w:val="18"/>
              </w:rPr>
              <w:t>517.756,42</w:t>
            </w:r>
          </w:p>
        </w:tc>
      </w:tr>
      <w:tr>
        <w:trPr>
          <w:trHeight w:val="253" w:hRule="atLeast"/>
        </w:trPr>
        <w:tc>
          <w:tcPr>
            <w:tcW w:w="5990" w:type="dxa"/>
          </w:tcPr>
          <w:p>
            <w:pPr>
              <w:pStyle w:val="TableParagraph"/>
              <w:spacing w:line="187" w:lineRule="exact" w:before="47"/>
              <w:ind w:left="69"/>
              <w:rPr>
                <w:sz w:val="18"/>
              </w:rPr>
            </w:pPr>
            <w:r>
              <w:rPr>
                <w:sz w:val="18"/>
              </w:rPr>
              <w:t>Bonificación</w:t>
            </w:r>
            <w:r>
              <w:rPr>
                <w:spacing w:val="-6"/>
                <w:sz w:val="18"/>
              </w:rPr>
              <w:t> </w:t>
            </w:r>
            <w:r>
              <w:rPr>
                <w:sz w:val="18"/>
              </w:rPr>
              <w:t>servicios</w:t>
            </w:r>
            <w:r>
              <w:rPr>
                <w:spacing w:val="-6"/>
                <w:sz w:val="18"/>
              </w:rPr>
              <w:t> </w:t>
            </w:r>
            <w:r>
              <w:rPr>
                <w:sz w:val="18"/>
              </w:rPr>
              <w:t>públicos</w:t>
            </w:r>
            <w:r>
              <w:rPr>
                <w:spacing w:val="-6"/>
                <w:sz w:val="18"/>
              </w:rPr>
              <w:t> </w:t>
            </w:r>
            <w:r>
              <w:rPr>
                <w:spacing w:val="-2"/>
                <w:sz w:val="18"/>
              </w:rPr>
              <w:t>transporte</w:t>
            </w:r>
          </w:p>
        </w:tc>
        <w:tc>
          <w:tcPr>
            <w:tcW w:w="2656" w:type="dxa"/>
          </w:tcPr>
          <w:p>
            <w:pPr>
              <w:pStyle w:val="TableParagraph"/>
              <w:spacing w:line="206" w:lineRule="exact"/>
              <w:ind w:right="58"/>
              <w:jc w:val="right"/>
              <w:rPr>
                <w:sz w:val="18"/>
              </w:rPr>
            </w:pPr>
            <w:r>
              <w:rPr>
                <w:spacing w:val="-2"/>
                <w:sz w:val="18"/>
              </w:rPr>
              <w:t>-503.837,50</w:t>
            </w:r>
          </w:p>
        </w:tc>
      </w:tr>
      <w:tr>
        <w:trPr>
          <w:trHeight w:val="256" w:hRule="atLeast"/>
        </w:trPr>
        <w:tc>
          <w:tcPr>
            <w:tcW w:w="5990" w:type="dxa"/>
          </w:tcPr>
          <w:p>
            <w:pPr>
              <w:pStyle w:val="TableParagraph"/>
              <w:spacing w:line="187" w:lineRule="exact" w:before="49"/>
              <w:ind w:left="69"/>
              <w:rPr>
                <w:sz w:val="18"/>
              </w:rPr>
            </w:pPr>
            <w:r>
              <w:rPr>
                <w:sz w:val="18"/>
              </w:rPr>
              <w:t>Deducciones</w:t>
            </w:r>
            <w:r>
              <w:rPr>
                <w:spacing w:val="-4"/>
                <w:sz w:val="18"/>
              </w:rPr>
              <w:t> </w:t>
            </w:r>
            <w:r>
              <w:rPr>
                <w:sz w:val="18"/>
              </w:rPr>
              <w:t>Inver.en</w:t>
            </w:r>
            <w:r>
              <w:rPr>
                <w:spacing w:val="-4"/>
                <w:sz w:val="18"/>
              </w:rPr>
              <w:t> </w:t>
            </w:r>
            <w:r>
              <w:rPr>
                <w:sz w:val="18"/>
              </w:rPr>
              <w:t>Canarias</w:t>
            </w:r>
            <w:r>
              <w:rPr>
                <w:spacing w:val="-4"/>
                <w:sz w:val="18"/>
              </w:rPr>
              <w:t> </w:t>
            </w:r>
            <w:r>
              <w:rPr>
                <w:sz w:val="18"/>
              </w:rPr>
              <w:t>(art.94</w:t>
            </w:r>
            <w:r>
              <w:rPr>
                <w:spacing w:val="-4"/>
                <w:sz w:val="18"/>
              </w:rPr>
              <w:t> </w:t>
            </w:r>
            <w:r>
              <w:rPr>
                <w:spacing w:val="-2"/>
                <w:sz w:val="18"/>
              </w:rPr>
              <w:t>Ley20/1991)</w:t>
            </w:r>
          </w:p>
        </w:tc>
        <w:tc>
          <w:tcPr>
            <w:tcW w:w="2656" w:type="dxa"/>
          </w:tcPr>
          <w:p>
            <w:pPr>
              <w:pStyle w:val="TableParagraph"/>
              <w:spacing w:before="1"/>
              <w:ind w:right="58"/>
              <w:jc w:val="right"/>
              <w:rPr>
                <w:sz w:val="18"/>
              </w:rPr>
            </w:pPr>
            <w:r>
              <w:rPr>
                <w:spacing w:val="-2"/>
                <w:sz w:val="18"/>
              </w:rPr>
              <w:t>-9.743,24</w:t>
            </w:r>
          </w:p>
        </w:tc>
      </w:tr>
      <w:tr>
        <w:trPr>
          <w:trHeight w:val="253" w:hRule="atLeast"/>
        </w:trPr>
        <w:tc>
          <w:tcPr>
            <w:tcW w:w="5990" w:type="dxa"/>
          </w:tcPr>
          <w:p>
            <w:pPr>
              <w:pStyle w:val="TableParagraph"/>
              <w:spacing w:line="201" w:lineRule="exact"/>
              <w:ind w:left="69"/>
              <w:rPr>
                <w:b/>
                <w:sz w:val="18"/>
              </w:rPr>
            </w:pPr>
            <w:r>
              <w:rPr>
                <w:b/>
                <w:sz w:val="18"/>
              </w:rPr>
              <w:t>Cuota</w:t>
            </w:r>
            <w:r>
              <w:rPr>
                <w:b/>
                <w:spacing w:val="-3"/>
                <w:sz w:val="18"/>
              </w:rPr>
              <w:t> </w:t>
            </w:r>
            <w:r>
              <w:rPr>
                <w:b/>
                <w:spacing w:val="-2"/>
                <w:sz w:val="18"/>
              </w:rPr>
              <w:t>Liquida</w:t>
            </w:r>
          </w:p>
        </w:tc>
        <w:tc>
          <w:tcPr>
            <w:tcW w:w="2656" w:type="dxa"/>
          </w:tcPr>
          <w:p>
            <w:pPr>
              <w:pStyle w:val="TableParagraph"/>
              <w:spacing w:line="201" w:lineRule="exact"/>
              <w:ind w:right="58"/>
              <w:jc w:val="right"/>
              <w:rPr>
                <w:b/>
                <w:sz w:val="18"/>
              </w:rPr>
            </w:pPr>
            <w:r>
              <w:rPr>
                <w:b/>
                <w:spacing w:val="-2"/>
                <w:sz w:val="18"/>
              </w:rPr>
              <w:t>4.175,68</w:t>
            </w:r>
          </w:p>
        </w:tc>
      </w:tr>
      <w:tr>
        <w:trPr>
          <w:trHeight w:val="256" w:hRule="atLeast"/>
        </w:trPr>
        <w:tc>
          <w:tcPr>
            <w:tcW w:w="5990" w:type="dxa"/>
          </w:tcPr>
          <w:p>
            <w:pPr>
              <w:pStyle w:val="TableParagraph"/>
              <w:spacing w:line="189" w:lineRule="exact" w:before="47"/>
              <w:ind w:left="69"/>
              <w:rPr>
                <w:sz w:val="18"/>
              </w:rPr>
            </w:pPr>
            <w:r>
              <w:rPr>
                <w:sz w:val="18"/>
              </w:rPr>
              <w:t>Retenciones</w:t>
            </w:r>
            <w:r>
              <w:rPr>
                <w:spacing w:val="-1"/>
                <w:sz w:val="18"/>
              </w:rPr>
              <w:t> </w:t>
            </w:r>
            <w:r>
              <w:rPr>
                <w:sz w:val="18"/>
              </w:rPr>
              <w:t>y</w:t>
            </w:r>
            <w:r>
              <w:rPr>
                <w:spacing w:val="-3"/>
                <w:sz w:val="18"/>
              </w:rPr>
              <w:t> </w:t>
            </w:r>
            <w:r>
              <w:rPr>
                <w:sz w:val="18"/>
              </w:rPr>
              <w:t>pagos</w:t>
            </w:r>
            <w:r>
              <w:rPr>
                <w:spacing w:val="-3"/>
                <w:sz w:val="18"/>
              </w:rPr>
              <w:t> </w:t>
            </w:r>
            <w:r>
              <w:rPr>
                <w:sz w:val="18"/>
              </w:rPr>
              <w:t>a</w:t>
            </w:r>
            <w:r>
              <w:rPr>
                <w:spacing w:val="-3"/>
                <w:sz w:val="18"/>
              </w:rPr>
              <w:t> </w:t>
            </w:r>
            <w:r>
              <w:rPr>
                <w:spacing w:val="-2"/>
                <w:sz w:val="18"/>
              </w:rPr>
              <w:t>cuenta</w:t>
            </w:r>
          </w:p>
        </w:tc>
        <w:tc>
          <w:tcPr>
            <w:tcW w:w="2656" w:type="dxa"/>
          </w:tcPr>
          <w:p>
            <w:pPr>
              <w:pStyle w:val="TableParagraph"/>
              <w:spacing w:line="206" w:lineRule="exact"/>
              <w:ind w:right="58"/>
              <w:jc w:val="right"/>
              <w:rPr>
                <w:sz w:val="18"/>
              </w:rPr>
            </w:pPr>
            <w:r>
              <w:rPr>
                <w:spacing w:val="-2"/>
                <w:sz w:val="18"/>
              </w:rPr>
              <w:t>-123.001,59</w:t>
            </w:r>
          </w:p>
        </w:tc>
      </w:tr>
      <w:tr>
        <w:trPr>
          <w:trHeight w:val="254" w:hRule="atLeast"/>
        </w:trPr>
        <w:tc>
          <w:tcPr>
            <w:tcW w:w="5990" w:type="dxa"/>
          </w:tcPr>
          <w:p>
            <w:pPr>
              <w:pStyle w:val="TableParagraph"/>
              <w:spacing w:line="201" w:lineRule="exact"/>
              <w:ind w:left="69"/>
              <w:rPr>
                <w:b/>
                <w:sz w:val="18"/>
              </w:rPr>
            </w:pPr>
            <w:r>
              <w:rPr>
                <w:b/>
                <w:sz w:val="18"/>
              </w:rPr>
              <w:t>Resultado</w:t>
            </w:r>
            <w:r>
              <w:rPr>
                <w:b/>
                <w:spacing w:val="-4"/>
                <w:sz w:val="18"/>
              </w:rPr>
              <w:t> </w:t>
            </w:r>
            <w:r>
              <w:rPr>
                <w:b/>
                <w:sz w:val="18"/>
              </w:rPr>
              <w:t>líquido</w:t>
            </w:r>
            <w:r>
              <w:rPr>
                <w:b/>
                <w:spacing w:val="-1"/>
                <w:sz w:val="18"/>
              </w:rPr>
              <w:t> </w:t>
            </w:r>
            <w:r>
              <w:rPr>
                <w:b/>
                <w:sz w:val="18"/>
              </w:rPr>
              <w:t>final de</w:t>
            </w:r>
            <w:r>
              <w:rPr>
                <w:b/>
                <w:spacing w:val="-3"/>
                <w:sz w:val="18"/>
              </w:rPr>
              <w:t> </w:t>
            </w:r>
            <w:r>
              <w:rPr>
                <w:b/>
                <w:sz w:val="18"/>
              </w:rPr>
              <w:t>la</w:t>
            </w:r>
            <w:r>
              <w:rPr>
                <w:b/>
                <w:spacing w:val="-3"/>
                <w:sz w:val="18"/>
              </w:rPr>
              <w:t> </w:t>
            </w:r>
            <w:r>
              <w:rPr>
                <w:b/>
                <w:sz w:val="18"/>
              </w:rPr>
              <w:t>liquidación</w:t>
            </w:r>
            <w:r>
              <w:rPr>
                <w:b/>
                <w:spacing w:val="-2"/>
                <w:sz w:val="18"/>
              </w:rPr>
              <w:t> </w:t>
            </w:r>
            <w:r>
              <w:rPr>
                <w:b/>
                <w:sz w:val="18"/>
              </w:rPr>
              <w:t>del</w:t>
            </w:r>
            <w:r>
              <w:rPr>
                <w:b/>
                <w:spacing w:val="1"/>
                <w:sz w:val="18"/>
              </w:rPr>
              <w:t> </w:t>
            </w:r>
            <w:r>
              <w:rPr>
                <w:b/>
                <w:sz w:val="18"/>
              </w:rPr>
              <w:t>Impto.</w:t>
            </w:r>
            <w:r>
              <w:rPr>
                <w:b/>
                <w:spacing w:val="-3"/>
                <w:sz w:val="18"/>
              </w:rPr>
              <w:t> </w:t>
            </w:r>
            <w:r>
              <w:rPr>
                <w:b/>
                <w:spacing w:val="-2"/>
                <w:sz w:val="18"/>
              </w:rPr>
              <w:t>s/Sociedades</w:t>
            </w:r>
          </w:p>
        </w:tc>
        <w:tc>
          <w:tcPr>
            <w:tcW w:w="2656" w:type="dxa"/>
          </w:tcPr>
          <w:p>
            <w:pPr>
              <w:pStyle w:val="TableParagraph"/>
              <w:spacing w:line="201" w:lineRule="exact"/>
              <w:ind w:right="58"/>
              <w:jc w:val="right"/>
              <w:rPr>
                <w:b/>
                <w:sz w:val="18"/>
              </w:rPr>
            </w:pPr>
            <w:r>
              <w:rPr>
                <w:b/>
                <w:sz w:val="18"/>
              </w:rPr>
              <w:t>-</w:t>
            </w:r>
            <w:r>
              <w:rPr>
                <w:b/>
                <w:spacing w:val="-2"/>
                <w:sz w:val="18"/>
              </w:rPr>
              <w:t>118.825,91</w:t>
            </w:r>
          </w:p>
        </w:tc>
      </w:tr>
    </w:tbl>
    <w:p>
      <w:pPr>
        <w:pStyle w:val="BodyText"/>
        <w:spacing w:before="3"/>
      </w:pPr>
    </w:p>
    <w:p>
      <w:pPr>
        <w:pStyle w:val="ListParagraph"/>
        <w:numPr>
          <w:ilvl w:val="1"/>
          <w:numId w:val="22"/>
        </w:numPr>
        <w:tabs>
          <w:tab w:pos="2349" w:val="left" w:leader="none"/>
        </w:tabs>
        <w:spacing w:line="240" w:lineRule="auto" w:before="0" w:after="0"/>
        <w:ind w:left="2349" w:right="0" w:hanging="439"/>
        <w:jc w:val="left"/>
        <w:rPr>
          <w:sz w:val="20"/>
          <w:u w:val="single"/>
        </w:rPr>
      </w:pPr>
      <w:r>
        <w:rPr>
          <w:spacing w:val="-7"/>
          <w:sz w:val="20"/>
          <w:u w:val="single"/>
        </w:rPr>
        <w:t> </w:t>
      </w:r>
      <w:r>
        <w:rPr>
          <w:sz w:val="20"/>
          <w:u w:val="single"/>
        </w:rPr>
        <w:t>Bases</w:t>
      </w:r>
      <w:r>
        <w:rPr>
          <w:spacing w:val="-7"/>
          <w:sz w:val="20"/>
          <w:u w:val="single"/>
        </w:rPr>
        <w:t> </w:t>
      </w:r>
      <w:r>
        <w:rPr>
          <w:sz w:val="20"/>
          <w:u w:val="single"/>
        </w:rPr>
        <w:t>imponibles</w:t>
      </w:r>
      <w:r>
        <w:rPr>
          <w:spacing w:val="-8"/>
          <w:sz w:val="20"/>
          <w:u w:val="single"/>
        </w:rPr>
        <w:t> </w:t>
      </w:r>
      <w:r>
        <w:rPr>
          <w:sz w:val="20"/>
          <w:u w:val="single"/>
        </w:rPr>
        <w:t>negativas</w:t>
      </w:r>
      <w:r>
        <w:rPr>
          <w:spacing w:val="-5"/>
          <w:sz w:val="20"/>
          <w:u w:val="single"/>
        </w:rPr>
        <w:t> </w:t>
      </w:r>
      <w:r>
        <w:rPr>
          <w:sz w:val="20"/>
          <w:u w:val="single"/>
        </w:rPr>
        <w:t>pendientes</w:t>
      </w:r>
      <w:r>
        <w:rPr>
          <w:spacing w:val="-5"/>
          <w:sz w:val="20"/>
          <w:u w:val="single"/>
        </w:rPr>
        <w:t> </w:t>
      </w:r>
      <w:r>
        <w:rPr>
          <w:sz w:val="20"/>
          <w:u w:val="single"/>
        </w:rPr>
        <w:t>de</w:t>
      </w:r>
      <w:r>
        <w:rPr>
          <w:spacing w:val="-9"/>
          <w:sz w:val="20"/>
          <w:u w:val="single"/>
        </w:rPr>
        <w:t> </w:t>
      </w:r>
      <w:r>
        <w:rPr>
          <w:spacing w:val="-2"/>
          <w:sz w:val="20"/>
          <w:u w:val="single"/>
        </w:rPr>
        <w:t>compensación.</w:t>
      </w:r>
    </w:p>
    <w:p>
      <w:pPr>
        <w:pStyle w:val="BodyText"/>
        <w:spacing w:before="229"/>
      </w:pPr>
    </w:p>
    <w:p>
      <w:pPr>
        <w:pStyle w:val="BodyText"/>
        <w:ind w:left="1699" w:right="1308"/>
      </w:pPr>
      <w:r>
        <w:rPr/>
        <mc:AlternateContent>
          <mc:Choice Requires="wps">
            <w:drawing>
              <wp:anchor distT="0" distB="0" distL="0" distR="0" allowOverlap="1" layoutInCell="1" locked="0" behindDoc="0" simplePos="0" relativeHeight="15764992">
                <wp:simplePos x="0" y="0"/>
                <wp:positionH relativeFrom="page">
                  <wp:posOffset>6966436</wp:posOffset>
                </wp:positionH>
                <wp:positionV relativeFrom="paragraph">
                  <wp:posOffset>116278</wp:posOffset>
                </wp:positionV>
                <wp:extent cx="263525" cy="327596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9.155791pt;width:20.75pt;height:257.95pt;mso-position-horizontal-relative:page;mso-position-vertical-relative:paragraph;z-index:15764992" type="#_x0000_t202" id="docshape12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Las</w:t>
      </w:r>
      <w:r>
        <w:rPr>
          <w:spacing w:val="-6"/>
        </w:rPr>
        <w:t> </w:t>
      </w:r>
      <w:r>
        <w:rPr/>
        <w:t>bases</w:t>
      </w:r>
      <w:r>
        <w:rPr>
          <w:spacing w:val="-6"/>
        </w:rPr>
        <w:t> </w:t>
      </w:r>
      <w:r>
        <w:rPr/>
        <w:t>imponibles</w:t>
      </w:r>
      <w:r>
        <w:rPr>
          <w:spacing w:val="-6"/>
        </w:rPr>
        <w:t> </w:t>
      </w:r>
      <w:r>
        <w:rPr/>
        <w:t>negativas</w:t>
      </w:r>
      <w:r>
        <w:rPr>
          <w:spacing w:val="-6"/>
        </w:rPr>
        <w:t> </w:t>
      </w:r>
      <w:r>
        <w:rPr/>
        <w:t>pendientes</w:t>
      </w:r>
      <w:r>
        <w:rPr>
          <w:spacing w:val="-6"/>
        </w:rPr>
        <w:t> </w:t>
      </w:r>
      <w:r>
        <w:rPr/>
        <w:t>de</w:t>
      </w:r>
      <w:r>
        <w:rPr>
          <w:spacing w:val="-9"/>
        </w:rPr>
        <w:t> </w:t>
      </w:r>
      <w:r>
        <w:rPr/>
        <w:t>compensar</w:t>
      </w:r>
      <w:r>
        <w:rPr>
          <w:spacing w:val="-6"/>
        </w:rPr>
        <w:t> </w:t>
      </w:r>
      <w:r>
        <w:rPr/>
        <w:t>se</w:t>
      </w:r>
      <w:r>
        <w:rPr>
          <w:spacing w:val="-9"/>
        </w:rPr>
        <w:t> </w:t>
      </w:r>
      <w:r>
        <w:rPr/>
        <w:t>corresponden</w:t>
      </w:r>
      <w:r>
        <w:rPr>
          <w:spacing w:val="-7"/>
        </w:rPr>
        <w:t> </w:t>
      </w:r>
      <w:r>
        <w:rPr/>
        <w:t>con</w:t>
      </w:r>
      <w:r>
        <w:rPr>
          <w:spacing w:val="-7"/>
        </w:rPr>
        <w:t> </w:t>
      </w:r>
      <w:r>
        <w:rPr/>
        <w:t>el</w:t>
      </w:r>
      <w:r>
        <w:rPr>
          <w:spacing w:val="-9"/>
        </w:rPr>
        <w:t> </w:t>
      </w:r>
      <w:r>
        <w:rPr/>
        <w:t>siguiente </w:t>
      </w:r>
      <w:r>
        <w:rPr>
          <w:spacing w:val="-2"/>
        </w:rPr>
        <w:t>desglose:</w:t>
      </w:r>
    </w:p>
    <w:p>
      <w:pPr>
        <w:pStyle w:val="BodyText"/>
        <w:spacing w:before="4"/>
      </w:pPr>
    </w:p>
    <w:tbl>
      <w:tblPr>
        <w:tblW w:w="0" w:type="auto"/>
        <w:jc w:val="left"/>
        <w:tblInd w:w="1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32"/>
        <w:gridCol w:w="1877"/>
        <w:gridCol w:w="2158"/>
        <w:gridCol w:w="1330"/>
      </w:tblGrid>
      <w:tr>
        <w:trPr>
          <w:trHeight w:val="537" w:hRule="atLeast"/>
        </w:trPr>
        <w:tc>
          <w:tcPr>
            <w:tcW w:w="3132" w:type="dxa"/>
          </w:tcPr>
          <w:p>
            <w:pPr>
              <w:pStyle w:val="TableParagraph"/>
              <w:spacing w:before="171"/>
              <w:ind w:left="6"/>
              <w:jc w:val="center"/>
              <w:rPr>
                <w:b/>
                <w:sz w:val="16"/>
              </w:rPr>
            </w:pPr>
            <w:r>
              <w:rPr>
                <w:b/>
                <w:spacing w:val="-2"/>
                <w:sz w:val="16"/>
              </w:rPr>
              <w:t>CONCEPTO</w:t>
            </w:r>
          </w:p>
        </w:tc>
        <w:tc>
          <w:tcPr>
            <w:tcW w:w="1877" w:type="dxa"/>
            <w:tcBorders>
              <w:right w:val="single" w:sz="4" w:space="0" w:color="000000"/>
            </w:tcBorders>
          </w:tcPr>
          <w:p>
            <w:pPr>
              <w:pStyle w:val="TableParagraph"/>
              <w:spacing w:before="34"/>
              <w:ind w:left="10" w:right="5"/>
              <w:jc w:val="center"/>
              <w:rPr>
                <w:b/>
                <w:sz w:val="16"/>
              </w:rPr>
            </w:pPr>
            <w:r>
              <w:rPr>
                <w:b/>
                <w:sz w:val="16"/>
              </w:rPr>
              <w:t>PENDIENTE</w:t>
            </w:r>
            <w:r>
              <w:rPr>
                <w:b/>
                <w:spacing w:val="-5"/>
                <w:sz w:val="16"/>
              </w:rPr>
              <w:t> </w:t>
            </w:r>
            <w:r>
              <w:rPr>
                <w:b/>
                <w:spacing w:val="-2"/>
                <w:sz w:val="16"/>
              </w:rPr>
              <w:t>APLIC.</w:t>
            </w:r>
          </w:p>
          <w:p>
            <w:pPr>
              <w:pStyle w:val="TableParagraph"/>
              <w:spacing w:before="90"/>
              <w:ind w:left="10"/>
              <w:jc w:val="center"/>
              <w:rPr>
                <w:b/>
                <w:sz w:val="16"/>
              </w:rPr>
            </w:pPr>
            <w:r>
              <w:rPr>
                <w:b/>
                <w:sz w:val="16"/>
              </w:rPr>
              <w:t>PRINCIPIO</w:t>
            </w:r>
            <w:r>
              <w:rPr>
                <w:b/>
                <w:spacing w:val="-6"/>
                <w:sz w:val="16"/>
              </w:rPr>
              <w:t> </w:t>
            </w:r>
            <w:r>
              <w:rPr>
                <w:b/>
                <w:sz w:val="16"/>
              </w:rPr>
              <w:t>DEL</w:t>
            </w:r>
            <w:r>
              <w:rPr>
                <w:b/>
                <w:spacing w:val="-3"/>
                <w:sz w:val="16"/>
              </w:rPr>
              <w:t> </w:t>
            </w:r>
            <w:r>
              <w:rPr>
                <w:b/>
                <w:spacing w:val="-2"/>
                <w:sz w:val="16"/>
              </w:rPr>
              <w:t>EJER.</w:t>
            </w:r>
          </w:p>
        </w:tc>
        <w:tc>
          <w:tcPr>
            <w:tcW w:w="2158" w:type="dxa"/>
            <w:tcBorders>
              <w:left w:val="single" w:sz="4" w:space="0" w:color="000000"/>
              <w:bottom w:val="single" w:sz="4" w:space="0" w:color="000000"/>
            </w:tcBorders>
          </w:tcPr>
          <w:p>
            <w:pPr>
              <w:pStyle w:val="TableParagraph"/>
              <w:spacing w:before="34"/>
              <w:ind w:left="8"/>
              <w:jc w:val="center"/>
              <w:rPr>
                <w:b/>
                <w:sz w:val="16"/>
              </w:rPr>
            </w:pPr>
            <w:r>
              <w:rPr>
                <w:b/>
                <w:spacing w:val="-2"/>
                <w:sz w:val="16"/>
              </w:rPr>
              <w:t>APLICADO</w:t>
            </w:r>
            <w:r>
              <w:rPr>
                <w:b/>
                <w:spacing w:val="4"/>
                <w:sz w:val="16"/>
              </w:rPr>
              <w:t> </w:t>
            </w:r>
            <w:r>
              <w:rPr>
                <w:b/>
                <w:spacing w:val="-2"/>
                <w:sz w:val="16"/>
              </w:rPr>
              <w:t>LIQUIDACIÓN</w:t>
            </w:r>
          </w:p>
          <w:p>
            <w:pPr>
              <w:pStyle w:val="TableParagraph"/>
              <w:spacing w:before="90"/>
              <w:ind w:left="8" w:right="2"/>
              <w:jc w:val="center"/>
              <w:rPr>
                <w:b/>
                <w:sz w:val="16"/>
              </w:rPr>
            </w:pPr>
            <w:r>
              <w:rPr>
                <w:b/>
                <w:spacing w:val="-2"/>
                <w:sz w:val="16"/>
              </w:rPr>
              <w:t>APLICACIÓN</w:t>
            </w:r>
          </w:p>
        </w:tc>
        <w:tc>
          <w:tcPr>
            <w:tcW w:w="1330" w:type="dxa"/>
            <w:tcBorders>
              <w:bottom w:val="single" w:sz="4" w:space="0" w:color="000000"/>
            </w:tcBorders>
          </w:tcPr>
          <w:p>
            <w:pPr>
              <w:pStyle w:val="TableParagraph"/>
              <w:spacing w:before="34"/>
              <w:ind w:left="71"/>
              <w:rPr>
                <w:b/>
                <w:sz w:val="16"/>
              </w:rPr>
            </w:pPr>
            <w:r>
              <w:rPr>
                <w:b/>
                <w:sz w:val="16"/>
              </w:rPr>
              <w:t>PENDIENTE</w:t>
            </w:r>
            <w:r>
              <w:rPr>
                <w:b/>
                <w:spacing w:val="-8"/>
                <w:sz w:val="16"/>
              </w:rPr>
              <w:t> </w:t>
            </w:r>
            <w:r>
              <w:rPr>
                <w:b/>
                <w:spacing w:val="-5"/>
                <w:sz w:val="16"/>
              </w:rPr>
              <w:t>DE</w:t>
            </w:r>
          </w:p>
          <w:p>
            <w:pPr>
              <w:pStyle w:val="TableParagraph"/>
              <w:spacing w:before="90"/>
              <w:ind w:left="164"/>
              <w:rPr>
                <w:b/>
                <w:sz w:val="16"/>
              </w:rPr>
            </w:pPr>
            <w:r>
              <w:rPr>
                <w:b/>
                <w:spacing w:val="-2"/>
                <w:sz w:val="16"/>
              </w:rPr>
              <w:t>APLICACIÓN</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2001</w:t>
            </w:r>
          </w:p>
        </w:tc>
        <w:tc>
          <w:tcPr>
            <w:tcW w:w="1877" w:type="dxa"/>
          </w:tcPr>
          <w:p>
            <w:pPr>
              <w:pStyle w:val="TableParagraph"/>
              <w:spacing w:line="166" w:lineRule="exact" w:before="77"/>
              <w:ind w:right="58"/>
              <w:jc w:val="right"/>
              <w:rPr>
                <w:sz w:val="16"/>
              </w:rPr>
            </w:pPr>
            <w:r>
              <w:rPr>
                <w:spacing w:val="-2"/>
                <w:sz w:val="16"/>
              </w:rPr>
              <w:t>887.867,94</w:t>
            </w:r>
          </w:p>
        </w:tc>
        <w:tc>
          <w:tcPr>
            <w:tcW w:w="2158" w:type="dxa"/>
            <w:tcBorders>
              <w:top w:val="single" w:sz="4" w:space="0" w:color="000000"/>
              <w:bottom w:val="single" w:sz="4" w:space="0" w:color="000000"/>
            </w:tcBorders>
          </w:tcPr>
          <w:p>
            <w:pPr>
              <w:pStyle w:val="TableParagraph"/>
              <w:spacing w:line="166" w:lineRule="exact" w:before="77"/>
              <w:ind w:right="58"/>
              <w:jc w:val="right"/>
              <w:rPr>
                <w:sz w:val="16"/>
              </w:rPr>
            </w:pPr>
            <w:r>
              <w:rPr>
                <w:spacing w:val="-2"/>
                <w:sz w:val="16"/>
              </w:rPr>
              <w:t>887.867,94</w:t>
            </w:r>
          </w:p>
        </w:tc>
        <w:tc>
          <w:tcPr>
            <w:tcW w:w="1330" w:type="dxa"/>
            <w:tcBorders>
              <w:top w:val="single" w:sz="4" w:space="0" w:color="000000"/>
              <w:bottom w:val="single" w:sz="4" w:space="0" w:color="000000"/>
            </w:tcBorders>
          </w:tcPr>
          <w:p>
            <w:pPr>
              <w:pStyle w:val="TableParagraph"/>
              <w:spacing w:line="166" w:lineRule="exact" w:before="77"/>
              <w:ind w:right="60"/>
              <w:jc w:val="right"/>
              <w:rPr>
                <w:sz w:val="16"/>
              </w:rPr>
            </w:pPr>
            <w:r>
              <w:rPr>
                <w:spacing w:val="-4"/>
                <w:sz w:val="16"/>
              </w:rPr>
              <w:t>0,00</w:t>
            </w:r>
          </w:p>
        </w:tc>
      </w:tr>
      <w:tr>
        <w:trPr>
          <w:trHeight w:val="266"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2002</w:t>
            </w:r>
          </w:p>
        </w:tc>
        <w:tc>
          <w:tcPr>
            <w:tcW w:w="1877" w:type="dxa"/>
          </w:tcPr>
          <w:p>
            <w:pPr>
              <w:pStyle w:val="TableParagraph"/>
              <w:spacing w:line="168" w:lineRule="exact" w:before="77"/>
              <w:ind w:right="54"/>
              <w:jc w:val="right"/>
              <w:rPr>
                <w:sz w:val="16"/>
              </w:rPr>
            </w:pPr>
            <w:r>
              <w:rPr>
                <w:spacing w:val="-2"/>
                <w:sz w:val="16"/>
              </w:rPr>
              <w:t>2.601.241,36</w:t>
            </w:r>
          </w:p>
        </w:tc>
        <w:tc>
          <w:tcPr>
            <w:tcW w:w="2158" w:type="dxa"/>
            <w:tcBorders>
              <w:top w:val="single" w:sz="4" w:space="0" w:color="000000"/>
              <w:bottom w:val="single" w:sz="4" w:space="0" w:color="000000"/>
            </w:tcBorders>
          </w:tcPr>
          <w:p>
            <w:pPr>
              <w:pStyle w:val="TableParagraph"/>
              <w:spacing w:line="168" w:lineRule="exact" w:before="77"/>
              <w:ind w:right="55"/>
              <w:jc w:val="right"/>
              <w:rPr>
                <w:sz w:val="16"/>
              </w:rPr>
            </w:pPr>
            <w:r>
              <w:rPr>
                <w:spacing w:val="-2"/>
                <w:sz w:val="16"/>
              </w:rPr>
              <w:t>1.558.953,13</w:t>
            </w:r>
          </w:p>
        </w:tc>
        <w:tc>
          <w:tcPr>
            <w:tcW w:w="1330" w:type="dxa"/>
            <w:tcBorders>
              <w:top w:val="single" w:sz="4" w:space="0" w:color="000000"/>
              <w:bottom w:val="single" w:sz="4" w:space="0" w:color="000000"/>
            </w:tcBorders>
          </w:tcPr>
          <w:p>
            <w:pPr>
              <w:pStyle w:val="TableParagraph"/>
              <w:spacing w:line="168" w:lineRule="exact" w:before="77"/>
              <w:ind w:right="57"/>
              <w:jc w:val="right"/>
              <w:rPr>
                <w:sz w:val="16"/>
              </w:rPr>
            </w:pPr>
            <w:r>
              <w:rPr>
                <w:spacing w:val="-2"/>
                <w:sz w:val="16"/>
              </w:rPr>
              <w:t>1.042.288,23</w:t>
            </w:r>
          </w:p>
        </w:tc>
      </w:tr>
      <w:tr>
        <w:trPr>
          <w:trHeight w:val="263" w:hRule="atLeast"/>
        </w:trPr>
        <w:tc>
          <w:tcPr>
            <w:tcW w:w="3132" w:type="dxa"/>
          </w:tcPr>
          <w:p>
            <w:pPr>
              <w:pStyle w:val="TableParagraph"/>
              <w:spacing w:before="34"/>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2003</w:t>
            </w:r>
          </w:p>
        </w:tc>
        <w:tc>
          <w:tcPr>
            <w:tcW w:w="1877" w:type="dxa"/>
          </w:tcPr>
          <w:p>
            <w:pPr>
              <w:pStyle w:val="TableParagraph"/>
              <w:spacing w:line="168" w:lineRule="exact" w:before="75"/>
              <w:ind w:right="54"/>
              <w:jc w:val="right"/>
              <w:rPr>
                <w:sz w:val="16"/>
              </w:rPr>
            </w:pPr>
            <w:r>
              <w:rPr>
                <w:spacing w:val="-2"/>
                <w:sz w:val="16"/>
              </w:rPr>
              <w:t>3.011.016,26</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bottom w:val="single" w:sz="4" w:space="0" w:color="000000"/>
            </w:tcBorders>
          </w:tcPr>
          <w:p>
            <w:pPr>
              <w:pStyle w:val="TableParagraph"/>
              <w:spacing w:line="168" w:lineRule="exact" w:before="75"/>
              <w:ind w:right="57"/>
              <w:jc w:val="right"/>
              <w:rPr>
                <w:sz w:val="16"/>
              </w:rPr>
            </w:pPr>
            <w:r>
              <w:rPr>
                <w:spacing w:val="-2"/>
                <w:sz w:val="16"/>
              </w:rPr>
              <w:t>3.011.016,26</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2"/>
                <w:sz w:val="16"/>
              </w:rPr>
              <w:t>2004*</w:t>
            </w:r>
          </w:p>
        </w:tc>
        <w:tc>
          <w:tcPr>
            <w:tcW w:w="1877" w:type="dxa"/>
          </w:tcPr>
          <w:p>
            <w:pPr>
              <w:pStyle w:val="TableParagraph"/>
              <w:spacing w:line="168" w:lineRule="exact" w:before="75"/>
              <w:ind w:right="54"/>
              <w:jc w:val="right"/>
              <w:rPr>
                <w:sz w:val="16"/>
              </w:rPr>
            </w:pPr>
            <w:r>
              <w:rPr>
                <w:spacing w:val="-2"/>
                <w:sz w:val="16"/>
              </w:rPr>
              <w:t>2.867.732,32</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bottom w:val="single" w:sz="4" w:space="0" w:color="000000"/>
            </w:tcBorders>
          </w:tcPr>
          <w:p>
            <w:pPr>
              <w:pStyle w:val="TableParagraph"/>
              <w:spacing w:line="168" w:lineRule="exact" w:before="75"/>
              <w:ind w:right="57"/>
              <w:jc w:val="right"/>
              <w:rPr>
                <w:sz w:val="16"/>
              </w:rPr>
            </w:pPr>
            <w:r>
              <w:rPr>
                <w:spacing w:val="-2"/>
                <w:sz w:val="16"/>
              </w:rPr>
              <w:t>2.867.732,32</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2005</w:t>
            </w:r>
          </w:p>
        </w:tc>
        <w:tc>
          <w:tcPr>
            <w:tcW w:w="1877" w:type="dxa"/>
          </w:tcPr>
          <w:p>
            <w:pPr>
              <w:pStyle w:val="TableParagraph"/>
              <w:spacing w:line="168" w:lineRule="exact" w:before="75"/>
              <w:ind w:right="54"/>
              <w:jc w:val="right"/>
              <w:rPr>
                <w:sz w:val="16"/>
              </w:rPr>
            </w:pPr>
            <w:r>
              <w:rPr>
                <w:spacing w:val="-2"/>
                <w:sz w:val="16"/>
              </w:rPr>
              <w:t>9.038.514,39</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bottom w:val="single" w:sz="4" w:space="0" w:color="000000"/>
            </w:tcBorders>
          </w:tcPr>
          <w:p>
            <w:pPr>
              <w:pStyle w:val="TableParagraph"/>
              <w:spacing w:line="168" w:lineRule="exact" w:before="75"/>
              <w:ind w:right="57"/>
              <w:jc w:val="right"/>
              <w:rPr>
                <w:sz w:val="16"/>
              </w:rPr>
            </w:pPr>
            <w:r>
              <w:rPr>
                <w:spacing w:val="-2"/>
                <w:sz w:val="16"/>
              </w:rPr>
              <w:t>9.038.514,39</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2006</w:t>
            </w:r>
          </w:p>
        </w:tc>
        <w:tc>
          <w:tcPr>
            <w:tcW w:w="1877" w:type="dxa"/>
          </w:tcPr>
          <w:p>
            <w:pPr>
              <w:pStyle w:val="TableParagraph"/>
              <w:spacing w:line="166" w:lineRule="exact" w:before="77"/>
              <w:ind w:right="55"/>
              <w:jc w:val="right"/>
              <w:rPr>
                <w:sz w:val="16"/>
              </w:rPr>
            </w:pPr>
            <w:r>
              <w:rPr>
                <w:spacing w:val="-2"/>
                <w:sz w:val="16"/>
              </w:rPr>
              <w:t>15.360.487,58</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tcBorders>
          </w:tcPr>
          <w:p>
            <w:pPr>
              <w:pStyle w:val="TableParagraph"/>
              <w:spacing w:line="166" w:lineRule="exact" w:before="77"/>
              <w:ind w:right="58"/>
              <w:jc w:val="right"/>
              <w:rPr>
                <w:sz w:val="16"/>
              </w:rPr>
            </w:pPr>
            <w:r>
              <w:rPr>
                <w:spacing w:val="-2"/>
                <w:sz w:val="16"/>
              </w:rPr>
              <w:t>15.360.487,58</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2007</w:t>
            </w:r>
          </w:p>
        </w:tc>
        <w:tc>
          <w:tcPr>
            <w:tcW w:w="1877" w:type="dxa"/>
          </w:tcPr>
          <w:p>
            <w:pPr>
              <w:pStyle w:val="TableParagraph"/>
              <w:spacing w:line="166" w:lineRule="exact" w:before="77"/>
              <w:ind w:right="55"/>
              <w:jc w:val="right"/>
              <w:rPr>
                <w:sz w:val="16"/>
              </w:rPr>
            </w:pPr>
            <w:r>
              <w:rPr>
                <w:spacing w:val="-2"/>
                <w:sz w:val="16"/>
              </w:rPr>
              <w:t>16.060.648,93</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bottom w:val="single" w:sz="4" w:space="0" w:color="000000"/>
            </w:tcBorders>
          </w:tcPr>
          <w:p>
            <w:pPr>
              <w:pStyle w:val="TableParagraph"/>
              <w:spacing w:line="166" w:lineRule="exact" w:before="77"/>
              <w:ind w:right="58"/>
              <w:jc w:val="right"/>
              <w:rPr>
                <w:sz w:val="16"/>
              </w:rPr>
            </w:pPr>
            <w:r>
              <w:rPr>
                <w:spacing w:val="-2"/>
                <w:sz w:val="16"/>
              </w:rPr>
              <w:t>16.060.648,93</w:t>
            </w:r>
          </w:p>
        </w:tc>
      </w:tr>
      <w:tr>
        <w:trPr>
          <w:trHeight w:val="265"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2008</w:t>
            </w:r>
          </w:p>
        </w:tc>
        <w:tc>
          <w:tcPr>
            <w:tcW w:w="1877" w:type="dxa"/>
          </w:tcPr>
          <w:p>
            <w:pPr>
              <w:pStyle w:val="TableParagraph"/>
              <w:spacing w:line="168" w:lineRule="exact" w:before="77"/>
              <w:ind w:right="58"/>
              <w:jc w:val="right"/>
              <w:rPr>
                <w:sz w:val="16"/>
              </w:rPr>
            </w:pPr>
            <w:r>
              <w:rPr>
                <w:spacing w:val="-2"/>
                <w:sz w:val="16"/>
              </w:rPr>
              <w:t>494.484,76</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tcBorders>
          </w:tcPr>
          <w:p>
            <w:pPr>
              <w:pStyle w:val="TableParagraph"/>
              <w:spacing w:line="168" w:lineRule="exact" w:before="77"/>
              <w:ind w:right="61"/>
              <w:jc w:val="right"/>
              <w:rPr>
                <w:sz w:val="16"/>
              </w:rPr>
            </w:pPr>
            <w:r>
              <w:rPr>
                <w:spacing w:val="-2"/>
                <w:sz w:val="16"/>
              </w:rPr>
              <w:t>494.484,76</w:t>
            </w:r>
          </w:p>
        </w:tc>
      </w:tr>
      <w:tr>
        <w:trPr>
          <w:trHeight w:val="263" w:hRule="atLeast"/>
        </w:trPr>
        <w:tc>
          <w:tcPr>
            <w:tcW w:w="3132" w:type="dxa"/>
          </w:tcPr>
          <w:p>
            <w:pPr>
              <w:pStyle w:val="TableParagraph"/>
              <w:spacing w:before="34"/>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2009</w:t>
            </w:r>
          </w:p>
        </w:tc>
        <w:tc>
          <w:tcPr>
            <w:tcW w:w="1877" w:type="dxa"/>
          </w:tcPr>
          <w:p>
            <w:pPr>
              <w:pStyle w:val="TableParagraph"/>
              <w:spacing w:line="168" w:lineRule="exact" w:before="75"/>
              <w:ind w:right="54"/>
              <w:jc w:val="right"/>
              <w:rPr>
                <w:sz w:val="16"/>
              </w:rPr>
            </w:pPr>
            <w:r>
              <w:rPr>
                <w:spacing w:val="-2"/>
                <w:sz w:val="16"/>
              </w:rPr>
              <w:t>1.278.843,06</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Pr>
          <w:p>
            <w:pPr>
              <w:pStyle w:val="TableParagraph"/>
              <w:spacing w:line="168" w:lineRule="exact" w:before="75"/>
              <w:ind w:right="57"/>
              <w:jc w:val="right"/>
              <w:rPr>
                <w:sz w:val="16"/>
              </w:rPr>
            </w:pPr>
            <w:r>
              <w:rPr>
                <w:spacing w:val="-2"/>
                <w:sz w:val="16"/>
              </w:rPr>
              <w:t>1.278.843,06</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2010</w:t>
            </w:r>
          </w:p>
        </w:tc>
        <w:tc>
          <w:tcPr>
            <w:tcW w:w="1877" w:type="dxa"/>
          </w:tcPr>
          <w:p>
            <w:pPr>
              <w:pStyle w:val="TableParagraph"/>
              <w:spacing w:before="37"/>
              <w:ind w:right="54"/>
              <w:jc w:val="right"/>
              <w:rPr>
                <w:sz w:val="16"/>
              </w:rPr>
            </w:pPr>
            <w:r>
              <w:rPr>
                <w:spacing w:val="-4"/>
                <w:sz w:val="16"/>
              </w:rPr>
              <w:t>0,00</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bottom w:val="single" w:sz="4" w:space="0" w:color="000000"/>
            </w:tcBorders>
          </w:tcPr>
          <w:p>
            <w:pPr>
              <w:pStyle w:val="TableParagraph"/>
              <w:spacing w:before="37"/>
              <w:ind w:right="60"/>
              <w:jc w:val="right"/>
              <w:rPr>
                <w:sz w:val="16"/>
              </w:rPr>
            </w:pPr>
            <w:r>
              <w:rPr>
                <w:spacing w:val="-4"/>
                <w:sz w:val="16"/>
              </w:rPr>
              <w:t>0,00</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2011</w:t>
            </w:r>
          </w:p>
        </w:tc>
        <w:tc>
          <w:tcPr>
            <w:tcW w:w="1877" w:type="dxa"/>
          </w:tcPr>
          <w:p>
            <w:pPr>
              <w:pStyle w:val="TableParagraph"/>
              <w:spacing w:before="37"/>
              <w:ind w:right="55"/>
              <w:jc w:val="right"/>
              <w:rPr>
                <w:sz w:val="16"/>
              </w:rPr>
            </w:pPr>
            <w:r>
              <w:rPr>
                <w:spacing w:val="-4"/>
                <w:sz w:val="16"/>
              </w:rPr>
              <w:t>0,00</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bottom w:val="single" w:sz="4" w:space="0" w:color="000000"/>
            </w:tcBorders>
          </w:tcPr>
          <w:p>
            <w:pPr>
              <w:pStyle w:val="TableParagraph"/>
              <w:spacing w:before="37"/>
              <w:ind w:right="60"/>
              <w:jc w:val="right"/>
              <w:rPr>
                <w:sz w:val="16"/>
              </w:rPr>
            </w:pPr>
            <w:r>
              <w:rPr>
                <w:spacing w:val="-4"/>
                <w:sz w:val="16"/>
              </w:rPr>
              <w:t>0,00</w:t>
            </w:r>
          </w:p>
        </w:tc>
      </w:tr>
      <w:tr>
        <w:trPr>
          <w:trHeight w:val="263" w:hRule="atLeast"/>
        </w:trPr>
        <w:tc>
          <w:tcPr>
            <w:tcW w:w="3132" w:type="dxa"/>
          </w:tcPr>
          <w:p>
            <w:pPr>
              <w:pStyle w:val="TableParagraph"/>
              <w:spacing w:before="37"/>
              <w:ind w:left="69"/>
              <w:rPr>
                <w:sz w:val="16"/>
              </w:rPr>
            </w:pPr>
            <w:r>
              <w:rPr>
                <w:sz w:val="16"/>
              </w:rPr>
              <w:t>Base</w:t>
            </w:r>
            <w:r>
              <w:rPr>
                <w:spacing w:val="-7"/>
                <w:sz w:val="16"/>
              </w:rPr>
              <w:t> </w:t>
            </w:r>
            <w:r>
              <w:rPr>
                <w:sz w:val="16"/>
              </w:rPr>
              <w:t>Imponible</w:t>
            </w:r>
            <w:r>
              <w:rPr>
                <w:spacing w:val="-3"/>
                <w:sz w:val="16"/>
              </w:rPr>
              <w:t> </w:t>
            </w:r>
            <w:r>
              <w:rPr>
                <w:sz w:val="16"/>
              </w:rPr>
              <w:t>Negativas</w:t>
            </w:r>
            <w:r>
              <w:rPr>
                <w:spacing w:val="-4"/>
                <w:sz w:val="16"/>
              </w:rPr>
              <w:t> </w:t>
            </w:r>
            <w:r>
              <w:rPr>
                <w:sz w:val="16"/>
              </w:rPr>
              <w:t>Año</w:t>
            </w:r>
            <w:r>
              <w:rPr>
                <w:spacing w:val="-6"/>
                <w:sz w:val="16"/>
              </w:rPr>
              <w:t> </w:t>
            </w:r>
            <w:r>
              <w:rPr>
                <w:spacing w:val="-4"/>
                <w:sz w:val="16"/>
              </w:rPr>
              <w:t>2012</w:t>
            </w:r>
          </w:p>
        </w:tc>
        <w:tc>
          <w:tcPr>
            <w:tcW w:w="1877" w:type="dxa"/>
          </w:tcPr>
          <w:p>
            <w:pPr>
              <w:pStyle w:val="TableParagraph"/>
              <w:spacing w:line="166" w:lineRule="exact" w:before="77"/>
              <w:ind w:right="57"/>
              <w:jc w:val="right"/>
              <w:rPr>
                <w:sz w:val="16"/>
              </w:rPr>
            </w:pPr>
            <w:r>
              <w:rPr>
                <w:spacing w:val="-2"/>
                <w:sz w:val="16"/>
              </w:rPr>
              <w:t>46.993,76</w:t>
            </w:r>
          </w:p>
        </w:tc>
        <w:tc>
          <w:tcPr>
            <w:tcW w:w="2158" w:type="dxa"/>
            <w:tcBorders>
              <w:top w:val="single" w:sz="4" w:space="0" w:color="000000"/>
              <w:bottom w:val="single" w:sz="4" w:space="0" w:color="000000"/>
            </w:tcBorders>
          </w:tcPr>
          <w:p>
            <w:pPr>
              <w:pStyle w:val="TableParagraph"/>
              <w:rPr>
                <w:rFonts w:ascii="Times New Roman"/>
                <w:sz w:val="16"/>
              </w:rPr>
            </w:pPr>
          </w:p>
        </w:tc>
        <w:tc>
          <w:tcPr>
            <w:tcW w:w="1330" w:type="dxa"/>
            <w:tcBorders>
              <w:top w:val="single" w:sz="4" w:space="0" w:color="000000"/>
              <w:bottom w:val="single" w:sz="4" w:space="0" w:color="000000"/>
            </w:tcBorders>
          </w:tcPr>
          <w:p>
            <w:pPr>
              <w:pStyle w:val="TableParagraph"/>
              <w:spacing w:line="166" w:lineRule="exact" w:before="77"/>
              <w:ind w:right="60"/>
              <w:jc w:val="right"/>
              <w:rPr>
                <w:sz w:val="16"/>
              </w:rPr>
            </w:pPr>
            <w:r>
              <w:rPr>
                <w:spacing w:val="-2"/>
                <w:sz w:val="16"/>
              </w:rPr>
              <w:t>46.993,76</w:t>
            </w:r>
          </w:p>
        </w:tc>
      </w:tr>
      <w:tr>
        <w:trPr>
          <w:trHeight w:val="294" w:hRule="atLeast"/>
        </w:trPr>
        <w:tc>
          <w:tcPr>
            <w:tcW w:w="3132" w:type="dxa"/>
          </w:tcPr>
          <w:p>
            <w:pPr>
              <w:pStyle w:val="TableParagraph"/>
              <w:spacing w:before="49"/>
              <w:ind w:left="69"/>
              <w:rPr>
                <w:b/>
                <w:sz w:val="16"/>
              </w:rPr>
            </w:pPr>
            <w:r>
              <w:rPr>
                <w:b/>
                <w:spacing w:val="-2"/>
                <w:sz w:val="16"/>
              </w:rPr>
              <w:t>TOTALES</w:t>
            </w:r>
          </w:p>
        </w:tc>
        <w:tc>
          <w:tcPr>
            <w:tcW w:w="1877" w:type="dxa"/>
          </w:tcPr>
          <w:p>
            <w:pPr>
              <w:pStyle w:val="TableParagraph"/>
              <w:spacing w:line="171" w:lineRule="exact" w:before="104"/>
              <w:ind w:right="55"/>
              <w:jc w:val="right"/>
              <w:rPr>
                <w:b/>
                <w:sz w:val="16"/>
              </w:rPr>
            </w:pPr>
            <w:r>
              <w:rPr>
                <w:b/>
                <w:spacing w:val="-2"/>
                <w:sz w:val="16"/>
              </w:rPr>
              <w:t>51.647.830,36</w:t>
            </w:r>
          </w:p>
        </w:tc>
        <w:tc>
          <w:tcPr>
            <w:tcW w:w="2158" w:type="dxa"/>
            <w:tcBorders>
              <w:top w:val="single" w:sz="4" w:space="0" w:color="000000"/>
            </w:tcBorders>
          </w:tcPr>
          <w:p>
            <w:pPr>
              <w:pStyle w:val="TableParagraph"/>
              <w:spacing w:line="171" w:lineRule="exact" w:before="104"/>
              <w:ind w:right="55"/>
              <w:jc w:val="right"/>
              <w:rPr>
                <w:b/>
                <w:sz w:val="16"/>
              </w:rPr>
            </w:pPr>
            <w:r>
              <w:rPr>
                <w:b/>
                <w:spacing w:val="-2"/>
                <w:sz w:val="16"/>
              </w:rPr>
              <w:t>2.446.821,07</w:t>
            </w:r>
          </w:p>
        </w:tc>
        <w:tc>
          <w:tcPr>
            <w:tcW w:w="1330" w:type="dxa"/>
            <w:tcBorders>
              <w:top w:val="single" w:sz="4" w:space="0" w:color="000000"/>
            </w:tcBorders>
          </w:tcPr>
          <w:p>
            <w:pPr>
              <w:pStyle w:val="TableParagraph"/>
              <w:spacing w:line="171" w:lineRule="exact" w:before="104"/>
              <w:ind w:right="58"/>
              <w:jc w:val="right"/>
              <w:rPr>
                <w:b/>
                <w:sz w:val="16"/>
              </w:rPr>
            </w:pPr>
            <w:r>
              <w:rPr>
                <w:b/>
                <w:spacing w:val="-2"/>
                <w:sz w:val="16"/>
              </w:rPr>
              <w:t>49.201.009,29</w:t>
            </w:r>
          </w:p>
        </w:tc>
      </w:tr>
    </w:tbl>
    <w:p>
      <w:pPr>
        <w:spacing w:before="2"/>
        <w:ind w:left="1701" w:right="0" w:firstLine="0"/>
        <w:jc w:val="left"/>
        <w:rPr>
          <w:b/>
          <w:sz w:val="18"/>
        </w:rPr>
      </w:pPr>
      <w:r>
        <w:rPr>
          <w:b/>
          <w:sz w:val="18"/>
        </w:rPr>
        <w:t>*BIN</w:t>
      </w:r>
      <w:r>
        <w:rPr>
          <w:b/>
          <w:spacing w:val="-5"/>
          <w:sz w:val="18"/>
        </w:rPr>
        <w:t> </w:t>
      </w:r>
      <w:r>
        <w:rPr>
          <w:b/>
          <w:sz w:val="18"/>
        </w:rPr>
        <w:t>2004:</w:t>
      </w:r>
      <w:r>
        <w:rPr>
          <w:b/>
          <w:spacing w:val="-5"/>
          <w:sz w:val="18"/>
        </w:rPr>
        <w:t> </w:t>
      </w:r>
      <w:r>
        <w:rPr>
          <w:b/>
          <w:sz w:val="18"/>
        </w:rPr>
        <w:t>2.867.732,32</w:t>
      </w:r>
      <w:r>
        <w:rPr>
          <w:b/>
          <w:spacing w:val="71"/>
          <w:w w:val="150"/>
          <w:sz w:val="18"/>
        </w:rPr>
        <w:t> </w:t>
      </w:r>
      <w:r>
        <w:rPr>
          <w:b/>
          <w:sz w:val="18"/>
        </w:rPr>
        <w:t>BIN</w:t>
      </w:r>
      <w:r>
        <w:rPr>
          <w:b/>
          <w:spacing w:val="-3"/>
          <w:sz w:val="18"/>
        </w:rPr>
        <w:t> </w:t>
      </w:r>
      <w:r>
        <w:rPr>
          <w:b/>
          <w:sz w:val="18"/>
        </w:rPr>
        <w:t>SEGÚN</w:t>
      </w:r>
      <w:r>
        <w:rPr>
          <w:b/>
          <w:spacing w:val="-2"/>
          <w:sz w:val="18"/>
        </w:rPr>
        <w:t> </w:t>
      </w:r>
      <w:r>
        <w:rPr>
          <w:b/>
          <w:sz w:val="18"/>
        </w:rPr>
        <w:t>IMPTO.</w:t>
      </w:r>
      <w:r>
        <w:rPr>
          <w:b/>
          <w:spacing w:val="-2"/>
          <w:sz w:val="18"/>
        </w:rPr>
        <w:t> </w:t>
      </w:r>
      <w:r>
        <w:rPr>
          <w:b/>
          <w:sz w:val="18"/>
        </w:rPr>
        <w:t>SOCIEDADES</w:t>
      </w:r>
      <w:r>
        <w:rPr>
          <w:b/>
          <w:spacing w:val="-2"/>
          <w:sz w:val="18"/>
        </w:rPr>
        <w:t> </w:t>
      </w:r>
      <w:r>
        <w:rPr>
          <w:b/>
          <w:sz w:val="18"/>
        </w:rPr>
        <w:t>04</w:t>
      </w:r>
      <w:r>
        <w:rPr>
          <w:b/>
          <w:spacing w:val="1"/>
          <w:sz w:val="18"/>
        </w:rPr>
        <w:t> </w:t>
      </w:r>
      <w:r>
        <w:rPr>
          <w:b/>
          <w:spacing w:val="-2"/>
          <w:sz w:val="18"/>
        </w:rPr>
        <w:t>PRESENTADO</w:t>
      </w:r>
    </w:p>
    <w:p>
      <w:pPr>
        <w:spacing w:after="0"/>
        <w:jc w:val="left"/>
        <w:rPr>
          <w:b/>
          <w:sz w:val="18"/>
        </w:rPr>
        <w:sectPr>
          <w:pgSz w:w="11910" w:h="16840"/>
          <w:pgMar w:header="286" w:footer="1060" w:top="1920" w:bottom="1260" w:left="360" w:right="360"/>
        </w:sectPr>
      </w:pPr>
    </w:p>
    <w:p>
      <w:pPr>
        <w:pStyle w:val="BodyText"/>
        <w:spacing w:before="201"/>
        <w:rPr>
          <w:b/>
        </w:rPr>
      </w:pPr>
    </w:p>
    <w:p>
      <w:pPr>
        <w:pStyle w:val="BodyText"/>
        <w:ind w:left="1701" w:right="1330"/>
        <w:jc w:val="both"/>
      </w:pPr>
      <w:r>
        <w:rPr/>
        <w:t>De</w:t>
      </w:r>
      <w:r>
        <w:rPr>
          <w:spacing w:val="-14"/>
        </w:rPr>
        <w:t> </w:t>
      </w:r>
      <w:r>
        <w:rPr/>
        <w:t>acuerdo</w:t>
      </w:r>
      <w:r>
        <w:rPr>
          <w:spacing w:val="-14"/>
        </w:rPr>
        <w:t> </w:t>
      </w:r>
      <w:r>
        <w:rPr/>
        <w:t>a</w:t>
      </w:r>
      <w:r>
        <w:rPr>
          <w:spacing w:val="-14"/>
        </w:rPr>
        <w:t> </w:t>
      </w:r>
      <w:r>
        <w:rPr/>
        <w:t>la</w:t>
      </w:r>
      <w:r>
        <w:rPr>
          <w:spacing w:val="-14"/>
        </w:rPr>
        <w:t> </w:t>
      </w:r>
      <w:r>
        <w:rPr/>
        <w:t>norma</w:t>
      </w:r>
      <w:r>
        <w:rPr>
          <w:spacing w:val="-14"/>
        </w:rPr>
        <w:t> </w:t>
      </w:r>
      <w:r>
        <w:rPr/>
        <w:t>de</w:t>
      </w:r>
      <w:r>
        <w:rPr>
          <w:spacing w:val="-14"/>
        </w:rPr>
        <w:t> </w:t>
      </w:r>
      <w:r>
        <w:rPr/>
        <w:t>Registro</w:t>
      </w:r>
      <w:r>
        <w:rPr>
          <w:spacing w:val="-14"/>
        </w:rPr>
        <w:t> </w:t>
      </w:r>
      <w:r>
        <w:rPr/>
        <w:t>y</w:t>
      </w:r>
      <w:r>
        <w:rPr>
          <w:spacing w:val="-14"/>
        </w:rPr>
        <w:t> </w:t>
      </w:r>
      <w:r>
        <w:rPr/>
        <w:t>Valoración</w:t>
      </w:r>
      <w:r>
        <w:rPr>
          <w:spacing w:val="-14"/>
        </w:rPr>
        <w:t> </w:t>
      </w:r>
      <w:r>
        <w:rPr/>
        <w:t>13ª,</w:t>
      </w:r>
      <w:r>
        <w:rPr>
          <w:spacing w:val="-13"/>
        </w:rPr>
        <w:t> </w:t>
      </w:r>
      <w:r>
        <w:rPr/>
        <w:t>que</w:t>
      </w:r>
      <w:r>
        <w:rPr>
          <w:spacing w:val="-14"/>
        </w:rPr>
        <w:t> </w:t>
      </w:r>
      <w:r>
        <w:rPr/>
        <w:t>según</w:t>
      </w:r>
      <w:r>
        <w:rPr>
          <w:spacing w:val="-14"/>
        </w:rPr>
        <w:t> </w:t>
      </w:r>
      <w:r>
        <w:rPr/>
        <w:t>el</w:t>
      </w:r>
      <w:r>
        <w:rPr>
          <w:spacing w:val="-14"/>
        </w:rPr>
        <w:t> </w:t>
      </w:r>
      <w:r>
        <w:rPr/>
        <w:t>principio</w:t>
      </w:r>
      <w:r>
        <w:rPr>
          <w:spacing w:val="-14"/>
        </w:rPr>
        <w:t> </w:t>
      </w:r>
      <w:r>
        <w:rPr/>
        <w:t>de</w:t>
      </w:r>
      <w:r>
        <w:rPr>
          <w:spacing w:val="-14"/>
        </w:rPr>
        <w:t> </w:t>
      </w:r>
      <w:r>
        <w:rPr/>
        <w:t>prudencia,</w:t>
      </w:r>
      <w:r>
        <w:rPr>
          <w:spacing w:val="-14"/>
        </w:rPr>
        <w:t> </w:t>
      </w:r>
      <w:r>
        <w:rPr/>
        <w:t>solo se reconocerán activos por impuesto diferidos en la medida en que resulte probable que la empresa</w:t>
      </w:r>
      <w:r>
        <w:rPr>
          <w:spacing w:val="-3"/>
        </w:rPr>
        <w:t> </w:t>
      </w:r>
      <w:r>
        <w:rPr/>
        <w:t>disponga</w:t>
      </w:r>
      <w:r>
        <w:rPr>
          <w:spacing w:val="-3"/>
        </w:rPr>
        <w:t> </w:t>
      </w:r>
      <w:r>
        <w:rPr/>
        <w:t>de</w:t>
      </w:r>
      <w:r>
        <w:rPr>
          <w:spacing w:val="-4"/>
        </w:rPr>
        <w:t> </w:t>
      </w:r>
      <w:r>
        <w:rPr/>
        <w:t>ganancias</w:t>
      </w:r>
      <w:r>
        <w:rPr>
          <w:spacing w:val="-4"/>
        </w:rPr>
        <w:t> </w:t>
      </w:r>
      <w:r>
        <w:rPr/>
        <w:t>fiscales</w:t>
      </w:r>
      <w:r>
        <w:rPr>
          <w:spacing w:val="-3"/>
        </w:rPr>
        <w:t> </w:t>
      </w:r>
      <w:r>
        <w:rPr/>
        <w:t>futuras</w:t>
      </w:r>
      <w:r>
        <w:rPr>
          <w:spacing w:val="-1"/>
        </w:rPr>
        <w:t> </w:t>
      </w:r>
      <w:r>
        <w:rPr/>
        <w:t>que</w:t>
      </w:r>
      <w:r>
        <w:rPr>
          <w:spacing w:val="-3"/>
        </w:rPr>
        <w:t> </w:t>
      </w:r>
      <w:r>
        <w:rPr/>
        <w:t>permitan</w:t>
      </w:r>
      <w:r>
        <w:rPr>
          <w:spacing w:val="-4"/>
        </w:rPr>
        <w:t> </w:t>
      </w:r>
      <w:r>
        <w:rPr/>
        <w:t>la</w:t>
      </w:r>
      <w:r>
        <w:rPr>
          <w:spacing w:val="-4"/>
        </w:rPr>
        <w:t> </w:t>
      </w:r>
      <w:r>
        <w:rPr/>
        <w:t>aplicación</w:t>
      </w:r>
      <w:r>
        <w:rPr>
          <w:spacing w:val="-3"/>
        </w:rPr>
        <w:t> </w:t>
      </w:r>
      <w:r>
        <w:rPr/>
        <w:t>de</w:t>
      </w:r>
      <w:r>
        <w:rPr>
          <w:spacing w:val="-3"/>
        </w:rPr>
        <w:t> </w:t>
      </w:r>
      <w:r>
        <w:rPr/>
        <w:t>esos</w:t>
      </w:r>
      <w:r>
        <w:rPr>
          <w:spacing w:val="-1"/>
        </w:rPr>
        <w:t> </w:t>
      </w:r>
      <w:r>
        <w:rPr/>
        <w:t>activos. </w:t>
      </w:r>
      <w:r>
        <w:rPr>
          <w:spacing w:val="-2"/>
        </w:rPr>
        <w:t>Por</w:t>
      </w:r>
      <w:r>
        <w:rPr>
          <w:spacing w:val="-6"/>
        </w:rPr>
        <w:t> </w:t>
      </w:r>
      <w:r>
        <w:rPr>
          <w:spacing w:val="-2"/>
        </w:rPr>
        <w:t>lo</w:t>
      </w:r>
      <w:r>
        <w:rPr>
          <w:spacing w:val="-7"/>
        </w:rPr>
        <w:t> </w:t>
      </w:r>
      <w:r>
        <w:rPr>
          <w:spacing w:val="-2"/>
        </w:rPr>
        <w:t>que</w:t>
      </w:r>
      <w:r>
        <w:rPr>
          <w:spacing w:val="-7"/>
        </w:rPr>
        <w:t> </w:t>
      </w:r>
      <w:r>
        <w:rPr>
          <w:spacing w:val="-2"/>
        </w:rPr>
        <w:t>atendiendo</w:t>
      </w:r>
      <w:r>
        <w:rPr>
          <w:spacing w:val="-7"/>
        </w:rPr>
        <w:t> </w:t>
      </w:r>
      <w:r>
        <w:rPr>
          <w:spacing w:val="-2"/>
        </w:rPr>
        <w:t>a</w:t>
      </w:r>
      <w:r>
        <w:rPr>
          <w:spacing w:val="-5"/>
        </w:rPr>
        <w:t> </w:t>
      </w:r>
      <w:r>
        <w:rPr>
          <w:spacing w:val="-2"/>
        </w:rPr>
        <w:t>ello</w:t>
      </w:r>
      <w:r>
        <w:rPr>
          <w:spacing w:val="-7"/>
        </w:rPr>
        <w:t> </w:t>
      </w:r>
      <w:r>
        <w:rPr>
          <w:spacing w:val="-2"/>
        </w:rPr>
        <w:t>la</w:t>
      </w:r>
      <w:r>
        <w:rPr>
          <w:spacing w:val="-7"/>
        </w:rPr>
        <w:t> </w:t>
      </w:r>
      <w:r>
        <w:rPr>
          <w:spacing w:val="-2"/>
        </w:rPr>
        <w:t>entidad</w:t>
      </w:r>
      <w:r>
        <w:rPr>
          <w:spacing w:val="-7"/>
        </w:rPr>
        <w:t> </w:t>
      </w:r>
      <w:r>
        <w:rPr>
          <w:spacing w:val="-2"/>
        </w:rPr>
        <w:t>no</w:t>
      </w:r>
      <w:r>
        <w:rPr>
          <w:spacing w:val="-7"/>
        </w:rPr>
        <w:t> </w:t>
      </w:r>
      <w:r>
        <w:rPr>
          <w:spacing w:val="-2"/>
        </w:rPr>
        <w:t>reconoce</w:t>
      </w:r>
      <w:r>
        <w:rPr>
          <w:spacing w:val="-7"/>
        </w:rPr>
        <w:t> </w:t>
      </w:r>
      <w:r>
        <w:rPr>
          <w:spacing w:val="-2"/>
        </w:rPr>
        <w:t>el</w:t>
      </w:r>
      <w:r>
        <w:rPr>
          <w:spacing w:val="-10"/>
        </w:rPr>
        <w:t> </w:t>
      </w:r>
      <w:r>
        <w:rPr>
          <w:spacing w:val="-2"/>
        </w:rPr>
        <w:t>crédito</w:t>
      </w:r>
      <w:r>
        <w:rPr>
          <w:spacing w:val="-7"/>
        </w:rPr>
        <w:t> </w:t>
      </w:r>
      <w:r>
        <w:rPr>
          <w:spacing w:val="-2"/>
        </w:rPr>
        <w:t>impositivo</w:t>
      </w:r>
      <w:r>
        <w:rPr>
          <w:spacing w:val="-5"/>
        </w:rPr>
        <w:t> </w:t>
      </w:r>
      <w:r>
        <w:rPr>
          <w:spacing w:val="-2"/>
        </w:rPr>
        <w:t>que</w:t>
      </w:r>
      <w:r>
        <w:rPr>
          <w:spacing w:val="-7"/>
        </w:rPr>
        <w:t> </w:t>
      </w:r>
      <w:r>
        <w:rPr>
          <w:spacing w:val="-2"/>
        </w:rPr>
        <w:t>pudiera</w:t>
      </w:r>
      <w:r>
        <w:rPr>
          <w:spacing w:val="-7"/>
        </w:rPr>
        <w:t> </w:t>
      </w:r>
      <w:r>
        <w:rPr>
          <w:spacing w:val="-2"/>
        </w:rPr>
        <w:t>derivarse </w:t>
      </w:r>
      <w:r>
        <w:rPr/>
        <w:t>de</w:t>
      </w:r>
      <w:r>
        <w:rPr>
          <w:spacing w:val="-14"/>
        </w:rPr>
        <w:t> </w:t>
      </w:r>
      <w:r>
        <w:rPr/>
        <w:t>las</w:t>
      </w:r>
      <w:r>
        <w:rPr>
          <w:spacing w:val="-14"/>
        </w:rPr>
        <w:t> </w:t>
      </w:r>
      <w:r>
        <w:rPr/>
        <w:t>Bases</w:t>
      </w:r>
      <w:r>
        <w:rPr>
          <w:spacing w:val="-14"/>
        </w:rPr>
        <w:t> </w:t>
      </w:r>
      <w:r>
        <w:rPr/>
        <w:t>Imponibles</w:t>
      </w:r>
      <w:r>
        <w:rPr>
          <w:spacing w:val="-14"/>
        </w:rPr>
        <w:t> </w:t>
      </w:r>
      <w:r>
        <w:rPr/>
        <w:t>Negativas</w:t>
      </w:r>
      <w:r>
        <w:rPr>
          <w:spacing w:val="-12"/>
        </w:rPr>
        <w:t> </w:t>
      </w:r>
      <w:r>
        <w:rPr/>
        <w:t>dado</w:t>
      </w:r>
      <w:r>
        <w:rPr>
          <w:spacing w:val="-14"/>
        </w:rPr>
        <w:t> </w:t>
      </w:r>
      <w:r>
        <w:rPr/>
        <w:t>que</w:t>
      </w:r>
      <w:r>
        <w:rPr>
          <w:spacing w:val="-12"/>
        </w:rPr>
        <w:t> </w:t>
      </w:r>
      <w:r>
        <w:rPr/>
        <w:t>no</w:t>
      </w:r>
      <w:r>
        <w:rPr>
          <w:spacing w:val="-14"/>
        </w:rPr>
        <w:t> </w:t>
      </w:r>
      <w:r>
        <w:rPr/>
        <w:t>resulta</w:t>
      </w:r>
      <w:r>
        <w:rPr>
          <w:spacing w:val="-14"/>
        </w:rPr>
        <w:t> </w:t>
      </w:r>
      <w:r>
        <w:rPr/>
        <w:t>probable</w:t>
      </w:r>
      <w:r>
        <w:rPr>
          <w:spacing w:val="-14"/>
        </w:rPr>
        <w:t> </w:t>
      </w:r>
      <w:r>
        <w:rPr/>
        <w:t>su</w:t>
      </w:r>
      <w:r>
        <w:rPr>
          <w:spacing w:val="-13"/>
        </w:rPr>
        <w:t> </w:t>
      </w:r>
      <w:r>
        <w:rPr/>
        <w:t>recuperación</w:t>
      </w:r>
      <w:r>
        <w:rPr>
          <w:spacing w:val="-12"/>
        </w:rPr>
        <w:t> </w:t>
      </w:r>
      <w:r>
        <w:rPr/>
        <w:t>y</w:t>
      </w:r>
      <w:r>
        <w:rPr>
          <w:spacing w:val="-14"/>
        </w:rPr>
        <w:t> </w:t>
      </w:r>
      <w:r>
        <w:rPr/>
        <w:t>escaso</w:t>
      </w:r>
      <w:r>
        <w:rPr>
          <w:spacing w:val="-14"/>
        </w:rPr>
        <w:t> </w:t>
      </w:r>
      <w:r>
        <w:rPr/>
        <w:t>el </w:t>
      </w:r>
      <w:r>
        <w:rPr>
          <w:spacing w:val="-2"/>
        </w:rPr>
        <w:t>efecto</w:t>
      </w:r>
      <w:r>
        <w:rPr>
          <w:spacing w:val="-11"/>
        </w:rPr>
        <w:t> </w:t>
      </w:r>
      <w:r>
        <w:rPr>
          <w:spacing w:val="-2"/>
        </w:rPr>
        <w:t>impositivo</w:t>
      </w:r>
      <w:r>
        <w:rPr>
          <w:spacing w:val="-11"/>
        </w:rPr>
        <w:t> </w:t>
      </w:r>
      <w:r>
        <w:rPr>
          <w:spacing w:val="-2"/>
        </w:rPr>
        <w:t>que</w:t>
      </w:r>
      <w:r>
        <w:rPr>
          <w:spacing w:val="-11"/>
        </w:rPr>
        <w:t> </w:t>
      </w:r>
      <w:r>
        <w:rPr>
          <w:spacing w:val="-2"/>
        </w:rPr>
        <w:t>se</w:t>
      </w:r>
      <w:r>
        <w:rPr>
          <w:spacing w:val="-11"/>
        </w:rPr>
        <w:t> </w:t>
      </w:r>
      <w:r>
        <w:rPr>
          <w:spacing w:val="-2"/>
        </w:rPr>
        <w:t>pudiera</w:t>
      </w:r>
      <w:r>
        <w:rPr>
          <w:spacing w:val="-11"/>
        </w:rPr>
        <w:t> </w:t>
      </w:r>
      <w:r>
        <w:rPr>
          <w:spacing w:val="-2"/>
        </w:rPr>
        <w:t>derivar</w:t>
      </w:r>
      <w:r>
        <w:rPr>
          <w:spacing w:val="-11"/>
        </w:rPr>
        <w:t> </w:t>
      </w:r>
      <w:r>
        <w:rPr>
          <w:spacing w:val="-2"/>
        </w:rPr>
        <w:t>como</w:t>
      </w:r>
      <w:r>
        <w:rPr>
          <w:spacing w:val="-11"/>
        </w:rPr>
        <w:t> </w:t>
      </w:r>
      <w:r>
        <w:rPr>
          <w:spacing w:val="-2"/>
        </w:rPr>
        <w:t>consecuencia</w:t>
      </w:r>
      <w:r>
        <w:rPr>
          <w:spacing w:val="-11"/>
        </w:rPr>
        <w:t> </w:t>
      </w:r>
      <w:r>
        <w:rPr>
          <w:spacing w:val="-2"/>
        </w:rPr>
        <w:t>de</w:t>
      </w:r>
      <w:r>
        <w:rPr>
          <w:spacing w:val="-11"/>
        </w:rPr>
        <w:t> </w:t>
      </w:r>
      <w:r>
        <w:rPr>
          <w:spacing w:val="-2"/>
        </w:rPr>
        <w:t>la</w:t>
      </w:r>
      <w:r>
        <w:rPr>
          <w:spacing w:val="-11"/>
        </w:rPr>
        <w:t> </w:t>
      </w:r>
      <w:r>
        <w:rPr>
          <w:spacing w:val="-2"/>
        </w:rPr>
        <w:t>aplicación</w:t>
      </w:r>
      <w:r>
        <w:rPr>
          <w:spacing w:val="-12"/>
        </w:rPr>
        <w:t> </w:t>
      </w:r>
      <w:r>
        <w:rPr>
          <w:spacing w:val="-2"/>
        </w:rPr>
        <w:t>de</w:t>
      </w:r>
      <w:r>
        <w:rPr>
          <w:spacing w:val="-11"/>
        </w:rPr>
        <w:t> </w:t>
      </w:r>
      <w:r>
        <w:rPr>
          <w:spacing w:val="-2"/>
        </w:rPr>
        <w:t>la</w:t>
      </w:r>
      <w:r>
        <w:rPr>
          <w:spacing w:val="-9"/>
        </w:rPr>
        <w:t> </w:t>
      </w:r>
      <w:r>
        <w:rPr>
          <w:spacing w:val="-2"/>
        </w:rPr>
        <w:t>Bonificación </w:t>
      </w:r>
      <w:r>
        <w:rPr/>
        <w:t>por Prestación</w:t>
      </w:r>
      <w:r>
        <w:rPr>
          <w:spacing w:val="-1"/>
        </w:rPr>
        <w:t> </w:t>
      </w:r>
      <w:r>
        <w:rPr/>
        <w:t>de</w:t>
      </w:r>
      <w:r>
        <w:rPr>
          <w:spacing w:val="-1"/>
        </w:rPr>
        <w:t> </w:t>
      </w:r>
      <w:r>
        <w:rPr/>
        <w:t>Servicios Públicos Locales.</w:t>
      </w:r>
    </w:p>
    <w:p>
      <w:pPr>
        <w:pStyle w:val="ListParagraph"/>
        <w:numPr>
          <w:ilvl w:val="1"/>
          <w:numId w:val="22"/>
        </w:numPr>
        <w:tabs>
          <w:tab w:pos="2140" w:val="left" w:leader="none"/>
        </w:tabs>
        <w:spacing w:line="240" w:lineRule="auto" w:before="229" w:after="0"/>
        <w:ind w:left="2140" w:right="0" w:hanging="439"/>
        <w:jc w:val="left"/>
        <w:rPr>
          <w:sz w:val="20"/>
          <w:u w:val="single"/>
        </w:rPr>
      </w:pPr>
      <w:r>
        <w:rPr>
          <w:spacing w:val="-5"/>
          <w:sz w:val="20"/>
          <w:u w:val="single"/>
        </w:rPr>
        <w:t> </w:t>
      </w:r>
      <w:r>
        <w:rPr>
          <w:sz w:val="20"/>
          <w:u w:val="single"/>
        </w:rPr>
        <w:t>Deducción</w:t>
      </w:r>
      <w:r>
        <w:rPr>
          <w:spacing w:val="-6"/>
          <w:sz w:val="20"/>
          <w:u w:val="single"/>
        </w:rPr>
        <w:t> </w:t>
      </w:r>
      <w:r>
        <w:rPr>
          <w:sz w:val="20"/>
          <w:u w:val="single"/>
        </w:rPr>
        <w:t>por</w:t>
      </w:r>
      <w:r>
        <w:rPr>
          <w:spacing w:val="-4"/>
          <w:sz w:val="20"/>
          <w:u w:val="single"/>
        </w:rPr>
        <w:t> </w:t>
      </w:r>
      <w:r>
        <w:rPr>
          <w:sz w:val="20"/>
          <w:u w:val="single"/>
        </w:rPr>
        <w:t>inversiones</w:t>
      </w:r>
      <w:r>
        <w:rPr>
          <w:spacing w:val="-5"/>
          <w:sz w:val="20"/>
          <w:u w:val="single"/>
        </w:rPr>
        <w:t> </w:t>
      </w:r>
      <w:r>
        <w:rPr>
          <w:sz w:val="20"/>
          <w:u w:val="single"/>
        </w:rPr>
        <w:t>en</w:t>
      </w:r>
      <w:r>
        <w:rPr>
          <w:spacing w:val="-8"/>
          <w:sz w:val="20"/>
          <w:u w:val="single"/>
        </w:rPr>
        <w:t> </w:t>
      </w:r>
      <w:r>
        <w:rPr>
          <w:spacing w:val="-2"/>
          <w:sz w:val="20"/>
          <w:u w:val="single"/>
        </w:rPr>
        <w:t>Canarias.</w:t>
      </w:r>
    </w:p>
    <w:p>
      <w:pPr>
        <w:pStyle w:val="BodyText"/>
        <w:spacing w:before="3"/>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9"/>
        <w:gridCol w:w="2134"/>
        <w:gridCol w:w="1558"/>
        <w:gridCol w:w="1445"/>
      </w:tblGrid>
      <w:tr>
        <w:trPr>
          <w:trHeight w:val="366" w:hRule="atLeast"/>
        </w:trPr>
        <w:tc>
          <w:tcPr>
            <w:tcW w:w="3509" w:type="dxa"/>
          </w:tcPr>
          <w:p>
            <w:pPr>
              <w:pStyle w:val="TableParagraph"/>
              <w:spacing w:before="85"/>
              <w:ind w:left="69"/>
              <w:rPr>
                <w:b/>
                <w:sz w:val="16"/>
              </w:rPr>
            </w:pPr>
            <w:r>
              <w:rPr>
                <w:b/>
                <w:spacing w:val="-2"/>
                <w:sz w:val="16"/>
              </w:rPr>
              <w:t>DESCRIPCIÓN</w:t>
            </w:r>
          </w:p>
        </w:tc>
        <w:tc>
          <w:tcPr>
            <w:tcW w:w="2134" w:type="dxa"/>
          </w:tcPr>
          <w:p>
            <w:pPr>
              <w:pStyle w:val="TableParagraph"/>
              <w:spacing w:before="85"/>
              <w:ind w:left="194"/>
              <w:rPr>
                <w:b/>
                <w:sz w:val="16"/>
              </w:rPr>
            </w:pPr>
            <w:r>
              <w:rPr>
                <w:b/>
                <w:sz w:val="16"/>
              </w:rPr>
              <w:t>DED.</w:t>
            </w:r>
            <w:r>
              <w:rPr>
                <w:b/>
                <w:spacing w:val="-4"/>
                <w:sz w:val="16"/>
              </w:rPr>
              <w:t> </w:t>
            </w:r>
            <w:r>
              <w:rPr>
                <w:b/>
                <w:sz w:val="16"/>
              </w:rPr>
              <w:t>PTE.</w:t>
            </w:r>
            <w:r>
              <w:rPr>
                <w:b/>
                <w:spacing w:val="-2"/>
                <w:sz w:val="16"/>
              </w:rPr>
              <w:t> GENERADA</w:t>
            </w:r>
          </w:p>
        </w:tc>
        <w:tc>
          <w:tcPr>
            <w:tcW w:w="1558" w:type="dxa"/>
          </w:tcPr>
          <w:p>
            <w:pPr>
              <w:pStyle w:val="TableParagraph"/>
              <w:spacing w:before="85"/>
              <w:ind w:left="150"/>
              <w:rPr>
                <w:b/>
                <w:sz w:val="16"/>
              </w:rPr>
            </w:pPr>
            <w:r>
              <w:rPr>
                <w:b/>
                <w:sz w:val="16"/>
              </w:rPr>
              <w:t>DED.</w:t>
            </w:r>
            <w:r>
              <w:rPr>
                <w:b/>
                <w:spacing w:val="-1"/>
                <w:sz w:val="16"/>
              </w:rPr>
              <w:t> </w:t>
            </w:r>
            <w:r>
              <w:rPr>
                <w:b/>
                <w:spacing w:val="-2"/>
                <w:sz w:val="16"/>
              </w:rPr>
              <w:t>APLICADA</w:t>
            </w:r>
          </w:p>
        </w:tc>
        <w:tc>
          <w:tcPr>
            <w:tcW w:w="1445" w:type="dxa"/>
          </w:tcPr>
          <w:p>
            <w:pPr>
              <w:pStyle w:val="TableParagraph"/>
              <w:spacing w:line="178" w:lineRule="exact"/>
              <w:ind w:left="7"/>
              <w:jc w:val="center"/>
              <w:rPr>
                <w:b/>
                <w:sz w:val="16"/>
              </w:rPr>
            </w:pPr>
            <w:r>
              <w:rPr>
                <w:b/>
                <w:spacing w:val="-4"/>
                <w:sz w:val="16"/>
              </w:rPr>
              <w:t>DED.</w:t>
            </w:r>
          </w:p>
          <w:p>
            <w:pPr>
              <w:pStyle w:val="TableParagraph"/>
              <w:spacing w:line="168" w:lineRule="exact" w:before="1"/>
              <w:ind w:left="7" w:right="1"/>
              <w:jc w:val="center"/>
              <w:rPr>
                <w:b/>
                <w:sz w:val="16"/>
              </w:rPr>
            </w:pPr>
            <w:r>
              <w:rPr>
                <w:b/>
                <w:spacing w:val="-2"/>
                <w:sz w:val="16"/>
              </w:rPr>
              <w:t>PENDIENTE</w:t>
            </w:r>
          </w:p>
        </w:tc>
      </w:tr>
      <w:tr>
        <w:trPr>
          <w:trHeight w:val="205" w:hRule="atLeast"/>
        </w:trPr>
        <w:tc>
          <w:tcPr>
            <w:tcW w:w="3509" w:type="dxa"/>
          </w:tcPr>
          <w:p>
            <w:pPr>
              <w:pStyle w:val="TableParagraph"/>
              <w:spacing w:line="178" w:lineRule="exact" w:before="8"/>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2010</w:t>
            </w:r>
          </w:p>
        </w:tc>
        <w:tc>
          <w:tcPr>
            <w:tcW w:w="2134" w:type="dxa"/>
          </w:tcPr>
          <w:p>
            <w:pPr>
              <w:pStyle w:val="TableParagraph"/>
              <w:spacing w:line="168" w:lineRule="exact" w:before="17"/>
              <w:ind w:right="60"/>
              <w:jc w:val="right"/>
              <w:rPr>
                <w:sz w:val="16"/>
              </w:rPr>
            </w:pPr>
            <w:r>
              <w:rPr>
                <w:spacing w:val="-2"/>
                <w:sz w:val="16"/>
              </w:rPr>
              <w:t>100.921,76</w:t>
            </w:r>
          </w:p>
        </w:tc>
        <w:tc>
          <w:tcPr>
            <w:tcW w:w="1558" w:type="dxa"/>
          </w:tcPr>
          <w:p>
            <w:pPr>
              <w:pStyle w:val="TableParagraph"/>
              <w:spacing w:line="183" w:lineRule="exact"/>
              <w:ind w:right="57"/>
              <w:jc w:val="right"/>
              <w:rPr>
                <w:sz w:val="16"/>
              </w:rPr>
            </w:pPr>
            <w:r>
              <w:rPr>
                <w:spacing w:val="-2"/>
                <w:sz w:val="16"/>
              </w:rPr>
              <w:t>9.743,24</w:t>
            </w:r>
          </w:p>
        </w:tc>
        <w:tc>
          <w:tcPr>
            <w:tcW w:w="1445" w:type="dxa"/>
          </w:tcPr>
          <w:p>
            <w:pPr>
              <w:pStyle w:val="TableParagraph"/>
              <w:spacing w:line="168" w:lineRule="exact" w:before="17"/>
              <w:ind w:right="58"/>
              <w:jc w:val="right"/>
              <w:rPr>
                <w:sz w:val="16"/>
              </w:rPr>
            </w:pPr>
            <w:r>
              <w:rPr>
                <w:spacing w:val="-2"/>
                <w:sz w:val="16"/>
              </w:rPr>
              <w:t>91.178,52</w:t>
            </w:r>
          </w:p>
        </w:tc>
      </w:tr>
      <w:tr>
        <w:trPr>
          <w:trHeight w:val="254"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2011</w:t>
            </w:r>
          </w:p>
        </w:tc>
        <w:tc>
          <w:tcPr>
            <w:tcW w:w="2134" w:type="dxa"/>
          </w:tcPr>
          <w:p>
            <w:pPr>
              <w:pStyle w:val="TableParagraph"/>
              <w:spacing w:line="166" w:lineRule="exact" w:before="68"/>
              <w:ind w:right="57"/>
              <w:jc w:val="right"/>
              <w:rPr>
                <w:sz w:val="16"/>
              </w:rPr>
            </w:pPr>
            <w:r>
              <w:rPr>
                <w:spacing w:val="-2"/>
                <w:sz w:val="16"/>
              </w:rPr>
              <w:t>1.259.593,41</w:t>
            </w:r>
          </w:p>
        </w:tc>
        <w:tc>
          <w:tcPr>
            <w:tcW w:w="1558" w:type="dxa"/>
          </w:tcPr>
          <w:p>
            <w:pPr>
              <w:pStyle w:val="TableParagraph"/>
              <w:rPr>
                <w:rFonts w:ascii="Times New Roman"/>
                <w:sz w:val="16"/>
              </w:rPr>
            </w:pPr>
          </w:p>
        </w:tc>
        <w:tc>
          <w:tcPr>
            <w:tcW w:w="1445" w:type="dxa"/>
          </w:tcPr>
          <w:p>
            <w:pPr>
              <w:pStyle w:val="TableParagraph"/>
              <w:spacing w:line="166" w:lineRule="exact" w:before="68"/>
              <w:ind w:right="55"/>
              <w:jc w:val="right"/>
              <w:rPr>
                <w:sz w:val="16"/>
              </w:rPr>
            </w:pPr>
            <w:r>
              <w:rPr>
                <w:spacing w:val="-2"/>
                <w:sz w:val="16"/>
              </w:rPr>
              <w:t>1.259.593,41</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2012</w:t>
            </w:r>
          </w:p>
        </w:tc>
        <w:tc>
          <w:tcPr>
            <w:tcW w:w="2134" w:type="dxa"/>
          </w:tcPr>
          <w:p>
            <w:pPr>
              <w:pStyle w:val="TableParagraph"/>
              <w:spacing w:line="168" w:lineRule="exact" w:before="68"/>
              <w:ind w:right="57"/>
              <w:jc w:val="right"/>
              <w:rPr>
                <w:sz w:val="16"/>
              </w:rPr>
            </w:pPr>
            <w:r>
              <w:rPr>
                <w:spacing w:val="-2"/>
                <w:sz w:val="16"/>
              </w:rPr>
              <w:t>2.099.353,51</w:t>
            </w:r>
          </w:p>
        </w:tc>
        <w:tc>
          <w:tcPr>
            <w:tcW w:w="1558" w:type="dxa"/>
          </w:tcPr>
          <w:p>
            <w:pPr>
              <w:pStyle w:val="TableParagraph"/>
              <w:rPr>
                <w:rFonts w:ascii="Times New Roman"/>
                <w:sz w:val="16"/>
              </w:rPr>
            </w:pPr>
          </w:p>
        </w:tc>
        <w:tc>
          <w:tcPr>
            <w:tcW w:w="1445" w:type="dxa"/>
          </w:tcPr>
          <w:p>
            <w:pPr>
              <w:pStyle w:val="TableParagraph"/>
              <w:spacing w:line="168" w:lineRule="exact" w:before="68"/>
              <w:ind w:right="55"/>
              <w:jc w:val="right"/>
              <w:rPr>
                <w:sz w:val="16"/>
              </w:rPr>
            </w:pPr>
            <w:r>
              <w:rPr>
                <w:spacing w:val="-2"/>
                <w:sz w:val="16"/>
              </w:rPr>
              <w:t>2.099.353,51</w:t>
            </w:r>
          </w:p>
        </w:tc>
      </w:tr>
      <w:tr>
        <w:trPr>
          <w:trHeight w:val="253"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2013</w:t>
            </w:r>
          </w:p>
        </w:tc>
        <w:tc>
          <w:tcPr>
            <w:tcW w:w="2134" w:type="dxa"/>
          </w:tcPr>
          <w:p>
            <w:pPr>
              <w:pStyle w:val="TableParagraph"/>
              <w:spacing w:line="166" w:lineRule="exact" w:before="68"/>
              <w:ind w:right="60"/>
              <w:jc w:val="right"/>
              <w:rPr>
                <w:sz w:val="16"/>
              </w:rPr>
            </w:pPr>
            <w:r>
              <w:rPr>
                <w:spacing w:val="-2"/>
                <w:sz w:val="16"/>
              </w:rPr>
              <w:t>149.157,09</w:t>
            </w:r>
          </w:p>
        </w:tc>
        <w:tc>
          <w:tcPr>
            <w:tcW w:w="1558" w:type="dxa"/>
          </w:tcPr>
          <w:p>
            <w:pPr>
              <w:pStyle w:val="TableParagraph"/>
              <w:rPr>
                <w:rFonts w:ascii="Times New Roman"/>
                <w:sz w:val="16"/>
              </w:rPr>
            </w:pPr>
          </w:p>
        </w:tc>
        <w:tc>
          <w:tcPr>
            <w:tcW w:w="1445" w:type="dxa"/>
          </w:tcPr>
          <w:p>
            <w:pPr>
              <w:pStyle w:val="TableParagraph"/>
              <w:spacing w:line="166" w:lineRule="exact" w:before="68"/>
              <w:ind w:right="59"/>
              <w:jc w:val="right"/>
              <w:rPr>
                <w:sz w:val="16"/>
              </w:rPr>
            </w:pPr>
            <w:r>
              <w:rPr>
                <w:spacing w:val="-2"/>
                <w:sz w:val="16"/>
              </w:rPr>
              <w:t>149.157,09</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2014</w:t>
            </w:r>
          </w:p>
        </w:tc>
        <w:tc>
          <w:tcPr>
            <w:tcW w:w="2134" w:type="dxa"/>
          </w:tcPr>
          <w:p>
            <w:pPr>
              <w:pStyle w:val="TableParagraph"/>
              <w:spacing w:line="168" w:lineRule="exact" w:before="68"/>
              <w:ind w:right="60"/>
              <w:jc w:val="right"/>
              <w:rPr>
                <w:sz w:val="16"/>
              </w:rPr>
            </w:pPr>
            <w:r>
              <w:rPr>
                <w:spacing w:val="-2"/>
                <w:sz w:val="16"/>
              </w:rPr>
              <w:t>767.924,74</w:t>
            </w:r>
          </w:p>
        </w:tc>
        <w:tc>
          <w:tcPr>
            <w:tcW w:w="1558" w:type="dxa"/>
          </w:tcPr>
          <w:p>
            <w:pPr>
              <w:pStyle w:val="TableParagraph"/>
              <w:rPr>
                <w:rFonts w:ascii="Times New Roman"/>
                <w:sz w:val="16"/>
              </w:rPr>
            </w:pPr>
          </w:p>
        </w:tc>
        <w:tc>
          <w:tcPr>
            <w:tcW w:w="1445" w:type="dxa"/>
          </w:tcPr>
          <w:p>
            <w:pPr>
              <w:pStyle w:val="TableParagraph"/>
              <w:spacing w:line="168" w:lineRule="exact" w:before="68"/>
              <w:ind w:right="59"/>
              <w:jc w:val="right"/>
              <w:rPr>
                <w:sz w:val="16"/>
              </w:rPr>
            </w:pPr>
            <w:r>
              <w:rPr>
                <w:spacing w:val="-2"/>
                <w:sz w:val="16"/>
              </w:rPr>
              <w:t>767.924,74</w:t>
            </w:r>
          </w:p>
        </w:tc>
      </w:tr>
      <w:tr>
        <w:trPr>
          <w:trHeight w:val="253"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2015</w:t>
            </w:r>
          </w:p>
        </w:tc>
        <w:tc>
          <w:tcPr>
            <w:tcW w:w="2134" w:type="dxa"/>
          </w:tcPr>
          <w:p>
            <w:pPr>
              <w:pStyle w:val="TableParagraph"/>
              <w:spacing w:line="168" w:lineRule="exact" w:before="65"/>
              <w:ind w:right="60"/>
              <w:jc w:val="right"/>
              <w:rPr>
                <w:sz w:val="16"/>
              </w:rPr>
            </w:pPr>
            <w:r>
              <w:rPr>
                <w:spacing w:val="-2"/>
                <w:sz w:val="16"/>
              </w:rPr>
              <w:t>678.629,34</w:t>
            </w:r>
          </w:p>
        </w:tc>
        <w:tc>
          <w:tcPr>
            <w:tcW w:w="1558" w:type="dxa"/>
          </w:tcPr>
          <w:p>
            <w:pPr>
              <w:pStyle w:val="TableParagraph"/>
              <w:rPr>
                <w:rFonts w:ascii="Times New Roman"/>
                <w:sz w:val="16"/>
              </w:rPr>
            </w:pPr>
          </w:p>
        </w:tc>
        <w:tc>
          <w:tcPr>
            <w:tcW w:w="1445" w:type="dxa"/>
          </w:tcPr>
          <w:p>
            <w:pPr>
              <w:pStyle w:val="TableParagraph"/>
              <w:spacing w:line="168" w:lineRule="exact" w:before="65"/>
              <w:ind w:right="59"/>
              <w:jc w:val="right"/>
              <w:rPr>
                <w:sz w:val="16"/>
              </w:rPr>
            </w:pPr>
            <w:r>
              <w:rPr>
                <w:spacing w:val="-2"/>
                <w:sz w:val="16"/>
              </w:rPr>
              <w:t>678.629,34</w:t>
            </w:r>
          </w:p>
        </w:tc>
      </w:tr>
      <w:tr>
        <w:trPr>
          <w:trHeight w:val="254"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2016</w:t>
            </w:r>
          </w:p>
        </w:tc>
        <w:tc>
          <w:tcPr>
            <w:tcW w:w="2134" w:type="dxa"/>
          </w:tcPr>
          <w:p>
            <w:pPr>
              <w:pStyle w:val="TableParagraph"/>
              <w:spacing w:line="166" w:lineRule="exact" w:before="68"/>
              <w:ind w:right="60"/>
              <w:jc w:val="right"/>
              <w:rPr>
                <w:sz w:val="16"/>
              </w:rPr>
            </w:pPr>
            <w:r>
              <w:rPr>
                <w:spacing w:val="-2"/>
                <w:sz w:val="16"/>
              </w:rPr>
              <w:t>714.956,13</w:t>
            </w:r>
          </w:p>
        </w:tc>
        <w:tc>
          <w:tcPr>
            <w:tcW w:w="1558" w:type="dxa"/>
          </w:tcPr>
          <w:p>
            <w:pPr>
              <w:pStyle w:val="TableParagraph"/>
              <w:rPr>
                <w:rFonts w:ascii="Times New Roman"/>
                <w:sz w:val="16"/>
              </w:rPr>
            </w:pPr>
          </w:p>
        </w:tc>
        <w:tc>
          <w:tcPr>
            <w:tcW w:w="1445" w:type="dxa"/>
          </w:tcPr>
          <w:p>
            <w:pPr>
              <w:pStyle w:val="TableParagraph"/>
              <w:spacing w:line="166" w:lineRule="exact" w:before="68"/>
              <w:ind w:right="59"/>
              <w:jc w:val="right"/>
              <w:rPr>
                <w:sz w:val="16"/>
              </w:rPr>
            </w:pPr>
            <w:r>
              <w:rPr>
                <w:spacing w:val="-2"/>
                <w:sz w:val="16"/>
              </w:rPr>
              <w:t>714.956,13</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2017</w:t>
            </w:r>
          </w:p>
        </w:tc>
        <w:tc>
          <w:tcPr>
            <w:tcW w:w="2134" w:type="dxa"/>
          </w:tcPr>
          <w:p>
            <w:pPr>
              <w:pStyle w:val="TableParagraph"/>
              <w:spacing w:line="168" w:lineRule="exact" w:before="68"/>
              <w:ind w:right="60"/>
              <w:jc w:val="right"/>
              <w:rPr>
                <w:sz w:val="16"/>
              </w:rPr>
            </w:pPr>
            <w:r>
              <w:rPr>
                <w:spacing w:val="-2"/>
                <w:sz w:val="16"/>
              </w:rPr>
              <w:t>93.964,65</w:t>
            </w:r>
          </w:p>
        </w:tc>
        <w:tc>
          <w:tcPr>
            <w:tcW w:w="1558" w:type="dxa"/>
          </w:tcPr>
          <w:p>
            <w:pPr>
              <w:pStyle w:val="TableParagraph"/>
              <w:rPr>
                <w:rFonts w:ascii="Times New Roman"/>
                <w:sz w:val="16"/>
              </w:rPr>
            </w:pPr>
          </w:p>
        </w:tc>
        <w:tc>
          <w:tcPr>
            <w:tcW w:w="1445" w:type="dxa"/>
          </w:tcPr>
          <w:p>
            <w:pPr>
              <w:pStyle w:val="TableParagraph"/>
              <w:spacing w:line="168" w:lineRule="exact" w:before="68"/>
              <w:ind w:right="58"/>
              <w:jc w:val="right"/>
              <w:rPr>
                <w:sz w:val="16"/>
              </w:rPr>
            </w:pPr>
            <w:r>
              <w:rPr>
                <w:spacing w:val="-2"/>
                <w:sz w:val="16"/>
              </w:rPr>
              <w:t>93.964,65</w:t>
            </w:r>
          </w:p>
        </w:tc>
      </w:tr>
      <w:tr>
        <w:trPr>
          <w:trHeight w:val="254"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2018</w:t>
            </w:r>
          </w:p>
        </w:tc>
        <w:tc>
          <w:tcPr>
            <w:tcW w:w="2134" w:type="dxa"/>
          </w:tcPr>
          <w:p>
            <w:pPr>
              <w:pStyle w:val="TableParagraph"/>
              <w:spacing w:line="166" w:lineRule="exact" w:before="68"/>
              <w:ind w:right="57"/>
              <w:jc w:val="right"/>
              <w:rPr>
                <w:sz w:val="16"/>
              </w:rPr>
            </w:pPr>
            <w:r>
              <w:rPr>
                <w:spacing w:val="-2"/>
                <w:sz w:val="16"/>
              </w:rPr>
              <w:t>2.546.600,66</w:t>
            </w:r>
          </w:p>
        </w:tc>
        <w:tc>
          <w:tcPr>
            <w:tcW w:w="1558" w:type="dxa"/>
          </w:tcPr>
          <w:p>
            <w:pPr>
              <w:pStyle w:val="TableParagraph"/>
              <w:rPr>
                <w:rFonts w:ascii="Times New Roman"/>
                <w:sz w:val="16"/>
              </w:rPr>
            </w:pPr>
          </w:p>
        </w:tc>
        <w:tc>
          <w:tcPr>
            <w:tcW w:w="1445" w:type="dxa"/>
          </w:tcPr>
          <w:p>
            <w:pPr>
              <w:pStyle w:val="TableParagraph"/>
              <w:spacing w:line="166" w:lineRule="exact" w:before="68"/>
              <w:ind w:right="55"/>
              <w:jc w:val="right"/>
              <w:rPr>
                <w:sz w:val="16"/>
              </w:rPr>
            </w:pPr>
            <w:r>
              <w:rPr>
                <w:spacing w:val="-2"/>
                <w:sz w:val="16"/>
              </w:rPr>
              <w:t>2.546.600,66</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2019</w:t>
            </w:r>
          </w:p>
        </w:tc>
        <w:tc>
          <w:tcPr>
            <w:tcW w:w="2134" w:type="dxa"/>
          </w:tcPr>
          <w:p>
            <w:pPr>
              <w:pStyle w:val="TableParagraph"/>
              <w:spacing w:line="168" w:lineRule="exact" w:before="68"/>
              <w:ind w:right="57"/>
              <w:jc w:val="right"/>
              <w:rPr>
                <w:sz w:val="16"/>
              </w:rPr>
            </w:pPr>
            <w:r>
              <w:rPr>
                <w:spacing w:val="-2"/>
                <w:sz w:val="16"/>
              </w:rPr>
              <w:t>2.370.083,17</w:t>
            </w:r>
          </w:p>
        </w:tc>
        <w:tc>
          <w:tcPr>
            <w:tcW w:w="1558" w:type="dxa"/>
          </w:tcPr>
          <w:p>
            <w:pPr>
              <w:pStyle w:val="TableParagraph"/>
              <w:rPr>
                <w:rFonts w:ascii="Times New Roman"/>
                <w:sz w:val="16"/>
              </w:rPr>
            </w:pPr>
          </w:p>
        </w:tc>
        <w:tc>
          <w:tcPr>
            <w:tcW w:w="1445" w:type="dxa"/>
          </w:tcPr>
          <w:p>
            <w:pPr>
              <w:pStyle w:val="TableParagraph"/>
              <w:spacing w:line="168" w:lineRule="exact" w:before="68"/>
              <w:ind w:right="55"/>
              <w:jc w:val="right"/>
              <w:rPr>
                <w:sz w:val="16"/>
              </w:rPr>
            </w:pPr>
            <w:r>
              <w:rPr>
                <w:spacing w:val="-2"/>
                <w:sz w:val="16"/>
              </w:rPr>
              <w:t>2.370.083,17</w:t>
            </w:r>
          </w:p>
        </w:tc>
      </w:tr>
      <w:tr>
        <w:trPr>
          <w:trHeight w:val="253"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2020</w:t>
            </w:r>
          </w:p>
        </w:tc>
        <w:tc>
          <w:tcPr>
            <w:tcW w:w="2134" w:type="dxa"/>
          </w:tcPr>
          <w:p>
            <w:pPr>
              <w:pStyle w:val="TableParagraph"/>
              <w:spacing w:line="168" w:lineRule="exact" w:before="65"/>
              <w:ind w:right="57"/>
              <w:jc w:val="right"/>
              <w:rPr>
                <w:sz w:val="16"/>
              </w:rPr>
            </w:pPr>
            <w:r>
              <w:rPr>
                <w:spacing w:val="-2"/>
                <w:sz w:val="16"/>
              </w:rPr>
              <w:t>3.830.538,69</w:t>
            </w:r>
          </w:p>
        </w:tc>
        <w:tc>
          <w:tcPr>
            <w:tcW w:w="1558" w:type="dxa"/>
          </w:tcPr>
          <w:p>
            <w:pPr>
              <w:pStyle w:val="TableParagraph"/>
              <w:rPr>
                <w:rFonts w:ascii="Times New Roman"/>
                <w:sz w:val="16"/>
              </w:rPr>
            </w:pPr>
          </w:p>
        </w:tc>
        <w:tc>
          <w:tcPr>
            <w:tcW w:w="1445" w:type="dxa"/>
          </w:tcPr>
          <w:p>
            <w:pPr>
              <w:pStyle w:val="TableParagraph"/>
              <w:spacing w:line="168" w:lineRule="exact" w:before="65"/>
              <w:ind w:right="55"/>
              <w:jc w:val="right"/>
              <w:rPr>
                <w:sz w:val="16"/>
              </w:rPr>
            </w:pPr>
            <w:r>
              <w:rPr>
                <w:spacing w:val="-2"/>
                <w:sz w:val="16"/>
              </w:rPr>
              <w:t>3.830.538,69</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2021</w:t>
            </w:r>
          </w:p>
        </w:tc>
        <w:tc>
          <w:tcPr>
            <w:tcW w:w="2134" w:type="dxa"/>
          </w:tcPr>
          <w:p>
            <w:pPr>
              <w:pStyle w:val="TableParagraph"/>
              <w:spacing w:line="168" w:lineRule="exact" w:before="68"/>
              <w:ind w:right="57"/>
              <w:jc w:val="right"/>
              <w:rPr>
                <w:sz w:val="16"/>
              </w:rPr>
            </w:pPr>
            <w:r>
              <w:rPr>
                <w:spacing w:val="-2"/>
                <w:sz w:val="16"/>
              </w:rPr>
              <w:t>1.454.083,99</w:t>
            </w:r>
          </w:p>
        </w:tc>
        <w:tc>
          <w:tcPr>
            <w:tcW w:w="1558" w:type="dxa"/>
          </w:tcPr>
          <w:p>
            <w:pPr>
              <w:pStyle w:val="TableParagraph"/>
              <w:rPr>
                <w:rFonts w:ascii="Times New Roman"/>
                <w:sz w:val="16"/>
              </w:rPr>
            </w:pPr>
          </w:p>
        </w:tc>
        <w:tc>
          <w:tcPr>
            <w:tcW w:w="1445" w:type="dxa"/>
          </w:tcPr>
          <w:p>
            <w:pPr>
              <w:pStyle w:val="TableParagraph"/>
              <w:spacing w:line="168" w:lineRule="exact" w:before="68"/>
              <w:ind w:right="55"/>
              <w:jc w:val="right"/>
              <w:rPr>
                <w:sz w:val="16"/>
              </w:rPr>
            </w:pPr>
            <w:r>
              <w:rPr>
                <w:spacing w:val="-2"/>
                <w:sz w:val="16"/>
              </w:rPr>
              <w:t>1.454.083,99</w:t>
            </w:r>
          </w:p>
        </w:tc>
      </w:tr>
      <w:tr>
        <w:trPr>
          <w:trHeight w:val="253" w:hRule="atLeast"/>
        </w:trPr>
        <w:tc>
          <w:tcPr>
            <w:tcW w:w="3509" w:type="dxa"/>
          </w:tcPr>
          <w:p>
            <w:pPr>
              <w:pStyle w:val="TableParagraph"/>
              <w:spacing w:before="29"/>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2022</w:t>
            </w:r>
          </w:p>
        </w:tc>
        <w:tc>
          <w:tcPr>
            <w:tcW w:w="2134" w:type="dxa"/>
          </w:tcPr>
          <w:p>
            <w:pPr>
              <w:pStyle w:val="TableParagraph"/>
              <w:spacing w:line="168" w:lineRule="exact" w:before="65"/>
              <w:ind w:right="60"/>
              <w:jc w:val="right"/>
              <w:rPr>
                <w:sz w:val="16"/>
              </w:rPr>
            </w:pPr>
            <w:r>
              <w:rPr>
                <w:spacing w:val="-2"/>
                <w:sz w:val="16"/>
              </w:rPr>
              <w:t>707.711,51</w:t>
            </w:r>
          </w:p>
        </w:tc>
        <w:tc>
          <w:tcPr>
            <w:tcW w:w="1558" w:type="dxa"/>
          </w:tcPr>
          <w:p>
            <w:pPr>
              <w:pStyle w:val="TableParagraph"/>
              <w:rPr>
                <w:rFonts w:ascii="Times New Roman"/>
                <w:sz w:val="16"/>
              </w:rPr>
            </w:pPr>
          </w:p>
        </w:tc>
        <w:tc>
          <w:tcPr>
            <w:tcW w:w="1445" w:type="dxa"/>
          </w:tcPr>
          <w:p>
            <w:pPr>
              <w:pStyle w:val="TableParagraph"/>
              <w:spacing w:line="168" w:lineRule="exact" w:before="65"/>
              <w:ind w:right="59"/>
              <w:jc w:val="right"/>
              <w:rPr>
                <w:sz w:val="16"/>
              </w:rPr>
            </w:pPr>
            <w:r>
              <w:rPr>
                <w:spacing w:val="-2"/>
                <w:sz w:val="16"/>
              </w:rPr>
              <w:t>707.711,51</w:t>
            </w:r>
          </w:p>
        </w:tc>
      </w:tr>
      <w:tr>
        <w:trPr>
          <w:trHeight w:val="253"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2023</w:t>
            </w:r>
          </w:p>
        </w:tc>
        <w:tc>
          <w:tcPr>
            <w:tcW w:w="2134" w:type="dxa"/>
          </w:tcPr>
          <w:p>
            <w:pPr>
              <w:pStyle w:val="TableParagraph"/>
              <w:spacing w:line="166" w:lineRule="exact" w:before="68"/>
              <w:ind w:right="57"/>
              <w:jc w:val="right"/>
              <w:rPr>
                <w:sz w:val="16"/>
              </w:rPr>
            </w:pPr>
            <w:r>
              <w:rPr>
                <w:spacing w:val="-2"/>
                <w:sz w:val="16"/>
              </w:rPr>
              <w:t>2.097.292,07</w:t>
            </w:r>
          </w:p>
        </w:tc>
        <w:tc>
          <w:tcPr>
            <w:tcW w:w="1558" w:type="dxa"/>
          </w:tcPr>
          <w:p>
            <w:pPr>
              <w:pStyle w:val="TableParagraph"/>
              <w:rPr>
                <w:rFonts w:ascii="Times New Roman"/>
                <w:sz w:val="16"/>
              </w:rPr>
            </w:pPr>
          </w:p>
        </w:tc>
        <w:tc>
          <w:tcPr>
            <w:tcW w:w="1445" w:type="dxa"/>
          </w:tcPr>
          <w:p>
            <w:pPr>
              <w:pStyle w:val="TableParagraph"/>
              <w:spacing w:line="166" w:lineRule="exact" w:before="68"/>
              <w:ind w:right="55"/>
              <w:jc w:val="right"/>
              <w:rPr>
                <w:sz w:val="16"/>
              </w:rPr>
            </w:pPr>
            <w:r>
              <w:rPr>
                <w:spacing w:val="-2"/>
                <w:sz w:val="16"/>
              </w:rPr>
              <w:t>2.097.292,07</w:t>
            </w:r>
          </w:p>
        </w:tc>
      </w:tr>
      <w:tr>
        <w:trPr>
          <w:trHeight w:val="256"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2024</w:t>
            </w:r>
          </w:p>
        </w:tc>
        <w:tc>
          <w:tcPr>
            <w:tcW w:w="2134" w:type="dxa"/>
          </w:tcPr>
          <w:p>
            <w:pPr>
              <w:pStyle w:val="TableParagraph"/>
              <w:spacing w:line="168" w:lineRule="exact" w:before="68"/>
              <w:ind w:right="57"/>
              <w:jc w:val="right"/>
              <w:rPr>
                <w:sz w:val="16"/>
              </w:rPr>
            </w:pPr>
            <w:r>
              <w:rPr>
                <w:spacing w:val="-2"/>
                <w:sz w:val="16"/>
              </w:rPr>
              <w:t>2.950.933,65</w:t>
            </w:r>
          </w:p>
        </w:tc>
        <w:tc>
          <w:tcPr>
            <w:tcW w:w="1558" w:type="dxa"/>
          </w:tcPr>
          <w:p>
            <w:pPr>
              <w:pStyle w:val="TableParagraph"/>
              <w:rPr>
                <w:rFonts w:ascii="Times New Roman"/>
                <w:sz w:val="16"/>
              </w:rPr>
            </w:pPr>
          </w:p>
        </w:tc>
        <w:tc>
          <w:tcPr>
            <w:tcW w:w="1445" w:type="dxa"/>
          </w:tcPr>
          <w:p>
            <w:pPr>
              <w:pStyle w:val="TableParagraph"/>
              <w:spacing w:line="168" w:lineRule="exact" w:before="68"/>
              <w:ind w:right="55"/>
              <w:jc w:val="right"/>
              <w:rPr>
                <w:sz w:val="16"/>
              </w:rPr>
            </w:pPr>
            <w:r>
              <w:rPr>
                <w:spacing w:val="-2"/>
                <w:sz w:val="16"/>
              </w:rPr>
              <w:t>2.950.933,65</w:t>
            </w:r>
          </w:p>
        </w:tc>
      </w:tr>
      <w:tr>
        <w:trPr>
          <w:trHeight w:val="253" w:hRule="atLeast"/>
        </w:trPr>
        <w:tc>
          <w:tcPr>
            <w:tcW w:w="3509" w:type="dxa"/>
          </w:tcPr>
          <w:p>
            <w:pPr>
              <w:pStyle w:val="TableParagraph"/>
              <w:spacing w:before="32"/>
              <w:ind w:left="69"/>
              <w:rPr>
                <w:sz w:val="16"/>
              </w:rPr>
            </w:pPr>
            <w:r>
              <w:rPr>
                <w:sz w:val="16"/>
              </w:rPr>
              <w:t>Inversiones</w:t>
            </w:r>
            <w:r>
              <w:rPr>
                <w:spacing w:val="-5"/>
                <w:sz w:val="16"/>
              </w:rPr>
              <w:t> </w:t>
            </w:r>
            <w:r>
              <w:rPr>
                <w:sz w:val="16"/>
              </w:rPr>
              <w:t>en</w:t>
            </w:r>
            <w:r>
              <w:rPr>
                <w:spacing w:val="-4"/>
                <w:sz w:val="16"/>
              </w:rPr>
              <w:t> </w:t>
            </w:r>
            <w:r>
              <w:rPr>
                <w:sz w:val="16"/>
              </w:rPr>
              <w:t>Canarias</w:t>
            </w:r>
            <w:r>
              <w:rPr>
                <w:spacing w:val="-5"/>
                <w:sz w:val="16"/>
              </w:rPr>
              <w:t> </w:t>
            </w:r>
            <w:r>
              <w:rPr>
                <w:sz w:val="16"/>
              </w:rPr>
              <w:t>(AFN)</w:t>
            </w:r>
            <w:r>
              <w:rPr>
                <w:spacing w:val="-4"/>
                <w:sz w:val="16"/>
              </w:rPr>
              <w:t> </w:t>
            </w:r>
            <w:r>
              <w:rPr>
                <w:sz w:val="16"/>
              </w:rPr>
              <w:t>año</w:t>
            </w:r>
            <w:r>
              <w:rPr>
                <w:spacing w:val="-5"/>
                <w:sz w:val="16"/>
              </w:rPr>
              <w:t> </w:t>
            </w:r>
            <w:r>
              <w:rPr>
                <w:spacing w:val="-4"/>
                <w:sz w:val="16"/>
              </w:rPr>
              <w:t>2025</w:t>
            </w:r>
          </w:p>
        </w:tc>
        <w:tc>
          <w:tcPr>
            <w:tcW w:w="2134" w:type="dxa"/>
          </w:tcPr>
          <w:p>
            <w:pPr>
              <w:pStyle w:val="TableParagraph"/>
              <w:spacing w:line="166" w:lineRule="exact" w:before="68"/>
              <w:ind w:right="57"/>
              <w:jc w:val="right"/>
              <w:rPr>
                <w:sz w:val="16"/>
              </w:rPr>
            </w:pPr>
            <w:r>
              <w:rPr>
                <w:spacing w:val="-2"/>
                <w:sz w:val="16"/>
              </w:rPr>
              <w:t>2.818.357,00</w:t>
            </w:r>
          </w:p>
        </w:tc>
        <w:tc>
          <w:tcPr>
            <w:tcW w:w="1558" w:type="dxa"/>
          </w:tcPr>
          <w:p>
            <w:pPr>
              <w:pStyle w:val="TableParagraph"/>
              <w:rPr>
                <w:rFonts w:ascii="Times New Roman"/>
                <w:sz w:val="16"/>
              </w:rPr>
            </w:pPr>
          </w:p>
        </w:tc>
        <w:tc>
          <w:tcPr>
            <w:tcW w:w="1445" w:type="dxa"/>
          </w:tcPr>
          <w:p>
            <w:pPr>
              <w:pStyle w:val="TableParagraph"/>
              <w:spacing w:line="166" w:lineRule="exact" w:before="68"/>
              <w:ind w:right="55"/>
              <w:jc w:val="right"/>
              <w:rPr>
                <w:sz w:val="16"/>
              </w:rPr>
            </w:pPr>
            <w:r>
              <w:rPr>
                <w:spacing w:val="-2"/>
                <w:sz w:val="16"/>
              </w:rPr>
              <w:t>2.818.357,00</w:t>
            </w:r>
          </w:p>
        </w:tc>
      </w:tr>
      <w:tr>
        <w:trPr>
          <w:trHeight w:val="256" w:hRule="atLeast"/>
        </w:trPr>
        <w:tc>
          <w:tcPr>
            <w:tcW w:w="3509" w:type="dxa"/>
          </w:tcPr>
          <w:p>
            <w:pPr>
              <w:pStyle w:val="TableParagraph"/>
              <w:spacing w:before="29"/>
              <w:ind w:left="69"/>
              <w:rPr>
                <w:b/>
                <w:sz w:val="16"/>
              </w:rPr>
            </w:pPr>
            <w:r>
              <w:rPr>
                <w:b/>
                <w:spacing w:val="-2"/>
                <w:sz w:val="16"/>
              </w:rPr>
              <w:t>TOTAL</w:t>
            </w:r>
          </w:p>
        </w:tc>
        <w:tc>
          <w:tcPr>
            <w:tcW w:w="2134" w:type="dxa"/>
          </w:tcPr>
          <w:p>
            <w:pPr>
              <w:pStyle w:val="TableParagraph"/>
              <w:spacing w:line="178" w:lineRule="exact"/>
              <w:ind w:right="57"/>
              <w:jc w:val="right"/>
              <w:rPr>
                <w:b/>
                <w:sz w:val="16"/>
              </w:rPr>
            </w:pPr>
            <w:r>
              <w:rPr>
                <w:b/>
                <w:spacing w:val="-2"/>
                <w:sz w:val="16"/>
              </w:rPr>
              <w:t>24.640.101,37</w:t>
            </w:r>
          </w:p>
        </w:tc>
        <w:tc>
          <w:tcPr>
            <w:tcW w:w="1558" w:type="dxa"/>
          </w:tcPr>
          <w:p>
            <w:pPr>
              <w:pStyle w:val="TableParagraph"/>
              <w:spacing w:line="178" w:lineRule="exact"/>
              <w:ind w:right="57"/>
              <w:jc w:val="right"/>
              <w:rPr>
                <w:b/>
                <w:sz w:val="16"/>
              </w:rPr>
            </w:pPr>
            <w:r>
              <w:rPr>
                <w:b/>
                <w:spacing w:val="-2"/>
                <w:sz w:val="16"/>
              </w:rPr>
              <w:t>9.743,24</w:t>
            </w:r>
          </w:p>
        </w:tc>
        <w:tc>
          <w:tcPr>
            <w:tcW w:w="1445" w:type="dxa"/>
          </w:tcPr>
          <w:p>
            <w:pPr>
              <w:pStyle w:val="TableParagraph"/>
              <w:spacing w:line="178" w:lineRule="exact"/>
              <w:ind w:right="56"/>
              <w:jc w:val="right"/>
              <w:rPr>
                <w:b/>
                <w:sz w:val="16"/>
              </w:rPr>
            </w:pPr>
            <w:r>
              <w:rPr>
                <w:b/>
                <w:spacing w:val="-2"/>
                <w:sz w:val="16"/>
              </w:rPr>
              <w:t>24.630.358,13</w:t>
            </w:r>
          </w:p>
        </w:tc>
      </w:tr>
      <w:tr>
        <w:trPr>
          <w:trHeight w:val="254" w:hRule="atLeast"/>
        </w:trPr>
        <w:tc>
          <w:tcPr>
            <w:tcW w:w="3509" w:type="dxa"/>
          </w:tcPr>
          <w:p>
            <w:pPr>
              <w:pStyle w:val="TableParagraph"/>
              <w:spacing w:before="32"/>
              <w:ind w:left="69"/>
              <w:rPr>
                <w:sz w:val="16"/>
              </w:rPr>
            </w:pPr>
            <w:r>
              <w:rPr>
                <w:sz w:val="16"/>
              </w:rPr>
              <w:t>Don.Ent.</w:t>
            </w:r>
            <w:r>
              <w:rPr>
                <w:spacing w:val="-5"/>
                <w:sz w:val="16"/>
              </w:rPr>
              <w:t> </w:t>
            </w:r>
            <w:r>
              <w:rPr>
                <w:sz w:val="16"/>
              </w:rPr>
              <w:t>sin</w:t>
            </w:r>
            <w:r>
              <w:rPr>
                <w:spacing w:val="-6"/>
                <w:sz w:val="16"/>
              </w:rPr>
              <w:t> </w:t>
            </w:r>
            <w:r>
              <w:rPr>
                <w:sz w:val="16"/>
              </w:rPr>
              <w:t>fines</w:t>
            </w:r>
            <w:r>
              <w:rPr>
                <w:spacing w:val="-2"/>
                <w:sz w:val="16"/>
              </w:rPr>
              <w:t> </w:t>
            </w:r>
            <w:r>
              <w:rPr>
                <w:sz w:val="16"/>
              </w:rPr>
              <w:t>lucrativos</w:t>
            </w:r>
            <w:r>
              <w:rPr>
                <w:spacing w:val="-3"/>
                <w:sz w:val="16"/>
              </w:rPr>
              <w:t> </w:t>
            </w:r>
            <w:r>
              <w:rPr>
                <w:sz w:val="16"/>
              </w:rPr>
              <w:t>2024</w:t>
            </w:r>
            <w:r>
              <w:rPr>
                <w:spacing w:val="-6"/>
                <w:sz w:val="16"/>
              </w:rPr>
              <w:t> </w:t>
            </w:r>
            <w:r>
              <w:rPr>
                <w:sz w:val="16"/>
              </w:rPr>
              <w:t>y</w:t>
            </w:r>
            <w:r>
              <w:rPr>
                <w:spacing w:val="-2"/>
                <w:sz w:val="16"/>
              </w:rPr>
              <w:t> anteriores</w:t>
            </w:r>
          </w:p>
        </w:tc>
        <w:tc>
          <w:tcPr>
            <w:tcW w:w="2134" w:type="dxa"/>
          </w:tcPr>
          <w:p>
            <w:pPr>
              <w:pStyle w:val="TableParagraph"/>
              <w:spacing w:line="180" w:lineRule="exact"/>
              <w:ind w:right="59"/>
              <w:jc w:val="right"/>
              <w:rPr>
                <w:sz w:val="16"/>
              </w:rPr>
            </w:pPr>
            <w:r>
              <w:rPr>
                <w:spacing w:val="-2"/>
                <w:sz w:val="16"/>
              </w:rPr>
              <w:t>6.746,07</w:t>
            </w:r>
          </w:p>
        </w:tc>
        <w:tc>
          <w:tcPr>
            <w:tcW w:w="1558" w:type="dxa"/>
          </w:tcPr>
          <w:p>
            <w:pPr>
              <w:pStyle w:val="TableParagraph"/>
              <w:rPr>
                <w:rFonts w:ascii="Times New Roman"/>
                <w:sz w:val="16"/>
              </w:rPr>
            </w:pPr>
          </w:p>
        </w:tc>
        <w:tc>
          <w:tcPr>
            <w:tcW w:w="1445" w:type="dxa"/>
          </w:tcPr>
          <w:p>
            <w:pPr>
              <w:pStyle w:val="TableParagraph"/>
              <w:spacing w:line="180" w:lineRule="exact"/>
              <w:ind w:right="58"/>
              <w:jc w:val="right"/>
              <w:rPr>
                <w:sz w:val="16"/>
              </w:rPr>
            </w:pPr>
            <w:r>
              <w:rPr>
                <w:spacing w:val="-2"/>
                <w:sz w:val="16"/>
              </w:rPr>
              <w:t>6.746,07</w:t>
            </w:r>
          </w:p>
        </w:tc>
      </w:tr>
      <w:tr>
        <w:trPr>
          <w:trHeight w:val="253" w:hRule="atLeast"/>
        </w:trPr>
        <w:tc>
          <w:tcPr>
            <w:tcW w:w="3509" w:type="dxa"/>
          </w:tcPr>
          <w:p>
            <w:pPr>
              <w:pStyle w:val="TableParagraph"/>
              <w:spacing w:before="32"/>
              <w:ind w:left="69"/>
              <w:rPr>
                <w:sz w:val="16"/>
              </w:rPr>
            </w:pPr>
            <w:r>
              <w:rPr>
                <w:sz w:val="16"/>
              </w:rPr>
              <w:t>Don.Ent.</w:t>
            </w:r>
            <w:r>
              <w:rPr>
                <w:spacing w:val="-6"/>
                <w:sz w:val="16"/>
              </w:rPr>
              <w:t> </w:t>
            </w:r>
            <w:r>
              <w:rPr>
                <w:sz w:val="16"/>
              </w:rPr>
              <w:t>sin</w:t>
            </w:r>
            <w:r>
              <w:rPr>
                <w:spacing w:val="-6"/>
                <w:sz w:val="16"/>
              </w:rPr>
              <w:t> </w:t>
            </w:r>
            <w:r>
              <w:rPr>
                <w:sz w:val="16"/>
              </w:rPr>
              <w:t>fines</w:t>
            </w:r>
            <w:r>
              <w:rPr>
                <w:spacing w:val="-3"/>
                <w:sz w:val="16"/>
              </w:rPr>
              <w:t> </w:t>
            </w:r>
            <w:r>
              <w:rPr>
                <w:sz w:val="16"/>
              </w:rPr>
              <w:t>lucrativos</w:t>
            </w:r>
            <w:r>
              <w:rPr>
                <w:spacing w:val="-3"/>
                <w:sz w:val="16"/>
              </w:rPr>
              <w:t> </w:t>
            </w:r>
            <w:r>
              <w:rPr>
                <w:spacing w:val="-4"/>
                <w:sz w:val="16"/>
              </w:rPr>
              <w:t>2025</w:t>
            </w:r>
          </w:p>
        </w:tc>
        <w:tc>
          <w:tcPr>
            <w:tcW w:w="2134" w:type="dxa"/>
          </w:tcPr>
          <w:p>
            <w:pPr>
              <w:pStyle w:val="TableParagraph"/>
              <w:spacing w:line="180" w:lineRule="exact"/>
              <w:ind w:right="60"/>
              <w:jc w:val="right"/>
              <w:rPr>
                <w:sz w:val="16"/>
              </w:rPr>
            </w:pPr>
            <w:r>
              <w:rPr>
                <w:spacing w:val="-2"/>
                <w:sz w:val="16"/>
              </w:rPr>
              <w:t>920,00</w:t>
            </w:r>
          </w:p>
        </w:tc>
        <w:tc>
          <w:tcPr>
            <w:tcW w:w="1558" w:type="dxa"/>
          </w:tcPr>
          <w:p>
            <w:pPr>
              <w:pStyle w:val="TableParagraph"/>
              <w:rPr>
                <w:rFonts w:ascii="Times New Roman"/>
                <w:sz w:val="16"/>
              </w:rPr>
            </w:pPr>
          </w:p>
        </w:tc>
        <w:tc>
          <w:tcPr>
            <w:tcW w:w="1445" w:type="dxa"/>
          </w:tcPr>
          <w:p>
            <w:pPr>
              <w:pStyle w:val="TableParagraph"/>
              <w:spacing w:line="180" w:lineRule="exact"/>
              <w:ind w:right="58"/>
              <w:jc w:val="right"/>
              <w:rPr>
                <w:sz w:val="16"/>
              </w:rPr>
            </w:pPr>
            <w:r>
              <w:rPr>
                <w:spacing w:val="-2"/>
                <w:sz w:val="16"/>
              </w:rPr>
              <w:t>920,00</w:t>
            </w:r>
          </w:p>
        </w:tc>
      </w:tr>
      <w:tr>
        <w:trPr>
          <w:trHeight w:val="256" w:hRule="atLeast"/>
        </w:trPr>
        <w:tc>
          <w:tcPr>
            <w:tcW w:w="3509" w:type="dxa"/>
          </w:tcPr>
          <w:p>
            <w:pPr>
              <w:pStyle w:val="TableParagraph"/>
              <w:spacing w:before="29"/>
              <w:ind w:left="69"/>
              <w:rPr>
                <w:b/>
                <w:sz w:val="16"/>
              </w:rPr>
            </w:pPr>
            <w:r>
              <w:rPr>
                <w:b/>
                <w:spacing w:val="-2"/>
                <w:sz w:val="16"/>
              </w:rPr>
              <w:t>TOTAL</w:t>
            </w:r>
          </w:p>
        </w:tc>
        <w:tc>
          <w:tcPr>
            <w:tcW w:w="2134" w:type="dxa"/>
          </w:tcPr>
          <w:p>
            <w:pPr>
              <w:pStyle w:val="TableParagraph"/>
              <w:spacing w:line="180" w:lineRule="exact"/>
              <w:ind w:right="59"/>
              <w:jc w:val="right"/>
              <w:rPr>
                <w:b/>
                <w:sz w:val="16"/>
              </w:rPr>
            </w:pPr>
            <w:r>
              <w:rPr>
                <w:b/>
                <w:spacing w:val="-2"/>
                <w:sz w:val="16"/>
              </w:rPr>
              <w:t>7.666,07</w:t>
            </w:r>
          </w:p>
        </w:tc>
        <w:tc>
          <w:tcPr>
            <w:tcW w:w="1558" w:type="dxa"/>
          </w:tcPr>
          <w:p>
            <w:pPr>
              <w:pStyle w:val="TableParagraph"/>
              <w:rPr>
                <w:rFonts w:ascii="Times New Roman"/>
                <w:sz w:val="16"/>
              </w:rPr>
            </w:pPr>
          </w:p>
        </w:tc>
        <w:tc>
          <w:tcPr>
            <w:tcW w:w="1445" w:type="dxa"/>
          </w:tcPr>
          <w:p>
            <w:pPr>
              <w:pStyle w:val="TableParagraph"/>
              <w:spacing w:line="180" w:lineRule="exact"/>
              <w:ind w:right="58"/>
              <w:jc w:val="right"/>
              <w:rPr>
                <w:b/>
                <w:sz w:val="16"/>
              </w:rPr>
            </w:pPr>
            <w:r>
              <w:rPr>
                <w:b/>
                <w:spacing w:val="-2"/>
                <w:sz w:val="16"/>
              </w:rPr>
              <w:t>7.666,07</w:t>
            </w:r>
          </w:p>
        </w:tc>
      </w:tr>
    </w:tbl>
    <w:p>
      <w:pPr>
        <w:pStyle w:val="BodyText"/>
        <w:spacing w:before="9"/>
      </w:pPr>
    </w:p>
    <w:p>
      <w:pPr>
        <w:pStyle w:val="BodyText"/>
        <w:ind w:left="1768" w:right="1334"/>
        <w:jc w:val="both"/>
      </w:pPr>
      <w:r>
        <w:rPr/>
        <mc:AlternateContent>
          <mc:Choice Requires="wps">
            <w:drawing>
              <wp:anchor distT="0" distB="0" distL="0" distR="0" allowOverlap="1" layoutInCell="1" locked="0" behindDoc="0" simplePos="0" relativeHeight="15765504">
                <wp:simplePos x="0" y="0"/>
                <wp:positionH relativeFrom="page">
                  <wp:posOffset>6966436</wp:posOffset>
                </wp:positionH>
                <wp:positionV relativeFrom="paragraph">
                  <wp:posOffset>-125935</wp:posOffset>
                </wp:positionV>
                <wp:extent cx="263525" cy="327596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9.916162pt;width:20.75pt;height:257.95pt;mso-position-horizontal-relative:page;mso-position-vertical-relative:paragraph;z-index:15765504" type="#_x0000_t202" id="docshape12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Las deducciones por inversiones en Canarias generadas y no aplicadas por insuficiencia de cuota en el ejercicio quedan pendientes de aplicación en los 15 años siguientes y sucesivos al de su generación.</w:t>
      </w:r>
    </w:p>
    <w:p>
      <w:pPr>
        <w:pStyle w:val="BodyText"/>
        <w:spacing w:line="360" w:lineRule="auto" w:before="229" w:after="5"/>
        <w:ind w:left="1768" w:right="1308"/>
      </w:pPr>
      <w:r>
        <w:rPr/>
        <w:t>Las</w:t>
      </w:r>
      <w:r>
        <w:rPr>
          <w:spacing w:val="-2"/>
        </w:rPr>
        <w:t> </w:t>
      </w:r>
      <w:r>
        <w:rPr/>
        <w:t>altas</w:t>
      </w:r>
      <w:r>
        <w:rPr>
          <w:spacing w:val="-2"/>
        </w:rPr>
        <w:t> </w:t>
      </w:r>
      <w:r>
        <w:rPr/>
        <w:t>de</w:t>
      </w:r>
      <w:r>
        <w:rPr>
          <w:spacing w:val="-1"/>
        </w:rPr>
        <w:t> </w:t>
      </w:r>
      <w:r>
        <w:rPr/>
        <w:t>inmovilizado</w:t>
      </w:r>
      <w:r>
        <w:rPr>
          <w:spacing w:val="-3"/>
        </w:rPr>
        <w:t> </w:t>
      </w:r>
      <w:r>
        <w:rPr/>
        <w:t>del</w:t>
      </w:r>
      <w:r>
        <w:rPr>
          <w:spacing w:val="-4"/>
        </w:rPr>
        <w:t> </w:t>
      </w:r>
      <w:r>
        <w:rPr/>
        <w:t>ejercicio</w:t>
      </w:r>
      <w:r>
        <w:rPr>
          <w:spacing w:val="-4"/>
        </w:rPr>
        <w:t> </w:t>
      </w:r>
      <w:r>
        <w:rPr/>
        <w:t>2.025</w:t>
      </w:r>
      <w:r>
        <w:rPr>
          <w:spacing w:val="-3"/>
        </w:rPr>
        <w:t> </w:t>
      </w:r>
      <w:r>
        <w:rPr/>
        <w:t>han</w:t>
      </w:r>
      <w:r>
        <w:rPr>
          <w:spacing w:val="-5"/>
        </w:rPr>
        <w:t> </w:t>
      </w:r>
      <w:r>
        <w:rPr/>
        <w:t>generado</w:t>
      </w:r>
      <w:r>
        <w:rPr>
          <w:spacing w:val="-5"/>
        </w:rPr>
        <w:t> </w:t>
      </w:r>
      <w:r>
        <w:rPr/>
        <w:t>el</w:t>
      </w:r>
      <w:r>
        <w:rPr>
          <w:spacing w:val="-5"/>
        </w:rPr>
        <w:t> </w:t>
      </w:r>
      <w:r>
        <w:rPr/>
        <w:t>siguiente</w:t>
      </w:r>
      <w:r>
        <w:rPr>
          <w:spacing w:val="-5"/>
        </w:rPr>
        <w:t> </w:t>
      </w:r>
      <w:r>
        <w:rPr/>
        <w:t>importe</w:t>
      </w:r>
      <w:r>
        <w:rPr>
          <w:spacing w:val="-4"/>
        </w:rPr>
        <w:t> </w:t>
      </w:r>
      <w:r>
        <w:rPr/>
        <w:t>de Deducción por Inversiones en Canarias por Activos Fijos Nuevos:</w:t>
      </w: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7"/>
        <w:gridCol w:w="1920"/>
        <w:gridCol w:w="943"/>
        <w:gridCol w:w="1694"/>
      </w:tblGrid>
      <w:tr>
        <w:trPr>
          <w:trHeight w:val="278" w:hRule="atLeast"/>
        </w:trPr>
        <w:tc>
          <w:tcPr>
            <w:tcW w:w="4087" w:type="dxa"/>
            <w:vMerge w:val="restart"/>
          </w:tcPr>
          <w:p>
            <w:pPr>
              <w:pStyle w:val="TableParagraph"/>
              <w:spacing w:before="183"/>
              <w:ind w:left="5"/>
              <w:jc w:val="center"/>
              <w:rPr>
                <w:b/>
                <w:sz w:val="16"/>
              </w:rPr>
            </w:pPr>
            <w:r>
              <w:rPr>
                <w:b/>
                <w:sz w:val="16"/>
              </w:rPr>
              <w:t>BIEN</w:t>
            </w:r>
            <w:r>
              <w:rPr>
                <w:b/>
                <w:spacing w:val="2"/>
                <w:sz w:val="16"/>
              </w:rPr>
              <w:t> </w:t>
            </w:r>
            <w:r>
              <w:rPr>
                <w:b/>
                <w:spacing w:val="-2"/>
                <w:sz w:val="16"/>
              </w:rPr>
              <w:t>AFECTO</w:t>
            </w:r>
          </w:p>
        </w:tc>
        <w:tc>
          <w:tcPr>
            <w:tcW w:w="1920" w:type="dxa"/>
            <w:vMerge w:val="restart"/>
          </w:tcPr>
          <w:p>
            <w:pPr>
              <w:pStyle w:val="TableParagraph"/>
              <w:spacing w:before="92"/>
              <w:ind w:left="424" w:firstLine="124"/>
              <w:rPr>
                <w:b/>
                <w:sz w:val="16"/>
              </w:rPr>
            </w:pPr>
            <w:r>
              <w:rPr>
                <w:b/>
                <w:sz w:val="16"/>
              </w:rPr>
              <w:t>COSTE DE </w:t>
            </w:r>
            <w:r>
              <w:rPr>
                <w:b/>
                <w:spacing w:val="-2"/>
                <w:sz w:val="16"/>
              </w:rPr>
              <w:t>ADQUISICIÓN</w:t>
            </w:r>
          </w:p>
        </w:tc>
        <w:tc>
          <w:tcPr>
            <w:tcW w:w="943" w:type="dxa"/>
          </w:tcPr>
          <w:p>
            <w:pPr>
              <w:pStyle w:val="TableParagraph"/>
              <w:spacing w:before="39"/>
              <w:ind w:left="11"/>
              <w:jc w:val="center"/>
              <w:rPr>
                <w:b/>
                <w:sz w:val="16"/>
              </w:rPr>
            </w:pPr>
            <w:r>
              <w:rPr>
                <w:b/>
                <w:spacing w:val="-10"/>
                <w:sz w:val="16"/>
              </w:rPr>
              <w:t>%</w:t>
            </w:r>
          </w:p>
        </w:tc>
        <w:tc>
          <w:tcPr>
            <w:tcW w:w="1694" w:type="dxa"/>
            <w:vMerge w:val="restart"/>
          </w:tcPr>
          <w:p>
            <w:pPr>
              <w:pStyle w:val="TableParagraph"/>
              <w:spacing w:before="183"/>
              <w:ind w:left="360"/>
              <w:rPr>
                <w:b/>
                <w:sz w:val="16"/>
              </w:rPr>
            </w:pPr>
            <w:r>
              <w:rPr>
                <w:b/>
                <w:spacing w:val="-2"/>
                <w:sz w:val="16"/>
              </w:rPr>
              <w:t>DEDUCCIÓN</w:t>
            </w:r>
          </w:p>
        </w:tc>
      </w:tr>
      <w:tr>
        <w:trPr>
          <w:trHeight w:val="278" w:hRule="atLeast"/>
        </w:trPr>
        <w:tc>
          <w:tcPr>
            <w:tcW w:w="4087" w:type="dxa"/>
            <w:vMerge/>
            <w:tcBorders>
              <w:top w:val="nil"/>
            </w:tcBorders>
          </w:tcPr>
          <w:p>
            <w:pPr>
              <w:rPr>
                <w:sz w:val="2"/>
                <w:szCs w:val="2"/>
              </w:rPr>
            </w:pPr>
          </w:p>
        </w:tc>
        <w:tc>
          <w:tcPr>
            <w:tcW w:w="1920" w:type="dxa"/>
            <w:vMerge/>
            <w:tcBorders>
              <w:top w:val="nil"/>
            </w:tcBorders>
          </w:tcPr>
          <w:p>
            <w:pPr>
              <w:rPr>
                <w:sz w:val="2"/>
                <w:szCs w:val="2"/>
              </w:rPr>
            </w:pPr>
          </w:p>
        </w:tc>
        <w:tc>
          <w:tcPr>
            <w:tcW w:w="943" w:type="dxa"/>
          </w:tcPr>
          <w:p>
            <w:pPr>
              <w:pStyle w:val="TableParagraph"/>
              <w:spacing w:before="39"/>
              <w:ind w:left="69"/>
              <w:rPr>
                <w:b/>
                <w:sz w:val="16"/>
              </w:rPr>
            </w:pPr>
            <w:r>
              <w:rPr>
                <w:b/>
                <w:spacing w:val="-2"/>
                <w:sz w:val="16"/>
              </w:rPr>
              <w:t>DEDUC.</w:t>
            </w:r>
          </w:p>
        </w:tc>
        <w:tc>
          <w:tcPr>
            <w:tcW w:w="1694" w:type="dxa"/>
            <w:vMerge/>
            <w:tcBorders>
              <w:top w:val="nil"/>
            </w:tcBorders>
          </w:tcPr>
          <w:p>
            <w:pPr>
              <w:rPr>
                <w:sz w:val="2"/>
                <w:szCs w:val="2"/>
              </w:rPr>
            </w:pPr>
          </w:p>
        </w:tc>
      </w:tr>
      <w:tr>
        <w:trPr>
          <w:trHeight w:val="277" w:hRule="atLeast"/>
        </w:trPr>
        <w:tc>
          <w:tcPr>
            <w:tcW w:w="4087" w:type="dxa"/>
          </w:tcPr>
          <w:p>
            <w:pPr>
              <w:pStyle w:val="TableParagraph"/>
              <w:spacing w:line="168" w:lineRule="exact" w:before="89"/>
              <w:ind w:left="69"/>
              <w:rPr>
                <w:sz w:val="16"/>
              </w:rPr>
            </w:pPr>
            <w:r>
              <w:rPr>
                <w:spacing w:val="-2"/>
                <w:sz w:val="16"/>
              </w:rPr>
              <w:t>MAQUINARIA</w:t>
            </w:r>
          </w:p>
        </w:tc>
        <w:tc>
          <w:tcPr>
            <w:tcW w:w="1920" w:type="dxa"/>
          </w:tcPr>
          <w:p>
            <w:pPr>
              <w:pStyle w:val="TableParagraph"/>
              <w:spacing w:line="168" w:lineRule="exact" w:before="89"/>
              <w:ind w:right="59"/>
              <w:jc w:val="right"/>
              <w:rPr>
                <w:sz w:val="16"/>
              </w:rPr>
            </w:pPr>
            <w:r>
              <w:rPr>
                <w:spacing w:val="-2"/>
                <w:sz w:val="16"/>
              </w:rPr>
              <w:t>10.647,02</w:t>
            </w:r>
          </w:p>
        </w:tc>
        <w:tc>
          <w:tcPr>
            <w:tcW w:w="943" w:type="dxa"/>
          </w:tcPr>
          <w:p>
            <w:pPr>
              <w:pStyle w:val="TableParagraph"/>
              <w:spacing w:line="168" w:lineRule="exact" w:before="89"/>
              <w:ind w:left="11" w:right="3"/>
              <w:jc w:val="center"/>
              <w:rPr>
                <w:sz w:val="16"/>
              </w:rPr>
            </w:pPr>
            <w:r>
              <w:rPr>
                <w:spacing w:val="-5"/>
                <w:sz w:val="16"/>
              </w:rPr>
              <w:t>25</w:t>
            </w:r>
          </w:p>
        </w:tc>
        <w:tc>
          <w:tcPr>
            <w:tcW w:w="1694" w:type="dxa"/>
          </w:tcPr>
          <w:p>
            <w:pPr>
              <w:pStyle w:val="TableParagraph"/>
              <w:spacing w:line="168" w:lineRule="exact" w:before="89"/>
              <w:ind w:right="58"/>
              <w:jc w:val="right"/>
              <w:rPr>
                <w:sz w:val="16"/>
              </w:rPr>
            </w:pPr>
            <w:r>
              <w:rPr>
                <w:spacing w:val="-2"/>
                <w:sz w:val="16"/>
              </w:rPr>
              <w:t>2.661,76</w:t>
            </w:r>
          </w:p>
        </w:tc>
      </w:tr>
      <w:tr>
        <w:trPr>
          <w:trHeight w:val="278" w:hRule="atLeast"/>
        </w:trPr>
        <w:tc>
          <w:tcPr>
            <w:tcW w:w="4087" w:type="dxa"/>
          </w:tcPr>
          <w:p>
            <w:pPr>
              <w:pStyle w:val="TableParagraph"/>
              <w:spacing w:line="168" w:lineRule="exact" w:before="89"/>
              <w:ind w:left="69"/>
              <w:rPr>
                <w:sz w:val="16"/>
              </w:rPr>
            </w:pPr>
            <w:r>
              <w:rPr>
                <w:spacing w:val="-2"/>
                <w:sz w:val="16"/>
              </w:rPr>
              <w:t>MOBILIARIO</w:t>
            </w:r>
          </w:p>
        </w:tc>
        <w:tc>
          <w:tcPr>
            <w:tcW w:w="1920" w:type="dxa"/>
          </w:tcPr>
          <w:p>
            <w:pPr>
              <w:pStyle w:val="TableParagraph"/>
              <w:spacing w:line="168" w:lineRule="exact" w:before="89"/>
              <w:ind w:right="59"/>
              <w:jc w:val="right"/>
              <w:rPr>
                <w:sz w:val="16"/>
              </w:rPr>
            </w:pPr>
            <w:r>
              <w:rPr>
                <w:spacing w:val="-2"/>
                <w:sz w:val="16"/>
              </w:rPr>
              <w:t>22.366,69</w:t>
            </w:r>
          </w:p>
        </w:tc>
        <w:tc>
          <w:tcPr>
            <w:tcW w:w="943" w:type="dxa"/>
          </w:tcPr>
          <w:p>
            <w:pPr>
              <w:pStyle w:val="TableParagraph"/>
              <w:spacing w:line="168" w:lineRule="exact" w:before="89"/>
              <w:ind w:left="11" w:right="3"/>
              <w:jc w:val="center"/>
              <w:rPr>
                <w:sz w:val="16"/>
              </w:rPr>
            </w:pPr>
            <w:r>
              <w:rPr>
                <w:spacing w:val="-5"/>
                <w:sz w:val="16"/>
              </w:rPr>
              <w:t>25</w:t>
            </w:r>
          </w:p>
        </w:tc>
        <w:tc>
          <w:tcPr>
            <w:tcW w:w="1694" w:type="dxa"/>
          </w:tcPr>
          <w:p>
            <w:pPr>
              <w:pStyle w:val="TableParagraph"/>
              <w:spacing w:line="168" w:lineRule="exact" w:before="89"/>
              <w:ind w:right="58"/>
              <w:jc w:val="right"/>
              <w:rPr>
                <w:sz w:val="16"/>
              </w:rPr>
            </w:pPr>
            <w:r>
              <w:rPr>
                <w:spacing w:val="-2"/>
                <w:sz w:val="16"/>
              </w:rPr>
              <w:t>5.591,67</w:t>
            </w:r>
          </w:p>
        </w:tc>
      </w:tr>
      <w:tr>
        <w:trPr>
          <w:trHeight w:val="277" w:hRule="atLeast"/>
        </w:trPr>
        <w:tc>
          <w:tcPr>
            <w:tcW w:w="4087" w:type="dxa"/>
          </w:tcPr>
          <w:p>
            <w:pPr>
              <w:pStyle w:val="TableParagraph"/>
              <w:spacing w:line="168" w:lineRule="exact" w:before="89"/>
              <w:ind w:left="69"/>
              <w:rPr>
                <w:sz w:val="16"/>
              </w:rPr>
            </w:pPr>
            <w:r>
              <w:rPr>
                <w:sz w:val="16"/>
              </w:rPr>
              <w:t>EQUIPOS</w:t>
            </w:r>
            <w:r>
              <w:rPr>
                <w:spacing w:val="-5"/>
                <w:sz w:val="16"/>
              </w:rPr>
              <w:t> </w:t>
            </w:r>
            <w:r>
              <w:rPr>
                <w:sz w:val="16"/>
              </w:rPr>
              <w:t>DE</w:t>
            </w:r>
            <w:r>
              <w:rPr>
                <w:spacing w:val="-4"/>
                <w:sz w:val="16"/>
              </w:rPr>
              <w:t> </w:t>
            </w:r>
            <w:r>
              <w:rPr>
                <w:sz w:val="16"/>
              </w:rPr>
              <w:t>PROCESO</w:t>
            </w:r>
            <w:r>
              <w:rPr>
                <w:spacing w:val="-5"/>
                <w:sz w:val="16"/>
              </w:rPr>
              <w:t> </w:t>
            </w:r>
            <w:r>
              <w:rPr>
                <w:sz w:val="16"/>
              </w:rPr>
              <w:t>DE</w:t>
            </w:r>
            <w:r>
              <w:rPr>
                <w:spacing w:val="-4"/>
                <w:sz w:val="16"/>
              </w:rPr>
              <w:t> </w:t>
            </w:r>
            <w:r>
              <w:rPr>
                <w:spacing w:val="-2"/>
                <w:sz w:val="16"/>
              </w:rPr>
              <w:t>INFORMACIÓN</w:t>
            </w:r>
          </w:p>
        </w:tc>
        <w:tc>
          <w:tcPr>
            <w:tcW w:w="1920" w:type="dxa"/>
          </w:tcPr>
          <w:p>
            <w:pPr>
              <w:pStyle w:val="TableParagraph"/>
              <w:spacing w:line="168" w:lineRule="exact" w:before="89"/>
              <w:ind w:right="60"/>
              <w:jc w:val="right"/>
              <w:rPr>
                <w:sz w:val="16"/>
              </w:rPr>
            </w:pPr>
            <w:r>
              <w:rPr>
                <w:spacing w:val="-2"/>
                <w:sz w:val="16"/>
              </w:rPr>
              <w:t>123.539,91</w:t>
            </w:r>
          </w:p>
        </w:tc>
        <w:tc>
          <w:tcPr>
            <w:tcW w:w="943" w:type="dxa"/>
          </w:tcPr>
          <w:p>
            <w:pPr>
              <w:pStyle w:val="TableParagraph"/>
              <w:spacing w:line="168" w:lineRule="exact" w:before="89"/>
              <w:ind w:left="11" w:right="3"/>
              <w:jc w:val="center"/>
              <w:rPr>
                <w:sz w:val="16"/>
              </w:rPr>
            </w:pPr>
            <w:r>
              <w:rPr>
                <w:spacing w:val="-5"/>
                <w:sz w:val="16"/>
              </w:rPr>
              <w:t>25</w:t>
            </w:r>
          </w:p>
        </w:tc>
        <w:tc>
          <w:tcPr>
            <w:tcW w:w="1694" w:type="dxa"/>
          </w:tcPr>
          <w:p>
            <w:pPr>
              <w:pStyle w:val="TableParagraph"/>
              <w:spacing w:line="168" w:lineRule="exact" w:before="89"/>
              <w:ind w:right="58"/>
              <w:jc w:val="right"/>
              <w:rPr>
                <w:sz w:val="16"/>
              </w:rPr>
            </w:pPr>
            <w:r>
              <w:rPr>
                <w:spacing w:val="-2"/>
                <w:sz w:val="16"/>
              </w:rPr>
              <w:t>30.884,98</w:t>
            </w:r>
          </w:p>
        </w:tc>
      </w:tr>
      <w:tr>
        <w:trPr>
          <w:trHeight w:val="287" w:hRule="atLeast"/>
        </w:trPr>
        <w:tc>
          <w:tcPr>
            <w:tcW w:w="4087" w:type="dxa"/>
          </w:tcPr>
          <w:p>
            <w:pPr>
              <w:pStyle w:val="TableParagraph"/>
              <w:spacing w:line="168" w:lineRule="exact" w:before="99"/>
              <w:ind w:left="69"/>
              <w:rPr>
                <w:sz w:val="16"/>
              </w:rPr>
            </w:pPr>
            <w:r>
              <w:rPr>
                <w:sz w:val="16"/>
              </w:rPr>
              <w:t>ELEMENTOS</w:t>
            </w:r>
            <w:r>
              <w:rPr>
                <w:spacing w:val="-4"/>
                <w:sz w:val="16"/>
              </w:rPr>
              <w:t> </w:t>
            </w:r>
            <w:r>
              <w:rPr>
                <w:sz w:val="16"/>
              </w:rPr>
              <w:t>DE</w:t>
            </w:r>
            <w:r>
              <w:rPr>
                <w:spacing w:val="-4"/>
                <w:sz w:val="16"/>
              </w:rPr>
              <w:t> </w:t>
            </w:r>
            <w:r>
              <w:rPr>
                <w:spacing w:val="-2"/>
                <w:sz w:val="16"/>
              </w:rPr>
              <w:t>TRANSPORTE</w:t>
            </w:r>
          </w:p>
        </w:tc>
        <w:tc>
          <w:tcPr>
            <w:tcW w:w="1920" w:type="dxa"/>
          </w:tcPr>
          <w:p>
            <w:pPr>
              <w:pStyle w:val="TableParagraph"/>
              <w:spacing w:line="168" w:lineRule="exact" w:before="99"/>
              <w:ind w:right="57"/>
              <w:jc w:val="right"/>
              <w:rPr>
                <w:sz w:val="16"/>
              </w:rPr>
            </w:pPr>
            <w:r>
              <w:rPr>
                <w:spacing w:val="-2"/>
                <w:sz w:val="16"/>
              </w:rPr>
              <w:t>10.387.500,00</w:t>
            </w:r>
          </w:p>
        </w:tc>
        <w:tc>
          <w:tcPr>
            <w:tcW w:w="943" w:type="dxa"/>
          </w:tcPr>
          <w:p>
            <w:pPr>
              <w:pStyle w:val="TableParagraph"/>
              <w:spacing w:line="168" w:lineRule="exact" w:before="99"/>
              <w:ind w:left="11" w:right="3"/>
              <w:jc w:val="center"/>
              <w:rPr>
                <w:sz w:val="16"/>
              </w:rPr>
            </w:pPr>
            <w:r>
              <w:rPr>
                <w:spacing w:val="-5"/>
                <w:sz w:val="16"/>
              </w:rPr>
              <w:t>25</w:t>
            </w:r>
          </w:p>
        </w:tc>
        <w:tc>
          <w:tcPr>
            <w:tcW w:w="1694" w:type="dxa"/>
          </w:tcPr>
          <w:p>
            <w:pPr>
              <w:pStyle w:val="TableParagraph"/>
              <w:spacing w:line="168" w:lineRule="exact" w:before="99"/>
              <w:ind w:right="56"/>
              <w:jc w:val="right"/>
              <w:rPr>
                <w:sz w:val="16"/>
              </w:rPr>
            </w:pPr>
            <w:r>
              <w:rPr>
                <w:spacing w:val="-2"/>
                <w:sz w:val="16"/>
              </w:rPr>
              <w:t>2.596.875,00</w:t>
            </w:r>
          </w:p>
        </w:tc>
      </w:tr>
      <w:tr>
        <w:trPr>
          <w:trHeight w:val="287" w:hRule="atLeast"/>
        </w:trPr>
        <w:tc>
          <w:tcPr>
            <w:tcW w:w="4087" w:type="dxa"/>
          </w:tcPr>
          <w:p>
            <w:pPr>
              <w:pStyle w:val="TableParagraph"/>
              <w:spacing w:line="168" w:lineRule="exact" w:before="99"/>
              <w:ind w:left="69"/>
              <w:rPr>
                <w:sz w:val="16"/>
              </w:rPr>
            </w:pPr>
            <w:r>
              <w:rPr>
                <w:sz w:val="16"/>
              </w:rPr>
              <w:t>INSTALACIONES</w:t>
            </w:r>
            <w:r>
              <w:rPr>
                <w:spacing w:val="-8"/>
                <w:sz w:val="16"/>
              </w:rPr>
              <w:t> </w:t>
            </w:r>
            <w:r>
              <w:rPr>
                <w:spacing w:val="-2"/>
                <w:sz w:val="16"/>
              </w:rPr>
              <w:t>TÉCNICAS</w:t>
            </w:r>
          </w:p>
        </w:tc>
        <w:tc>
          <w:tcPr>
            <w:tcW w:w="1920" w:type="dxa"/>
          </w:tcPr>
          <w:p>
            <w:pPr>
              <w:pStyle w:val="TableParagraph"/>
              <w:spacing w:line="168" w:lineRule="exact" w:before="99"/>
              <w:ind w:right="60"/>
              <w:jc w:val="right"/>
              <w:rPr>
                <w:sz w:val="16"/>
              </w:rPr>
            </w:pPr>
            <w:r>
              <w:rPr>
                <w:spacing w:val="-2"/>
                <w:sz w:val="16"/>
              </w:rPr>
              <w:t>729.374,38</w:t>
            </w:r>
          </w:p>
        </w:tc>
        <w:tc>
          <w:tcPr>
            <w:tcW w:w="943" w:type="dxa"/>
          </w:tcPr>
          <w:p>
            <w:pPr>
              <w:pStyle w:val="TableParagraph"/>
              <w:spacing w:line="168" w:lineRule="exact" w:before="99"/>
              <w:ind w:left="11" w:right="3"/>
              <w:jc w:val="center"/>
              <w:rPr>
                <w:sz w:val="16"/>
              </w:rPr>
            </w:pPr>
            <w:r>
              <w:rPr>
                <w:spacing w:val="-5"/>
                <w:sz w:val="16"/>
              </w:rPr>
              <w:t>25</w:t>
            </w:r>
          </w:p>
        </w:tc>
        <w:tc>
          <w:tcPr>
            <w:tcW w:w="1694" w:type="dxa"/>
          </w:tcPr>
          <w:p>
            <w:pPr>
              <w:pStyle w:val="TableParagraph"/>
              <w:spacing w:line="168" w:lineRule="exact" w:before="99"/>
              <w:ind w:right="59"/>
              <w:jc w:val="right"/>
              <w:rPr>
                <w:sz w:val="16"/>
              </w:rPr>
            </w:pPr>
            <w:r>
              <w:rPr>
                <w:spacing w:val="-2"/>
                <w:sz w:val="16"/>
              </w:rPr>
              <w:t>182.343,60</w:t>
            </w:r>
          </w:p>
        </w:tc>
      </w:tr>
    </w:tbl>
    <w:p>
      <w:pPr>
        <w:pStyle w:val="BodyText"/>
        <w:spacing w:before="115"/>
      </w:pPr>
    </w:p>
    <w:p>
      <w:pPr>
        <w:pStyle w:val="BodyText"/>
        <w:ind w:left="1701" w:right="1338"/>
        <w:jc w:val="both"/>
      </w:pPr>
      <w:r>
        <w:rPr/>
        <w:t>De acuerdo a la norma de Registro y Valoración 13ª, que según el principio de prudencia, solo se reconocerán activos por impuesto diferidos en la medida en que resulte probable que la empresa disponga de ganancias fiscales futuras que permitan la aplicación de esos</w:t>
      </w:r>
    </w:p>
    <w:p>
      <w:pPr>
        <w:pStyle w:val="BodyText"/>
        <w:spacing w:after="0"/>
        <w:jc w:val="both"/>
        <w:sectPr>
          <w:pgSz w:w="11910" w:h="16840"/>
          <w:pgMar w:header="286" w:footer="1060" w:top="1920" w:bottom="1260" w:left="360" w:right="360"/>
        </w:sectPr>
      </w:pPr>
    </w:p>
    <w:p>
      <w:pPr>
        <w:pStyle w:val="BodyText"/>
        <w:spacing w:before="201"/>
      </w:pPr>
    </w:p>
    <w:p>
      <w:pPr>
        <w:pStyle w:val="BodyText"/>
        <w:ind w:left="1701" w:right="1335"/>
        <w:jc w:val="both"/>
      </w:pPr>
      <w:r>
        <w:rPr/>
        <w:t>activos. Por lo que atendiendo a ello la entidad no reconoce el crédito impositivo que pudiera derivarse de las Deducciones para Inversiones en Canarias dado que no resulta probable su recuperación y escaso el efecto impositivo que se pudiera derivar como consecuencia de la aplicación de la Bonificación por Prestación de Servicios Públicos </w:t>
      </w:r>
      <w:r>
        <w:rPr>
          <w:spacing w:val="-2"/>
        </w:rPr>
        <w:t>Locales.</w:t>
      </w:r>
    </w:p>
    <w:p>
      <w:pPr>
        <w:spacing w:before="228"/>
        <w:ind w:left="1701" w:right="0" w:firstLine="0"/>
        <w:jc w:val="both"/>
        <w:rPr>
          <w:b/>
          <w:sz w:val="20"/>
        </w:rPr>
      </w:pPr>
      <w:r>
        <w:rPr>
          <w:b/>
          <w:sz w:val="20"/>
          <w:u w:val="single"/>
        </w:rPr>
        <w:t>Reservas</w:t>
      </w:r>
      <w:r>
        <w:rPr>
          <w:b/>
          <w:spacing w:val="-9"/>
          <w:sz w:val="20"/>
          <w:u w:val="single"/>
        </w:rPr>
        <w:t> </w:t>
      </w:r>
      <w:r>
        <w:rPr>
          <w:b/>
          <w:sz w:val="20"/>
          <w:u w:val="single"/>
        </w:rPr>
        <w:t>de</w:t>
      </w:r>
      <w:r>
        <w:rPr>
          <w:b/>
          <w:spacing w:val="-7"/>
          <w:sz w:val="20"/>
          <w:u w:val="single"/>
        </w:rPr>
        <w:t> </w:t>
      </w:r>
      <w:r>
        <w:rPr>
          <w:b/>
          <w:spacing w:val="-2"/>
          <w:sz w:val="20"/>
          <w:u w:val="single"/>
        </w:rPr>
        <w:t>capitalización</w:t>
      </w:r>
    </w:p>
    <w:p>
      <w:pPr>
        <w:pStyle w:val="BodyText"/>
        <w:ind w:left="1701" w:right="1340"/>
        <w:jc w:val="both"/>
      </w:pPr>
      <w:r>
        <w:rPr/>
        <w:t>Atendiendo al artículo 26 de la Ley 27/2014, de 27 de noviembre, la propuesta de distribución de resultados incorpora dotación a la reserva de capitalización por el siguiente importe y condiciones:</w:t>
      </w:r>
    </w:p>
    <w:p>
      <w:pPr>
        <w:pStyle w:val="BodyText"/>
        <w:spacing w:before="5"/>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730"/>
        <w:gridCol w:w="1728"/>
        <w:gridCol w:w="1730"/>
        <w:gridCol w:w="1728"/>
      </w:tblGrid>
      <w:tr>
        <w:trPr>
          <w:trHeight w:val="733" w:hRule="atLeast"/>
        </w:trPr>
        <w:tc>
          <w:tcPr>
            <w:tcW w:w="1728" w:type="dxa"/>
          </w:tcPr>
          <w:p>
            <w:pPr>
              <w:pStyle w:val="TableParagraph"/>
              <w:spacing w:before="85"/>
              <w:rPr>
                <w:sz w:val="16"/>
              </w:rPr>
            </w:pPr>
          </w:p>
          <w:p>
            <w:pPr>
              <w:pStyle w:val="TableParagraph"/>
              <w:ind w:left="12"/>
              <w:jc w:val="center"/>
              <w:rPr>
                <w:b/>
                <w:sz w:val="16"/>
              </w:rPr>
            </w:pPr>
            <w:r>
              <w:rPr>
                <w:b/>
                <w:spacing w:val="-2"/>
                <w:sz w:val="16"/>
              </w:rPr>
              <w:t>Ejercicio</w:t>
            </w:r>
          </w:p>
        </w:tc>
        <w:tc>
          <w:tcPr>
            <w:tcW w:w="1730" w:type="dxa"/>
          </w:tcPr>
          <w:p>
            <w:pPr>
              <w:pStyle w:val="TableParagraph"/>
              <w:ind w:left="75" w:right="65"/>
              <w:jc w:val="center"/>
              <w:rPr>
                <w:b/>
                <w:sz w:val="16"/>
              </w:rPr>
            </w:pPr>
            <w:r>
              <w:rPr>
                <w:b/>
                <w:sz w:val="16"/>
              </w:rPr>
              <w:t>Pendiente</w:t>
            </w:r>
            <w:r>
              <w:rPr>
                <w:b/>
                <w:spacing w:val="-12"/>
                <w:sz w:val="16"/>
              </w:rPr>
              <w:t> </w:t>
            </w:r>
            <w:r>
              <w:rPr>
                <w:b/>
                <w:sz w:val="16"/>
              </w:rPr>
              <w:t>ejercicios anteriores y generada en el</w:t>
            </w:r>
          </w:p>
          <w:p>
            <w:pPr>
              <w:pStyle w:val="TableParagraph"/>
              <w:spacing w:line="168" w:lineRule="exact"/>
              <w:ind w:left="4"/>
              <w:jc w:val="center"/>
              <w:rPr>
                <w:b/>
                <w:sz w:val="16"/>
              </w:rPr>
            </w:pPr>
            <w:r>
              <w:rPr>
                <w:b/>
                <w:spacing w:val="-2"/>
                <w:sz w:val="16"/>
              </w:rPr>
              <w:t>ejercicio</w:t>
            </w:r>
          </w:p>
        </w:tc>
        <w:tc>
          <w:tcPr>
            <w:tcW w:w="1728" w:type="dxa"/>
          </w:tcPr>
          <w:p>
            <w:pPr>
              <w:pStyle w:val="TableParagraph"/>
              <w:spacing w:before="178"/>
              <w:ind w:left="537" w:hanging="305"/>
              <w:rPr>
                <w:b/>
                <w:sz w:val="16"/>
              </w:rPr>
            </w:pPr>
            <w:r>
              <w:rPr>
                <w:b/>
                <w:sz w:val="16"/>
              </w:rPr>
              <w:t>Aplicada</w:t>
            </w:r>
            <w:r>
              <w:rPr>
                <w:b/>
                <w:spacing w:val="-12"/>
                <w:sz w:val="16"/>
              </w:rPr>
              <w:t> </w:t>
            </w:r>
            <w:r>
              <w:rPr>
                <w:b/>
                <w:sz w:val="16"/>
              </w:rPr>
              <w:t>en</w:t>
            </w:r>
            <w:r>
              <w:rPr>
                <w:b/>
                <w:spacing w:val="-11"/>
                <w:sz w:val="16"/>
              </w:rPr>
              <w:t> </w:t>
            </w:r>
            <w:r>
              <w:rPr>
                <w:b/>
                <w:sz w:val="16"/>
              </w:rPr>
              <w:t>este </w:t>
            </w:r>
            <w:r>
              <w:rPr>
                <w:b/>
                <w:spacing w:val="-2"/>
                <w:sz w:val="16"/>
              </w:rPr>
              <w:t>ejercicio</w:t>
            </w:r>
          </w:p>
        </w:tc>
        <w:tc>
          <w:tcPr>
            <w:tcW w:w="1730" w:type="dxa"/>
          </w:tcPr>
          <w:p>
            <w:pPr>
              <w:pStyle w:val="TableParagraph"/>
              <w:spacing w:before="85"/>
              <w:rPr>
                <w:sz w:val="16"/>
              </w:rPr>
            </w:pPr>
          </w:p>
          <w:p>
            <w:pPr>
              <w:pStyle w:val="TableParagraph"/>
              <w:ind w:left="75" w:right="65"/>
              <w:jc w:val="center"/>
              <w:rPr>
                <w:b/>
                <w:sz w:val="16"/>
              </w:rPr>
            </w:pPr>
            <w:r>
              <w:rPr>
                <w:b/>
                <w:sz w:val="16"/>
              </w:rPr>
              <w:t>Pendiente</w:t>
            </w:r>
            <w:r>
              <w:rPr>
                <w:b/>
                <w:spacing w:val="-4"/>
                <w:sz w:val="16"/>
              </w:rPr>
              <w:t> </w:t>
            </w:r>
            <w:r>
              <w:rPr>
                <w:b/>
                <w:sz w:val="16"/>
              </w:rPr>
              <w:t>de</w:t>
            </w:r>
            <w:r>
              <w:rPr>
                <w:b/>
                <w:spacing w:val="-5"/>
                <w:sz w:val="16"/>
              </w:rPr>
              <w:t> </w:t>
            </w:r>
            <w:r>
              <w:rPr>
                <w:b/>
                <w:spacing w:val="-2"/>
                <w:sz w:val="16"/>
              </w:rPr>
              <w:t>aplicar</w:t>
            </w:r>
          </w:p>
        </w:tc>
        <w:tc>
          <w:tcPr>
            <w:tcW w:w="1728" w:type="dxa"/>
          </w:tcPr>
          <w:p>
            <w:pPr>
              <w:pStyle w:val="TableParagraph"/>
              <w:spacing w:before="85"/>
              <w:rPr>
                <w:sz w:val="16"/>
              </w:rPr>
            </w:pPr>
          </w:p>
          <w:p>
            <w:pPr>
              <w:pStyle w:val="TableParagraph"/>
              <w:ind w:left="12" w:right="4"/>
              <w:jc w:val="center"/>
              <w:rPr>
                <w:b/>
                <w:sz w:val="16"/>
              </w:rPr>
            </w:pPr>
            <w:r>
              <w:rPr>
                <w:b/>
                <w:spacing w:val="-2"/>
                <w:sz w:val="16"/>
              </w:rPr>
              <w:t>Vencimiento</w:t>
            </w:r>
          </w:p>
        </w:tc>
      </w:tr>
      <w:tr>
        <w:trPr>
          <w:trHeight w:val="206" w:hRule="atLeast"/>
        </w:trPr>
        <w:tc>
          <w:tcPr>
            <w:tcW w:w="1728" w:type="dxa"/>
          </w:tcPr>
          <w:p>
            <w:pPr>
              <w:pStyle w:val="TableParagraph"/>
              <w:spacing w:line="178" w:lineRule="exact" w:before="8"/>
              <w:ind w:left="12" w:right="2"/>
              <w:jc w:val="center"/>
              <w:rPr>
                <w:sz w:val="16"/>
              </w:rPr>
            </w:pPr>
            <w:r>
              <w:rPr>
                <w:spacing w:val="-4"/>
                <w:sz w:val="16"/>
              </w:rPr>
              <w:t>2025</w:t>
            </w:r>
          </w:p>
        </w:tc>
        <w:tc>
          <w:tcPr>
            <w:tcW w:w="1730" w:type="dxa"/>
          </w:tcPr>
          <w:p>
            <w:pPr>
              <w:pStyle w:val="TableParagraph"/>
              <w:spacing w:line="178" w:lineRule="exact" w:before="8"/>
              <w:ind w:left="463"/>
              <w:rPr>
                <w:sz w:val="16"/>
              </w:rPr>
            </w:pPr>
            <w:r>
              <w:rPr>
                <w:spacing w:val="-2"/>
                <w:sz w:val="16"/>
              </w:rPr>
              <w:t>375.795,40</w:t>
            </w:r>
          </w:p>
        </w:tc>
        <w:tc>
          <w:tcPr>
            <w:tcW w:w="1728" w:type="dxa"/>
          </w:tcPr>
          <w:p>
            <w:pPr>
              <w:pStyle w:val="TableParagraph"/>
              <w:spacing w:line="178" w:lineRule="exact" w:before="8"/>
              <w:ind w:left="463"/>
              <w:rPr>
                <w:sz w:val="16"/>
              </w:rPr>
            </w:pPr>
            <w:r>
              <w:rPr>
                <w:spacing w:val="-2"/>
                <w:sz w:val="16"/>
              </w:rPr>
              <w:t>375.795,40</w:t>
            </w:r>
          </w:p>
        </w:tc>
        <w:tc>
          <w:tcPr>
            <w:tcW w:w="1730" w:type="dxa"/>
          </w:tcPr>
          <w:p>
            <w:pPr>
              <w:pStyle w:val="TableParagraph"/>
              <w:spacing w:line="178" w:lineRule="exact" w:before="8"/>
              <w:ind w:left="75" w:right="66"/>
              <w:jc w:val="center"/>
              <w:rPr>
                <w:sz w:val="16"/>
              </w:rPr>
            </w:pPr>
            <w:r>
              <w:rPr>
                <w:spacing w:val="-4"/>
                <w:sz w:val="16"/>
              </w:rPr>
              <w:t>0,00</w:t>
            </w:r>
          </w:p>
        </w:tc>
        <w:tc>
          <w:tcPr>
            <w:tcW w:w="1728" w:type="dxa"/>
          </w:tcPr>
          <w:p>
            <w:pPr>
              <w:pStyle w:val="TableParagraph"/>
              <w:spacing w:line="178" w:lineRule="exact" w:before="8"/>
              <w:ind w:left="12" w:right="6"/>
              <w:jc w:val="center"/>
              <w:rPr>
                <w:sz w:val="16"/>
              </w:rPr>
            </w:pPr>
            <w:r>
              <w:rPr>
                <w:spacing w:val="-4"/>
                <w:sz w:val="16"/>
              </w:rPr>
              <w:t>2027</w:t>
            </w:r>
          </w:p>
        </w:tc>
      </w:tr>
    </w:tbl>
    <w:p>
      <w:pPr>
        <w:pStyle w:val="BodyText"/>
      </w:pPr>
    </w:p>
    <w:p>
      <w:pPr>
        <w:pStyle w:val="BodyText"/>
        <w:spacing w:before="229"/>
      </w:pPr>
    </w:p>
    <w:p>
      <w:pPr>
        <w:pStyle w:val="ListParagraph"/>
        <w:numPr>
          <w:ilvl w:val="1"/>
          <w:numId w:val="22"/>
        </w:numPr>
        <w:tabs>
          <w:tab w:pos="2140" w:val="left" w:leader="none"/>
        </w:tabs>
        <w:spacing w:line="240" w:lineRule="auto" w:before="0" w:after="0"/>
        <w:ind w:left="2140" w:right="0" w:hanging="439"/>
        <w:jc w:val="left"/>
        <w:rPr>
          <w:sz w:val="20"/>
          <w:u w:val="single"/>
        </w:rPr>
      </w:pPr>
      <w:r>
        <w:rPr>
          <w:spacing w:val="-4"/>
          <w:sz w:val="20"/>
          <w:u w:val="single"/>
        </w:rPr>
        <w:t> </w:t>
      </w:r>
      <w:r>
        <w:rPr>
          <w:sz w:val="20"/>
          <w:u w:val="single"/>
        </w:rPr>
        <w:t>Detalle</w:t>
      </w:r>
      <w:r>
        <w:rPr>
          <w:spacing w:val="-7"/>
          <w:sz w:val="20"/>
          <w:u w:val="single"/>
        </w:rPr>
        <w:t> </w:t>
      </w:r>
      <w:r>
        <w:rPr>
          <w:sz w:val="20"/>
          <w:u w:val="single"/>
        </w:rPr>
        <w:t>deducción</w:t>
      </w:r>
      <w:r>
        <w:rPr>
          <w:spacing w:val="-6"/>
          <w:sz w:val="20"/>
          <w:u w:val="single"/>
        </w:rPr>
        <w:t> </w:t>
      </w:r>
      <w:r>
        <w:rPr>
          <w:sz w:val="20"/>
          <w:u w:val="single"/>
        </w:rPr>
        <w:t>Disposición</w:t>
      </w:r>
      <w:r>
        <w:rPr>
          <w:spacing w:val="-6"/>
          <w:sz w:val="20"/>
          <w:u w:val="single"/>
        </w:rPr>
        <w:t> </w:t>
      </w:r>
      <w:r>
        <w:rPr>
          <w:sz w:val="20"/>
          <w:u w:val="single"/>
        </w:rPr>
        <w:t>transitoria</w:t>
      </w:r>
      <w:r>
        <w:rPr>
          <w:spacing w:val="-7"/>
          <w:sz w:val="20"/>
          <w:u w:val="single"/>
        </w:rPr>
        <w:t> </w:t>
      </w:r>
      <w:r>
        <w:rPr>
          <w:sz w:val="20"/>
          <w:u w:val="single"/>
        </w:rPr>
        <w:t>37</w:t>
      </w:r>
      <w:r>
        <w:rPr>
          <w:spacing w:val="-7"/>
          <w:sz w:val="20"/>
          <w:u w:val="single"/>
        </w:rPr>
        <w:t> </w:t>
      </w:r>
      <w:r>
        <w:rPr>
          <w:sz w:val="20"/>
          <w:u w:val="single"/>
        </w:rPr>
        <w:t>Ley</w:t>
      </w:r>
      <w:r>
        <w:rPr>
          <w:spacing w:val="-5"/>
          <w:sz w:val="20"/>
          <w:u w:val="single"/>
        </w:rPr>
        <w:t> </w:t>
      </w:r>
      <w:r>
        <w:rPr>
          <w:spacing w:val="-2"/>
          <w:sz w:val="20"/>
          <w:u w:val="single"/>
        </w:rPr>
        <w:t>27/2014.</w:t>
      </w:r>
    </w:p>
    <w:p>
      <w:pPr>
        <w:pStyle w:val="BodyText"/>
        <w:spacing w:before="1"/>
      </w:pPr>
    </w:p>
    <w:tbl>
      <w:tblPr>
        <w:tblW w:w="0" w:type="auto"/>
        <w:jc w:val="left"/>
        <w:tblInd w:w="1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26"/>
        <w:gridCol w:w="1904"/>
        <w:gridCol w:w="1760"/>
        <w:gridCol w:w="1758"/>
      </w:tblGrid>
      <w:tr>
        <w:trPr>
          <w:trHeight w:val="268" w:hRule="atLeast"/>
        </w:trPr>
        <w:tc>
          <w:tcPr>
            <w:tcW w:w="3226" w:type="dxa"/>
          </w:tcPr>
          <w:p>
            <w:pPr>
              <w:pStyle w:val="TableParagraph"/>
              <w:spacing w:before="37"/>
              <w:ind w:left="69"/>
              <w:rPr>
                <w:b/>
                <w:sz w:val="16"/>
              </w:rPr>
            </w:pPr>
            <w:r>
              <w:rPr>
                <w:b/>
                <w:spacing w:val="-2"/>
                <w:sz w:val="16"/>
              </w:rPr>
              <w:t>DESCRIPCIÓN</w:t>
            </w:r>
          </w:p>
        </w:tc>
        <w:tc>
          <w:tcPr>
            <w:tcW w:w="1904" w:type="dxa"/>
          </w:tcPr>
          <w:p>
            <w:pPr>
              <w:pStyle w:val="TableParagraph"/>
              <w:spacing w:before="37"/>
              <w:ind w:left="280"/>
              <w:rPr>
                <w:b/>
                <w:sz w:val="16"/>
              </w:rPr>
            </w:pPr>
            <w:r>
              <w:rPr>
                <w:b/>
                <w:sz w:val="16"/>
              </w:rPr>
              <w:t>DED.</w:t>
            </w:r>
            <w:r>
              <w:rPr>
                <w:b/>
                <w:spacing w:val="-2"/>
                <w:sz w:val="16"/>
              </w:rPr>
              <w:t> GENERADA</w:t>
            </w:r>
          </w:p>
        </w:tc>
        <w:tc>
          <w:tcPr>
            <w:tcW w:w="1760" w:type="dxa"/>
          </w:tcPr>
          <w:p>
            <w:pPr>
              <w:pStyle w:val="TableParagraph"/>
              <w:spacing w:before="37"/>
              <w:ind w:left="250"/>
              <w:rPr>
                <w:b/>
                <w:sz w:val="16"/>
              </w:rPr>
            </w:pPr>
            <w:r>
              <w:rPr>
                <w:b/>
                <w:sz w:val="16"/>
              </w:rPr>
              <w:t>DED.</w:t>
            </w:r>
            <w:r>
              <w:rPr>
                <w:b/>
                <w:spacing w:val="-1"/>
                <w:sz w:val="16"/>
              </w:rPr>
              <w:t> </w:t>
            </w:r>
            <w:r>
              <w:rPr>
                <w:b/>
                <w:spacing w:val="-2"/>
                <w:sz w:val="16"/>
              </w:rPr>
              <w:t>APLICADA</w:t>
            </w:r>
          </w:p>
        </w:tc>
        <w:tc>
          <w:tcPr>
            <w:tcW w:w="1758" w:type="dxa"/>
          </w:tcPr>
          <w:p>
            <w:pPr>
              <w:pStyle w:val="TableParagraph"/>
              <w:spacing w:before="37"/>
              <w:ind w:left="204"/>
              <w:rPr>
                <w:b/>
                <w:sz w:val="16"/>
              </w:rPr>
            </w:pPr>
            <w:r>
              <w:rPr>
                <w:b/>
                <w:sz w:val="16"/>
              </w:rPr>
              <w:t>DED.</w:t>
            </w:r>
            <w:r>
              <w:rPr>
                <w:b/>
                <w:spacing w:val="-4"/>
                <w:sz w:val="16"/>
              </w:rPr>
              <w:t> </w:t>
            </w:r>
            <w:r>
              <w:rPr>
                <w:b/>
                <w:spacing w:val="-2"/>
                <w:sz w:val="16"/>
              </w:rPr>
              <w:t>PENDIENTE</w:t>
            </w:r>
          </w:p>
        </w:tc>
      </w:tr>
      <w:tr>
        <w:trPr>
          <w:trHeight w:val="285" w:hRule="atLeast"/>
        </w:trPr>
        <w:tc>
          <w:tcPr>
            <w:tcW w:w="3226" w:type="dxa"/>
          </w:tcPr>
          <w:p>
            <w:pPr>
              <w:pStyle w:val="TableParagraph"/>
              <w:spacing w:before="46"/>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2015</w:t>
            </w:r>
          </w:p>
        </w:tc>
        <w:tc>
          <w:tcPr>
            <w:tcW w:w="1904" w:type="dxa"/>
          </w:tcPr>
          <w:p>
            <w:pPr>
              <w:pStyle w:val="TableParagraph"/>
              <w:spacing w:before="46"/>
              <w:ind w:right="53"/>
              <w:jc w:val="right"/>
              <w:rPr>
                <w:sz w:val="16"/>
              </w:rPr>
            </w:pPr>
            <w:r>
              <w:rPr>
                <w:spacing w:val="-2"/>
                <w:sz w:val="16"/>
              </w:rPr>
              <w:t>5.601,31</w:t>
            </w:r>
          </w:p>
        </w:tc>
        <w:tc>
          <w:tcPr>
            <w:tcW w:w="1760" w:type="dxa"/>
          </w:tcPr>
          <w:p>
            <w:pPr>
              <w:pStyle w:val="TableParagraph"/>
              <w:spacing w:before="46"/>
              <w:ind w:right="56"/>
              <w:jc w:val="right"/>
              <w:rPr>
                <w:sz w:val="16"/>
              </w:rPr>
            </w:pPr>
            <w:r>
              <w:rPr>
                <w:spacing w:val="-4"/>
                <w:sz w:val="16"/>
              </w:rPr>
              <w:t>0,00</w:t>
            </w:r>
          </w:p>
        </w:tc>
        <w:tc>
          <w:tcPr>
            <w:tcW w:w="1758" w:type="dxa"/>
          </w:tcPr>
          <w:p>
            <w:pPr>
              <w:pStyle w:val="TableParagraph"/>
              <w:spacing w:before="46"/>
              <w:ind w:right="55"/>
              <w:jc w:val="right"/>
              <w:rPr>
                <w:sz w:val="16"/>
              </w:rPr>
            </w:pPr>
            <w:r>
              <w:rPr>
                <w:spacing w:val="-2"/>
                <w:sz w:val="16"/>
              </w:rPr>
              <w:t>5.601,31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2016</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2017</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r>
        <w:trPr>
          <w:trHeight w:val="268" w:hRule="atLeast"/>
        </w:trPr>
        <w:tc>
          <w:tcPr>
            <w:tcW w:w="3226" w:type="dxa"/>
          </w:tcPr>
          <w:p>
            <w:pPr>
              <w:pStyle w:val="TableParagraph"/>
              <w:spacing w:before="37"/>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2018</w:t>
            </w:r>
          </w:p>
        </w:tc>
        <w:tc>
          <w:tcPr>
            <w:tcW w:w="1904" w:type="dxa"/>
          </w:tcPr>
          <w:p>
            <w:pPr>
              <w:pStyle w:val="TableParagraph"/>
              <w:spacing w:before="37"/>
              <w:ind w:right="53"/>
              <w:jc w:val="right"/>
              <w:rPr>
                <w:sz w:val="16"/>
              </w:rPr>
            </w:pPr>
            <w:r>
              <w:rPr>
                <w:spacing w:val="-2"/>
                <w:sz w:val="16"/>
              </w:rPr>
              <w:t>13.023,31</w:t>
            </w:r>
          </w:p>
        </w:tc>
        <w:tc>
          <w:tcPr>
            <w:tcW w:w="1760" w:type="dxa"/>
          </w:tcPr>
          <w:p>
            <w:pPr>
              <w:pStyle w:val="TableParagraph"/>
              <w:spacing w:before="37"/>
              <w:ind w:right="56"/>
              <w:jc w:val="right"/>
              <w:rPr>
                <w:sz w:val="16"/>
              </w:rPr>
            </w:pPr>
            <w:r>
              <w:rPr>
                <w:spacing w:val="-4"/>
                <w:sz w:val="16"/>
              </w:rPr>
              <w:t>0,00</w:t>
            </w:r>
          </w:p>
        </w:tc>
        <w:tc>
          <w:tcPr>
            <w:tcW w:w="1758" w:type="dxa"/>
          </w:tcPr>
          <w:p>
            <w:pPr>
              <w:pStyle w:val="TableParagraph"/>
              <w:spacing w:before="37"/>
              <w:ind w:right="55"/>
              <w:jc w:val="right"/>
              <w:rPr>
                <w:sz w:val="16"/>
              </w:rPr>
            </w:pPr>
            <w:r>
              <w:rPr>
                <w:spacing w:val="-2"/>
                <w:sz w:val="16"/>
              </w:rPr>
              <w:t>13.023,31</w:t>
            </w:r>
          </w:p>
        </w:tc>
      </w:tr>
      <w:tr>
        <w:trPr>
          <w:trHeight w:val="268" w:hRule="atLeast"/>
        </w:trPr>
        <w:tc>
          <w:tcPr>
            <w:tcW w:w="3226" w:type="dxa"/>
          </w:tcPr>
          <w:p>
            <w:pPr>
              <w:pStyle w:val="TableParagraph"/>
              <w:spacing w:before="37"/>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2019</w:t>
            </w:r>
          </w:p>
        </w:tc>
        <w:tc>
          <w:tcPr>
            <w:tcW w:w="1904" w:type="dxa"/>
          </w:tcPr>
          <w:p>
            <w:pPr>
              <w:pStyle w:val="TableParagraph"/>
              <w:spacing w:before="37"/>
              <w:ind w:right="53"/>
              <w:jc w:val="right"/>
              <w:rPr>
                <w:sz w:val="16"/>
              </w:rPr>
            </w:pPr>
            <w:r>
              <w:rPr>
                <w:spacing w:val="-2"/>
                <w:sz w:val="16"/>
              </w:rPr>
              <w:t>13.023,31</w:t>
            </w:r>
          </w:p>
        </w:tc>
        <w:tc>
          <w:tcPr>
            <w:tcW w:w="1760" w:type="dxa"/>
          </w:tcPr>
          <w:p>
            <w:pPr>
              <w:pStyle w:val="TableParagraph"/>
              <w:spacing w:before="37"/>
              <w:ind w:right="56"/>
              <w:jc w:val="right"/>
              <w:rPr>
                <w:sz w:val="16"/>
              </w:rPr>
            </w:pPr>
            <w:r>
              <w:rPr>
                <w:spacing w:val="-4"/>
                <w:sz w:val="16"/>
              </w:rPr>
              <w:t>0,00</w:t>
            </w:r>
          </w:p>
        </w:tc>
        <w:tc>
          <w:tcPr>
            <w:tcW w:w="1758" w:type="dxa"/>
          </w:tcPr>
          <w:p>
            <w:pPr>
              <w:pStyle w:val="TableParagraph"/>
              <w:spacing w:before="37"/>
              <w:ind w:right="55"/>
              <w:jc w:val="right"/>
              <w:rPr>
                <w:sz w:val="16"/>
              </w:rPr>
            </w:pPr>
            <w:r>
              <w:rPr>
                <w:spacing w:val="-2"/>
                <w:sz w:val="16"/>
              </w:rPr>
              <w:t>13.023,31</w:t>
            </w:r>
          </w:p>
        </w:tc>
      </w:tr>
      <w:tr>
        <w:trPr>
          <w:trHeight w:val="265" w:hRule="atLeast"/>
        </w:trPr>
        <w:tc>
          <w:tcPr>
            <w:tcW w:w="3226" w:type="dxa"/>
          </w:tcPr>
          <w:p>
            <w:pPr>
              <w:pStyle w:val="TableParagraph"/>
              <w:spacing w:before="37"/>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2020</w:t>
            </w:r>
          </w:p>
        </w:tc>
        <w:tc>
          <w:tcPr>
            <w:tcW w:w="1904" w:type="dxa"/>
          </w:tcPr>
          <w:p>
            <w:pPr>
              <w:pStyle w:val="TableParagraph"/>
              <w:spacing w:before="37"/>
              <w:ind w:right="53"/>
              <w:jc w:val="right"/>
              <w:rPr>
                <w:sz w:val="16"/>
              </w:rPr>
            </w:pPr>
            <w:r>
              <w:rPr>
                <w:spacing w:val="-2"/>
                <w:sz w:val="16"/>
              </w:rPr>
              <w:t>13.023,31</w:t>
            </w:r>
          </w:p>
        </w:tc>
        <w:tc>
          <w:tcPr>
            <w:tcW w:w="1760" w:type="dxa"/>
          </w:tcPr>
          <w:p>
            <w:pPr>
              <w:pStyle w:val="TableParagraph"/>
              <w:spacing w:before="37"/>
              <w:ind w:right="56"/>
              <w:jc w:val="right"/>
              <w:rPr>
                <w:sz w:val="16"/>
              </w:rPr>
            </w:pPr>
            <w:r>
              <w:rPr>
                <w:spacing w:val="-4"/>
                <w:sz w:val="16"/>
              </w:rPr>
              <w:t>0.00</w:t>
            </w:r>
          </w:p>
        </w:tc>
        <w:tc>
          <w:tcPr>
            <w:tcW w:w="1758" w:type="dxa"/>
          </w:tcPr>
          <w:p>
            <w:pPr>
              <w:pStyle w:val="TableParagraph"/>
              <w:spacing w:before="37"/>
              <w:ind w:right="55"/>
              <w:jc w:val="right"/>
              <w:rPr>
                <w:sz w:val="16"/>
              </w:rPr>
            </w:pPr>
            <w:r>
              <w:rPr>
                <w:spacing w:val="-2"/>
                <w:sz w:val="16"/>
              </w:rPr>
              <w:t>13.023,31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2021</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2022</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2023</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r>
        <w:trPr>
          <w:trHeight w:val="268" w:hRule="atLeast"/>
        </w:trPr>
        <w:tc>
          <w:tcPr>
            <w:tcW w:w="3226" w:type="dxa"/>
          </w:tcPr>
          <w:p>
            <w:pPr>
              <w:pStyle w:val="TableParagraph"/>
              <w:spacing w:before="39"/>
              <w:ind w:left="69"/>
              <w:rPr>
                <w:sz w:val="16"/>
              </w:rPr>
            </w:pPr>
            <w:r>
              <w:rPr>
                <w:sz w:val="16"/>
              </w:rPr>
              <w:t>Deducción</w:t>
            </w:r>
            <w:r>
              <w:rPr>
                <w:spacing w:val="-5"/>
                <w:sz w:val="16"/>
              </w:rPr>
              <w:t> </w:t>
            </w:r>
            <w:r>
              <w:rPr>
                <w:sz w:val="16"/>
              </w:rPr>
              <w:t>DT</w:t>
            </w:r>
            <w:r>
              <w:rPr>
                <w:spacing w:val="-3"/>
                <w:sz w:val="16"/>
              </w:rPr>
              <w:t> </w:t>
            </w:r>
            <w:r>
              <w:rPr>
                <w:sz w:val="16"/>
              </w:rPr>
              <w:t>37ª</w:t>
            </w:r>
            <w:r>
              <w:rPr>
                <w:spacing w:val="-6"/>
                <w:sz w:val="16"/>
              </w:rPr>
              <w:t> </w:t>
            </w:r>
            <w:r>
              <w:rPr>
                <w:sz w:val="16"/>
              </w:rPr>
              <w:t>Ley</w:t>
            </w:r>
            <w:r>
              <w:rPr>
                <w:spacing w:val="-3"/>
                <w:sz w:val="16"/>
              </w:rPr>
              <w:t> </w:t>
            </w:r>
            <w:r>
              <w:rPr>
                <w:sz w:val="16"/>
              </w:rPr>
              <w:t>27/2014</w:t>
            </w:r>
            <w:r>
              <w:rPr>
                <w:spacing w:val="-2"/>
                <w:sz w:val="16"/>
              </w:rPr>
              <w:t> </w:t>
            </w:r>
            <w:r>
              <w:rPr>
                <w:spacing w:val="-4"/>
                <w:sz w:val="16"/>
              </w:rPr>
              <w:t>2024</w:t>
            </w:r>
          </w:p>
        </w:tc>
        <w:tc>
          <w:tcPr>
            <w:tcW w:w="1904" w:type="dxa"/>
          </w:tcPr>
          <w:p>
            <w:pPr>
              <w:pStyle w:val="TableParagraph"/>
              <w:spacing w:before="39"/>
              <w:ind w:right="53"/>
              <w:jc w:val="right"/>
              <w:rPr>
                <w:sz w:val="16"/>
              </w:rPr>
            </w:pPr>
            <w:r>
              <w:rPr>
                <w:spacing w:val="-2"/>
                <w:sz w:val="16"/>
              </w:rPr>
              <w:t>13.023,31</w:t>
            </w:r>
          </w:p>
        </w:tc>
        <w:tc>
          <w:tcPr>
            <w:tcW w:w="1760" w:type="dxa"/>
          </w:tcPr>
          <w:p>
            <w:pPr>
              <w:pStyle w:val="TableParagraph"/>
              <w:spacing w:before="39"/>
              <w:ind w:right="56"/>
              <w:jc w:val="right"/>
              <w:rPr>
                <w:sz w:val="16"/>
              </w:rPr>
            </w:pPr>
            <w:r>
              <w:rPr>
                <w:spacing w:val="-4"/>
                <w:sz w:val="16"/>
              </w:rPr>
              <w:t>0.00</w:t>
            </w:r>
          </w:p>
        </w:tc>
        <w:tc>
          <w:tcPr>
            <w:tcW w:w="1758" w:type="dxa"/>
          </w:tcPr>
          <w:p>
            <w:pPr>
              <w:pStyle w:val="TableParagraph"/>
              <w:spacing w:before="39"/>
              <w:ind w:right="55"/>
              <w:jc w:val="right"/>
              <w:rPr>
                <w:sz w:val="16"/>
              </w:rPr>
            </w:pPr>
            <w:r>
              <w:rPr>
                <w:spacing w:val="-2"/>
                <w:sz w:val="16"/>
              </w:rPr>
              <w:t>13.023,31</w:t>
            </w:r>
          </w:p>
        </w:tc>
      </w:tr>
    </w:tbl>
    <w:p>
      <w:pPr>
        <w:pStyle w:val="BodyText"/>
        <w:spacing w:before="229"/>
        <w:ind w:left="1341" w:right="1338"/>
        <w:jc w:val="both"/>
      </w:pPr>
      <w:r>
        <w:rPr/>
        <mc:AlternateContent>
          <mc:Choice Requires="wps">
            <w:drawing>
              <wp:anchor distT="0" distB="0" distL="0" distR="0" allowOverlap="1" layoutInCell="1" locked="0" behindDoc="0" simplePos="0" relativeHeight="15766016">
                <wp:simplePos x="0" y="0"/>
                <wp:positionH relativeFrom="page">
                  <wp:posOffset>6966436</wp:posOffset>
                </wp:positionH>
                <wp:positionV relativeFrom="paragraph">
                  <wp:posOffset>111161</wp:posOffset>
                </wp:positionV>
                <wp:extent cx="263525" cy="327596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8.752861pt;width:20.75pt;height:257.95pt;mso-position-horizontal-relative:page;mso-position-vertical-relative:paragraph;z-index:15766016" type="#_x0000_t202" id="docshape12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55</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 contribuyentes que tributen al tipo de gravamen previsto en el apartado 1</w:t>
      </w:r>
      <w:r>
        <w:rPr>
          <w:spacing w:val="-1"/>
        </w:rPr>
        <w:t> </w:t>
      </w:r>
      <w:r>
        <w:rPr/>
        <w:t>del artículo</w:t>
      </w:r>
      <w:r>
        <w:rPr>
          <w:spacing w:val="-1"/>
        </w:rPr>
        <w:t> </w:t>
      </w:r>
      <w:r>
        <w:rPr/>
        <w:t>29</w:t>
      </w:r>
      <w:r>
        <w:rPr>
          <w:spacing w:val="-1"/>
        </w:rPr>
        <w:t> </w:t>
      </w:r>
      <w:r>
        <w:rPr/>
        <w:t>de esta Ley y les haya resultado de aplicación la limitación a las amortizaciones establecida en el artículo 7 de la Ley 16/2012, de 27 de diciembre, por la que se adoptan diversas medidas tributarias dirigidas a la consolidación de las finanzas públicas y al impulso de la actividad económica, tendrán derecho a una deducción en la cuota íntegra del 5 por ciento de las cantidades que integren en la base imponible del período impositivo de acuerdo con el párrafo tercero del citado artículo, derivadas de las amortizaciones no deducidas en los períodos impositivos que se hayan iniciado en 2013 y 2014.</w:t>
      </w:r>
    </w:p>
    <w:p>
      <w:pPr>
        <w:pStyle w:val="BodyText"/>
        <w:spacing w:before="1"/>
        <w:ind w:left="1341"/>
        <w:jc w:val="both"/>
      </w:pPr>
      <w:r>
        <w:rPr/>
        <w:t>Esta</w:t>
      </w:r>
      <w:r>
        <w:rPr>
          <w:spacing w:val="-7"/>
        </w:rPr>
        <w:t> </w:t>
      </w:r>
      <w:r>
        <w:rPr/>
        <w:t>deducción</w:t>
      </w:r>
      <w:r>
        <w:rPr>
          <w:spacing w:val="-6"/>
        </w:rPr>
        <w:t> </w:t>
      </w:r>
      <w:r>
        <w:rPr/>
        <w:t>será</w:t>
      </w:r>
      <w:r>
        <w:rPr>
          <w:spacing w:val="-5"/>
        </w:rPr>
        <w:t> </w:t>
      </w:r>
      <w:r>
        <w:rPr/>
        <w:t>del</w:t>
      </w:r>
      <w:r>
        <w:rPr>
          <w:spacing w:val="-7"/>
        </w:rPr>
        <w:t> </w:t>
      </w:r>
      <w:r>
        <w:rPr/>
        <w:t>2</w:t>
      </w:r>
      <w:r>
        <w:rPr>
          <w:spacing w:val="-4"/>
        </w:rPr>
        <w:t> </w:t>
      </w:r>
      <w:r>
        <w:rPr/>
        <w:t>por</w:t>
      </w:r>
      <w:r>
        <w:rPr>
          <w:spacing w:val="-3"/>
        </w:rPr>
        <w:t> </w:t>
      </w:r>
      <w:r>
        <w:rPr/>
        <w:t>ciento</w:t>
      </w:r>
      <w:r>
        <w:rPr>
          <w:spacing w:val="-6"/>
        </w:rPr>
        <w:t> </w:t>
      </w:r>
      <w:r>
        <w:rPr/>
        <w:t>en</w:t>
      </w:r>
      <w:r>
        <w:rPr>
          <w:spacing w:val="-5"/>
        </w:rPr>
        <w:t> </w:t>
      </w:r>
      <w:r>
        <w:rPr/>
        <w:t>los</w:t>
      </w:r>
      <w:r>
        <w:rPr>
          <w:spacing w:val="-5"/>
        </w:rPr>
        <w:t> </w:t>
      </w:r>
      <w:r>
        <w:rPr/>
        <w:t>períodos</w:t>
      </w:r>
      <w:r>
        <w:rPr>
          <w:spacing w:val="-1"/>
        </w:rPr>
        <w:t> </w:t>
      </w:r>
      <w:r>
        <w:rPr/>
        <w:t>impositivos</w:t>
      </w:r>
      <w:r>
        <w:rPr>
          <w:spacing w:val="-4"/>
        </w:rPr>
        <w:t> </w:t>
      </w:r>
      <w:r>
        <w:rPr/>
        <w:t>que</w:t>
      </w:r>
      <w:r>
        <w:rPr>
          <w:spacing w:val="-7"/>
        </w:rPr>
        <w:t> </w:t>
      </w:r>
      <w:r>
        <w:rPr/>
        <w:t>se</w:t>
      </w:r>
      <w:r>
        <w:rPr>
          <w:spacing w:val="-5"/>
        </w:rPr>
        <w:t> </w:t>
      </w:r>
      <w:r>
        <w:rPr/>
        <w:t>inicien</w:t>
      </w:r>
      <w:r>
        <w:rPr>
          <w:spacing w:val="-6"/>
        </w:rPr>
        <w:t> </w:t>
      </w:r>
      <w:r>
        <w:rPr/>
        <w:t>en</w:t>
      </w:r>
      <w:r>
        <w:rPr>
          <w:spacing w:val="-5"/>
        </w:rPr>
        <w:t> </w:t>
      </w:r>
      <w:r>
        <w:rPr>
          <w:spacing w:val="-2"/>
        </w:rPr>
        <w:t>2015.</w:t>
      </w:r>
    </w:p>
    <w:p>
      <w:pPr>
        <w:pStyle w:val="BodyText"/>
        <w:spacing w:before="1"/>
        <w:ind w:left="1341" w:right="1341"/>
        <w:jc w:val="both"/>
      </w:pPr>
      <w:r>
        <w:rPr/>
        <w:t>Las deducciones previstas en la presente disposición se aplicarán con posterioridad a las demás deducciones y bonificaciones que resulten de aplicación por este Impuesto.</w:t>
      </w:r>
    </w:p>
    <w:p>
      <w:pPr>
        <w:pStyle w:val="BodyText"/>
        <w:ind w:left="1341" w:right="1341"/>
        <w:jc w:val="both"/>
      </w:pPr>
      <w:r>
        <w:rPr/>
        <w:t>Las cantidades no deducidas por insuficiencia de cuota íntegra podrán deducirse en períodos impositivos siguientes.</w:t>
      </w:r>
    </w:p>
    <w:p>
      <w:pPr>
        <w:pStyle w:val="BodyText"/>
        <w:spacing w:after="0"/>
        <w:jc w:val="both"/>
        <w:sectPr>
          <w:pgSz w:w="11910" w:h="16840"/>
          <w:pgMar w:header="286" w:footer="1060" w:top="1920" w:bottom="1260" w:left="360" w:right="360"/>
        </w:sectPr>
      </w:pPr>
    </w:p>
    <w:p>
      <w:pPr>
        <w:pStyle w:val="BodyText"/>
        <w:spacing w:before="199"/>
      </w:pPr>
    </w:p>
    <w:p>
      <w:pPr>
        <w:pStyle w:val="Heading2"/>
        <w:numPr>
          <w:ilvl w:val="0"/>
          <w:numId w:val="23"/>
        </w:numPr>
        <w:tabs>
          <w:tab w:pos="1783" w:val="left" w:leader="none"/>
        </w:tabs>
        <w:spacing w:line="240" w:lineRule="auto" w:before="0" w:after="0"/>
        <w:ind w:left="1783" w:right="0" w:hanging="442"/>
        <w:jc w:val="left"/>
        <w:rPr>
          <w:u w:val="none"/>
        </w:rPr>
      </w:pPr>
      <w:r>
        <w:rPr>
          <w:spacing w:val="2"/>
          <w:u w:val="single"/>
        </w:rPr>
        <w:t> </w:t>
      </w:r>
      <w:r>
        <w:rPr>
          <w:u w:val="single"/>
        </w:rPr>
        <w:t>INGRESOS</w:t>
      </w:r>
      <w:r>
        <w:rPr>
          <w:spacing w:val="-2"/>
          <w:u w:val="single"/>
        </w:rPr>
        <w:t> </w:t>
      </w:r>
      <w:r>
        <w:rPr>
          <w:u w:val="single"/>
        </w:rPr>
        <w:t>Y</w:t>
      </w:r>
      <w:r>
        <w:rPr>
          <w:spacing w:val="-5"/>
          <w:u w:val="single"/>
        </w:rPr>
        <w:t> </w:t>
      </w:r>
      <w:r>
        <w:rPr>
          <w:spacing w:val="-2"/>
          <w:u w:val="single"/>
        </w:rPr>
        <w:t>GASTOS.</w:t>
      </w:r>
    </w:p>
    <w:p>
      <w:pPr>
        <w:pStyle w:val="BodyText"/>
        <w:spacing w:before="1"/>
        <w:rPr>
          <w:b/>
        </w:rPr>
      </w:pPr>
    </w:p>
    <w:p>
      <w:pPr>
        <w:pStyle w:val="ListParagraph"/>
        <w:numPr>
          <w:ilvl w:val="1"/>
          <w:numId w:val="23"/>
        </w:numPr>
        <w:tabs>
          <w:tab w:pos="2406" w:val="left" w:leader="none"/>
        </w:tabs>
        <w:spacing w:line="240" w:lineRule="auto" w:before="0" w:after="0"/>
        <w:ind w:left="2406" w:right="0" w:hanging="496"/>
        <w:jc w:val="left"/>
        <w:rPr>
          <w:sz w:val="20"/>
        </w:rPr>
      </w:pPr>
      <w:r>
        <w:rPr>
          <w:sz w:val="20"/>
        </w:rPr>
        <w:t>Ingresos</w:t>
      </w:r>
      <w:r>
        <w:rPr>
          <w:spacing w:val="-5"/>
          <w:sz w:val="20"/>
        </w:rPr>
        <w:t> </w:t>
      </w:r>
      <w:r>
        <w:rPr>
          <w:sz w:val="20"/>
        </w:rPr>
        <w:t>por</w:t>
      </w:r>
      <w:r>
        <w:rPr>
          <w:spacing w:val="-8"/>
          <w:sz w:val="20"/>
        </w:rPr>
        <w:t> </w:t>
      </w:r>
      <w:r>
        <w:rPr>
          <w:spacing w:val="-2"/>
          <w:sz w:val="20"/>
        </w:rPr>
        <w:t>actividad.</w:t>
      </w:r>
    </w:p>
    <w:p>
      <w:pPr>
        <w:pStyle w:val="BodyText"/>
      </w:pPr>
    </w:p>
    <w:p>
      <w:pPr>
        <w:pStyle w:val="BodyText"/>
        <w:spacing w:before="1" w:after="7"/>
        <w:ind w:left="1795" w:right="1333"/>
        <w:jc w:val="both"/>
      </w:pPr>
      <w:r>
        <w:rPr/>
        <w:t>La</w:t>
      </w:r>
      <w:r>
        <w:rPr>
          <w:spacing w:val="-6"/>
        </w:rPr>
        <w:t> </w:t>
      </w:r>
      <w:r>
        <w:rPr/>
        <w:t>actividad</w:t>
      </w:r>
      <w:r>
        <w:rPr>
          <w:spacing w:val="-6"/>
        </w:rPr>
        <w:t> </w:t>
      </w:r>
      <w:r>
        <w:rPr/>
        <w:t>de</w:t>
      </w:r>
      <w:r>
        <w:rPr>
          <w:spacing w:val="-6"/>
        </w:rPr>
        <w:t> </w:t>
      </w:r>
      <w:r>
        <w:rPr/>
        <w:t>la</w:t>
      </w:r>
      <w:r>
        <w:rPr>
          <w:spacing w:val="-6"/>
        </w:rPr>
        <w:t> </w:t>
      </w:r>
      <w:r>
        <w:rPr/>
        <w:t>Empresa</w:t>
      </w:r>
      <w:r>
        <w:rPr>
          <w:spacing w:val="-9"/>
        </w:rPr>
        <w:t> </w:t>
      </w:r>
      <w:r>
        <w:rPr/>
        <w:t>se</w:t>
      </w:r>
      <w:r>
        <w:rPr>
          <w:spacing w:val="-6"/>
        </w:rPr>
        <w:t> </w:t>
      </w:r>
      <w:r>
        <w:rPr/>
        <w:t>ha</w:t>
      </w:r>
      <w:r>
        <w:rPr>
          <w:spacing w:val="-6"/>
        </w:rPr>
        <w:t> </w:t>
      </w:r>
      <w:r>
        <w:rPr/>
        <w:t>desarrollado</w:t>
      </w:r>
      <w:r>
        <w:rPr>
          <w:spacing w:val="-6"/>
        </w:rPr>
        <w:t> </w:t>
      </w:r>
      <w:r>
        <w:rPr/>
        <w:t>dentro</w:t>
      </w:r>
      <w:r>
        <w:rPr>
          <w:spacing w:val="-8"/>
        </w:rPr>
        <w:t> </w:t>
      </w:r>
      <w:r>
        <w:rPr/>
        <w:t>del</w:t>
      </w:r>
      <w:r>
        <w:rPr>
          <w:spacing w:val="-7"/>
        </w:rPr>
        <w:t> </w:t>
      </w:r>
      <w:r>
        <w:rPr/>
        <w:t>ámbito</w:t>
      </w:r>
      <w:r>
        <w:rPr>
          <w:spacing w:val="-6"/>
        </w:rPr>
        <w:t> </w:t>
      </w:r>
      <w:r>
        <w:rPr/>
        <w:t>geográfico</w:t>
      </w:r>
      <w:r>
        <w:rPr>
          <w:spacing w:val="-8"/>
        </w:rPr>
        <w:t> </w:t>
      </w:r>
      <w:r>
        <w:rPr/>
        <w:t>de</w:t>
      </w:r>
      <w:r>
        <w:rPr>
          <w:spacing w:val="-6"/>
        </w:rPr>
        <w:t> </w:t>
      </w:r>
      <w:r>
        <w:rPr/>
        <w:t>la</w:t>
      </w:r>
      <w:r>
        <w:rPr>
          <w:spacing w:val="-6"/>
        </w:rPr>
        <w:t> </w:t>
      </w:r>
      <w:r>
        <w:rPr/>
        <w:t>ciudad</w:t>
      </w:r>
      <w:r>
        <w:rPr>
          <w:spacing w:val="-6"/>
        </w:rPr>
        <w:t> </w:t>
      </w:r>
      <w:r>
        <w:rPr/>
        <w:t>de Las Palmas de Gran Canaria. El detalle del importe neto de la cifra de negocios es el </w:t>
      </w:r>
      <w:r>
        <w:rPr>
          <w:spacing w:val="-2"/>
        </w:rPr>
        <w:t>siguiente:</w:t>
      </w:r>
    </w:p>
    <w:tbl>
      <w:tblPr>
        <w:tblW w:w="0" w:type="auto"/>
        <w:jc w:val="left"/>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51"/>
        <w:gridCol w:w="1503"/>
        <w:gridCol w:w="1417"/>
      </w:tblGrid>
      <w:tr>
        <w:trPr>
          <w:trHeight w:val="311" w:hRule="atLeast"/>
        </w:trPr>
        <w:tc>
          <w:tcPr>
            <w:tcW w:w="5251" w:type="dxa"/>
          </w:tcPr>
          <w:p>
            <w:pPr>
              <w:pStyle w:val="TableParagraph"/>
              <w:rPr>
                <w:rFonts w:ascii="Times New Roman"/>
                <w:sz w:val="18"/>
              </w:rPr>
            </w:pPr>
          </w:p>
        </w:tc>
        <w:tc>
          <w:tcPr>
            <w:tcW w:w="1503" w:type="dxa"/>
            <w:tcBorders>
              <w:bottom w:val="single" w:sz="4" w:space="0" w:color="000000"/>
            </w:tcBorders>
          </w:tcPr>
          <w:p>
            <w:pPr>
              <w:pStyle w:val="TableParagraph"/>
              <w:spacing w:before="44"/>
              <w:ind w:right="32"/>
              <w:jc w:val="center"/>
              <w:rPr>
                <w:b/>
                <w:sz w:val="18"/>
              </w:rPr>
            </w:pPr>
            <w:r>
              <w:rPr>
                <w:b/>
                <w:spacing w:val="-4"/>
                <w:sz w:val="18"/>
              </w:rPr>
              <w:t>2025</w:t>
            </w:r>
          </w:p>
        </w:tc>
        <w:tc>
          <w:tcPr>
            <w:tcW w:w="1417" w:type="dxa"/>
            <w:tcBorders>
              <w:bottom w:val="single" w:sz="4" w:space="0" w:color="000000"/>
            </w:tcBorders>
          </w:tcPr>
          <w:p>
            <w:pPr>
              <w:pStyle w:val="TableParagraph"/>
              <w:spacing w:before="44"/>
              <w:ind w:right="44"/>
              <w:jc w:val="center"/>
              <w:rPr>
                <w:b/>
                <w:sz w:val="18"/>
              </w:rPr>
            </w:pPr>
            <w:r>
              <w:rPr>
                <w:b/>
                <w:spacing w:val="-4"/>
                <w:sz w:val="18"/>
              </w:rPr>
              <w:t>2024</w:t>
            </w:r>
          </w:p>
        </w:tc>
      </w:tr>
      <w:tr>
        <w:trPr>
          <w:trHeight w:val="316" w:hRule="atLeast"/>
        </w:trPr>
        <w:tc>
          <w:tcPr>
            <w:tcW w:w="5251" w:type="dxa"/>
          </w:tcPr>
          <w:p>
            <w:pPr>
              <w:pStyle w:val="TableParagraph"/>
              <w:spacing w:before="51"/>
              <w:ind w:left="50"/>
              <w:rPr>
                <w:sz w:val="18"/>
              </w:rPr>
            </w:pPr>
            <w:r>
              <w:rPr>
                <w:sz w:val="18"/>
              </w:rPr>
              <w:t>Ingresos</w:t>
            </w:r>
            <w:r>
              <w:rPr>
                <w:spacing w:val="-4"/>
                <w:sz w:val="18"/>
              </w:rPr>
              <w:t> </w:t>
            </w:r>
            <w:r>
              <w:rPr>
                <w:sz w:val="18"/>
              </w:rPr>
              <w:t>pago</w:t>
            </w:r>
            <w:r>
              <w:rPr>
                <w:spacing w:val="-3"/>
                <w:sz w:val="18"/>
              </w:rPr>
              <w:t> </w:t>
            </w:r>
            <w:r>
              <w:rPr>
                <w:spacing w:val="-2"/>
                <w:sz w:val="18"/>
              </w:rPr>
              <w:t>directo</w:t>
            </w:r>
          </w:p>
        </w:tc>
        <w:tc>
          <w:tcPr>
            <w:tcW w:w="1503" w:type="dxa"/>
            <w:tcBorders>
              <w:top w:val="single" w:sz="4" w:space="0" w:color="000000"/>
            </w:tcBorders>
          </w:tcPr>
          <w:p>
            <w:pPr>
              <w:pStyle w:val="TableParagraph"/>
              <w:spacing w:before="51"/>
              <w:ind w:right="111"/>
              <w:jc w:val="right"/>
              <w:rPr>
                <w:sz w:val="18"/>
              </w:rPr>
            </w:pPr>
            <w:r>
              <w:rPr>
                <w:spacing w:val="-2"/>
                <w:sz w:val="18"/>
              </w:rPr>
              <w:t>3.848.084,85</w:t>
            </w:r>
          </w:p>
        </w:tc>
        <w:tc>
          <w:tcPr>
            <w:tcW w:w="1417" w:type="dxa"/>
            <w:tcBorders>
              <w:top w:val="single" w:sz="4" w:space="0" w:color="000000"/>
            </w:tcBorders>
          </w:tcPr>
          <w:p>
            <w:pPr>
              <w:pStyle w:val="TableParagraph"/>
              <w:spacing w:before="51"/>
              <w:ind w:right="69"/>
              <w:jc w:val="right"/>
              <w:rPr>
                <w:sz w:val="18"/>
              </w:rPr>
            </w:pPr>
            <w:r>
              <w:rPr>
                <w:spacing w:val="-2"/>
                <w:sz w:val="18"/>
              </w:rPr>
              <w:t>3.521.539,61</w:t>
            </w:r>
          </w:p>
        </w:tc>
      </w:tr>
      <w:tr>
        <w:trPr>
          <w:trHeight w:val="315" w:hRule="atLeast"/>
        </w:trPr>
        <w:tc>
          <w:tcPr>
            <w:tcW w:w="5251" w:type="dxa"/>
          </w:tcPr>
          <w:p>
            <w:pPr>
              <w:pStyle w:val="TableParagraph"/>
              <w:spacing w:before="52"/>
              <w:ind w:left="50"/>
              <w:rPr>
                <w:sz w:val="18"/>
              </w:rPr>
            </w:pPr>
            <w:r>
              <w:rPr>
                <w:sz w:val="18"/>
              </w:rPr>
              <w:t>Guaguas</w:t>
            </w:r>
            <w:r>
              <w:rPr>
                <w:spacing w:val="-4"/>
                <w:sz w:val="18"/>
              </w:rPr>
              <w:t> </w:t>
            </w:r>
            <w:r>
              <w:rPr>
                <w:spacing w:val="-2"/>
                <w:sz w:val="18"/>
              </w:rPr>
              <w:t>amarillas</w:t>
            </w:r>
          </w:p>
        </w:tc>
        <w:tc>
          <w:tcPr>
            <w:tcW w:w="1503" w:type="dxa"/>
          </w:tcPr>
          <w:p>
            <w:pPr>
              <w:pStyle w:val="TableParagraph"/>
              <w:spacing w:before="52"/>
              <w:ind w:right="111"/>
              <w:jc w:val="right"/>
              <w:rPr>
                <w:sz w:val="18"/>
              </w:rPr>
            </w:pPr>
            <w:r>
              <w:rPr>
                <w:spacing w:val="-2"/>
                <w:sz w:val="18"/>
              </w:rPr>
              <w:t>21.538,84</w:t>
            </w:r>
          </w:p>
        </w:tc>
        <w:tc>
          <w:tcPr>
            <w:tcW w:w="1417" w:type="dxa"/>
          </w:tcPr>
          <w:p>
            <w:pPr>
              <w:pStyle w:val="TableParagraph"/>
              <w:spacing w:before="52"/>
              <w:ind w:right="69"/>
              <w:jc w:val="right"/>
              <w:rPr>
                <w:sz w:val="18"/>
              </w:rPr>
            </w:pPr>
            <w:r>
              <w:rPr>
                <w:spacing w:val="-2"/>
                <w:sz w:val="18"/>
              </w:rPr>
              <w:t>19.829,70</w:t>
            </w:r>
          </w:p>
        </w:tc>
      </w:tr>
      <w:tr>
        <w:trPr>
          <w:trHeight w:val="314" w:hRule="atLeast"/>
        </w:trPr>
        <w:tc>
          <w:tcPr>
            <w:tcW w:w="5251" w:type="dxa"/>
          </w:tcPr>
          <w:p>
            <w:pPr>
              <w:pStyle w:val="TableParagraph"/>
              <w:spacing w:before="50"/>
              <w:ind w:left="50"/>
              <w:rPr>
                <w:sz w:val="18"/>
              </w:rPr>
            </w:pPr>
            <w:r>
              <w:rPr>
                <w:sz w:val="18"/>
              </w:rPr>
              <w:t>Ingresos</w:t>
            </w:r>
            <w:r>
              <w:rPr>
                <w:spacing w:val="-4"/>
                <w:sz w:val="18"/>
              </w:rPr>
              <w:t> </w:t>
            </w:r>
            <w:r>
              <w:rPr>
                <w:sz w:val="18"/>
              </w:rPr>
              <w:t>bono</w:t>
            </w:r>
            <w:r>
              <w:rPr>
                <w:spacing w:val="-5"/>
                <w:sz w:val="18"/>
              </w:rPr>
              <w:t> </w:t>
            </w:r>
            <w:r>
              <w:rPr>
                <w:sz w:val="18"/>
              </w:rPr>
              <w:t>LPA</w:t>
            </w:r>
            <w:r>
              <w:rPr>
                <w:spacing w:val="-4"/>
                <w:sz w:val="18"/>
              </w:rPr>
              <w:t> </w:t>
            </w:r>
            <w:r>
              <w:rPr>
                <w:sz w:val="18"/>
              </w:rPr>
              <w:t>Movilidad</w:t>
            </w:r>
            <w:r>
              <w:rPr>
                <w:spacing w:val="-6"/>
                <w:sz w:val="18"/>
              </w:rPr>
              <w:t> </w:t>
            </w:r>
            <w:r>
              <w:rPr>
                <w:sz w:val="18"/>
              </w:rPr>
              <w:t>(Bono</w:t>
            </w:r>
            <w:r>
              <w:rPr>
                <w:spacing w:val="-5"/>
                <w:sz w:val="18"/>
              </w:rPr>
              <w:t> </w:t>
            </w:r>
            <w:r>
              <w:rPr>
                <w:sz w:val="18"/>
              </w:rPr>
              <w:t>10,</w:t>
            </w:r>
            <w:r>
              <w:rPr>
                <w:spacing w:val="-2"/>
                <w:sz w:val="18"/>
              </w:rPr>
              <w:t> </w:t>
            </w:r>
            <w:r>
              <w:rPr>
                <w:sz w:val="18"/>
              </w:rPr>
              <w:t>Bono</w:t>
            </w:r>
            <w:r>
              <w:rPr>
                <w:spacing w:val="-2"/>
                <w:sz w:val="18"/>
              </w:rPr>
              <w:t> </w:t>
            </w:r>
            <w:r>
              <w:rPr>
                <w:sz w:val="18"/>
              </w:rPr>
              <w:t>Global-</w:t>
            </w:r>
            <w:r>
              <w:rPr>
                <w:spacing w:val="-2"/>
                <w:sz w:val="18"/>
              </w:rPr>
              <w:t>Guaguas)</w:t>
            </w:r>
          </w:p>
        </w:tc>
        <w:tc>
          <w:tcPr>
            <w:tcW w:w="1503" w:type="dxa"/>
          </w:tcPr>
          <w:p>
            <w:pPr>
              <w:pStyle w:val="TableParagraph"/>
              <w:spacing w:before="50"/>
              <w:ind w:right="111"/>
              <w:jc w:val="right"/>
              <w:rPr>
                <w:sz w:val="18"/>
              </w:rPr>
            </w:pPr>
            <w:r>
              <w:rPr>
                <w:spacing w:val="-2"/>
                <w:sz w:val="18"/>
              </w:rPr>
              <w:t>2.348.129,29</w:t>
            </w:r>
          </w:p>
        </w:tc>
        <w:tc>
          <w:tcPr>
            <w:tcW w:w="1417" w:type="dxa"/>
          </w:tcPr>
          <w:p>
            <w:pPr>
              <w:pStyle w:val="TableParagraph"/>
              <w:spacing w:before="50"/>
              <w:ind w:right="69"/>
              <w:jc w:val="right"/>
              <w:rPr>
                <w:sz w:val="18"/>
              </w:rPr>
            </w:pPr>
            <w:r>
              <w:rPr>
                <w:spacing w:val="-2"/>
                <w:sz w:val="18"/>
              </w:rPr>
              <w:t>2.588.633,14</w:t>
            </w:r>
          </w:p>
        </w:tc>
      </w:tr>
      <w:tr>
        <w:trPr>
          <w:trHeight w:val="314" w:hRule="atLeast"/>
        </w:trPr>
        <w:tc>
          <w:tcPr>
            <w:tcW w:w="5251" w:type="dxa"/>
          </w:tcPr>
          <w:p>
            <w:pPr>
              <w:pStyle w:val="TableParagraph"/>
              <w:spacing w:before="50"/>
              <w:ind w:left="50"/>
              <w:rPr>
                <w:sz w:val="18"/>
              </w:rPr>
            </w:pPr>
            <w:r>
              <w:rPr>
                <w:sz w:val="18"/>
              </w:rPr>
              <w:t>Ingresos</w:t>
            </w:r>
            <w:r>
              <w:rPr>
                <w:spacing w:val="-2"/>
                <w:sz w:val="18"/>
              </w:rPr>
              <w:t> </w:t>
            </w:r>
            <w:r>
              <w:rPr>
                <w:sz w:val="18"/>
              </w:rPr>
              <w:t>bono</w:t>
            </w:r>
            <w:r>
              <w:rPr>
                <w:spacing w:val="-3"/>
                <w:sz w:val="18"/>
              </w:rPr>
              <w:t> </w:t>
            </w:r>
            <w:r>
              <w:rPr>
                <w:sz w:val="18"/>
              </w:rPr>
              <w:t>2 </w:t>
            </w:r>
            <w:r>
              <w:rPr>
                <w:spacing w:val="-2"/>
                <w:sz w:val="18"/>
              </w:rPr>
              <w:t>viajes</w:t>
            </w:r>
          </w:p>
        </w:tc>
        <w:tc>
          <w:tcPr>
            <w:tcW w:w="1503" w:type="dxa"/>
          </w:tcPr>
          <w:p>
            <w:pPr>
              <w:pStyle w:val="TableParagraph"/>
              <w:spacing w:before="50"/>
              <w:ind w:right="111"/>
              <w:jc w:val="right"/>
              <w:rPr>
                <w:sz w:val="18"/>
              </w:rPr>
            </w:pPr>
            <w:r>
              <w:rPr>
                <w:spacing w:val="-2"/>
                <w:sz w:val="18"/>
              </w:rPr>
              <w:t>8.846,92</w:t>
            </w:r>
          </w:p>
        </w:tc>
        <w:tc>
          <w:tcPr>
            <w:tcW w:w="1417" w:type="dxa"/>
          </w:tcPr>
          <w:p>
            <w:pPr>
              <w:pStyle w:val="TableParagraph"/>
              <w:spacing w:before="50"/>
              <w:ind w:right="69"/>
              <w:jc w:val="right"/>
              <w:rPr>
                <w:sz w:val="18"/>
              </w:rPr>
            </w:pPr>
            <w:r>
              <w:rPr>
                <w:spacing w:val="-2"/>
                <w:sz w:val="18"/>
              </w:rPr>
              <w:t>12.040,24</w:t>
            </w:r>
          </w:p>
        </w:tc>
      </w:tr>
      <w:tr>
        <w:trPr>
          <w:trHeight w:val="315" w:hRule="atLeast"/>
        </w:trPr>
        <w:tc>
          <w:tcPr>
            <w:tcW w:w="5251" w:type="dxa"/>
          </w:tcPr>
          <w:p>
            <w:pPr>
              <w:pStyle w:val="TableParagraph"/>
              <w:spacing w:before="50"/>
              <w:ind w:left="50"/>
              <w:rPr>
                <w:sz w:val="18"/>
              </w:rPr>
            </w:pPr>
            <w:r>
              <w:rPr>
                <w:sz w:val="18"/>
              </w:rPr>
              <w:t>Ingresos</w:t>
            </w:r>
            <w:r>
              <w:rPr>
                <w:spacing w:val="-3"/>
                <w:sz w:val="18"/>
              </w:rPr>
              <w:t> </w:t>
            </w:r>
            <w:r>
              <w:rPr>
                <w:sz w:val="18"/>
              </w:rPr>
              <w:t>tarjeta </w:t>
            </w:r>
            <w:r>
              <w:rPr>
                <w:spacing w:val="-2"/>
                <w:sz w:val="18"/>
              </w:rPr>
              <w:t>TransGC</w:t>
            </w:r>
          </w:p>
        </w:tc>
        <w:tc>
          <w:tcPr>
            <w:tcW w:w="1503" w:type="dxa"/>
          </w:tcPr>
          <w:p>
            <w:pPr>
              <w:pStyle w:val="TableParagraph"/>
              <w:spacing w:before="50"/>
              <w:ind w:right="111"/>
              <w:jc w:val="right"/>
              <w:rPr>
                <w:sz w:val="18"/>
              </w:rPr>
            </w:pPr>
            <w:r>
              <w:rPr>
                <w:spacing w:val="-2"/>
                <w:sz w:val="18"/>
              </w:rPr>
              <w:t>51.630,83</w:t>
            </w:r>
          </w:p>
        </w:tc>
        <w:tc>
          <w:tcPr>
            <w:tcW w:w="1417" w:type="dxa"/>
          </w:tcPr>
          <w:p>
            <w:pPr>
              <w:pStyle w:val="TableParagraph"/>
              <w:spacing w:before="50"/>
              <w:ind w:right="69"/>
              <w:jc w:val="right"/>
              <w:rPr>
                <w:sz w:val="18"/>
              </w:rPr>
            </w:pPr>
            <w:r>
              <w:rPr>
                <w:spacing w:val="-2"/>
                <w:sz w:val="18"/>
              </w:rPr>
              <w:t>80.439,45</w:t>
            </w:r>
          </w:p>
        </w:tc>
      </w:tr>
      <w:tr>
        <w:trPr>
          <w:trHeight w:val="315" w:hRule="atLeast"/>
        </w:trPr>
        <w:tc>
          <w:tcPr>
            <w:tcW w:w="5251" w:type="dxa"/>
          </w:tcPr>
          <w:p>
            <w:pPr>
              <w:pStyle w:val="TableParagraph"/>
              <w:spacing w:before="52"/>
              <w:ind w:left="50"/>
              <w:rPr>
                <w:sz w:val="18"/>
              </w:rPr>
            </w:pPr>
            <w:r>
              <w:rPr>
                <w:sz w:val="18"/>
              </w:rPr>
              <w:t>Ingresos</w:t>
            </w:r>
            <w:r>
              <w:rPr>
                <w:spacing w:val="-4"/>
                <w:sz w:val="18"/>
              </w:rPr>
              <w:t> </w:t>
            </w:r>
            <w:r>
              <w:rPr>
                <w:sz w:val="18"/>
              </w:rPr>
              <w:t>bono</w:t>
            </w:r>
            <w:r>
              <w:rPr>
                <w:spacing w:val="-3"/>
                <w:sz w:val="18"/>
              </w:rPr>
              <w:t> </w:t>
            </w:r>
            <w:r>
              <w:rPr>
                <w:spacing w:val="-2"/>
                <w:sz w:val="18"/>
              </w:rPr>
              <w:t>estudiantes</w:t>
            </w:r>
          </w:p>
        </w:tc>
        <w:tc>
          <w:tcPr>
            <w:tcW w:w="1503" w:type="dxa"/>
          </w:tcPr>
          <w:p>
            <w:pPr>
              <w:pStyle w:val="TableParagraph"/>
              <w:spacing w:before="52"/>
              <w:ind w:right="111"/>
              <w:jc w:val="right"/>
              <w:rPr>
                <w:sz w:val="18"/>
              </w:rPr>
            </w:pPr>
            <w:r>
              <w:rPr>
                <w:spacing w:val="-2"/>
                <w:sz w:val="18"/>
              </w:rPr>
              <w:t>30.689,34</w:t>
            </w:r>
          </w:p>
        </w:tc>
        <w:tc>
          <w:tcPr>
            <w:tcW w:w="1417" w:type="dxa"/>
          </w:tcPr>
          <w:p>
            <w:pPr>
              <w:pStyle w:val="TableParagraph"/>
              <w:spacing w:before="52"/>
              <w:ind w:right="69"/>
              <w:jc w:val="right"/>
              <w:rPr>
                <w:sz w:val="18"/>
              </w:rPr>
            </w:pPr>
            <w:r>
              <w:rPr>
                <w:spacing w:val="-2"/>
                <w:sz w:val="18"/>
              </w:rPr>
              <w:t>38.395,98</w:t>
            </w:r>
          </w:p>
        </w:tc>
      </w:tr>
      <w:tr>
        <w:trPr>
          <w:trHeight w:val="314" w:hRule="atLeast"/>
        </w:trPr>
        <w:tc>
          <w:tcPr>
            <w:tcW w:w="5251" w:type="dxa"/>
          </w:tcPr>
          <w:p>
            <w:pPr>
              <w:pStyle w:val="TableParagraph"/>
              <w:spacing w:before="50"/>
              <w:ind w:left="50"/>
              <w:rPr>
                <w:sz w:val="18"/>
              </w:rPr>
            </w:pPr>
            <w:r>
              <w:rPr>
                <w:sz w:val="18"/>
              </w:rPr>
              <w:t>Ingresos</w:t>
            </w:r>
            <w:r>
              <w:rPr>
                <w:spacing w:val="-4"/>
                <w:sz w:val="18"/>
              </w:rPr>
              <w:t> </w:t>
            </w:r>
            <w:r>
              <w:rPr>
                <w:sz w:val="18"/>
              </w:rPr>
              <w:t>familia</w:t>
            </w:r>
            <w:r>
              <w:rPr>
                <w:spacing w:val="-4"/>
                <w:sz w:val="18"/>
              </w:rPr>
              <w:t> </w:t>
            </w:r>
            <w:r>
              <w:rPr>
                <w:spacing w:val="-2"/>
                <w:sz w:val="18"/>
              </w:rPr>
              <w:t>numerosa</w:t>
            </w:r>
          </w:p>
        </w:tc>
        <w:tc>
          <w:tcPr>
            <w:tcW w:w="1503" w:type="dxa"/>
          </w:tcPr>
          <w:p>
            <w:pPr>
              <w:pStyle w:val="TableParagraph"/>
              <w:spacing w:before="50"/>
              <w:ind w:right="111"/>
              <w:jc w:val="right"/>
              <w:rPr>
                <w:sz w:val="18"/>
              </w:rPr>
            </w:pPr>
            <w:r>
              <w:rPr>
                <w:spacing w:val="-2"/>
                <w:sz w:val="18"/>
              </w:rPr>
              <w:t>6.903,18</w:t>
            </w:r>
          </w:p>
        </w:tc>
        <w:tc>
          <w:tcPr>
            <w:tcW w:w="1417" w:type="dxa"/>
          </w:tcPr>
          <w:p>
            <w:pPr>
              <w:pStyle w:val="TableParagraph"/>
              <w:spacing w:before="50"/>
              <w:ind w:right="69"/>
              <w:jc w:val="right"/>
              <w:rPr>
                <w:sz w:val="18"/>
              </w:rPr>
            </w:pPr>
            <w:r>
              <w:rPr>
                <w:spacing w:val="-2"/>
                <w:sz w:val="18"/>
              </w:rPr>
              <w:t>15.747,07</w:t>
            </w:r>
          </w:p>
        </w:tc>
      </w:tr>
      <w:tr>
        <w:trPr>
          <w:trHeight w:val="314" w:hRule="atLeast"/>
        </w:trPr>
        <w:tc>
          <w:tcPr>
            <w:tcW w:w="5251" w:type="dxa"/>
          </w:tcPr>
          <w:p>
            <w:pPr>
              <w:pStyle w:val="TableParagraph"/>
              <w:spacing w:before="50"/>
              <w:ind w:left="50"/>
              <w:rPr>
                <w:sz w:val="18"/>
              </w:rPr>
            </w:pPr>
            <w:r>
              <w:rPr>
                <w:sz w:val="18"/>
              </w:rPr>
              <w:t>Ingresos</w:t>
            </w:r>
            <w:r>
              <w:rPr>
                <w:spacing w:val="-4"/>
                <w:sz w:val="18"/>
              </w:rPr>
              <w:t> </w:t>
            </w:r>
            <w:r>
              <w:rPr>
                <w:sz w:val="18"/>
              </w:rPr>
              <w:t>bono</w:t>
            </w:r>
            <w:r>
              <w:rPr>
                <w:spacing w:val="-3"/>
                <w:sz w:val="18"/>
              </w:rPr>
              <w:t> </w:t>
            </w:r>
            <w:r>
              <w:rPr>
                <w:spacing w:val="-2"/>
                <w:sz w:val="18"/>
              </w:rPr>
              <w:t>solidario</w:t>
            </w:r>
          </w:p>
        </w:tc>
        <w:tc>
          <w:tcPr>
            <w:tcW w:w="1503" w:type="dxa"/>
          </w:tcPr>
          <w:p>
            <w:pPr>
              <w:pStyle w:val="TableParagraph"/>
              <w:spacing w:before="50"/>
              <w:ind w:right="111"/>
              <w:jc w:val="right"/>
              <w:rPr>
                <w:sz w:val="18"/>
              </w:rPr>
            </w:pPr>
            <w:r>
              <w:rPr>
                <w:spacing w:val="-2"/>
                <w:sz w:val="18"/>
              </w:rPr>
              <w:t>11.422,73</w:t>
            </w:r>
          </w:p>
        </w:tc>
        <w:tc>
          <w:tcPr>
            <w:tcW w:w="1417" w:type="dxa"/>
          </w:tcPr>
          <w:p>
            <w:pPr>
              <w:pStyle w:val="TableParagraph"/>
              <w:spacing w:before="50"/>
              <w:ind w:right="69"/>
              <w:jc w:val="right"/>
              <w:rPr>
                <w:sz w:val="18"/>
              </w:rPr>
            </w:pPr>
            <w:r>
              <w:rPr>
                <w:spacing w:val="-2"/>
                <w:sz w:val="18"/>
              </w:rPr>
              <w:t>21.367,35</w:t>
            </w:r>
          </w:p>
        </w:tc>
      </w:tr>
      <w:tr>
        <w:trPr>
          <w:trHeight w:val="315" w:hRule="atLeast"/>
        </w:trPr>
        <w:tc>
          <w:tcPr>
            <w:tcW w:w="5251" w:type="dxa"/>
          </w:tcPr>
          <w:p>
            <w:pPr>
              <w:pStyle w:val="TableParagraph"/>
              <w:spacing w:before="50"/>
              <w:ind w:left="50"/>
              <w:rPr>
                <w:sz w:val="18"/>
              </w:rPr>
            </w:pPr>
            <w:r>
              <w:rPr>
                <w:sz w:val="18"/>
              </w:rPr>
              <w:t>Ingresos</w:t>
            </w:r>
            <w:r>
              <w:rPr>
                <w:spacing w:val="-4"/>
                <w:sz w:val="18"/>
              </w:rPr>
              <w:t> </w:t>
            </w:r>
            <w:r>
              <w:rPr>
                <w:sz w:val="18"/>
              </w:rPr>
              <w:t>bono</w:t>
            </w:r>
            <w:r>
              <w:rPr>
                <w:spacing w:val="-5"/>
                <w:sz w:val="18"/>
              </w:rPr>
              <w:t> </w:t>
            </w:r>
            <w:r>
              <w:rPr>
                <w:sz w:val="18"/>
              </w:rPr>
              <w:t>residente</w:t>
            </w:r>
            <w:r>
              <w:rPr>
                <w:spacing w:val="-4"/>
                <w:sz w:val="18"/>
              </w:rPr>
              <w:t> </w:t>
            </w:r>
            <w:r>
              <w:rPr>
                <w:spacing w:val="-2"/>
                <w:sz w:val="18"/>
              </w:rPr>
              <w:t>canario</w:t>
            </w:r>
          </w:p>
        </w:tc>
        <w:tc>
          <w:tcPr>
            <w:tcW w:w="1503" w:type="dxa"/>
          </w:tcPr>
          <w:p>
            <w:pPr>
              <w:pStyle w:val="TableParagraph"/>
              <w:spacing w:before="50"/>
              <w:ind w:right="110"/>
              <w:jc w:val="right"/>
              <w:rPr>
                <w:sz w:val="18"/>
              </w:rPr>
            </w:pPr>
            <w:r>
              <w:rPr>
                <w:spacing w:val="-2"/>
                <w:sz w:val="18"/>
              </w:rPr>
              <w:t>514.971,93</w:t>
            </w:r>
          </w:p>
        </w:tc>
        <w:tc>
          <w:tcPr>
            <w:tcW w:w="1417" w:type="dxa"/>
          </w:tcPr>
          <w:p>
            <w:pPr>
              <w:pStyle w:val="TableParagraph"/>
              <w:spacing w:before="50"/>
              <w:ind w:right="68"/>
              <w:jc w:val="right"/>
              <w:rPr>
                <w:sz w:val="18"/>
              </w:rPr>
            </w:pPr>
            <w:r>
              <w:rPr>
                <w:spacing w:val="-2"/>
                <w:sz w:val="18"/>
              </w:rPr>
              <w:t>622.335,12</w:t>
            </w:r>
          </w:p>
        </w:tc>
      </w:tr>
      <w:tr>
        <w:trPr>
          <w:trHeight w:val="315" w:hRule="atLeast"/>
        </w:trPr>
        <w:tc>
          <w:tcPr>
            <w:tcW w:w="5251" w:type="dxa"/>
          </w:tcPr>
          <w:p>
            <w:pPr>
              <w:pStyle w:val="TableParagraph"/>
              <w:spacing w:before="52"/>
              <w:ind w:left="50"/>
              <w:rPr>
                <w:sz w:val="18"/>
              </w:rPr>
            </w:pPr>
            <w:r>
              <w:rPr>
                <w:sz w:val="18"/>
              </w:rPr>
              <w:t>Ingresos</w:t>
            </w:r>
            <w:r>
              <w:rPr>
                <w:spacing w:val="-1"/>
                <w:sz w:val="18"/>
              </w:rPr>
              <w:t> </w:t>
            </w:r>
            <w:r>
              <w:rPr>
                <w:sz w:val="18"/>
              </w:rPr>
              <w:t>bono</w:t>
            </w:r>
            <w:r>
              <w:rPr>
                <w:spacing w:val="-5"/>
                <w:sz w:val="18"/>
              </w:rPr>
              <w:t> </w:t>
            </w:r>
            <w:r>
              <w:rPr>
                <w:sz w:val="18"/>
              </w:rPr>
              <w:t>Wawa</w:t>
            </w:r>
            <w:r>
              <w:rPr>
                <w:spacing w:val="-3"/>
                <w:sz w:val="18"/>
              </w:rPr>
              <w:t> </w:t>
            </w:r>
            <w:r>
              <w:rPr>
                <w:spacing w:val="-2"/>
                <w:sz w:val="18"/>
              </w:rPr>
              <w:t>joven</w:t>
            </w:r>
          </w:p>
        </w:tc>
        <w:tc>
          <w:tcPr>
            <w:tcW w:w="1503" w:type="dxa"/>
          </w:tcPr>
          <w:p>
            <w:pPr>
              <w:pStyle w:val="TableParagraph"/>
              <w:spacing w:before="52"/>
              <w:ind w:right="110"/>
              <w:jc w:val="right"/>
              <w:rPr>
                <w:sz w:val="18"/>
              </w:rPr>
            </w:pPr>
            <w:r>
              <w:rPr>
                <w:spacing w:val="-2"/>
                <w:sz w:val="18"/>
              </w:rPr>
              <w:t>216.741,49</w:t>
            </w:r>
          </w:p>
        </w:tc>
        <w:tc>
          <w:tcPr>
            <w:tcW w:w="1417" w:type="dxa"/>
          </w:tcPr>
          <w:p>
            <w:pPr>
              <w:pStyle w:val="TableParagraph"/>
              <w:spacing w:before="52"/>
              <w:ind w:right="68"/>
              <w:jc w:val="right"/>
              <w:rPr>
                <w:sz w:val="18"/>
              </w:rPr>
            </w:pPr>
            <w:r>
              <w:rPr>
                <w:spacing w:val="-2"/>
                <w:sz w:val="18"/>
              </w:rPr>
              <w:t>285.049,21</w:t>
            </w:r>
          </w:p>
        </w:tc>
      </w:tr>
      <w:tr>
        <w:trPr>
          <w:trHeight w:val="314" w:hRule="atLeast"/>
        </w:trPr>
        <w:tc>
          <w:tcPr>
            <w:tcW w:w="5251" w:type="dxa"/>
          </w:tcPr>
          <w:p>
            <w:pPr>
              <w:pStyle w:val="TableParagraph"/>
              <w:spacing w:before="50"/>
              <w:ind w:left="50"/>
              <w:rPr>
                <w:sz w:val="18"/>
              </w:rPr>
            </w:pPr>
            <w:r>
              <w:rPr>
                <w:sz w:val="18"/>
              </w:rPr>
              <w:t>Ingresos</w:t>
            </w:r>
            <w:r>
              <w:rPr>
                <w:spacing w:val="-4"/>
                <w:sz w:val="18"/>
              </w:rPr>
              <w:t> </w:t>
            </w:r>
            <w:r>
              <w:rPr>
                <w:sz w:val="18"/>
              </w:rPr>
              <w:t>bono</w:t>
            </w:r>
            <w:r>
              <w:rPr>
                <w:spacing w:val="-3"/>
                <w:sz w:val="18"/>
              </w:rPr>
              <w:t> </w:t>
            </w:r>
            <w:r>
              <w:rPr>
                <w:spacing w:val="-5"/>
                <w:sz w:val="18"/>
              </w:rPr>
              <w:t>oro</w:t>
            </w:r>
          </w:p>
        </w:tc>
        <w:tc>
          <w:tcPr>
            <w:tcW w:w="1503" w:type="dxa"/>
          </w:tcPr>
          <w:p>
            <w:pPr>
              <w:pStyle w:val="TableParagraph"/>
              <w:spacing w:before="50"/>
              <w:ind w:right="111"/>
              <w:jc w:val="right"/>
              <w:rPr>
                <w:sz w:val="18"/>
              </w:rPr>
            </w:pPr>
            <w:r>
              <w:rPr>
                <w:spacing w:val="-2"/>
                <w:sz w:val="18"/>
              </w:rPr>
              <w:t>5.195,42</w:t>
            </w:r>
          </w:p>
        </w:tc>
        <w:tc>
          <w:tcPr>
            <w:tcW w:w="1417" w:type="dxa"/>
          </w:tcPr>
          <w:p>
            <w:pPr>
              <w:pStyle w:val="TableParagraph"/>
              <w:spacing w:before="50"/>
              <w:ind w:right="68"/>
              <w:jc w:val="right"/>
              <w:rPr>
                <w:sz w:val="18"/>
              </w:rPr>
            </w:pPr>
            <w:r>
              <w:rPr>
                <w:spacing w:val="-2"/>
                <w:sz w:val="18"/>
              </w:rPr>
              <w:t>6.411,32</w:t>
            </w:r>
          </w:p>
        </w:tc>
      </w:tr>
      <w:tr>
        <w:trPr>
          <w:trHeight w:val="314" w:hRule="atLeast"/>
        </w:trPr>
        <w:tc>
          <w:tcPr>
            <w:tcW w:w="5251" w:type="dxa"/>
          </w:tcPr>
          <w:p>
            <w:pPr>
              <w:pStyle w:val="TableParagraph"/>
              <w:spacing w:before="50"/>
              <w:ind w:left="50"/>
              <w:rPr>
                <w:sz w:val="18"/>
              </w:rPr>
            </w:pPr>
            <w:r>
              <w:rPr>
                <w:sz w:val="18"/>
              </w:rPr>
              <w:t>Subvención</w:t>
            </w:r>
            <w:r>
              <w:rPr>
                <w:spacing w:val="1"/>
                <w:sz w:val="18"/>
              </w:rPr>
              <w:t> </w:t>
            </w:r>
            <w:r>
              <w:rPr>
                <w:spacing w:val="-2"/>
                <w:sz w:val="18"/>
              </w:rPr>
              <w:t>estudiante</w:t>
            </w:r>
          </w:p>
        </w:tc>
        <w:tc>
          <w:tcPr>
            <w:tcW w:w="1503" w:type="dxa"/>
          </w:tcPr>
          <w:p>
            <w:pPr>
              <w:pStyle w:val="TableParagraph"/>
              <w:spacing w:before="50"/>
              <w:ind w:right="110"/>
              <w:jc w:val="right"/>
              <w:rPr>
                <w:sz w:val="18"/>
              </w:rPr>
            </w:pPr>
            <w:r>
              <w:rPr>
                <w:spacing w:val="-2"/>
                <w:sz w:val="18"/>
              </w:rPr>
              <w:t>613.558,43</w:t>
            </w:r>
          </w:p>
        </w:tc>
        <w:tc>
          <w:tcPr>
            <w:tcW w:w="1417" w:type="dxa"/>
          </w:tcPr>
          <w:p>
            <w:pPr>
              <w:pStyle w:val="TableParagraph"/>
              <w:spacing w:before="50"/>
              <w:ind w:right="68"/>
              <w:jc w:val="right"/>
              <w:rPr>
                <w:sz w:val="18"/>
              </w:rPr>
            </w:pPr>
            <w:r>
              <w:rPr>
                <w:spacing w:val="-2"/>
                <w:sz w:val="18"/>
              </w:rPr>
              <w:t>613.558,43</w:t>
            </w:r>
          </w:p>
        </w:tc>
      </w:tr>
      <w:tr>
        <w:trPr>
          <w:trHeight w:val="315" w:hRule="atLeast"/>
        </w:trPr>
        <w:tc>
          <w:tcPr>
            <w:tcW w:w="5251" w:type="dxa"/>
          </w:tcPr>
          <w:p>
            <w:pPr>
              <w:pStyle w:val="TableParagraph"/>
              <w:spacing w:before="50"/>
              <w:ind w:left="50"/>
              <w:rPr>
                <w:sz w:val="18"/>
              </w:rPr>
            </w:pPr>
            <w:r>
              <w:rPr>
                <w:sz w:val="18"/>
              </w:rPr>
              <w:t>Subvención</w:t>
            </w:r>
            <w:r>
              <w:rPr>
                <w:spacing w:val="-4"/>
                <w:sz w:val="18"/>
              </w:rPr>
              <w:t> </w:t>
            </w:r>
            <w:r>
              <w:rPr>
                <w:sz w:val="18"/>
              </w:rPr>
              <w:t>jubilados,</w:t>
            </w:r>
            <w:r>
              <w:rPr>
                <w:spacing w:val="-4"/>
                <w:sz w:val="18"/>
              </w:rPr>
              <w:t> </w:t>
            </w:r>
            <w:r>
              <w:rPr>
                <w:sz w:val="18"/>
              </w:rPr>
              <w:t>familia</w:t>
            </w:r>
            <w:r>
              <w:rPr>
                <w:spacing w:val="-4"/>
                <w:sz w:val="18"/>
              </w:rPr>
              <w:t> </w:t>
            </w:r>
            <w:r>
              <w:rPr>
                <w:sz w:val="18"/>
              </w:rPr>
              <w:t>numerosa</w:t>
            </w:r>
            <w:r>
              <w:rPr>
                <w:spacing w:val="-3"/>
                <w:sz w:val="18"/>
              </w:rPr>
              <w:t> </w:t>
            </w:r>
            <w:r>
              <w:rPr>
                <w:spacing w:val="-2"/>
                <w:sz w:val="18"/>
              </w:rPr>
              <w:t>general/especial</w:t>
            </w:r>
          </w:p>
        </w:tc>
        <w:tc>
          <w:tcPr>
            <w:tcW w:w="1503" w:type="dxa"/>
          </w:tcPr>
          <w:p>
            <w:pPr>
              <w:pStyle w:val="TableParagraph"/>
              <w:spacing w:before="50"/>
              <w:ind w:right="111"/>
              <w:jc w:val="right"/>
              <w:rPr>
                <w:sz w:val="18"/>
              </w:rPr>
            </w:pPr>
            <w:r>
              <w:rPr>
                <w:spacing w:val="-2"/>
                <w:sz w:val="18"/>
              </w:rPr>
              <w:t>1.272.975,02</w:t>
            </w:r>
          </w:p>
        </w:tc>
        <w:tc>
          <w:tcPr>
            <w:tcW w:w="1417" w:type="dxa"/>
          </w:tcPr>
          <w:p>
            <w:pPr>
              <w:pStyle w:val="TableParagraph"/>
              <w:spacing w:before="50"/>
              <w:ind w:right="69"/>
              <w:jc w:val="right"/>
              <w:rPr>
                <w:sz w:val="18"/>
              </w:rPr>
            </w:pPr>
            <w:r>
              <w:rPr>
                <w:spacing w:val="-2"/>
                <w:sz w:val="18"/>
              </w:rPr>
              <w:t>1.317.678,07</w:t>
            </w:r>
          </w:p>
        </w:tc>
      </w:tr>
      <w:tr>
        <w:trPr>
          <w:trHeight w:val="315" w:hRule="atLeast"/>
        </w:trPr>
        <w:tc>
          <w:tcPr>
            <w:tcW w:w="5251" w:type="dxa"/>
          </w:tcPr>
          <w:p>
            <w:pPr>
              <w:pStyle w:val="TableParagraph"/>
              <w:spacing w:before="52"/>
              <w:ind w:left="50"/>
              <w:rPr>
                <w:sz w:val="18"/>
              </w:rPr>
            </w:pPr>
            <w:r>
              <w:rPr>
                <w:sz w:val="18"/>
              </w:rPr>
              <w:t>Subvención</w:t>
            </w:r>
            <w:r>
              <w:rPr>
                <w:spacing w:val="1"/>
                <w:sz w:val="18"/>
              </w:rPr>
              <w:t> </w:t>
            </w:r>
            <w:r>
              <w:rPr>
                <w:spacing w:val="-2"/>
                <w:sz w:val="18"/>
              </w:rPr>
              <w:t>desempleado</w:t>
            </w:r>
          </w:p>
        </w:tc>
        <w:tc>
          <w:tcPr>
            <w:tcW w:w="1503" w:type="dxa"/>
          </w:tcPr>
          <w:p>
            <w:pPr>
              <w:pStyle w:val="TableParagraph"/>
              <w:spacing w:before="52"/>
              <w:ind w:right="111"/>
              <w:jc w:val="right"/>
              <w:rPr>
                <w:sz w:val="18"/>
              </w:rPr>
            </w:pPr>
            <w:r>
              <w:rPr>
                <w:spacing w:val="-2"/>
                <w:sz w:val="18"/>
              </w:rPr>
              <w:t>67.332,15</w:t>
            </w:r>
          </w:p>
        </w:tc>
        <w:tc>
          <w:tcPr>
            <w:tcW w:w="1417" w:type="dxa"/>
          </w:tcPr>
          <w:p>
            <w:pPr>
              <w:pStyle w:val="TableParagraph"/>
              <w:spacing w:before="52"/>
              <w:ind w:right="68"/>
              <w:jc w:val="right"/>
              <w:rPr>
                <w:sz w:val="18"/>
              </w:rPr>
            </w:pPr>
            <w:r>
              <w:rPr>
                <w:spacing w:val="-2"/>
                <w:sz w:val="18"/>
              </w:rPr>
              <w:t>131.965,23</w:t>
            </w:r>
          </w:p>
        </w:tc>
      </w:tr>
      <w:tr>
        <w:trPr>
          <w:trHeight w:val="314" w:hRule="atLeast"/>
        </w:trPr>
        <w:tc>
          <w:tcPr>
            <w:tcW w:w="5251" w:type="dxa"/>
          </w:tcPr>
          <w:p>
            <w:pPr>
              <w:pStyle w:val="TableParagraph"/>
              <w:spacing w:before="50"/>
              <w:ind w:left="50"/>
              <w:rPr>
                <w:sz w:val="18"/>
              </w:rPr>
            </w:pPr>
            <w:r>
              <w:rPr>
                <w:sz w:val="18"/>
              </w:rPr>
              <w:t>Subvención</w:t>
            </w:r>
            <w:r>
              <w:rPr>
                <w:spacing w:val="-3"/>
                <w:sz w:val="18"/>
              </w:rPr>
              <w:t> </w:t>
            </w:r>
            <w:r>
              <w:rPr>
                <w:sz w:val="18"/>
              </w:rPr>
              <w:t>bono</w:t>
            </w:r>
            <w:r>
              <w:rPr>
                <w:spacing w:val="-4"/>
                <w:sz w:val="18"/>
              </w:rPr>
              <w:t> </w:t>
            </w:r>
            <w:r>
              <w:rPr>
                <w:sz w:val="18"/>
              </w:rPr>
              <w:t>Global-</w:t>
            </w:r>
            <w:r>
              <w:rPr>
                <w:spacing w:val="-2"/>
                <w:sz w:val="18"/>
              </w:rPr>
              <w:t>Guaguas</w:t>
            </w:r>
          </w:p>
        </w:tc>
        <w:tc>
          <w:tcPr>
            <w:tcW w:w="1503" w:type="dxa"/>
          </w:tcPr>
          <w:p>
            <w:pPr>
              <w:pStyle w:val="TableParagraph"/>
              <w:spacing w:before="50"/>
              <w:ind w:right="111"/>
              <w:jc w:val="right"/>
              <w:rPr>
                <w:sz w:val="18"/>
              </w:rPr>
            </w:pPr>
            <w:r>
              <w:rPr>
                <w:spacing w:val="-2"/>
                <w:sz w:val="18"/>
              </w:rPr>
              <w:t>1.716.347,79</w:t>
            </w:r>
          </w:p>
        </w:tc>
        <w:tc>
          <w:tcPr>
            <w:tcW w:w="1417" w:type="dxa"/>
          </w:tcPr>
          <w:p>
            <w:pPr>
              <w:pStyle w:val="TableParagraph"/>
              <w:spacing w:before="50"/>
              <w:ind w:right="69"/>
              <w:jc w:val="right"/>
              <w:rPr>
                <w:sz w:val="18"/>
              </w:rPr>
            </w:pPr>
            <w:r>
              <w:rPr>
                <w:spacing w:val="-2"/>
                <w:sz w:val="18"/>
              </w:rPr>
              <w:t>1.716.347,79</w:t>
            </w:r>
          </w:p>
        </w:tc>
      </w:tr>
      <w:tr>
        <w:trPr>
          <w:trHeight w:val="314" w:hRule="atLeast"/>
        </w:trPr>
        <w:tc>
          <w:tcPr>
            <w:tcW w:w="5251" w:type="dxa"/>
          </w:tcPr>
          <w:p>
            <w:pPr>
              <w:pStyle w:val="TableParagraph"/>
              <w:spacing w:before="50"/>
              <w:ind w:left="50"/>
              <w:rPr>
                <w:sz w:val="18"/>
              </w:rPr>
            </w:pPr>
            <w:r>
              <w:rPr>
                <w:sz w:val="18"/>
              </w:rPr>
              <w:t>Subvención</w:t>
            </w:r>
            <w:r>
              <w:rPr>
                <w:spacing w:val="-1"/>
                <w:sz w:val="18"/>
              </w:rPr>
              <w:t> </w:t>
            </w:r>
            <w:r>
              <w:rPr>
                <w:sz w:val="18"/>
              </w:rPr>
              <w:t>bono</w:t>
            </w:r>
            <w:r>
              <w:rPr>
                <w:spacing w:val="-4"/>
                <w:sz w:val="18"/>
              </w:rPr>
              <w:t> </w:t>
            </w:r>
            <w:r>
              <w:rPr>
                <w:sz w:val="18"/>
              </w:rPr>
              <w:t>Residente,</w:t>
            </w:r>
            <w:r>
              <w:rPr>
                <w:spacing w:val="-5"/>
                <w:sz w:val="18"/>
              </w:rPr>
              <w:t> </w:t>
            </w:r>
            <w:r>
              <w:rPr>
                <w:sz w:val="18"/>
              </w:rPr>
              <w:t>Wawa</w:t>
            </w:r>
            <w:r>
              <w:rPr>
                <w:spacing w:val="-4"/>
                <w:sz w:val="18"/>
              </w:rPr>
              <w:t> </w:t>
            </w:r>
            <w:r>
              <w:rPr>
                <w:sz w:val="18"/>
              </w:rPr>
              <w:t>Joven,</w:t>
            </w:r>
            <w:r>
              <w:rPr>
                <w:spacing w:val="-1"/>
                <w:sz w:val="18"/>
              </w:rPr>
              <w:t> </w:t>
            </w:r>
            <w:r>
              <w:rPr>
                <w:sz w:val="18"/>
              </w:rPr>
              <w:t>Oro</w:t>
            </w:r>
            <w:r>
              <w:rPr>
                <w:spacing w:val="-4"/>
                <w:sz w:val="18"/>
              </w:rPr>
              <w:t> </w:t>
            </w:r>
            <w:r>
              <w:rPr>
                <w:sz w:val="18"/>
              </w:rPr>
              <w:t>+</w:t>
            </w:r>
            <w:r>
              <w:rPr>
                <w:spacing w:val="-1"/>
                <w:sz w:val="18"/>
              </w:rPr>
              <w:t> </w:t>
            </w:r>
            <w:r>
              <w:rPr>
                <w:spacing w:val="-2"/>
                <w:sz w:val="18"/>
              </w:rPr>
              <w:t>Otros*</w:t>
            </w:r>
          </w:p>
        </w:tc>
        <w:tc>
          <w:tcPr>
            <w:tcW w:w="1503" w:type="dxa"/>
          </w:tcPr>
          <w:p>
            <w:pPr>
              <w:pStyle w:val="TableParagraph"/>
              <w:spacing w:before="50"/>
              <w:ind w:right="110"/>
              <w:jc w:val="right"/>
              <w:rPr>
                <w:sz w:val="18"/>
              </w:rPr>
            </w:pPr>
            <w:r>
              <w:rPr>
                <w:spacing w:val="-2"/>
                <w:sz w:val="18"/>
              </w:rPr>
              <w:t>35.535.997,20</w:t>
            </w:r>
          </w:p>
        </w:tc>
        <w:tc>
          <w:tcPr>
            <w:tcW w:w="1417" w:type="dxa"/>
          </w:tcPr>
          <w:p>
            <w:pPr>
              <w:pStyle w:val="TableParagraph"/>
              <w:spacing w:before="50"/>
              <w:ind w:right="68"/>
              <w:jc w:val="right"/>
              <w:rPr>
                <w:sz w:val="18"/>
              </w:rPr>
            </w:pPr>
            <w:r>
              <w:rPr>
                <w:spacing w:val="-2"/>
                <w:sz w:val="18"/>
              </w:rPr>
              <w:t>28.131.095,10</w:t>
            </w:r>
          </w:p>
        </w:tc>
      </w:tr>
      <w:tr>
        <w:trPr>
          <w:trHeight w:val="315" w:hRule="atLeast"/>
        </w:trPr>
        <w:tc>
          <w:tcPr>
            <w:tcW w:w="5251" w:type="dxa"/>
          </w:tcPr>
          <w:p>
            <w:pPr>
              <w:pStyle w:val="TableParagraph"/>
              <w:spacing w:before="50"/>
              <w:ind w:left="50"/>
              <w:rPr>
                <w:sz w:val="18"/>
              </w:rPr>
            </w:pPr>
            <w:r>
              <w:rPr>
                <w:sz w:val="18"/>
              </w:rPr>
              <w:t>Subvención</w:t>
            </w:r>
            <w:r>
              <w:rPr>
                <w:spacing w:val="-2"/>
                <w:sz w:val="18"/>
              </w:rPr>
              <w:t> </w:t>
            </w:r>
            <w:r>
              <w:rPr>
                <w:sz w:val="18"/>
              </w:rPr>
              <w:t>Gobierno</w:t>
            </w:r>
            <w:r>
              <w:rPr>
                <w:spacing w:val="-4"/>
                <w:sz w:val="18"/>
              </w:rPr>
              <w:t> </w:t>
            </w:r>
            <w:r>
              <w:rPr>
                <w:sz w:val="18"/>
              </w:rPr>
              <w:t>Estatal</w:t>
            </w:r>
            <w:r>
              <w:rPr>
                <w:spacing w:val="-8"/>
                <w:sz w:val="18"/>
              </w:rPr>
              <w:t> </w:t>
            </w:r>
            <w:r>
              <w:rPr>
                <w:sz w:val="18"/>
              </w:rPr>
              <w:t>Reducción</w:t>
            </w:r>
            <w:r>
              <w:rPr>
                <w:spacing w:val="-1"/>
                <w:sz w:val="18"/>
              </w:rPr>
              <w:t> </w:t>
            </w:r>
            <w:r>
              <w:rPr>
                <w:sz w:val="18"/>
              </w:rPr>
              <w:t>Precio</w:t>
            </w:r>
            <w:r>
              <w:rPr>
                <w:spacing w:val="-5"/>
                <w:sz w:val="18"/>
              </w:rPr>
              <w:t> 20%</w:t>
            </w:r>
          </w:p>
        </w:tc>
        <w:tc>
          <w:tcPr>
            <w:tcW w:w="1503" w:type="dxa"/>
          </w:tcPr>
          <w:p>
            <w:pPr>
              <w:pStyle w:val="TableParagraph"/>
              <w:spacing w:before="50"/>
              <w:ind w:right="109"/>
              <w:jc w:val="right"/>
              <w:rPr>
                <w:sz w:val="18"/>
              </w:rPr>
            </w:pPr>
            <w:r>
              <w:rPr>
                <w:spacing w:val="-4"/>
                <w:sz w:val="18"/>
              </w:rPr>
              <w:t>0,00</w:t>
            </w:r>
          </w:p>
        </w:tc>
        <w:tc>
          <w:tcPr>
            <w:tcW w:w="1417" w:type="dxa"/>
          </w:tcPr>
          <w:p>
            <w:pPr>
              <w:pStyle w:val="TableParagraph"/>
              <w:spacing w:before="50"/>
              <w:ind w:right="69"/>
              <w:jc w:val="right"/>
              <w:rPr>
                <w:sz w:val="18"/>
              </w:rPr>
            </w:pPr>
            <w:r>
              <w:rPr>
                <w:spacing w:val="-2"/>
                <w:sz w:val="18"/>
              </w:rPr>
              <w:t>1.557.911,76</w:t>
            </w:r>
          </w:p>
        </w:tc>
      </w:tr>
      <w:tr>
        <w:trPr>
          <w:trHeight w:val="311" w:hRule="atLeast"/>
        </w:trPr>
        <w:tc>
          <w:tcPr>
            <w:tcW w:w="5251" w:type="dxa"/>
          </w:tcPr>
          <w:p>
            <w:pPr>
              <w:pStyle w:val="TableParagraph"/>
              <w:spacing w:before="52"/>
              <w:ind w:left="50"/>
              <w:rPr>
                <w:sz w:val="18"/>
              </w:rPr>
            </w:pPr>
            <w:r>
              <w:rPr>
                <w:sz w:val="18"/>
              </w:rPr>
              <w:t>Ventas</w:t>
            </w:r>
            <w:r>
              <w:rPr>
                <w:spacing w:val="-7"/>
                <w:sz w:val="18"/>
              </w:rPr>
              <w:t> </w:t>
            </w:r>
            <w:r>
              <w:rPr>
                <w:sz w:val="18"/>
              </w:rPr>
              <w:t>de</w:t>
            </w:r>
            <w:r>
              <w:rPr>
                <w:spacing w:val="-4"/>
                <w:sz w:val="18"/>
              </w:rPr>
              <w:t> </w:t>
            </w:r>
            <w:r>
              <w:rPr>
                <w:sz w:val="18"/>
              </w:rPr>
              <w:t>carnet</w:t>
            </w:r>
            <w:r>
              <w:rPr>
                <w:spacing w:val="-2"/>
                <w:sz w:val="18"/>
              </w:rPr>
              <w:t> </w:t>
            </w:r>
            <w:r>
              <w:rPr>
                <w:sz w:val="18"/>
              </w:rPr>
              <w:t>y</w:t>
            </w:r>
            <w:r>
              <w:rPr>
                <w:spacing w:val="-2"/>
                <w:sz w:val="18"/>
              </w:rPr>
              <w:t> </w:t>
            </w:r>
            <w:r>
              <w:rPr>
                <w:sz w:val="18"/>
              </w:rPr>
              <w:t>tarjeta recarga, </w:t>
            </w:r>
            <w:r>
              <w:rPr>
                <w:spacing w:val="-4"/>
                <w:sz w:val="18"/>
              </w:rPr>
              <w:t>otros</w:t>
            </w:r>
          </w:p>
        </w:tc>
        <w:tc>
          <w:tcPr>
            <w:tcW w:w="1503" w:type="dxa"/>
            <w:tcBorders>
              <w:bottom w:val="single" w:sz="4" w:space="0" w:color="000000"/>
            </w:tcBorders>
          </w:tcPr>
          <w:p>
            <w:pPr>
              <w:pStyle w:val="TableParagraph"/>
              <w:spacing w:before="52"/>
              <w:ind w:right="110"/>
              <w:jc w:val="right"/>
              <w:rPr>
                <w:sz w:val="18"/>
              </w:rPr>
            </w:pPr>
            <w:r>
              <w:rPr>
                <w:spacing w:val="-2"/>
                <w:sz w:val="18"/>
              </w:rPr>
              <w:t>251.283,03</w:t>
            </w:r>
          </w:p>
        </w:tc>
        <w:tc>
          <w:tcPr>
            <w:tcW w:w="1417" w:type="dxa"/>
            <w:tcBorders>
              <w:bottom w:val="single" w:sz="4" w:space="0" w:color="000000"/>
            </w:tcBorders>
          </w:tcPr>
          <w:p>
            <w:pPr>
              <w:pStyle w:val="TableParagraph"/>
              <w:spacing w:before="52"/>
              <w:ind w:right="69"/>
              <w:jc w:val="right"/>
              <w:rPr>
                <w:sz w:val="18"/>
              </w:rPr>
            </w:pPr>
            <w:r>
              <w:rPr>
                <w:spacing w:val="-2"/>
                <w:sz w:val="18"/>
              </w:rPr>
              <w:t>89.004,16</w:t>
            </w:r>
          </w:p>
        </w:tc>
      </w:tr>
      <w:tr>
        <w:trPr>
          <w:trHeight w:val="316" w:hRule="atLeast"/>
        </w:trPr>
        <w:tc>
          <w:tcPr>
            <w:tcW w:w="5251" w:type="dxa"/>
          </w:tcPr>
          <w:p>
            <w:pPr>
              <w:pStyle w:val="TableParagraph"/>
              <w:spacing w:before="49"/>
              <w:ind w:right="63"/>
              <w:jc w:val="right"/>
              <w:rPr>
                <w:b/>
                <w:sz w:val="18"/>
              </w:rPr>
            </w:pPr>
            <w:r>
              <w:rPr>
                <w:b/>
                <w:spacing w:val="-2"/>
                <w:sz w:val="18"/>
              </w:rPr>
              <w:t>TOTAL</w:t>
            </w:r>
          </w:p>
        </w:tc>
        <w:tc>
          <w:tcPr>
            <w:tcW w:w="1503" w:type="dxa"/>
            <w:tcBorders>
              <w:top w:val="single" w:sz="4" w:space="0" w:color="000000"/>
              <w:bottom w:val="single" w:sz="4" w:space="0" w:color="000000"/>
            </w:tcBorders>
          </w:tcPr>
          <w:p>
            <w:pPr>
              <w:pStyle w:val="TableParagraph"/>
              <w:spacing w:before="49"/>
              <w:ind w:left="155"/>
              <w:rPr>
                <w:b/>
                <w:sz w:val="18"/>
              </w:rPr>
            </w:pPr>
            <w:r>
              <w:rPr>
                <w:b/>
                <w:spacing w:val="-2"/>
                <w:sz w:val="18"/>
              </w:rPr>
              <w:t>46.521.648,44</w:t>
            </w:r>
          </w:p>
        </w:tc>
        <w:tc>
          <w:tcPr>
            <w:tcW w:w="1417" w:type="dxa"/>
            <w:tcBorders>
              <w:top w:val="single" w:sz="4" w:space="0" w:color="000000"/>
              <w:bottom w:val="single" w:sz="4" w:space="0" w:color="000000"/>
            </w:tcBorders>
          </w:tcPr>
          <w:p>
            <w:pPr>
              <w:pStyle w:val="TableParagraph"/>
              <w:spacing w:before="49"/>
              <w:ind w:left="109"/>
              <w:rPr>
                <w:b/>
                <w:sz w:val="18"/>
              </w:rPr>
            </w:pPr>
            <w:r>
              <w:rPr>
                <w:b/>
                <w:spacing w:val="-2"/>
                <w:sz w:val="18"/>
              </w:rPr>
              <w:t>40.769.348,73</w:t>
            </w:r>
          </w:p>
        </w:tc>
      </w:tr>
    </w:tbl>
    <w:p>
      <w:pPr>
        <w:pStyle w:val="BodyText"/>
        <w:spacing w:before="7"/>
      </w:pPr>
    </w:p>
    <w:p>
      <w:pPr>
        <w:pStyle w:val="BodyText"/>
        <w:ind w:left="1701" w:right="1308"/>
      </w:pPr>
      <w:r>
        <w:rPr/>
        <mc:AlternateContent>
          <mc:Choice Requires="wps">
            <w:drawing>
              <wp:anchor distT="0" distB="0" distL="0" distR="0" allowOverlap="1" layoutInCell="1" locked="0" behindDoc="0" simplePos="0" relativeHeight="15767040">
                <wp:simplePos x="0" y="0"/>
                <wp:positionH relativeFrom="page">
                  <wp:posOffset>6966436</wp:posOffset>
                </wp:positionH>
                <wp:positionV relativeFrom="paragraph">
                  <wp:posOffset>-127356</wp:posOffset>
                </wp:positionV>
                <wp:extent cx="263525" cy="327596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10.028067pt;width:20.75pt;height:257.95pt;mso-position-horizontal-relative:page;mso-position-vertical-relative:paragraph;z-index:15767040" type="#_x0000_t202" id="docshape12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56</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Los</w:t>
      </w:r>
      <w:r>
        <w:rPr>
          <w:spacing w:val="-2"/>
        </w:rPr>
        <w:t> </w:t>
      </w:r>
      <w:r>
        <w:rPr/>
        <w:t>ingresos</w:t>
      </w:r>
      <w:r>
        <w:rPr>
          <w:spacing w:val="-3"/>
        </w:rPr>
        <w:t> </w:t>
      </w:r>
      <w:r>
        <w:rPr/>
        <w:t>de</w:t>
      </w:r>
      <w:r>
        <w:rPr>
          <w:spacing w:val="-3"/>
        </w:rPr>
        <w:t> </w:t>
      </w:r>
      <w:r>
        <w:rPr/>
        <w:t>la</w:t>
      </w:r>
      <w:r>
        <w:rPr>
          <w:spacing w:val="-3"/>
        </w:rPr>
        <w:t> </w:t>
      </w:r>
      <w:r>
        <w:rPr/>
        <w:t>sociedad</w:t>
      </w:r>
      <w:r>
        <w:rPr>
          <w:spacing w:val="-4"/>
        </w:rPr>
        <w:t> </w:t>
      </w:r>
      <w:r>
        <w:rPr/>
        <w:t>se</w:t>
      </w:r>
      <w:r>
        <w:rPr>
          <w:spacing w:val="-5"/>
        </w:rPr>
        <w:t> </w:t>
      </w:r>
      <w:r>
        <w:rPr/>
        <w:t>entienden</w:t>
      </w:r>
      <w:r>
        <w:rPr>
          <w:spacing w:val="-5"/>
        </w:rPr>
        <w:t> </w:t>
      </w:r>
      <w:r>
        <w:rPr/>
        <w:t>como</w:t>
      </w:r>
      <w:r>
        <w:rPr>
          <w:spacing w:val="-5"/>
        </w:rPr>
        <w:t> </w:t>
      </w:r>
      <w:r>
        <w:rPr/>
        <w:t>ingresos</w:t>
      </w:r>
      <w:r>
        <w:rPr>
          <w:spacing w:val="-3"/>
        </w:rPr>
        <w:t> </w:t>
      </w:r>
      <w:r>
        <w:rPr/>
        <w:t>derivados</w:t>
      </w:r>
      <w:r>
        <w:rPr>
          <w:spacing w:val="-2"/>
        </w:rPr>
        <w:t> </w:t>
      </w:r>
      <w:r>
        <w:rPr/>
        <w:t>de</w:t>
      </w:r>
      <w:r>
        <w:rPr>
          <w:spacing w:val="-1"/>
        </w:rPr>
        <w:t> </w:t>
      </w:r>
      <w:r>
        <w:rPr/>
        <w:t>la</w:t>
      </w:r>
      <w:r>
        <w:rPr>
          <w:spacing w:val="-3"/>
        </w:rPr>
        <w:t> </w:t>
      </w:r>
      <w:r>
        <w:rPr/>
        <w:t>prestación</w:t>
      </w:r>
      <w:r>
        <w:rPr>
          <w:spacing w:val="-3"/>
        </w:rPr>
        <w:t> </w:t>
      </w:r>
      <w:r>
        <w:rPr/>
        <w:t>de servicios en un momento determinado.</w:t>
      </w:r>
    </w:p>
    <w:p>
      <w:pPr>
        <w:pStyle w:val="ListParagraph"/>
        <w:numPr>
          <w:ilvl w:val="1"/>
          <w:numId w:val="23"/>
        </w:numPr>
        <w:tabs>
          <w:tab w:pos="2337" w:val="left" w:leader="none"/>
          <w:tab w:pos="2405" w:val="left" w:leader="none"/>
        </w:tabs>
        <w:spacing w:line="460" w:lineRule="exact" w:before="49" w:after="0"/>
        <w:ind w:left="2337" w:right="2671" w:hanging="428"/>
        <w:jc w:val="left"/>
        <w:rPr>
          <w:sz w:val="20"/>
        </w:rPr>
      </w:pPr>
      <w:r>
        <w:rPr>
          <w:sz w:val="20"/>
        </w:rPr>
        <w:t>Desglose de diversas partidas en la cuenta de pérdidas y ganancias: Consumos</w:t>
      </w:r>
      <w:r>
        <w:rPr>
          <w:spacing w:val="-5"/>
          <w:sz w:val="20"/>
        </w:rPr>
        <w:t> </w:t>
      </w:r>
      <w:r>
        <w:rPr>
          <w:sz w:val="20"/>
        </w:rPr>
        <w:t>materias</w:t>
      </w:r>
      <w:r>
        <w:rPr>
          <w:spacing w:val="-3"/>
          <w:sz w:val="20"/>
        </w:rPr>
        <w:t> </w:t>
      </w:r>
      <w:r>
        <w:rPr>
          <w:sz w:val="20"/>
        </w:rPr>
        <w:t>primas</w:t>
      </w:r>
      <w:r>
        <w:rPr>
          <w:spacing w:val="-3"/>
          <w:sz w:val="20"/>
        </w:rPr>
        <w:t> </w:t>
      </w:r>
      <w:r>
        <w:rPr>
          <w:sz w:val="20"/>
        </w:rPr>
        <w:t>y</w:t>
      </w:r>
      <w:r>
        <w:rPr>
          <w:spacing w:val="-12"/>
          <w:sz w:val="20"/>
        </w:rPr>
        <w:t> </w:t>
      </w:r>
      <w:r>
        <w:rPr>
          <w:sz w:val="20"/>
        </w:rPr>
        <w:t>otras</w:t>
      </w:r>
      <w:r>
        <w:rPr>
          <w:spacing w:val="-5"/>
          <w:sz w:val="20"/>
        </w:rPr>
        <w:t> </w:t>
      </w:r>
      <w:r>
        <w:rPr>
          <w:sz w:val="20"/>
        </w:rPr>
        <w:t>materias</w:t>
      </w:r>
      <w:r>
        <w:rPr>
          <w:spacing w:val="-3"/>
          <w:sz w:val="20"/>
        </w:rPr>
        <w:t> </w:t>
      </w:r>
      <w:r>
        <w:rPr>
          <w:sz w:val="20"/>
        </w:rPr>
        <w:t>consumibles:</w:t>
      </w:r>
    </w:p>
    <w:p>
      <w:pPr>
        <w:pStyle w:val="Heading3"/>
        <w:tabs>
          <w:tab w:pos="7881" w:val="left" w:leader="none"/>
        </w:tabs>
        <w:spacing w:line="179" w:lineRule="exact" w:after="3"/>
        <w:ind w:left="6412"/>
      </w:pPr>
      <w:r>
        <w:rPr>
          <w:spacing w:val="-4"/>
        </w:rPr>
        <w:t>2025</w:t>
      </w:r>
      <w:r>
        <w:rPr/>
        <w:tab/>
      </w:r>
      <w:r>
        <w:rPr>
          <w:spacing w:val="-4"/>
        </w:rPr>
        <w:t>2024</w:t>
      </w:r>
    </w:p>
    <w:p>
      <w:pPr>
        <w:spacing w:line="20" w:lineRule="exact"/>
        <w:ind w:left="5877" w:right="0" w:firstLine="0"/>
        <w:rPr>
          <w:sz w:val="2"/>
        </w:rPr>
      </w:pPr>
      <w:r>
        <w:rPr>
          <w:sz w:val="2"/>
        </w:rPr>
        <mc:AlternateContent>
          <mc:Choice Requires="wps">
            <w:drawing>
              <wp:inline distT="0" distB="0" distL="0" distR="0">
                <wp:extent cx="1864360" cy="6350"/>
                <wp:effectExtent l="0" t="0" r="0" b="0"/>
                <wp:docPr id="176" name="Group 176"/>
                <wp:cNvGraphicFramePr>
                  <a:graphicFrameLocks/>
                </wp:cNvGraphicFramePr>
                <a:graphic>
                  <a:graphicData uri="http://schemas.microsoft.com/office/word/2010/wordprocessingGroup">
                    <wpg:wgp>
                      <wpg:cNvPr id="176" name="Group 176"/>
                      <wpg:cNvGrpSpPr/>
                      <wpg:grpSpPr>
                        <a:xfrm>
                          <a:off x="0" y="0"/>
                          <a:ext cx="1864360" cy="6350"/>
                          <a:chExt cx="1864360" cy="6350"/>
                        </a:xfrm>
                      </wpg:grpSpPr>
                      <wps:wsp>
                        <wps:cNvPr id="177" name="Graphic 177"/>
                        <wps:cNvSpPr/>
                        <wps:spPr>
                          <a:xfrm>
                            <a:off x="0" y="0"/>
                            <a:ext cx="1864360" cy="6350"/>
                          </a:xfrm>
                          <a:custGeom>
                            <a:avLst/>
                            <a:gdLst/>
                            <a:ahLst/>
                            <a:cxnLst/>
                            <a:rect l="l" t="t" r="r" b="b"/>
                            <a:pathLst>
                              <a:path w="1864360" h="6350">
                                <a:moveTo>
                                  <a:pt x="1863852" y="0"/>
                                </a:moveTo>
                                <a:lnTo>
                                  <a:pt x="969264" y="0"/>
                                </a:lnTo>
                                <a:lnTo>
                                  <a:pt x="0" y="0"/>
                                </a:lnTo>
                                <a:lnTo>
                                  <a:pt x="0" y="6096"/>
                                </a:lnTo>
                                <a:lnTo>
                                  <a:pt x="969264" y="6096"/>
                                </a:lnTo>
                                <a:lnTo>
                                  <a:pt x="1863852" y="6096"/>
                                </a:lnTo>
                                <a:lnTo>
                                  <a:pt x="18638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6.8pt;height:.5pt;mso-position-horizontal-relative:char;mso-position-vertical-relative:line" id="docshapegroup125" coordorigin="0,0" coordsize="2936,10">
                <v:shape style="position:absolute;left:0;top:0;width:2936;height:10" id="docshape126" coordorigin="0,0" coordsize="2936,10" path="m2935,0l1526,0,0,0,0,10,1526,10,2935,10,2935,0xe" filled="true" fillcolor="#000000" stroked="false">
                  <v:path arrowok="t"/>
                  <v:fill type="solid"/>
                </v:shape>
              </v:group>
            </w:pict>
          </mc:Fallback>
        </mc:AlternateContent>
      </w:r>
      <w:r>
        <w:rPr>
          <w:sz w:val="2"/>
        </w:rPr>
      </w:r>
    </w:p>
    <w:p>
      <w:pPr>
        <w:pStyle w:val="BodyText"/>
        <w:tabs>
          <w:tab w:pos="6154" w:val="left" w:leader="none"/>
          <w:tab w:pos="7574" w:val="left" w:leader="none"/>
        </w:tabs>
        <w:spacing w:line="218" w:lineRule="exact"/>
        <w:ind w:left="2443"/>
      </w:pPr>
      <w:r>
        <w:rPr>
          <w:spacing w:val="-2"/>
        </w:rPr>
        <w:t>Compras</w:t>
      </w:r>
      <w:r>
        <w:rPr/>
        <w:tab/>
      </w:r>
      <w:r>
        <w:rPr>
          <w:spacing w:val="-2"/>
        </w:rPr>
        <w:t>7.751.436,98</w:t>
      </w:r>
      <w:r>
        <w:rPr/>
        <w:tab/>
      </w:r>
      <w:r>
        <w:rPr>
          <w:spacing w:val="-2"/>
        </w:rPr>
        <w:t>7.703.110,66</w:t>
      </w:r>
    </w:p>
    <w:p>
      <w:pPr>
        <w:pStyle w:val="BodyText"/>
        <w:spacing w:line="229" w:lineRule="exact"/>
        <w:ind w:left="2443"/>
      </w:pPr>
      <w:r>
        <w:rPr>
          <w:spacing w:val="-2"/>
        </w:rPr>
        <w:t>Aumentos/Disminuciones</w:t>
      </w:r>
      <w:r>
        <w:rPr>
          <w:spacing w:val="20"/>
        </w:rPr>
        <w:t> </w:t>
      </w:r>
      <w:r>
        <w:rPr>
          <w:spacing w:val="-5"/>
        </w:rPr>
        <w:t>de</w:t>
      </w:r>
    </w:p>
    <w:p>
      <w:pPr>
        <w:pStyle w:val="BodyText"/>
        <w:tabs>
          <w:tab w:pos="3434" w:val="left" w:leader="none"/>
          <w:tab w:pos="3855" w:val="left" w:leader="none"/>
          <w:tab w:pos="5164" w:val="left" w:leader="none"/>
        </w:tabs>
        <w:ind w:right="2445"/>
        <w:jc w:val="right"/>
      </w:pPr>
      <w:r>
        <w:rPr>
          <w:spacing w:val="-2"/>
        </w:rPr>
        <w:t>existencias</w:t>
      </w:r>
      <w:r>
        <w:rPr/>
        <w:tab/>
      </w:r>
      <w:r>
        <w:rPr>
          <w:rFonts w:ascii="Times New Roman"/>
          <w:u w:val="single"/>
        </w:rPr>
        <w:tab/>
      </w:r>
      <w:r>
        <w:rPr>
          <w:spacing w:val="-2"/>
          <w:u w:val="single"/>
        </w:rPr>
        <w:t>(12.559,75)</w:t>
      </w:r>
      <w:r>
        <w:rPr>
          <w:u w:val="single"/>
        </w:rPr>
        <w:tab/>
      </w:r>
      <w:r>
        <w:rPr>
          <w:spacing w:val="-2"/>
          <w:u w:val="single"/>
        </w:rPr>
        <w:t>(565.191,80)</w:t>
      </w:r>
    </w:p>
    <w:p>
      <w:pPr>
        <w:pStyle w:val="Heading2"/>
        <w:tabs>
          <w:tab w:pos="1019" w:val="left" w:leader="none"/>
          <w:tab w:pos="1310" w:val="left" w:leader="none"/>
          <w:tab w:pos="2731" w:val="left" w:leader="none"/>
        </w:tabs>
        <w:spacing w:before="8"/>
        <w:ind w:right="2442"/>
        <w:jc w:val="right"/>
        <w:rPr>
          <w:u w:val="none"/>
        </w:rPr>
      </w:pPr>
      <w:r>
        <w:rPr>
          <w:spacing w:val="-2"/>
          <w:u w:val="none"/>
        </w:rPr>
        <w:t>TOTAL</w:t>
      </w:r>
      <w:r>
        <w:rPr>
          <w:u w:val="none"/>
        </w:rPr>
        <w:tab/>
      </w:r>
      <w:r>
        <w:rPr>
          <w:u w:val="single"/>
        </w:rPr>
        <w:tab/>
      </w:r>
      <w:r>
        <w:rPr>
          <w:spacing w:val="-2"/>
          <w:u w:val="single"/>
        </w:rPr>
        <w:t>7.738.877,23</w:t>
      </w:r>
      <w:r>
        <w:rPr>
          <w:u w:val="single"/>
        </w:rPr>
        <w:tab/>
      </w:r>
      <w:r>
        <w:rPr>
          <w:spacing w:val="-2"/>
          <w:u w:val="single"/>
        </w:rPr>
        <w:t>7.137.918,86</w:t>
      </w:r>
    </w:p>
    <w:p>
      <w:pPr>
        <w:pStyle w:val="BodyText"/>
        <w:spacing w:before="12"/>
        <w:ind w:left="2133"/>
      </w:pPr>
      <w:r>
        <w:rPr>
          <w:spacing w:val="-4"/>
        </w:rPr>
        <w:t>Las</w:t>
      </w:r>
      <w:r>
        <w:rPr>
          <w:spacing w:val="-3"/>
        </w:rPr>
        <w:t> </w:t>
      </w:r>
      <w:r>
        <w:rPr>
          <w:spacing w:val="-4"/>
        </w:rPr>
        <w:t>compras</w:t>
      </w:r>
      <w:r>
        <w:rPr>
          <w:spacing w:val="-2"/>
        </w:rPr>
        <w:t> </w:t>
      </w:r>
      <w:r>
        <w:rPr>
          <w:spacing w:val="-4"/>
        </w:rPr>
        <w:t>han</w:t>
      </w:r>
      <w:r>
        <w:rPr>
          <w:spacing w:val="-6"/>
        </w:rPr>
        <w:t> </w:t>
      </w:r>
      <w:r>
        <w:rPr>
          <w:spacing w:val="-4"/>
        </w:rPr>
        <w:t>sido</w:t>
      </w:r>
      <w:r>
        <w:rPr>
          <w:spacing w:val="-3"/>
        </w:rPr>
        <w:t> </w:t>
      </w:r>
      <w:r>
        <w:rPr>
          <w:spacing w:val="-4"/>
        </w:rPr>
        <w:t>realizadas</w:t>
      </w:r>
      <w:r>
        <w:rPr>
          <w:spacing w:val="-3"/>
        </w:rPr>
        <w:t> </w:t>
      </w:r>
      <w:r>
        <w:rPr>
          <w:spacing w:val="-4"/>
        </w:rPr>
        <w:t>en</w:t>
      </w:r>
      <w:r>
        <w:rPr>
          <w:spacing w:val="-5"/>
        </w:rPr>
        <w:t> </w:t>
      </w:r>
      <w:r>
        <w:rPr>
          <w:spacing w:val="-4"/>
        </w:rPr>
        <w:t>el</w:t>
      </w:r>
      <w:r>
        <w:rPr>
          <w:spacing w:val="-6"/>
        </w:rPr>
        <w:t> </w:t>
      </w:r>
      <w:r>
        <w:rPr>
          <w:spacing w:val="-4"/>
        </w:rPr>
        <w:t>ámbito</w:t>
      </w:r>
      <w:r>
        <w:rPr>
          <w:spacing w:val="-3"/>
        </w:rPr>
        <w:t> </w:t>
      </w:r>
      <w:r>
        <w:rPr>
          <w:spacing w:val="-4"/>
        </w:rPr>
        <w:t>nacional</w:t>
      </w:r>
      <w:r>
        <w:rPr>
          <w:spacing w:val="-6"/>
        </w:rPr>
        <w:t> </w:t>
      </w:r>
      <w:r>
        <w:rPr>
          <w:spacing w:val="-4"/>
        </w:rPr>
        <w:t>español.</w:t>
      </w:r>
    </w:p>
    <w:p>
      <w:pPr>
        <w:pStyle w:val="BodyText"/>
        <w:spacing w:before="1"/>
      </w:pPr>
    </w:p>
    <w:p>
      <w:pPr>
        <w:pStyle w:val="BodyText"/>
        <w:spacing w:line="229" w:lineRule="exact"/>
        <w:ind w:left="2344"/>
      </w:pPr>
      <w:r>
        <w:rPr>
          <w:spacing w:val="-4"/>
        </w:rPr>
        <w:t>Cargas</w:t>
      </w:r>
      <w:r>
        <w:rPr>
          <w:spacing w:val="-5"/>
        </w:rPr>
        <w:t> </w:t>
      </w:r>
      <w:r>
        <w:rPr>
          <w:spacing w:val="-2"/>
        </w:rPr>
        <w:t>sociales:</w:t>
      </w:r>
    </w:p>
    <w:p>
      <w:pPr>
        <w:tabs>
          <w:tab w:pos="6460" w:val="left" w:leader="none"/>
          <w:tab w:pos="7881" w:val="left" w:leader="none"/>
          <w:tab w:pos="8812" w:val="left" w:leader="none"/>
        </w:tabs>
        <w:spacing w:line="229" w:lineRule="exact" w:before="0"/>
        <w:ind w:left="5973" w:right="0" w:firstLine="0"/>
        <w:jc w:val="left"/>
        <w:rPr>
          <w:b/>
          <w:sz w:val="20"/>
        </w:rPr>
      </w:pP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pStyle w:val="BodyText"/>
        <w:tabs>
          <w:tab w:pos="3599" w:val="left" w:leader="none"/>
        </w:tabs>
        <w:spacing w:before="12"/>
        <w:ind w:right="2443"/>
        <w:jc w:val="right"/>
      </w:pPr>
      <w:r>
        <w:rPr/>
        <w:t>Cuota</w:t>
      </w:r>
      <w:r>
        <w:rPr>
          <w:spacing w:val="-8"/>
        </w:rPr>
        <w:t> </w:t>
      </w:r>
      <w:r>
        <w:rPr>
          <w:spacing w:val="-2"/>
        </w:rPr>
        <w:t>patronal</w:t>
      </w:r>
      <w:r>
        <w:rPr/>
        <w:tab/>
        <w:t>12.257.616,63</w:t>
      </w:r>
      <w:r>
        <w:rPr>
          <w:spacing w:val="70"/>
        </w:rPr>
        <w:t> </w:t>
      </w:r>
      <w:r>
        <w:rPr>
          <w:spacing w:val="-2"/>
        </w:rPr>
        <w:t>10.880.090,98</w:t>
      </w:r>
    </w:p>
    <w:p>
      <w:pPr>
        <w:tabs>
          <w:tab w:pos="3559" w:val="left" w:leader="none"/>
          <w:tab w:pos="5973" w:val="left" w:leader="none"/>
          <w:tab w:pos="6321" w:val="left" w:leader="none"/>
          <w:tab w:pos="7742" w:val="left" w:leader="none"/>
        </w:tabs>
        <w:spacing w:line="242" w:lineRule="auto" w:before="1"/>
        <w:ind w:left="2443" w:right="2443" w:firstLine="0"/>
        <w:jc w:val="right"/>
        <w:rPr>
          <w:b/>
          <w:sz w:val="20"/>
        </w:rPr>
      </w:pPr>
      <w:r>
        <w:rPr>
          <w:sz w:val="20"/>
        </w:rPr>
        <w:t>Retribuciones plan de pensiones</w:t>
        <w:tab/>
        <w:tab/>
      </w:r>
      <w:r>
        <w:rPr>
          <w:spacing w:val="-2"/>
          <w:sz w:val="20"/>
        </w:rPr>
        <w:t>187.135,63</w:t>
      </w:r>
      <w:r>
        <w:rPr>
          <w:sz w:val="20"/>
        </w:rPr>
        <w:tab/>
      </w:r>
      <w:r>
        <w:rPr>
          <w:spacing w:val="-2"/>
          <w:sz w:val="20"/>
        </w:rPr>
        <w:t>192.053,09 </w:t>
      </w:r>
      <w:r>
        <w:rPr>
          <w:sz w:val="20"/>
        </w:rPr>
        <w:t>Otros gastos sociales</w:t>
        <w:tab/>
      </w:r>
      <w:r>
        <w:rPr>
          <w:rFonts w:ascii="Times New Roman"/>
          <w:sz w:val="20"/>
          <w:u w:val="single"/>
        </w:rPr>
        <w:tab/>
      </w:r>
      <w:r>
        <w:rPr>
          <w:spacing w:val="-2"/>
          <w:sz w:val="20"/>
          <w:u w:val="single"/>
        </w:rPr>
        <w:t>353.845,28</w:t>
      </w:r>
      <w:r>
        <w:rPr>
          <w:sz w:val="20"/>
          <w:u w:val="single"/>
        </w:rPr>
        <w:tab/>
      </w:r>
      <w:r>
        <w:rPr>
          <w:spacing w:val="-2"/>
          <w:sz w:val="20"/>
          <w:u w:val="single"/>
        </w:rPr>
        <w:t>326.244,30</w:t>
      </w:r>
      <w:r>
        <w:rPr>
          <w:spacing w:val="-2"/>
          <w:sz w:val="20"/>
          <w:u w:val="none"/>
        </w:rPr>
        <w:t> </w:t>
      </w:r>
      <w:r>
        <w:rPr>
          <w:b/>
          <w:spacing w:val="-2"/>
          <w:sz w:val="20"/>
          <w:u w:val="none"/>
        </w:rPr>
        <w:t>TOTAL</w:t>
      </w:r>
      <w:r>
        <w:rPr>
          <w:b/>
          <w:sz w:val="20"/>
          <w:u w:val="none"/>
        </w:rPr>
        <w:tab/>
      </w:r>
      <w:r>
        <w:rPr>
          <w:b/>
          <w:spacing w:val="40"/>
          <w:sz w:val="20"/>
          <w:u w:val="single"/>
        </w:rPr>
        <w:t> </w:t>
      </w:r>
      <w:r>
        <w:rPr>
          <w:b/>
          <w:sz w:val="20"/>
          <w:u w:val="single"/>
        </w:rPr>
        <w:t>12.798.597,54</w:t>
      </w:r>
      <w:r>
        <w:rPr>
          <w:b/>
          <w:spacing w:val="40"/>
          <w:sz w:val="20"/>
          <w:u w:val="single"/>
        </w:rPr>
        <w:t> </w:t>
      </w:r>
      <w:r>
        <w:rPr>
          <w:b/>
          <w:sz w:val="20"/>
          <w:u w:val="single"/>
        </w:rPr>
        <w:t>11.398.388,37</w:t>
      </w:r>
    </w:p>
    <w:p>
      <w:pPr>
        <w:spacing w:after="0" w:line="242" w:lineRule="auto"/>
        <w:jc w:val="right"/>
        <w:rPr>
          <w:b/>
          <w:sz w:val="20"/>
        </w:rPr>
        <w:sectPr>
          <w:pgSz w:w="11910" w:h="16840"/>
          <w:pgMar w:header="286" w:footer="1060" w:top="1920" w:bottom="1260" w:left="360" w:right="360"/>
        </w:sectPr>
      </w:pPr>
    </w:p>
    <w:p>
      <w:pPr>
        <w:pStyle w:val="BodyText"/>
        <w:spacing w:before="201"/>
        <w:rPr>
          <w:b/>
        </w:rPr>
      </w:pPr>
    </w:p>
    <w:p>
      <w:pPr>
        <w:pStyle w:val="BodyText"/>
        <w:spacing w:line="228" w:lineRule="exact"/>
        <w:ind w:left="2555"/>
      </w:pPr>
      <w:r>
        <w:rPr>
          <w:spacing w:val="-4"/>
        </w:rPr>
        <w:t>Servicios </w:t>
      </w:r>
      <w:r>
        <w:rPr>
          <w:spacing w:val="-2"/>
        </w:rPr>
        <w:t>exteriores:</w:t>
      </w:r>
    </w:p>
    <w:p>
      <w:pPr>
        <w:tabs>
          <w:tab w:pos="6460" w:val="left" w:leader="none"/>
          <w:tab w:pos="7881" w:val="left" w:leader="none"/>
          <w:tab w:pos="8812" w:val="left" w:leader="none"/>
        </w:tabs>
        <w:spacing w:line="228" w:lineRule="exact" w:before="0"/>
        <w:ind w:left="5973" w:right="0" w:firstLine="0"/>
        <w:jc w:val="left"/>
        <w:rPr>
          <w:b/>
          <w:sz w:val="20"/>
        </w:rPr>
      </w:pPr>
      <w:r>
        <w:rPr>
          <w:b/>
          <w:sz w:val="20"/>
        </w:rPr>
        <mc:AlternateContent>
          <mc:Choice Requires="wps">
            <w:drawing>
              <wp:anchor distT="0" distB="0" distL="0" distR="0" allowOverlap="1" layoutInCell="1" locked="0" behindDoc="0" simplePos="0" relativeHeight="15768064">
                <wp:simplePos x="0" y="0"/>
                <wp:positionH relativeFrom="page">
                  <wp:posOffset>1710182</wp:posOffset>
                </wp:positionH>
                <wp:positionV relativeFrom="paragraph">
                  <wp:posOffset>122782</wp:posOffset>
                </wp:positionV>
                <wp:extent cx="4139565" cy="13716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4139565" cy="13716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5"/>
                              <w:gridCol w:w="1660"/>
                              <w:gridCol w:w="1345"/>
                            </w:tblGrid>
                            <w:tr>
                              <w:trPr>
                                <w:trHeight w:val="276" w:hRule="atLeast"/>
                              </w:trPr>
                              <w:tc>
                                <w:tcPr>
                                  <w:tcW w:w="3395" w:type="dxa"/>
                                </w:tcPr>
                                <w:p>
                                  <w:pPr>
                                    <w:pStyle w:val="TableParagraph"/>
                                    <w:spacing w:line="209" w:lineRule="exact" w:before="47"/>
                                    <w:ind w:left="50"/>
                                    <w:rPr>
                                      <w:sz w:val="20"/>
                                    </w:rPr>
                                  </w:pPr>
                                  <w:r>
                                    <w:rPr>
                                      <w:sz w:val="20"/>
                                    </w:rPr>
                                    <w:t>Gastos</w:t>
                                  </w:r>
                                  <w:r>
                                    <w:rPr>
                                      <w:spacing w:val="-9"/>
                                      <w:sz w:val="20"/>
                                    </w:rPr>
                                    <w:t> </w:t>
                                  </w:r>
                                  <w:r>
                                    <w:rPr>
                                      <w:sz w:val="20"/>
                                    </w:rPr>
                                    <w:t>Investigación</w:t>
                                  </w:r>
                                  <w:r>
                                    <w:rPr>
                                      <w:spacing w:val="-7"/>
                                      <w:sz w:val="20"/>
                                    </w:rPr>
                                    <w:t> </w:t>
                                  </w:r>
                                  <w:r>
                                    <w:rPr>
                                      <w:sz w:val="20"/>
                                    </w:rPr>
                                    <w:t>y</w:t>
                                  </w:r>
                                  <w:r>
                                    <w:rPr>
                                      <w:spacing w:val="-8"/>
                                      <w:sz w:val="20"/>
                                    </w:rPr>
                                    <w:t> </w:t>
                                  </w:r>
                                  <w:r>
                                    <w:rPr>
                                      <w:spacing w:val="-2"/>
                                      <w:sz w:val="20"/>
                                    </w:rPr>
                                    <w:t>Desarrollo</w:t>
                                  </w:r>
                                </w:p>
                              </w:tc>
                              <w:tc>
                                <w:tcPr>
                                  <w:tcW w:w="1660" w:type="dxa"/>
                                </w:tcPr>
                                <w:p>
                                  <w:pPr>
                                    <w:pStyle w:val="TableParagraph"/>
                                    <w:spacing w:line="209" w:lineRule="exact" w:before="47"/>
                                    <w:ind w:right="125"/>
                                    <w:jc w:val="right"/>
                                    <w:rPr>
                                      <w:sz w:val="20"/>
                                    </w:rPr>
                                  </w:pPr>
                                  <w:r>
                                    <w:rPr>
                                      <w:spacing w:val="-2"/>
                                      <w:sz w:val="20"/>
                                    </w:rPr>
                                    <w:t>32.022,50</w:t>
                                  </w:r>
                                </w:p>
                              </w:tc>
                              <w:tc>
                                <w:tcPr>
                                  <w:tcW w:w="1345" w:type="dxa"/>
                                </w:tcPr>
                                <w:p>
                                  <w:pPr>
                                    <w:pStyle w:val="TableParagraph"/>
                                    <w:spacing w:line="209" w:lineRule="exact" w:before="47"/>
                                    <w:ind w:right="49"/>
                                    <w:jc w:val="right"/>
                                    <w:rPr>
                                      <w:sz w:val="20"/>
                                    </w:rPr>
                                  </w:pPr>
                                  <w:r>
                                    <w:rPr>
                                      <w:spacing w:val="-2"/>
                                      <w:sz w:val="20"/>
                                    </w:rPr>
                                    <w:t>36.235,00</w:t>
                                  </w:r>
                                </w:p>
                              </w:tc>
                            </w:tr>
                            <w:tr>
                              <w:trPr>
                                <w:trHeight w:val="230" w:hRule="atLeast"/>
                              </w:trPr>
                              <w:tc>
                                <w:tcPr>
                                  <w:tcW w:w="3395" w:type="dxa"/>
                                </w:tcPr>
                                <w:p>
                                  <w:pPr>
                                    <w:pStyle w:val="TableParagraph"/>
                                    <w:spacing w:line="209" w:lineRule="exact" w:before="1"/>
                                    <w:ind w:left="50"/>
                                    <w:rPr>
                                      <w:sz w:val="20"/>
                                    </w:rPr>
                                  </w:pPr>
                                  <w:r>
                                    <w:rPr>
                                      <w:spacing w:val="-2"/>
                                      <w:sz w:val="20"/>
                                    </w:rPr>
                                    <w:t>Arrendamientos</w:t>
                                  </w:r>
                                  <w:r>
                                    <w:rPr>
                                      <w:spacing w:val="12"/>
                                      <w:sz w:val="20"/>
                                    </w:rPr>
                                    <w:t> </w:t>
                                  </w:r>
                                  <w:r>
                                    <w:rPr>
                                      <w:spacing w:val="-10"/>
                                      <w:sz w:val="20"/>
                                    </w:rPr>
                                    <w:t>y</w:t>
                                  </w:r>
                                </w:p>
                              </w:tc>
                              <w:tc>
                                <w:tcPr>
                                  <w:tcW w:w="1660" w:type="dxa"/>
                                </w:tcPr>
                                <w:p>
                                  <w:pPr>
                                    <w:pStyle w:val="TableParagraph"/>
                                    <w:rPr>
                                      <w:rFonts w:ascii="Times New Roman"/>
                                      <w:sz w:val="16"/>
                                    </w:rPr>
                                  </w:pPr>
                                </w:p>
                              </w:tc>
                              <w:tc>
                                <w:tcPr>
                                  <w:tcW w:w="1345" w:type="dxa"/>
                                </w:tcPr>
                                <w:p>
                                  <w:pPr>
                                    <w:pStyle w:val="TableParagraph"/>
                                    <w:rPr>
                                      <w:rFonts w:ascii="Times New Roman"/>
                                      <w:sz w:val="16"/>
                                    </w:rPr>
                                  </w:pPr>
                                </w:p>
                              </w:tc>
                            </w:tr>
                            <w:tr>
                              <w:trPr>
                                <w:trHeight w:val="230" w:hRule="atLeast"/>
                              </w:trPr>
                              <w:tc>
                                <w:tcPr>
                                  <w:tcW w:w="3395" w:type="dxa"/>
                                </w:tcPr>
                                <w:p>
                                  <w:pPr>
                                    <w:pStyle w:val="TableParagraph"/>
                                    <w:spacing w:line="209" w:lineRule="exact" w:before="1"/>
                                    <w:ind w:left="50"/>
                                    <w:rPr>
                                      <w:sz w:val="20"/>
                                    </w:rPr>
                                  </w:pPr>
                                  <w:r>
                                    <w:rPr>
                                      <w:spacing w:val="-2"/>
                                      <w:sz w:val="20"/>
                                    </w:rPr>
                                    <w:t>cánones</w:t>
                                  </w:r>
                                </w:p>
                              </w:tc>
                              <w:tc>
                                <w:tcPr>
                                  <w:tcW w:w="1660" w:type="dxa"/>
                                </w:tcPr>
                                <w:p>
                                  <w:pPr>
                                    <w:pStyle w:val="TableParagraph"/>
                                    <w:spacing w:line="209" w:lineRule="exact" w:before="1"/>
                                    <w:ind w:right="125"/>
                                    <w:jc w:val="right"/>
                                    <w:rPr>
                                      <w:sz w:val="20"/>
                                    </w:rPr>
                                  </w:pPr>
                                  <w:r>
                                    <w:rPr>
                                      <w:spacing w:val="-2"/>
                                      <w:sz w:val="20"/>
                                    </w:rPr>
                                    <w:t>17.960,31</w:t>
                                  </w:r>
                                </w:p>
                              </w:tc>
                              <w:tc>
                                <w:tcPr>
                                  <w:tcW w:w="1345" w:type="dxa"/>
                                </w:tcPr>
                                <w:p>
                                  <w:pPr>
                                    <w:pStyle w:val="TableParagraph"/>
                                    <w:spacing w:line="209" w:lineRule="exact" w:before="1"/>
                                    <w:ind w:right="49"/>
                                    <w:jc w:val="right"/>
                                    <w:rPr>
                                      <w:sz w:val="20"/>
                                    </w:rPr>
                                  </w:pPr>
                                  <w:r>
                                    <w:rPr>
                                      <w:spacing w:val="-2"/>
                                      <w:sz w:val="20"/>
                                    </w:rPr>
                                    <w:t>17.680,25</w:t>
                                  </w:r>
                                </w:p>
                              </w:tc>
                            </w:tr>
                            <w:tr>
                              <w:trPr>
                                <w:trHeight w:val="230" w:hRule="atLeast"/>
                              </w:trPr>
                              <w:tc>
                                <w:tcPr>
                                  <w:tcW w:w="3395" w:type="dxa"/>
                                </w:tcPr>
                                <w:p>
                                  <w:pPr>
                                    <w:pStyle w:val="TableParagraph"/>
                                    <w:spacing w:line="209" w:lineRule="exact" w:before="1"/>
                                    <w:ind w:left="50"/>
                                    <w:rPr>
                                      <w:sz w:val="20"/>
                                    </w:rPr>
                                  </w:pPr>
                                  <w:r>
                                    <w:rPr>
                                      <w:sz w:val="20"/>
                                    </w:rPr>
                                    <w:t>Reparaciones</w:t>
                                  </w:r>
                                  <w:r>
                                    <w:rPr>
                                      <w:spacing w:val="-6"/>
                                      <w:sz w:val="20"/>
                                    </w:rPr>
                                    <w:t> </w:t>
                                  </w:r>
                                  <w:r>
                                    <w:rPr>
                                      <w:sz w:val="20"/>
                                    </w:rPr>
                                    <w:t>y</w:t>
                                  </w:r>
                                  <w:r>
                                    <w:rPr>
                                      <w:spacing w:val="-14"/>
                                      <w:sz w:val="20"/>
                                    </w:rPr>
                                    <w:t> </w:t>
                                  </w:r>
                                  <w:r>
                                    <w:rPr>
                                      <w:spacing w:val="-2"/>
                                      <w:sz w:val="20"/>
                                    </w:rPr>
                                    <w:t>Conservación</w:t>
                                  </w:r>
                                </w:p>
                              </w:tc>
                              <w:tc>
                                <w:tcPr>
                                  <w:tcW w:w="1660" w:type="dxa"/>
                                </w:tcPr>
                                <w:p>
                                  <w:pPr>
                                    <w:pStyle w:val="TableParagraph"/>
                                    <w:spacing w:line="209" w:lineRule="exact" w:before="1"/>
                                    <w:ind w:right="125"/>
                                    <w:jc w:val="right"/>
                                    <w:rPr>
                                      <w:sz w:val="20"/>
                                    </w:rPr>
                                  </w:pPr>
                                  <w:r>
                                    <w:rPr>
                                      <w:spacing w:val="-2"/>
                                      <w:sz w:val="20"/>
                                    </w:rPr>
                                    <w:t>5.037.099,81</w:t>
                                  </w:r>
                                </w:p>
                              </w:tc>
                              <w:tc>
                                <w:tcPr>
                                  <w:tcW w:w="1345" w:type="dxa"/>
                                </w:tcPr>
                                <w:p>
                                  <w:pPr>
                                    <w:pStyle w:val="TableParagraph"/>
                                    <w:spacing w:line="209" w:lineRule="exact" w:before="1"/>
                                    <w:ind w:right="49"/>
                                    <w:jc w:val="right"/>
                                    <w:rPr>
                                      <w:sz w:val="20"/>
                                    </w:rPr>
                                  </w:pPr>
                                  <w:r>
                                    <w:rPr>
                                      <w:spacing w:val="-2"/>
                                      <w:sz w:val="20"/>
                                    </w:rPr>
                                    <w:t>5.512.233,61</w:t>
                                  </w:r>
                                </w:p>
                              </w:tc>
                            </w:tr>
                            <w:tr>
                              <w:trPr>
                                <w:trHeight w:val="230" w:hRule="atLeast"/>
                              </w:trPr>
                              <w:tc>
                                <w:tcPr>
                                  <w:tcW w:w="3395" w:type="dxa"/>
                                </w:tcPr>
                                <w:p>
                                  <w:pPr>
                                    <w:pStyle w:val="TableParagraph"/>
                                    <w:spacing w:line="209" w:lineRule="exact" w:before="1"/>
                                    <w:ind w:left="50"/>
                                    <w:rPr>
                                      <w:sz w:val="20"/>
                                    </w:rPr>
                                  </w:pPr>
                                  <w:r>
                                    <w:rPr>
                                      <w:sz w:val="20"/>
                                    </w:rPr>
                                    <w:t>Servicios</w:t>
                                  </w:r>
                                  <w:r>
                                    <w:rPr>
                                      <w:spacing w:val="-13"/>
                                      <w:sz w:val="20"/>
                                    </w:rPr>
                                    <w:t> </w:t>
                                  </w:r>
                                  <w:r>
                                    <w:rPr>
                                      <w:sz w:val="20"/>
                                    </w:rPr>
                                    <w:t>Profesionales</w:t>
                                  </w:r>
                                  <w:r>
                                    <w:rPr>
                                      <w:spacing w:val="-14"/>
                                      <w:sz w:val="20"/>
                                    </w:rPr>
                                    <w:t> </w:t>
                                  </w:r>
                                  <w:r>
                                    <w:rPr>
                                      <w:spacing w:val="-2"/>
                                      <w:sz w:val="20"/>
                                    </w:rPr>
                                    <w:t>Indep.</w:t>
                                  </w:r>
                                </w:p>
                              </w:tc>
                              <w:tc>
                                <w:tcPr>
                                  <w:tcW w:w="1660" w:type="dxa"/>
                                </w:tcPr>
                                <w:p>
                                  <w:pPr>
                                    <w:pStyle w:val="TableParagraph"/>
                                    <w:spacing w:line="209" w:lineRule="exact" w:before="1"/>
                                    <w:ind w:right="125"/>
                                    <w:jc w:val="right"/>
                                    <w:rPr>
                                      <w:sz w:val="20"/>
                                    </w:rPr>
                                  </w:pPr>
                                  <w:r>
                                    <w:rPr>
                                      <w:spacing w:val="-2"/>
                                      <w:sz w:val="20"/>
                                    </w:rPr>
                                    <w:t>1.110.279,76</w:t>
                                  </w:r>
                                </w:p>
                              </w:tc>
                              <w:tc>
                                <w:tcPr>
                                  <w:tcW w:w="1345" w:type="dxa"/>
                                </w:tcPr>
                                <w:p>
                                  <w:pPr>
                                    <w:pStyle w:val="TableParagraph"/>
                                    <w:spacing w:line="209" w:lineRule="exact" w:before="1"/>
                                    <w:ind w:right="49"/>
                                    <w:jc w:val="right"/>
                                    <w:rPr>
                                      <w:sz w:val="20"/>
                                    </w:rPr>
                                  </w:pPr>
                                  <w:r>
                                    <w:rPr>
                                      <w:spacing w:val="-2"/>
                                      <w:sz w:val="20"/>
                                    </w:rPr>
                                    <w:t>1.083.661,27</w:t>
                                  </w:r>
                                </w:p>
                              </w:tc>
                            </w:tr>
                            <w:tr>
                              <w:trPr>
                                <w:trHeight w:val="229" w:hRule="atLeast"/>
                              </w:trPr>
                              <w:tc>
                                <w:tcPr>
                                  <w:tcW w:w="3395" w:type="dxa"/>
                                </w:tcPr>
                                <w:p>
                                  <w:pPr>
                                    <w:pStyle w:val="TableParagraph"/>
                                    <w:spacing w:line="208" w:lineRule="exact" w:before="1"/>
                                    <w:ind w:left="50"/>
                                    <w:rPr>
                                      <w:sz w:val="20"/>
                                    </w:rPr>
                                  </w:pPr>
                                  <w:r>
                                    <w:rPr>
                                      <w:sz w:val="20"/>
                                    </w:rPr>
                                    <w:t>Primas</w:t>
                                  </w:r>
                                  <w:r>
                                    <w:rPr>
                                      <w:spacing w:val="-5"/>
                                      <w:sz w:val="20"/>
                                    </w:rPr>
                                    <w:t> </w:t>
                                  </w:r>
                                  <w:r>
                                    <w:rPr>
                                      <w:sz w:val="20"/>
                                    </w:rPr>
                                    <w:t>de</w:t>
                                  </w:r>
                                  <w:r>
                                    <w:rPr>
                                      <w:spacing w:val="-6"/>
                                      <w:sz w:val="20"/>
                                    </w:rPr>
                                    <w:t> </w:t>
                                  </w:r>
                                  <w:r>
                                    <w:rPr>
                                      <w:spacing w:val="-2"/>
                                      <w:sz w:val="20"/>
                                    </w:rPr>
                                    <w:t>Seguros</w:t>
                                  </w:r>
                                </w:p>
                              </w:tc>
                              <w:tc>
                                <w:tcPr>
                                  <w:tcW w:w="1660" w:type="dxa"/>
                                </w:tcPr>
                                <w:p>
                                  <w:pPr>
                                    <w:pStyle w:val="TableParagraph"/>
                                    <w:spacing w:line="208" w:lineRule="exact" w:before="1"/>
                                    <w:ind w:right="125"/>
                                    <w:jc w:val="right"/>
                                    <w:rPr>
                                      <w:sz w:val="20"/>
                                    </w:rPr>
                                  </w:pPr>
                                  <w:r>
                                    <w:rPr>
                                      <w:spacing w:val="-2"/>
                                      <w:sz w:val="20"/>
                                    </w:rPr>
                                    <w:t>2.381.647,21</w:t>
                                  </w:r>
                                </w:p>
                              </w:tc>
                              <w:tc>
                                <w:tcPr>
                                  <w:tcW w:w="1345" w:type="dxa"/>
                                </w:tcPr>
                                <w:p>
                                  <w:pPr>
                                    <w:pStyle w:val="TableParagraph"/>
                                    <w:spacing w:line="208" w:lineRule="exact" w:before="1"/>
                                    <w:ind w:right="49"/>
                                    <w:jc w:val="right"/>
                                    <w:rPr>
                                      <w:sz w:val="20"/>
                                    </w:rPr>
                                  </w:pPr>
                                  <w:r>
                                    <w:rPr>
                                      <w:spacing w:val="-2"/>
                                      <w:sz w:val="20"/>
                                    </w:rPr>
                                    <w:t>2.403.655,69</w:t>
                                  </w:r>
                                </w:p>
                              </w:tc>
                            </w:tr>
                            <w:tr>
                              <w:trPr>
                                <w:trHeight w:val="229" w:hRule="atLeast"/>
                              </w:trPr>
                              <w:tc>
                                <w:tcPr>
                                  <w:tcW w:w="3395" w:type="dxa"/>
                                </w:tcPr>
                                <w:p>
                                  <w:pPr>
                                    <w:pStyle w:val="TableParagraph"/>
                                    <w:spacing w:line="209" w:lineRule="exact"/>
                                    <w:ind w:left="50"/>
                                    <w:rPr>
                                      <w:sz w:val="20"/>
                                    </w:rPr>
                                  </w:pPr>
                                  <w:r>
                                    <w:rPr>
                                      <w:sz w:val="20"/>
                                    </w:rPr>
                                    <w:t>Servicios</w:t>
                                  </w:r>
                                  <w:r>
                                    <w:rPr>
                                      <w:spacing w:val="-12"/>
                                      <w:sz w:val="20"/>
                                    </w:rPr>
                                    <w:t> </w:t>
                                  </w:r>
                                  <w:r>
                                    <w:rPr>
                                      <w:spacing w:val="-2"/>
                                      <w:sz w:val="20"/>
                                    </w:rPr>
                                    <w:t>Bancarios</w:t>
                                  </w:r>
                                </w:p>
                              </w:tc>
                              <w:tc>
                                <w:tcPr>
                                  <w:tcW w:w="1660" w:type="dxa"/>
                                </w:tcPr>
                                <w:p>
                                  <w:pPr>
                                    <w:pStyle w:val="TableParagraph"/>
                                    <w:spacing w:line="209" w:lineRule="exact"/>
                                    <w:ind w:right="125"/>
                                    <w:jc w:val="right"/>
                                    <w:rPr>
                                      <w:sz w:val="20"/>
                                    </w:rPr>
                                  </w:pPr>
                                  <w:r>
                                    <w:rPr>
                                      <w:spacing w:val="-2"/>
                                      <w:sz w:val="20"/>
                                    </w:rPr>
                                    <w:t>53.985,49</w:t>
                                  </w:r>
                                </w:p>
                              </w:tc>
                              <w:tc>
                                <w:tcPr>
                                  <w:tcW w:w="1345" w:type="dxa"/>
                                </w:tcPr>
                                <w:p>
                                  <w:pPr>
                                    <w:pStyle w:val="TableParagraph"/>
                                    <w:spacing w:line="209" w:lineRule="exact"/>
                                    <w:ind w:right="49"/>
                                    <w:jc w:val="right"/>
                                    <w:rPr>
                                      <w:sz w:val="20"/>
                                    </w:rPr>
                                  </w:pPr>
                                  <w:r>
                                    <w:rPr>
                                      <w:spacing w:val="-2"/>
                                      <w:sz w:val="20"/>
                                    </w:rPr>
                                    <w:t>38.718,20</w:t>
                                  </w:r>
                                </w:p>
                              </w:tc>
                            </w:tr>
                            <w:tr>
                              <w:trPr>
                                <w:trHeight w:val="230" w:hRule="atLeast"/>
                              </w:trPr>
                              <w:tc>
                                <w:tcPr>
                                  <w:tcW w:w="3395" w:type="dxa"/>
                                </w:tcPr>
                                <w:p>
                                  <w:pPr>
                                    <w:pStyle w:val="TableParagraph"/>
                                    <w:spacing w:line="209" w:lineRule="exact" w:before="1"/>
                                    <w:ind w:left="50"/>
                                    <w:rPr>
                                      <w:sz w:val="20"/>
                                    </w:rPr>
                                  </w:pPr>
                                  <w:r>
                                    <w:rPr>
                                      <w:sz w:val="20"/>
                                    </w:rPr>
                                    <w:t>Public.</w:t>
                                  </w:r>
                                  <w:r>
                                    <w:rPr>
                                      <w:spacing w:val="-5"/>
                                      <w:sz w:val="20"/>
                                    </w:rPr>
                                    <w:t> </w:t>
                                  </w:r>
                                  <w:r>
                                    <w:rPr>
                                      <w:sz w:val="20"/>
                                    </w:rPr>
                                    <w:t>Propag.</w:t>
                                  </w:r>
                                  <w:r>
                                    <w:rPr>
                                      <w:spacing w:val="-2"/>
                                      <w:sz w:val="20"/>
                                    </w:rPr>
                                    <w:t> </w:t>
                                  </w:r>
                                  <w:r>
                                    <w:rPr>
                                      <w:sz w:val="20"/>
                                    </w:rPr>
                                    <w:t>y</w:t>
                                  </w:r>
                                  <w:r>
                                    <w:rPr>
                                      <w:spacing w:val="-11"/>
                                      <w:sz w:val="20"/>
                                    </w:rPr>
                                    <w:t> </w:t>
                                  </w:r>
                                  <w:r>
                                    <w:rPr>
                                      <w:sz w:val="20"/>
                                    </w:rPr>
                                    <w:t>Rel.</w:t>
                                  </w:r>
                                  <w:r>
                                    <w:rPr>
                                      <w:spacing w:val="-7"/>
                                      <w:sz w:val="20"/>
                                    </w:rPr>
                                    <w:t> </w:t>
                                  </w:r>
                                  <w:r>
                                    <w:rPr>
                                      <w:spacing w:val="-2"/>
                                      <w:sz w:val="20"/>
                                    </w:rPr>
                                    <w:t>Públicas</w:t>
                                  </w:r>
                                </w:p>
                              </w:tc>
                              <w:tc>
                                <w:tcPr>
                                  <w:tcW w:w="1660" w:type="dxa"/>
                                </w:tcPr>
                                <w:p>
                                  <w:pPr>
                                    <w:pStyle w:val="TableParagraph"/>
                                    <w:spacing w:line="209" w:lineRule="exact" w:before="1"/>
                                    <w:ind w:right="126"/>
                                    <w:jc w:val="right"/>
                                    <w:rPr>
                                      <w:sz w:val="20"/>
                                    </w:rPr>
                                  </w:pPr>
                                  <w:r>
                                    <w:rPr>
                                      <w:spacing w:val="-2"/>
                                      <w:sz w:val="20"/>
                                    </w:rPr>
                                    <w:t>654.384,47</w:t>
                                  </w:r>
                                </w:p>
                              </w:tc>
                              <w:tc>
                                <w:tcPr>
                                  <w:tcW w:w="1345" w:type="dxa"/>
                                </w:tcPr>
                                <w:p>
                                  <w:pPr>
                                    <w:pStyle w:val="TableParagraph"/>
                                    <w:spacing w:line="209" w:lineRule="exact" w:before="1"/>
                                    <w:ind w:right="51"/>
                                    <w:jc w:val="right"/>
                                    <w:rPr>
                                      <w:sz w:val="20"/>
                                    </w:rPr>
                                  </w:pPr>
                                  <w:r>
                                    <w:rPr>
                                      <w:spacing w:val="-2"/>
                                      <w:sz w:val="20"/>
                                    </w:rPr>
                                    <w:t>520.444,94</w:t>
                                  </w:r>
                                </w:p>
                              </w:tc>
                            </w:tr>
                            <w:tr>
                              <w:trPr>
                                <w:trHeight w:val="276" w:hRule="atLeast"/>
                              </w:trPr>
                              <w:tc>
                                <w:tcPr>
                                  <w:tcW w:w="3395" w:type="dxa"/>
                                </w:tcPr>
                                <w:p>
                                  <w:pPr>
                                    <w:pStyle w:val="TableParagraph"/>
                                    <w:spacing w:before="1"/>
                                    <w:ind w:left="50"/>
                                    <w:rPr>
                                      <w:sz w:val="20"/>
                                    </w:rPr>
                                  </w:pPr>
                                  <w:r>
                                    <w:rPr>
                                      <w:spacing w:val="-2"/>
                                      <w:sz w:val="20"/>
                                    </w:rPr>
                                    <w:t>Suministros</w:t>
                                  </w:r>
                                </w:p>
                              </w:tc>
                              <w:tc>
                                <w:tcPr>
                                  <w:tcW w:w="1660" w:type="dxa"/>
                                </w:tcPr>
                                <w:p>
                                  <w:pPr>
                                    <w:pStyle w:val="TableParagraph"/>
                                    <w:spacing w:before="1"/>
                                    <w:ind w:right="127"/>
                                    <w:jc w:val="right"/>
                                    <w:rPr>
                                      <w:sz w:val="20"/>
                                    </w:rPr>
                                  </w:pPr>
                                  <w:r>
                                    <w:rPr>
                                      <w:spacing w:val="-2"/>
                                      <w:sz w:val="20"/>
                                    </w:rPr>
                                    <w:t>293.146,89</w:t>
                                  </w:r>
                                </w:p>
                              </w:tc>
                              <w:tc>
                                <w:tcPr>
                                  <w:tcW w:w="1345" w:type="dxa"/>
                                </w:tcPr>
                                <w:p>
                                  <w:pPr>
                                    <w:pStyle w:val="TableParagraph"/>
                                    <w:spacing w:before="1"/>
                                    <w:ind w:right="51"/>
                                    <w:jc w:val="right"/>
                                    <w:rPr>
                                      <w:sz w:val="20"/>
                                    </w:rPr>
                                  </w:pPr>
                                  <w:r>
                                    <w:rPr>
                                      <w:spacing w:val="-2"/>
                                      <w:sz w:val="20"/>
                                    </w:rPr>
                                    <w:t>292.824,24</w:t>
                                  </w:r>
                                </w:p>
                              </w:tc>
                            </w:tr>
                          </w:tbl>
                          <w:p>
                            <w:pPr>
                              <w:pStyle w:val="BodyText"/>
                            </w:pPr>
                          </w:p>
                        </w:txbxContent>
                      </wps:txbx>
                      <wps:bodyPr wrap="square" lIns="0" tIns="0" rIns="0" bIns="0" rtlCol="0">
                        <a:noAutofit/>
                      </wps:bodyPr>
                    </wps:wsp>
                  </a:graphicData>
                </a:graphic>
              </wp:anchor>
            </w:drawing>
          </mc:Choice>
          <mc:Fallback>
            <w:pict>
              <v:shape style="position:absolute;margin-left:134.660004pt;margin-top:9.667915pt;width:325.95pt;height:108pt;mso-position-horizontal-relative:page;mso-position-vertical-relative:paragraph;z-index:15768064" type="#_x0000_t202" id="docshape12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5"/>
                        <w:gridCol w:w="1660"/>
                        <w:gridCol w:w="1345"/>
                      </w:tblGrid>
                      <w:tr>
                        <w:trPr>
                          <w:trHeight w:val="276" w:hRule="atLeast"/>
                        </w:trPr>
                        <w:tc>
                          <w:tcPr>
                            <w:tcW w:w="3395" w:type="dxa"/>
                          </w:tcPr>
                          <w:p>
                            <w:pPr>
                              <w:pStyle w:val="TableParagraph"/>
                              <w:spacing w:line="209" w:lineRule="exact" w:before="47"/>
                              <w:ind w:left="50"/>
                              <w:rPr>
                                <w:sz w:val="20"/>
                              </w:rPr>
                            </w:pPr>
                            <w:r>
                              <w:rPr>
                                <w:sz w:val="20"/>
                              </w:rPr>
                              <w:t>Gastos</w:t>
                            </w:r>
                            <w:r>
                              <w:rPr>
                                <w:spacing w:val="-9"/>
                                <w:sz w:val="20"/>
                              </w:rPr>
                              <w:t> </w:t>
                            </w:r>
                            <w:r>
                              <w:rPr>
                                <w:sz w:val="20"/>
                              </w:rPr>
                              <w:t>Investigación</w:t>
                            </w:r>
                            <w:r>
                              <w:rPr>
                                <w:spacing w:val="-7"/>
                                <w:sz w:val="20"/>
                              </w:rPr>
                              <w:t> </w:t>
                            </w:r>
                            <w:r>
                              <w:rPr>
                                <w:sz w:val="20"/>
                              </w:rPr>
                              <w:t>y</w:t>
                            </w:r>
                            <w:r>
                              <w:rPr>
                                <w:spacing w:val="-8"/>
                                <w:sz w:val="20"/>
                              </w:rPr>
                              <w:t> </w:t>
                            </w:r>
                            <w:r>
                              <w:rPr>
                                <w:spacing w:val="-2"/>
                                <w:sz w:val="20"/>
                              </w:rPr>
                              <w:t>Desarrollo</w:t>
                            </w:r>
                          </w:p>
                        </w:tc>
                        <w:tc>
                          <w:tcPr>
                            <w:tcW w:w="1660" w:type="dxa"/>
                          </w:tcPr>
                          <w:p>
                            <w:pPr>
                              <w:pStyle w:val="TableParagraph"/>
                              <w:spacing w:line="209" w:lineRule="exact" w:before="47"/>
                              <w:ind w:right="125"/>
                              <w:jc w:val="right"/>
                              <w:rPr>
                                <w:sz w:val="20"/>
                              </w:rPr>
                            </w:pPr>
                            <w:r>
                              <w:rPr>
                                <w:spacing w:val="-2"/>
                                <w:sz w:val="20"/>
                              </w:rPr>
                              <w:t>32.022,50</w:t>
                            </w:r>
                          </w:p>
                        </w:tc>
                        <w:tc>
                          <w:tcPr>
                            <w:tcW w:w="1345" w:type="dxa"/>
                          </w:tcPr>
                          <w:p>
                            <w:pPr>
                              <w:pStyle w:val="TableParagraph"/>
                              <w:spacing w:line="209" w:lineRule="exact" w:before="47"/>
                              <w:ind w:right="49"/>
                              <w:jc w:val="right"/>
                              <w:rPr>
                                <w:sz w:val="20"/>
                              </w:rPr>
                            </w:pPr>
                            <w:r>
                              <w:rPr>
                                <w:spacing w:val="-2"/>
                                <w:sz w:val="20"/>
                              </w:rPr>
                              <w:t>36.235,00</w:t>
                            </w:r>
                          </w:p>
                        </w:tc>
                      </w:tr>
                      <w:tr>
                        <w:trPr>
                          <w:trHeight w:val="230" w:hRule="atLeast"/>
                        </w:trPr>
                        <w:tc>
                          <w:tcPr>
                            <w:tcW w:w="3395" w:type="dxa"/>
                          </w:tcPr>
                          <w:p>
                            <w:pPr>
                              <w:pStyle w:val="TableParagraph"/>
                              <w:spacing w:line="209" w:lineRule="exact" w:before="1"/>
                              <w:ind w:left="50"/>
                              <w:rPr>
                                <w:sz w:val="20"/>
                              </w:rPr>
                            </w:pPr>
                            <w:r>
                              <w:rPr>
                                <w:spacing w:val="-2"/>
                                <w:sz w:val="20"/>
                              </w:rPr>
                              <w:t>Arrendamientos</w:t>
                            </w:r>
                            <w:r>
                              <w:rPr>
                                <w:spacing w:val="12"/>
                                <w:sz w:val="20"/>
                              </w:rPr>
                              <w:t> </w:t>
                            </w:r>
                            <w:r>
                              <w:rPr>
                                <w:spacing w:val="-10"/>
                                <w:sz w:val="20"/>
                              </w:rPr>
                              <w:t>y</w:t>
                            </w:r>
                          </w:p>
                        </w:tc>
                        <w:tc>
                          <w:tcPr>
                            <w:tcW w:w="1660" w:type="dxa"/>
                          </w:tcPr>
                          <w:p>
                            <w:pPr>
                              <w:pStyle w:val="TableParagraph"/>
                              <w:rPr>
                                <w:rFonts w:ascii="Times New Roman"/>
                                <w:sz w:val="16"/>
                              </w:rPr>
                            </w:pPr>
                          </w:p>
                        </w:tc>
                        <w:tc>
                          <w:tcPr>
                            <w:tcW w:w="1345" w:type="dxa"/>
                          </w:tcPr>
                          <w:p>
                            <w:pPr>
                              <w:pStyle w:val="TableParagraph"/>
                              <w:rPr>
                                <w:rFonts w:ascii="Times New Roman"/>
                                <w:sz w:val="16"/>
                              </w:rPr>
                            </w:pPr>
                          </w:p>
                        </w:tc>
                      </w:tr>
                      <w:tr>
                        <w:trPr>
                          <w:trHeight w:val="230" w:hRule="atLeast"/>
                        </w:trPr>
                        <w:tc>
                          <w:tcPr>
                            <w:tcW w:w="3395" w:type="dxa"/>
                          </w:tcPr>
                          <w:p>
                            <w:pPr>
                              <w:pStyle w:val="TableParagraph"/>
                              <w:spacing w:line="209" w:lineRule="exact" w:before="1"/>
                              <w:ind w:left="50"/>
                              <w:rPr>
                                <w:sz w:val="20"/>
                              </w:rPr>
                            </w:pPr>
                            <w:r>
                              <w:rPr>
                                <w:spacing w:val="-2"/>
                                <w:sz w:val="20"/>
                              </w:rPr>
                              <w:t>cánones</w:t>
                            </w:r>
                          </w:p>
                        </w:tc>
                        <w:tc>
                          <w:tcPr>
                            <w:tcW w:w="1660" w:type="dxa"/>
                          </w:tcPr>
                          <w:p>
                            <w:pPr>
                              <w:pStyle w:val="TableParagraph"/>
                              <w:spacing w:line="209" w:lineRule="exact" w:before="1"/>
                              <w:ind w:right="125"/>
                              <w:jc w:val="right"/>
                              <w:rPr>
                                <w:sz w:val="20"/>
                              </w:rPr>
                            </w:pPr>
                            <w:r>
                              <w:rPr>
                                <w:spacing w:val="-2"/>
                                <w:sz w:val="20"/>
                              </w:rPr>
                              <w:t>17.960,31</w:t>
                            </w:r>
                          </w:p>
                        </w:tc>
                        <w:tc>
                          <w:tcPr>
                            <w:tcW w:w="1345" w:type="dxa"/>
                          </w:tcPr>
                          <w:p>
                            <w:pPr>
                              <w:pStyle w:val="TableParagraph"/>
                              <w:spacing w:line="209" w:lineRule="exact" w:before="1"/>
                              <w:ind w:right="49"/>
                              <w:jc w:val="right"/>
                              <w:rPr>
                                <w:sz w:val="20"/>
                              </w:rPr>
                            </w:pPr>
                            <w:r>
                              <w:rPr>
                                <w:spacing w:val="-2"/>
                                <w:sz w:val="20"/>
                              </w:rPr>
                              <w:t>17.680,25</w:t>
                            </w:r>
                          </w:p>
                        </w:tc>
                      </w:tr>
                      <w:tr>
                        <w:trPr>
                          <w:trHeight w:val="230" w:hRule="atLeast"/>
                        </w:trPr>
                        <w:tc>
                          <w:tcPr>
                            <w:tcW w:w="3395" w:type="dxa"/>
                          </w:tcPr>
                          <w:p>
                            <w:pPr>
                              <w:pStyle w:val="TableParagraph"/>
                              <w:spacing w:line="209" w:lineRule="exact" w:before="1"/>
                              <w:ind w:left="50"/>
                              <w:rPr>
                                <w:sz w:val="20"/>
                              </w:rPr>
                            </w:pPr>
                            <w:r>
                              <w:rPr>
                                <w:sz w:val="20"/>
                              </w:rPr>
                              <w:t>Reparaciones</w:t>
                            </w:r>
                            <w:r>
                              <w:rPr>
                                <w:spacing w:val="-6"/>
                                <w:sz w:val="20"/>
                              </w:rPr>
                              <w:t> </w:t>
                            </w:r>
                            <w:r>
                              <w:rPr>
                                <w:sz w:val="20"/>
                              </w:rPr>
                              <w:t>y</w:t>
                            </w:r>
                            <w:r>
                              <w:rPr>
                                <w:spacing w:val="-14"/>
                                <w:sz w:val="20"/>
                              </w:rPr>
                              <w:t> </w:t>
                            </w:r>
                            <w:r>
                              <w:rPr>
                                <w:spacing w:val="-2"/>
                                <w:sz w:val="20"/>
                              </w:rPr>
                              <w:t>Conservación</w:t>
                            </w:r>
                          </w:p>
                        </w:tc>
                        <w:tc>
                          <w:tcPr>
                            <w:tcW w:w="1660" w:type="dxa"/>
                          </w:tcPr>
                          <w:p>
                            <w:pPr>
                              <w:pStyle w:val="TableParagraph"/>
                              <w:spacing w:line="209" w:lineRule="exact" w:before="1"/>
                              <w:ind w:right="125"/>
                              <w:jc w:val="right"/>
                              <w:rPr>
                                <w:sz w:val="20"/>
                              </w:rPr>
                            </w:pPr>
                            <w:r>
                              <w:rPr>
                                <w:spacing w:val="-2"/>
                                <w:sz w:val="20"/>
                              </w:rPr>
                              <w:t>5.037.099,81</w:t>
                            </w:r>
                          </w:p>
                        </w:tc>
                        <w:tc>
                          <w:tcPr>
                            <w:tcW w:w="1345" w:type="dxa"/>
                          </w:tcPr>
                          <w:p>
                            <w:pPr>
                              <w:pStyle w:val="TableParagraph"/>
                              <w:spacing w:line="209" w:lineRule="exact" w:before="1"/>
                              <w:ind w:right="49"/>
                              <w:jc w:val="right"/>
                              <w:rPr>
                                <w:sz w:val="20"/>
                              </w:rPr>
                            </w:pPr>
                            <w:r>
                              <w:rPr>
                                <w:spacing w:val="-2"/>
                                <w:sz w:val="20"/>
                              </w:rPr>
                              <w:t>5.512.233,61</w:t>
                            </w:r>
                          </w:p>
                        </w:tc>
                      </w:tr>
                      <w:tr>
                        <w:trPr>
                          <w:trHeight w:val="230" w:hRule="atLeast"/>
                        </w:trPr>
                        <w:tc>
                          <w:tcPr>
                            <w:tcW w:w="3395" w:type="dxa"/>
                          </w:tcPr>
                          <w:p>
                            <w:pPr>
                              <w:pStyle w:val="TableParagraph"/>
                              <w:spacing w:line="209" w:lineRule="exact" w:before="1"/>
                              <w:ind w:left="50"/>
                              <w:rPr>
                                <w:sz w:val="20"/>
                              </w:rPr>
                            </w:pPr>
                            <w:r>
                              <w:rPr>
                                <w:sz w:val="20"/>
                              </w:rPr>
                              <w:t>Servicios</w:t>
                            </w:r>
                            <w:r>
                              <w:rPr>
                                <w:spacing w:val="-13"/>
                                <w:sz w:val="20"/>
                              </w:rPr>
                              <w:t> </w:t>
                            </w:r>
                            <w:r>
                              <w:rPr>
                                <w:sz w:val="20"/>
                              </w:rPr>
                              <w:t>Profesionales</w:t>
                            </w:r>
                            <w:r>
                              <w:rPr>
                                <w:spacing w:val="-14"/>
                                <w:sz w:val="20"/>
                              </w:rPr>
                              <w:t> </w:t>
                            </w:r>
                            <w:r>
                              <w:rPr>
                                <w:spacing w:val="-2"/>
                                <w:sz w:val="20"/>
                              </w:rPr>
                              <w:t>Indep.</w:t>
                            </w:r>
                          </w:p>
                        </w:tc>
                        <w:tc>
                          <w:tcPr>
                            <w:tcW w:w="1660" w:type="dxa"/>
                          </w:tcPr>
                          <w:p>
                            <w:pPr>
                              <w:pStyle w:val="TableParagraph"/>
                              <w:spacing w:line="209" w:lineRule="exact" w:before="1"/>
                              <w:ind w:right="125"/>
                              <w:jc w:val="right"/>
                              <w:rPr>
                                <w:sz w:val="20"/>
                              </w:rPr>
                            </w:pPr>
                            <w:r>
                              <w:rPr>
                                <w:spacing w:val="-2"/>
                                <w:sz w:val="20"/>
                              </w:rPr>
                              <w:t>1.110.279,76</w:t>
                            </w:r>
                          </w:p>
                        </w:tc>
                        <w:tc>
                          <w:tcPr>
                            <w:tcW w:w="1345" w:type="dxa"/>
                          </w:tcPr>
                          <w:p>
                            <w:pPr>
                              <w:pStyle w:val="TableParagraph"/>
                              <w:spacing w:line="209" w:lineRule="exact" w:before="1"/>
                              <w:ind w:right="49"/>
                              <w:jc w:val="right"/>
                              <w:rPr>
                                <w:sz w:val="20"/>
                              </w:rPr>
                            </w:pPr>
                            <w:r>
                              <w:rPr>
                                <w:spacing w:val="-2"/>
                                <w:sz w:val="20"/>
                              </w:rPr>
                              <w:t>1.083.661,27</w:t>
                            </w:r>
                          </w:p>
                        </w:tc>
                      </w:tr>
                      <w:tr>
                        <w:trPr>
                          <w:trHeight w:val="229" w:hRule="atLeast"/>
                        </w:trPr>
                        <w:tc>
                          <w:tcPr>
                            <w:tcW w:w="3395" w:type="dxa"/>
                          </w:tcPr>
                          <w:p>
                            <w:pPr>
                              <w:pStyle w:val="TableParagraph"/>
                              <w:spacing w:line="208" w:lineRule="exact" w:before="1"/>
                              <w:ind w:left="50"/>
                              <w:rPr>
                                <w:sz w:val="20"/>
                              </w:rPr>
                            </w:pPr>
                            <w:r>
                              <w:rPr>
                                <w:sz w:val="20"/>
                              </w:rPr>
                              <w:t>Primas</w:t>
                            </w:r>
                            <w:r>
                              <w:rPr>
                                <w:spacing w:val="-5"/>
                                <w:sz w:val="20"/>
                              </w:rPr>
                              <w:t> </w:t>
                            </w:r>
                            <w:r>
                              <w:rPr>
                                <w:sz w:val="20"/>
                              </w:rPr>
                              <w:t>de</w:t>
                            </w:r>
                            <w:r>
                              <w:rPr>
                                <w:spacing w:val="-6"/>
                                <w:sz w:val="20"/>
                              </w:rPr>
                              <w:t> </w:t>
                            </w:r>
                            <w:r>
                              <w:rPr>
                                <w:spacing w:val="-2"/>
                                <w:sz w:val="20"/>
                              </w:rPr>
                              <w:t>Seguros</w:t>
                            </w:r>
                          </w:p>
                        </w:tc>
                        <w:tc>
                          <w:tcPr>
                            <w:tcW w:w="1660" w:type="dxa"/>
                          </w:tcPr>
                          <w:p>
                            <w:pPr>
                              <w:pStyle w:val="TableParagraph"/>
                              <w:spacing w:line="208" w:lineRule="exact" w:before="1"/>
                              <w:ind w:right="125"/>
                              <w:jc w:val="right"/>
                              <w:rPr>
                                <w:sz w:val="20"/>
                              </w:rPr>
                            </w:pPr>
                            <w:r>
                              <w:rPr>
                                <w:spacing w:val="-2"/>
                                <w:sz w:val="20"/>
                              </w:rPr>
                              <w:t>2.381.647,21</w:t>
                            </w:r>
                          </w:p>
                        </w:tc>
                        <w:tc>
                          <w:tcPr>
                            <w:tcW w:w="1345" w:type="dxa"/>
                          </w:tcPr>
                          <w:p>
                            <w:pPr>
                              <w:pStyle w:val="TableParagraph"/>
                              <w:spacing w:line="208" w:lineRule="exact" w:before="1"/>
                              <w:ind w:right="49"/>
                              <w:jc w:val="right"/>
                              <w:rPr>
                                <w:sz w:val="20"/>
                              </w:rPr>
                            </w:pPr>
                            <w:r>
                              <w:rPr>
                                <w:spacing w:val="-2"/>
                                <w:sz w:val="20"/>
                              </w:rPr>
                              <w:t>2.403.655,69</w:t>
                            </w:r>
                          </w:p>
                        </w:tc>
                      </w:tr>
                      <w:tr>
                        <w:trPr>
                          <w:trHeight w:val="229" w:hRule="atLeast"/>
                        </w:trPr>
                        <w:tc>
                          <w:tcPr>
                            <w:tcW w:w="3395" w:type="dxa"/>
                          </w:tcPr>
                          <w:p>
                            <w:pPr>
                              <w:pStyle w:val="TableParagraph"/>
                              <w:spacing w:line="209" w:lineRule="exact"/>
                              <w:ind w:left="50"/>
                              <w:rPr>
                                <w:sz w:val="20"/>
                              </w:rPr>
                            </w:pPr>
                            <w:r>
                              <w:rPr>
                                <w:sz w:val="20"/>
                              </w:rPr>
                              <w:t>Servicios</w:t>
                            </w:r>
                            <w:r>
                              <w:rPr>
                                <w:spacing w:val="-12"/>
                                <w:sz w:val="20"/>
                              </w:rPr>
                              <w:t> </w:t>
                            </w:r>
                            <w:r>
                              <w:rPr>
                                <w:spacing w:val="-2"/>
                                <w:sz w:val="20"/>
                              </w:rPr>
                              <w:t>Bancarios</w:t>
                            </w:r>
                          </w:p>
                        </w:tc>
                        <w:tc>
                          <w:tcPr>
                            <w:tcW w:w="1660" w:type="dxa"/>
                          </w:tcPr>
                          <w:p>
                            <w:pPr>
                              <w:pStyle w:val="TableParagraph"/>
                              <w:spacing w:line="209" w:lineRule="exact"/>
                              <w:ind w:right="125"/>
                              <w:jc w:val="right"/>
                              <w:rPr>
                                <w:sz w:val="20"/>
                              </w:rPr>
                            </w:pPr>
                            <w:r>
                              <w:rPr>
                                <w:spacing w:val="-2"/>
                                <w:sz w:val="20"/>
                              </w:rPr>
                              <w:t>53.985,49</w:t>
                            </w:r>
                          </w:p>
                        </w:tc>
                        <w:tc>
                          <w:tcPr>
                            <w:tcW w:w="1345" w:type="dxa"/>
                          </w:tcPr>
                          <w:p>
                            <w:pPr>
                              <w:pStyle w:val="TableParagraph"/>
                              <w:spacing w:line="209" w:lineRule="exact"/>
                              <w:ind w:right="49"/>
                              <w:jc w:val="right"/>
                              <w:rPr>
                                <w:sz w:val="20"/>
                              </w:rPr>
                            </w:pPr>
                            <w:r>
                              <w:rPr>
                                <w:spacing w:val="-2"/>
                                <w:sz w:val="20"/>
                              </w:rPr>
                              <w:t>38.718,20</w:t>
                            </w:r>
                          </w:p>
                        </w:tc>
                      </w:tr>
                      <w:tr>
                        <w:trPr>
                          <w:trHeight w:val="230" w:hRule="atLeast"/>
                        </w:trPr>
                        <w:tc>
                          <w:tcPr>
                            <w:tcW w:w="3395" w:type="dxa"/>
                          </w:tcPr>
                          <w:p>
                            <w:pPr>
                              <w:pStyle w:val="TableParagraph"/>
                              <w:spacing w:line="209" w:lineRule="exact" w:before="1"/>
                              <w:ind w:left="50"/>
                              <w:rPr>
                                <w:sz w:val="20"/>
                              </w:rPr>
                            </w:pPr>
                            <w:r>
                              <w:rPr>
                                <w:sz w:val="20"/>
                              </w:rPr>
                              <w:t>Public.</w:t>
                            </w:r>
                            <w:r>
                              <w:rPr>
                                <w:spacing w:val="-5"/>
                                <w:sz w:val="20"/>
                              </w:rPr>
                              <w:t> </w:t>
                            </w:r>
                            <w:r>
                              <w:rPr>
                                <w:sz w:val="20"/>
                              </w:rPr>
                              <w:t>Propag.</w:t>
                            </w:r>
                            <w:r>
                              <w:rPr>
                                <w:spacing w:val="-2"/>
                                <w:sz w:val="20"/>
                              </w:rPr>
                              <w:t> </w:t>
                            </w:r>
                            <w:r>
                              <w:rPr>
                                <w:sz w:val="20"/>
                              </w:rPr>
                              <w:t>y</w:t>
                            </w:r>
                            <w:r>
                              <w:rPr>
                                <w:spacing w:val="-11"/>
                                <w:sz w:val="20"/>
                              </w:rPr>
                              <w:t> </w:t>
                            </w:r>
                            <w:r>
                              <w:rPr>
                                <w:sz w:val="20"/>
                              </w:rPr>
                              <w:t>Rel.</w:t>
                            </w:r>
                            <w:r>
                              <w:rPr>
                                <w:spacing w:val="-7"/>
                                <w:sz w:val="20"/>
                              </w:rPr>
                              <w:t> </w:t>
                            </w:r>
                            <w:r>
                              <w:rPr>
                                <w:spacing w:val="-2"/>
                                <w:sz w:val="20"/>
                              </w:rPr>
                              <w:t>Públicas</w:t>
                            </w:r>
                          </w:p>
                        </w:tc>
                        <w:tc>
                          <w:tcPr>
                            <w:tcW w:w="1660" w:type="dxa"/>
                          </w:tcPr>
                          <w:p>
                            <w:pPr>
                              <w:pStyle w:val="TableParagraph"/>
                              <w:spacing w:line="209" w:lineRule="exact" w:before="1"/>
                              <w:ind w:right="126"/>
                              <w:jc w:val="right"/>
                              <w:rPr>
                                <w:sz w:val="20"/>
                              </w:rPr>
                            </w:pPr>
                            <w:r>
                              <w:rPr>
                                <w:spacing w:val="-2"/>
                                <w:sz w:val="20"/>
                              </w:rPr>
                              <w:t>654.384,47</w:t>
                            </w:r>
                          </w:p>
                        </w:tc>
                        <w:tc>
                          <w:tcPr>
                            <w:tcW w:w="1345" w:type="dxa"/>
                          </w:tcPr>
                          <w:p>
                            <w:pPr>
                              <w:pStyle w:val="TableParagraph"/>
                              <w:spacing w:line="209" w:lineRule="exact" w:before="1"/>
                              <w:ind w:right="51"/>
                              <w:jc w:val="right"/>
                              <w:rPr>
                                <w:sz w:val="20"/>
                              </w:rPr>
                            </w:pPr>
                            <w:r>
                              <w:rPr>
                                <w:spacing w:val="-2"/>
                                <w:sz w:val="20"/>
                              </w:rPr>
                              <w:t>520.444,94</w:t>
                            </w:r>
                          </w:p>
                        </w:tc>
                      </w:tr>
                      <w:tr>
                        <w:trPr>
                          <w:trHeight w:val="276" w:hRule="atLeast"/>
                        </w:trPr>
                        <w:tc>
                          <w:tcPr>
                            <w:tcW w:w="3395" w:type="dxa"/>
                          </w:tcPr>
                          <w:p>
                            <w:pPr>
                              <w:pStyle w:val="TableParagraph"/>
                              <w:spacing w:before="1"/>
                              <w:ind w:left="50"/>
                              <w:rPr>
                                <w:sz w:val="20"/>
                              </w:rPr>
                            </w:pPr>
                            <w:r>
                              <w:rPr>
                                <w:spacing w:val="-2"/>
                                <w:sz w:val="20"/>
                              </w:rPr>
                              <w:t>Suministros</w:t>
                            </w:r>
                          </w:p>
                        </w:tc>
                        <w:tc>
                          <w:tcPr>
                            <w:tcW w:w="1660" w:type="dxa"/>
                          </w:tcPr>
                          <w:p>
                            <w:pPr>
                              <w:pStyle w:val="TableParagraph"/>
                              <w:spacing w:before="1"/>
                              <w:ind w:right="127"/>
                              <w:jc w:val="right"/>
                              <w:rPr>
                                <w:sz w:val="20"/>
                              </w:rPr>
                            </w:pPr>
                            <w:r>
                              <w:rPr>
                                <w:spacing w:val="-2"/>
                                <w:sz w:val="20"/>
                              </w:rPr>
                              <w:t>293.146,89</w:t>
                            </w:r>
                          </w:p>
                        </w:tc>
                        <w:tc>
                          <w:tcPr>
                            <w:tcW w:w="1345" w:type="dxa"/>
                          </w:tcPr>
                          <w:p>
                            <w:pPr>
                              <w:pStyle w:val="TableParagraph"/>
                              <w:spacing w:before="1"/>
                              <w:ind w:right="51"/>
                              <w:jc w:val="right"/>
                              <w:rPr>
                                <w:sz w:val="20"/>
                              </w:rPr>
                            </w:pPr>
                            <w:r>
                              <w:rPr>
                                <w:spacing w:val="-2"/>
                                <w:sz w:val="20"/>
                              </w:rPr>
                              <w:t>292.824,24</w:t>
                            </w:r>
                          </w:p>
                        </w:tc>
                      </w:tr>
                    </w:tbl>
                    <w:p>
                      <w:pPr>
                        <w:pStyle w:val="BodyText"/>
                      </w:pPr>
                    </w:p>
                  </w:txbxContent>
                </v:textbox>
                <w10:wrap type="none"/>
              </v:shape>
            </w:pict>
          </mc:Fallback>
        </mc:AlternateContent>
      </w: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
        <w:rPr>
          <w:b/>
        </w:rPr>
      </w:pPr>
    </w:p>
    <w:p>
      <w:pPr>
        <w:pStyle w:val="BodyText"/>
        <w:tabs>
          <w:tab w:pos="3530" w:val="left" w:leader="none"/>
          <w:tab w:pos="3878" w:val="left" w:leader="none"/>
          <w:tab w:pos="5299" w:val="left" w:leader="none"/>
        </w:tabs>
        <w:ind w:right="2444"/>
        <w:jc w:val="right"/>
      </w:pPr>
      <w:r>
        <w:rPr/>
        <w:t>Otros</w:t>
      </w:r>
      <w:r>
        <w:rPr>
          <w:spacing w:val="-4"/>
        </w:rPr>
        <w:t> </w:t>
      </w:r>
      <w:r>
        <w:rPr>
          <w:spacing w:val="-2"/>
        </w:rPr>
        <w:t>Servicios</w:t>
      </w:r>
      <w:r>
        <w:rPr/>
        <w:tab/>
      </w:r>
      <w:r>
        <w:rPr>
          <w:rFonts w:ascii="Times New Roman"/>
          <w:u w:val="single"/>
        </w:rPr>
        <w:tab/>
      </w:r>
      <w:r>
        <w:rPr>
          <w:spacing w:val="-2"/>
          <w:u w:val="single"/>
        </w:rPr>
        <w:t>566.206,51</w:t>
      </w:r>
      <w:r>
        <w:rPr>
          <w:u w:val="single"/>
        </w:rPr>
        <w:tab/>
      </w:r>
      <w:r>
        <w:rPr>
          <w:spacing w:val="-2"/>
          <w:u w:val="single"/>
        </w:rPr>
        <w:t>912.182,20</w:t>
      </w:r>
    </w:p>
    <w:p>
      <w:pPr>
        <w:pStyle w:val="Heading2"/>
        <w:tabs>
          <w:tab w:pos="1115" w:val="left" w:leader="none"/>
        </w:tabs>
        <w:spacing w:before="8"/>
        <w:ind w:right="2443"/>
        <w:jc w:val="right"/>
        <w:rPr>
          <w:u w:val="none"/>
        </w:rPr>
      </w:pPr>
      <w:r>
        <w:rPr>
          <w:spacing w:val="-2"/>
          <w:u w:val="none"/>
        </w:rPr>
        <w:t>TOTAL</w:t>
      </w:r>
      <w:r>
        <w:rPr>
          <w:u w:val="none"/>
        </w:rPr>
        <w:tab/>
      </w:r>
      <w:r>
        <w:rPr>
          <w:spacing w:val="40"/>
          <w:u w:val="single"/>
        </w:rPr>
        <w:t> </w:t>
      </w:r>
      <w:r>
        <w:rPr>
          <w:u w:val="single"/>
        </w:rPr>
        <w:t>10.146.732,95</w:t>
      </w:r>
      <w:r>
        <w:rPr>
          <w:spacing w:val="80"/>
          <w:u w:val="single"/>
        </w:rPr>
        <w:t> </w:t>
      </w:r>
      <w:r>
        <w:rPr>
          <w:u w:val="single"/>
        </w:rPr>
        <w:t>10.817.635,40</w:t>
      </w:r>
    </w:p>
    <w:p>
      <w:pPr>
        <w:pStyle w:val="BodyText"/>
        <w:spacing w:before="12"/>
        <w:rPr>
          <w:b/>
        </w:rPr>
      </w:pPr>
    </w:p>
    <w:p>
      <w:pPr>
        <w:pStyle w:val="BodyText"/>
        <w:spacing w:before="1"/>
        <w:ind w:left="2136"/>
        <w:jc w:val="both"/>
      </w:pPr>
      <w:r>
        <w:rPr/>
        <w:t>No</w:t>
      </w:r>
      <w:r>
        <w:rPr>
          <w:spacing w:val="-8"/>
        </w:rPr>
        <w:t> </w:t>
      </w:r>
      <w:r>
        <w:rPr/>
        <w:t>se</w:t>
      </w:r>
      <w:r>
        <w:rPr>
          <w:spacing w:val="-8"/>
        </w:rPr>
        <w:t> </w:t>
      </w:r>
      <w:r>
        <w:rPr/>
        <w:t>han</w:t>
      </w:r>
      <w:r>
        <w:rPr>
          <w:spacing w:val="-7"/>
        </w:rPr>
        <w:t> </w:t>
      </w:r>
      <w:r>
        <w:rPr/>
        <w:t>producido</w:t>
      </w:r>
      <w:r>
        <w:rPr>
          <w:spacing w:val="-5"/>
        </w:rPr>
        <w:t> </w:t>
      </w:r>
      <w:r>
        <w:rPr/>
        <w:t>pérdidas</w:t>
      </w:r>
      <w:r>
        <w:rPr>
          <w:spacing w:val="-5"/>
        </w:rPr>
        <w:t> </w:t>
      </w:r>
      <w:r>
        <w:rPr/>
        <w:t>por</w:t>
      </w:r>
      <w:r>
        <w:rPr>
          <w:spacing w:val="-5"/>
        </w:rPr>
        <w:t> </w:t>
      </w:r>
      <w:r>
        <w:rPr/>
        <w:t>operaciones</w:t>
      </w:r>
      <w:r>
        <w:rPr>
          <w:spacing w:val="-6"/>
        </w:rPr>
        <w:t> </w:t>
      </w:r>
      <w:r>
        <w:rPr/>
        <w:t>pendientes</w:t>
      </w:r>
      <w:r>
        <w:rPr>
          <w:spacing w:val="-6"/>
        </w:rPr>
        <w:t> </w:t>
      </w:r>
      <w:r>
        <w:rPr/>
        <w:t>de</w:t>
      </w:r>
      <w:r>
        <w:rPr>
          <w:spacing w:val="-8"/>
        </w:rPr>
        <w:t> </w:t>
      </w:r>
      <w:r>
        <w:rPr>
          <w:spacing w:val="-2"/>
        </w:rPr>
        <w:t>cobrar.</w:t>
      </w:r>
    </w:p>
    <w:p>
      <w:pPr>
        <w:pStyle w:val="BodyText"/>
        <w:spacing w:before="228"/>
        <w:ind w:left="2136" w:right="1335"/>
        <w:jc w:val="both"/>
      </w:pPr>
      <w:r>
        <w:rPr/>
        <w:t>“Otros resultados”: Se corresponden con el neto de gastos e ingresos que son originados por hechos que no forman parte de las actividades típicas de la Empresa y no se espera que ocurran con frecuencia, cuyo importe neto acreedor asciende a 2.448.859,12 euros al 31 de diciembre de 2024 y un saldo neto acreedor de 9.559,27 euros a 31 de diciembre de 2025. El desglose es el siguiente:</w:t>
      </w:r>
    </w:p>
    <w:p>
      <w:pPr>
        <w:tabs>
          <w:tab w:pos="431" w:val="left" w:leader="none"/>
          <w:tab w:pos="1739" w:val="left" w:leader="none"/>
          <w:tab w:pos="2615" w:val="left" w:leader="none"/>
        </w:tabs>
        <w:spacing w:before="228"/>
        <w:ind w:left="0" w:right="2482" w:firstLine="0"/>
        <w:jc w:val="right"/>
        <w:rPr>
          <w:b/>
          <w:sz w:val="20"/>
        </w:rPr>
      </w:pP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pStyle w:val="BodyText"/>
        <w:tabs>
          <w:tab w:pos="3746" w:val="left" w:leader="none"/>
          <w:tab w:pos="5054" w:val="left" w:leader="none"/>
        </w:tabs>
        <w:spacing w:before="12"/>
        <w:ind w:right="2553"/>
        <w:jc w:val="right"/>
      </w:pPr>
      <w:r>
        <w:rPr/>
        <w:t>Ingresos</w:t>
      </w:r>
      <w:r>
        <w:rPr>
          <w:spacing w:val="-10"/>
        </w:rPr>
        <w:t> </w:t>
      </w:r>
      <w:r>
        <w:rPr>
          <w:spacing w:val="-2"/>
        </w:rPr>
        <w:t>excepcionales</w:t>
      </w:r>
      <w:r>
        <w:rPr/>
        <w:tab/>
      </w:r>
      <w:r>
        <w:rPr>
          <w:spacing w:val="-2"/>
        </w:rPr>
        <w:t>(33.541,64)</w:t>
      </w:r>
      <w:r>
        <w:rPr/>
        <w:tab/>
      </w:r>
      <w:r>
        <w:rPr>
          <w:spacing w:val="-2"/>
        </w:rPr>
        <w:t>(26.070,36)</w:t>
      </w:r>
    </w:p>
    <w:p>
      <w:pPr>
        <w:pStyle w:val="BodyText"/>
        <w:tabs>
          <w:tab w:pos="3530" w:val="left" w:leader="none"/>
          <w:tab w:pos="3878" w:val="left" w:leader="none"/>
        </w:tabs>
        <w:spacing w:before="1"/>
        <w:ind w:right="2552"/>
        <w:jc w:val="right"/>
      </w:pPr>
      <w:r>
        <w:rPr/>
        <w:t>Gastos</w:t>
      </w:r>
      <w:r>
        <w:rPr>
          <w:spacing w:val="-6"/>
        </w:rPr>
        <w:t> </w:t>
      </w:r>
      <w:r>
        <w:rPr>
          <w:spacing w:val="-2"/>
        </w:rPr>
        <w:t>Excepcionales</w:t>
      </w:r>
      <w:r>
        <w:rPr/>
        <w:tab/>
      </w:r>
      <w:r>
        <w:rPr>
          <w:rFonts w:ascii="Times New Roman"/>
          <w:u w:val="single"/>
        </w:rPr>
        <w:tab/>
      </w:r>
      <w:r>
        <w:rPr>
          <w:u w:val="single"/>
        </w:rPr>
        <w:t>43.100,91</w:t>
      </w:r>
      <w:r>
        <w:rPr>
          <w:spacing w:val="73"/>
          <w:u w:val="single"/>
        </w:rPr>
        <w:t> </w:t>
      </w:r>
      <w:r>
        <w:rPr>
          <w:spacing w:val="-2"/>
          <w:u w:val="single"/>
        </w:rPr>
        <w:t>2.474.929,48</w:t>
      </w:r>
    </w:p>
    <w:p>
      <w:pPr>
        <w:pStyle w:val="Heading2"/>
        <w:tabs>
          <w:tab w:pos="1115" w:val="left" w:leader="none"/>
          <w:tab w:pos="1591" w:val="left" w:leader="none"/>
        </w:tabs>
        <w:spacing w:before="7"/>
        <w:ind w:right="2552"/>
        <w:jc w:val="right"/>
        <w:rPr>
          <w:u w:val="none"/>
        </w:rPr>
      </w:pPr>
      <w:r>
        <w:rPr>
          <w:spacing w:val="-2"/>
          <w:u w:val="none"/>
        </w:rPr>
        <w:t>TOTAL</w:t>
      </w:r>
      <w:r>
        <w:rPr>
          <w:u w:val="none"/>
        </w:rPr>
        <w:tab/>
      </w:r>
      <w:r>
        <w:rPr>
          <w:rFonts w:ascii="Times New Roman"/>
          <w:b w:val="0"/>
          <w:u w:val="single"/>
        </w:rPr>
        <w:tab/>
      </w:r>
      <w:r>
        <w:rPr>
          <w:u w:val="single"/>
        </w:rPr>
        <w:t>9.559,27</w:t>
      </w:r>
      <w:r>
        <w:rPr>
          <w:spacing w:val="73"/>
          <w:u w:val="single"/>
        </w:rPr>
        <w:t> </w:t>
      </w:r>
      <w:r>
        <w:rPr>
          <w:spacing w:val="-2"/>
          <w:u w:val="single"/>
        </w:rPr>
        <w:t>2.448.859,12</w:t>
      </w:r>
    </w:p>
    <w:p>
      <w:pPr>
        <w:pStyle w:val="BodyText"/>
        <w:rPr>
          <w:b/>
        </w:rPr>
      </w:pPr>
    </w:p>
    <w:p>
      <w:pPr>
        <w:pStyle w:val="BodyText"/>
        <w:spacing w:before="13"/>
        <w:rPr>
          <w:b/>
        </w:rPr>
      </w:pPr>
    </w:p>
    <w:p>
      <w:pPr>
        <w:pStyle w:val="BodyText"/>
        <w:ind w:left="2248" w:right="1339"/>
        <w:jc w:val="both"/>
      </w:pPr>
      <w:r>
        <w:rPr/>
        <mc:AlternateContent>
          <mc:Choice Requires="wps">
            <w:drawing>
              <wp:anchor distT="0" distB="0" distL="0" distR="0" allowOverlap="1" layoutInCell="1" locked="0" behindDoc="0" simplePos="0" relativeHeight="15767552">
                <wp:simplePos x="0" y="0"/>
                <wp:positionH relativeFrom="page">
                  <wp:posOffset>6966436</wp:posOffset>
                </wp:positionH>
                <wp:positionV relativeFrom="paragraph">
                  <wp:posOffset>933553</wp:posOffset>
                </wp:positionV>
                <wp:extent cx="263525" cy="327596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3.508163pt;width:20.75pt;height:257.95pt;mso-position-horizontal-relative:page;mso-position-vertical-relative:paragraph;z-index:15767552" type="#_x0000_t202" id="docshape12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A cierre del ejercicio 2024 se registró una provisión de 2.457.408,00 euros por las reclamaciones de la empresa adjudicataria de la obra del Paso Inferior de Santa Catalina. Si bien se estima que una gran parte de dicha reclamación carece de fundamento jurídico, existen conceptos que sí podrían ser susceptibles de indemnización previa justificación, razón por la cual se registró la citada provisión siguiendo el principio de prudencia. En el ejercicio 2025 los importes no han sido </w:t>
      </w:r>
      <w:r>
        <w:rPr>
          <w:spacing w:val="-2"/>
        </w:rPr>
        <w:t>significativos.</w:t>
      </w:r>
    </w:p>
    <w:p>
      <w:pPr>
        <w:pStyle w:val="BodyText"/>
        <w:spacing w:before="227"/>
      </w:pPr>
    </w:p>
    <w:p>
      <w:pPr>
        <w:pStyle w:val="Heading2"/>
        <w:numPr>
          <w:ilvl w:val="0"/>
          <w:numId w:val="23"/>
        </w:numPr>
        <w:tabs>
          <w:tab w:pos="1560" w:val="left" w:leader="none"/>
        </w:tabs>
        <w:spacing w:line="240" w:lineRule="auto" w:before="0" w:after="0"/>
        <w:ind w:left="1560" w:right="0" w:hanging="219"/>
        <w:jc w:val="left"/>
        <w:rPr>
          <w:u w:val="none"/>
        </w:rPr>
      </w:pPr>
      <w:r>
        <w:rPr>
          <w:spacing w:val="69"/>
          <w:w w:val="150"/>
          <w:u w:val="single"/>
        </w:rPr>
        <w:t> </w:t>
      </w:r>
      <w:r>
        <w:rPr>
          <w:u w:val="single"/>
        </w:rPr>
        <w:t>INFORMACION</w:t>
      </w:r>
      <w:r>
        <w:rPr>
          <w:spacing w:val="-2"/>
          <w:u w:val="single"/>
        </w:rPr>
        <w:t> </w:t>
      </w:r>
      <w:r>
        <w:rPr>
          <w:u w:val="single"/>
        </w:rPr>
        <w:t>SOBRE</w:t>
      </w:r>
      <w:r>
        <w:rPr>
          <w:spacing w:val="-5"/>
          <w:u w:val="single"/>
        </w:rPr>
        <w:t> </w:t>
      </w:r>
      <w:r>
        <w:rPr>
          <w:u w:val="single"/>
        </w:rPr>
        <w:t>MEDIO</w:t>
      </w:r>
      <w:r>
        <w:rPr>
          <w:spacing w:val="-2"/>
          <w:u w:val="single"/>
        </w:rPr>
        <w:t> AMBIENTE.</w:t>
      </w:r>
    </w:p>
    <w:p>
      <w:pPr>
        <w:pStyle w:val="BodyText"/>
        <w:spacing w:before="3"/>
        <w:rPr>
          <w:b/>
        </w:rPr>
      </w:pPr>
    </w:p>
    <w:p>
      <w:pPr>
        <w:pStyle w:val="ListParagraph"/>
        <w:numPr>
          <w:ilvl w:val="1"/>
          <w:numId w:val="23"/>
        </w:numPr>
        <w:tabs>
          <w:tab w:pos="2349" w:val="left" w:leader="none"/>
        </w:tabs>
        <w:spacing w:line="240" w:lineRule="auto" w:before="0" w:after="0"/>
        <w:ind w:left="2349" w:right="0" w:hanging="439"/>
        <w:jc w:val="left"/>
        <w:rPr>
          <w:sz w:val="20"/>
          <w:u w:val="single"/>
        </w:rPr>
      </w:pPr>
      <w:r>
        <w:rPr>
          <w:spacing w:val="-2"/>
          <w:sz w:val="20"/>
          <w:u w:val="single"/>
        </w:rPr>
        <w:t> Gastos</w:t>
      </w:r>
      <w:r>
        <w:rPr>
          <w:spacing w:val="-6"/>
          <w:sz w:val="20"/>
          <w:u w:val="single"/>
        </w:rPr>
        <w:t> </w:t>
      </w:r>
      <w:r>
        <w:rPr>
          <w:spacing w:val="-2"/>
          <w:sz w:val="20"/>
          <w:u w:val="single"/>
        </w:rPr>
        <w:t>incurridos</w:t>
      </w:r>
      <w:r>
        <w:rPr>
          <w:spacing w:val="-7"/>
          <w:sz w:val="20"/>
          <w:u w:val="single"/>
        </w:rPr>
        <w:t> </w:t>
      </w:r>
      <w:r>
        <w:rPr>
          <w:spacing w:val="-2"/>
          <w:sz w:val="20"/>
          <w:u w:val="single"/>
        </w:rPr>
        <w:t>en</w:t>
      </w:r>
      <w:r>
        <w:rPr>
          <w:spacing w:val="-8"/>
          <w:sz w:val="20"/>
          <w:u w:val="single"/>
        </w:rPr>
        <w:t> </w:t>
      </w:r>
      <w:r>
        <w:rPr>
          <w:spacing w:val="-2"/>
          <w:sz w:val="20"/>
          <w:u w:val="single"/>
        </w:rPr>
        <w:t>el</w:t>
      </w:r>
      <w:r>
        <w:rPr>
          <w:spacing w:val="-10"/>
          <w:sz w:val="20"/>
          <w:u w:val="single"/>
        </w:rPr>
        <w:t> </w:t>
      </w:r>
      <w:r>
        <w:rPr>
          <w:spacing w:val="-2"/>
          <w:sz w:val="20"/>
          <w:u w:val="single"/>
        </w:rPr>
        <w:t>ejercicio.</w:t>
      </w:r>
    </w:p>
    <w:p>
      <w:pPr>
        <w:pStyle w:val="BodyText"/>
        <w:spacing w:before="229"/>
        <w:ind w:left="1795" w:right="1308"/>
      </w:pPr>
      <w:r>
        <w:rPr/>
        <w:t>La contratación con los gestores autorizados de residuos ha supuesto un gasto total para los años 2025 y 2024 de 45.048,36 y 47.525,64 euros, respectivamente.</w:t>
      </w:r>
    </w:p>
    <w:p>
      <w:pPr>
        <w:pStyle w:val="BodyText"/>
        <w:spacing w:before="1"/>
      </w:pPr>
    </w:p>
    <w:p>
      <w:pPr>
        <w:pStyle w:val="ListParagraph"/>
        <w:numPr>
          <w:ilvl w:val="1"/>
          <w:numId w:val="23"/>
        </w:numPr>
        <w:tabs>
          <w:tab w:pos="2349" w:val="left" w:leader="none"/>
        </w:tabs>
        <w:spacing w:line="240" w:lineRule="auto" w:before="0" w:after="0"/>
        <w:ind w:left="2349" w:right="0" w:hanging="439"/>
        <w:jc w:val="left"/>
        <w:rPr>
          <w:sz w:val="20"/>
          <w:u w:val="single"/>
        </w:rPr>
      </w:pPr>
      <w:r>
        <w:rPr>
          <w:spacing w:val="-7"/>
          <w:sz w:val="20"/>
          <w:u w:val="single"/>
        </w:rPr>
        <w:t> </w:t>
      </w:r>
      <w:r>
        <w:rPr>
          <w:sz w:val="20"/>
          <w:u w:val="single"/>
        </w:rPr>
        <w:t>Riesgos</w:t>
      </w:r>
      <w:r>
        <w:rPr>
          <w:spacing w:val="-8"/>
          <w:sz w:val="20"/>
          <w:u w:val="single"/>
        </w:rPr>
        <w:t> </w:t>
      </w:r>
      <w:r>
        <w:rPr>
          <w:sz w:val="20"/>
          <w:u w:val="single"/>
        </w:rPr>
        <w:t>por</w:t>
      </w:r>
      <w:r>
        <w:rPr>
          <w:spacing w:val="-6"/>
          <w:sz w:val="20"/>
          <w:u w:val="single"/>
        </w:rPr>
        <w:t> </w:t>
      </w:r>
      <w:r>
        <w:rPr>
          <w:sz w:val="20"/>
          <w:u w:val="single"/>
        </w:rPr>
        <w:t>actuaciones</w:t>
      </w:r>
      <w:r>
        <w:rPr>
          <w:spacing w:val="-8"/>
          <w:sz w:val="20"/>
          <w:u w:val="single"/>
        </w:rPr>
        <w:t> </w:t>
      </w:r>
      <w:r>
        <w:rPr>
          <w:sz w:val="20"/>
          <w:u w:val="single"/>
        </w:rPr>
        <w:t>medioambientales</w:t>
      </w:r>
      <w:r>
        <w:rPr>
          <w:spacing w:val="-8"/>
          <w:sz w:val="20"/>
          <w:u w:val="single"/>
        </w:rPr>
        <w:t> </w:t>
      </w:r>
      <w:r>
        <w:rPr>
          <w:sz w:val="20"/>
          <w:u w:val="single"/>
        </w:rPr>
        <w:t>cubiertos</w:t>
      </w:r>
      <w:r>
        <w:rPr>
          <w:spacing w:val="-7"/>
          <w:sz w:val="20"/>
          <w:u w:val="single"/>
        </w:rPr>
        <w:t> </w:t>
      </w:r>
      <w:r>
        <w:rPr>
          <w:sz w:val="20"/>
          <w:u w:val="single"/>
        </w:rPr>
        <w:t>por</w:t>
      </w:r>
      <w:r>
        <w:rPr>
          <w:spacing w:val="-8"/>
          <w:sz w:val="20"/>
          <w:u w:val="single"/>
        </w:rPr>
        <w:t> </w:t>
      </w:r>
      <w:r>
        <w:rPr>
          <w:spacing w:val="-2"/>
          <w:sz w:val="20"/>
          <w:u w:val="single"/>
        </w:rPr>
        <w:t>provisiones.</w:t>
      </w:r>
    </w:p>
    <w:p>
      <w:pPr>
        <w:pStyle w:val="BodyText"/>
        <w:spacing w:before="1"/>
      </w:pPr>
    </w:p>
    <w:p>
      <w:pPr>
        <w:pStyle w:val="BodyText"/>
        <w:tabs>
          <w:tab w:pos="2255" w:val="left" w:leader="none"/>
          <w:tab w:pos="3096" w:val="left" w:leader="none"/>
          <w:tab w:pos="3947" w:val="left" w:leader="none"/>
          <w:tab w:pos="4968" w:val="left" w:leader="none"/>
          <w:tab w:pos="5497" w:val="left" w:leader="none"/>
          <w:tab w:pos="6716" w:val="left" w:leader="none"/>
          <w:tab w:pos="8457" w:val="left" w:leader="none"/>
          <w:tab w:pos="8775" w:val="left" w:leader="none"/>
        </w:tabs>
        <w:ind w:left="1341" w:right="1342" w:firstLine="453"/>
      </w:pPr>
      <w:r>
        <w:rPr>
          <w:spacing w:val="-6"/>
        </w:rPr>
        <w:t>No</w:t>
      </w:r>
      <w:r>
        <w:rPr/>
        <w:tab/>
      </w:r>
      <w:r>
        <w:rPr>
          <w:spacing w:val="-2"/>
        </w:rPr>
        <w:t>existen</w:t>
      </w:r>
      <w:r>
        <w:rPr/>
        <w:tab/>
      </w:r>
      <w:r>
        <w:rPr>
          <w:spacing w:val="-2"/>
        </w:rPr>
        <w:t>riesgos</w:t>
      </w:r>
      <w:r>
        <w:rPr/>
        <w:tab/>
      </w:r>
      <w:r>
        <w:rPr>
          <w:spacing w:val="-2"/>
        </w:rPr>
        <w:t>cubiertos</w:t>
      </w:r>
      <w:r>
        <w:rPr/>
        <w:tab/>
      </w:r>
      <w:r>
        <w:rPr>
          <w:spacing w:val="-4"/>
        </w:rPr>
        <w:t>con</w:t>
      </w:r>
      <w:r>
        <w:rPr/>
        <w:tab/>
      </w:r>
      <w:r>
        <w:rPr>
          <w:spacing w:val="-2"/>
        </w:rPr>
        <w:t>provisiones</w:t>
      </w:r>
      <w:r>
        <w:rPr/>
        <w:tab/>
      </w:r>
      <w:r>
        <w:rPr>
          <w:spacing w:val="-2"/>
        </w:rPr>
        <w:t>correspondientes</w:t>
      </w:r>
      <w:r>
        <w:rPr/>
        <w:tab/>
      </w:r>
      <w:r>
        <w:rPr>
          <w:spacing w:val="-10"/>
        </w:rPr>
        <w:t>a</w:t>
      </w:r>
      <w:r>
        <w:rPr/>
        <w:tab/>
      </w:r>
      <w:r>
        <w:rPr>
          <w:spacing w:val="-2"/>
        </w:rPr>
        <w:t>actuaciones medioambientales.</w:t>
      </w:r>
    </w:p>
    <w:p>
      <w:pPr>
        <w:pStyle w:val="ListParagraph"/>
        <w:numPr>
          <w:ilvl w:val="1"/>
          <w:numId w:val="23"/>
        </w:numPr>
        <w:tabs>
          <w:tab w:pos="2349" w:val="left" w:leader="none"/>
        </w:tabs>
        <w:spacing w:line="240" w:lineRule="auto" w:before="229" w:after="0"/>
        <w:ind w:left="2349" w:right="0" w:hanging="439"/>
        <w:jc w:val="left"/>
        <w:rPr>
          <w:sz w:val="20"/>
          <w:u w:val="single"/>
        </w:rPr>
      </w:pPr>
      <w:r>
        <w:rPr>
          <w:spacing w:val="5"/>
          <w:sz w:val="20"/>
          <w:u w:val="single"/>
        </w:rPr>
        <w:t> </w:t>
      </w:r>
      <w:r>
        <w:rPr>
          <w:spacing w:val="-2"/>
          <w:sz w:val="20"/>
          <w:u w:val="single"/>
        </w:rPr>
        <w:t>Contingencias</w:t>
      </w:r>
      <w:r>
        <w:rPr>
          <w:spacing w:val="3"/>
          <w:sz w:val="20"/>
          <w:u w:val="single"/>
        </w:rPr>
        <w:t> </w:t>
      </w:r>
      <w:r>
        <w:rPr>
          <w:spacing w:val="-2"/>
          <w:sz w:val="20"/>
          <w:u w:val="single"/>
        </w:rPr>
        <w:t>medioambientales.</w:t>
      </w:r>
    </w:p>
    <w:p>
      <w:pPr>
        <w:pStyle w:val="BodyText"/>
      </w:pPr>
    </w:p>
    <w:p>
      <w:pPr>
        <w:pStyle w:val="BodyText"/>
        <w:ind w:left="1795"/>
      </w:pPr>
      <w:r>
        <w:rPr/>
        <w:t>No</w:t>
      </w:r>
      <w:r>
        <w:rPr>
          <w:spacing w:val="-10"/>
        </w:rPr>
        <w:t> </w:t>
      </w:r>
      <w:r>
        <w:rPr/>
        <w:t>existe</w:t>
      </w:r>
      <w:r>
        <w:rPr>
          <w:spacing w:val="-6"/>
        </w:rPr>
        <w:t> </w:t>
      </w:r>
      <w:r>
        <w:rPr/>
        <w:t>identificada</w:t>
      </w:r>
      <w:r>
        <w:rPr>
          <w:spacing w:val="-8"/>
        </w:rPr>
        <w:t> </w:t>
      </w:r>
      <w:r>
        <w:rPr/>
        <w:t>la</w:t>
      </w:r>
      <w:r>
        <w:rPr>
          <w:spacing w:val="-7"/>
        </w:rPr>
        <w:t> </w:t>
      </w:r>
      <w:r>
        <w:rPr/>
        <w:t>existencia</w:t>
      </w:r>
      <w:r>
        <w:rPr>
          <w:spacing w:val="-8"/>
        </w:rPr>
        <w:t> </w:t>
      </w:r>
      <w:r>
        <w:rPr/>
        <w:t>de</w:t>
      </w:r>
      <w:r>
        <w:rPr>
          <w:spacing w:val="-8"/>
        </w:rPr>
        <w:t> </w:t>
      </w:r>
      <w:r>
        <w:rPr/>
        <w:t>contingencias</w:t>
      </w:r>
      <w:r>
        <w:rPr>
          <w:spacing w:val="-7"/>
        </w:rPr>
        <w:t> </w:t>
      </w:r>
      <w:r>
        <w:rPr>
          <w:spacing w:val="-2"/>
        </w:rPr>
        <w:t>medioambientales.</w:t>
      </w:r>
    </w:p>
    <w:p>
      <w:pPr>
        <w:pStyle w:val="BodyText"/>
        <w:spacing w:after="0"/>
        <w:sectPr>
          <w:pgSz w:w="11910" w:h="16840"/>
          <w:pgMar w:header="286" w:footer="1060" w:top="1920" w:bottom="1260" w:left="360" w:right="360"/>
        </w:sectPr>
      </w:pPr>
    </w:p>
    <w:p>
      <w:pPr>
        <w:pStyle w:val="BodyText"/>
        <w:spacing w:before="201"/>
      </w:pPr>
      <w:r>
        <w:rPr/>
        <mc:AlternateContent>
          <mc:Choice Requires="wps">
            <w:drawing>
              <wp:anchor distT="0" distB="0" distL="0" distR="0" allowOverlap="1" layoutInCell="1" locked="0" behindDoc="0" simplePos="0" relativeHeight="15768576">
                <wp:simplePos x="0" y="0"/>
                <wp:positionH relativeFrom="page">
                  <wp:posOffset>6966436</wp:posOffset>
                </wp:positionH>
                <wp:positionV relativeFrom="page">
                  <wp:posOffset>6553363</wp:posOffset>
                </wp:positionV>
                <wp:extent cx="263525" cy="327596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68576" type="#_x0000_t202" id="docshape12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58</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ListParagraph"/>
        <w:numPr>
          <w:ilvl w:val="1"/>
          <w:numId w:val="23"/>
        </w:numPr>
        <w:tabs>
          <w:tab w:pos="2281" w:val="left" w:leader="none"/>
        </w:tabs>
        <w:spacing w:line="240" w:lineRule="auto" w:before="0" w:after="0"/>
        <w:ind w:left="2281" w:right="0" w:hanging="441"/>
        <w:jc w:val="left"/>
        <w:rPr>
          <w:sz w:val="20"/>
          <w:u w:val="single"/>
        </w:rPr>
      </w:pPr>
      <w:r>
        <w:rPr>
          <w:spacing w:val="-7"/>
          <w:sz w:val="20"/>
          <w:u w:val="single"/>
        </w:rPr>
        <w:t> </w:t>
      </w:r>
      <w:r>
        <w:rPr>
          <w:sz w:val="20"/>
          <w:u w:val="single"/>
        </w:rPr>
        <w:t>Compensaciones</w:t>
      </w:r>
      <w:r>
        <w:rPr>
          <w:spacing w:val="-6"/>
          <w:sz w:val="20"/>
          <w:u w:val="single"/>
        </w:rPr>
        <w:t> </w:t>
      </w:r>
      <w:r>
        <w:rPr>
          <w:sz w:val="20"/>
          <w:u w:val="single"/>
        </w:rPr>
        <w:t>a</w:t>
      </w:r>
      <w:r>
        <w:rPr>
          <w:spacing w:val="-6"/>
          <w:sz w:val="20"/>
          <w:u w:val="single"/>
        </w:rPr>
        <w:t> </w:t>
      </w:r>
      <w:r>
        <w:rPr>
          <w:sz w:val="20"/>
          <w:u w:val="single"/>
        </w:rPr>
        <w:t>recibir</w:t>
      </w:r>
      <w:r>
        <w:rPr>
          <w:spacing w:val="-4"/>
          <w:sz w:val="20"/>
          <w:u w:val="single"/>
        </w:rPr>
        <w:t> </w:t>
      </w:r>
      <w:r>
        <w:rPr>
          <w:sz w:val="20"/>
          <w:u w:val="single"/>
        </w:rPr>
        <w:t>de</w:t>
      </w:r>
      <w:r>
        <w:rPr>
          <w:spacing w:val="-6"/>
          <w:sz w:val="20"/>
          <w:u w:val="single"/>
        </w:rPr>
        <w:t> </w:t>
      </w:r>
      <w:r>
        <w:rPr>
          <w:sz w:val="20"/>
          <w:u w:val="single"/>
        </w:rPr>
        <w:t>carácter</w:t>
      </w:r>
      <w:r>
        <w:rPr>
          <w:spacing w:val="-5"/>
          <w:sz w:val="20"/>
          <w:u w:val="single"/>
        </w:rPr>
        <w:t> </w:t>
      </w:r>
      <w:r>
        <w:rPr>
          <w:spacing w:val="-2"/>
          <w:sz w:val="20"/>
          <w:u w:val="single"/>
        </w:rPr>
        <w:t>medioambiental.</w:t>
      </w:r>
    </w:p>
    <w:p>
      <w:pPr>
        <w:pStyle w:val="BodyText"/>
        <w:tabs>
          <w:tab w:pos="2240" w:val="left" w:leader="none"/>
          <w:tab w:pos="3297" w:val="left" w:leader="none"/>
          <w:tab w:pos="3744" w:val="left" w:leader="none"/>
          <w:tab w:pos="4579" w:val="left" w:leader="none"/>
          <w:tab w:pos="5347" w:val="left" w:leader="none"/>
          <w:tab w:pos="7072" w:val="left" w:leader="none"/>
          <w:tab w:pos="7516" w:val="left" w:leader="none"/>
          <w:tab w:pos="8464" w:val="left" w:leader="none"/>
          <w:tab w:pos="8910" w:val="left" w:leader="none"/>
        </w:tabs>
        <w:spacing w:before="229"/>
        <w:ind w:left="1341" w:right="1339" w:firstLine="453"/>
      </w:pPr>
      <w:r>
        <w:rPr>
          <w:spacing w:val="-6"/>
        </w:rPr>
        <w:t>La</w:t>
      </w:r>
      <w:r>
        <w:rPr/>
        <w:tab/>
      </w:r>
      <w:r>
        <w:rPr>
          <w:spacing w:val="-2"/>
        </w:rPr>
        <w:t>Sociedad</w:t>
      </w:r>
      <w:r>
        <w:rPr/>
        <w:tab/>
      </w:r>
      <w:r>
        <w:rPr>
          <w:spacing w:val="-6"/>
        </w:rPr>
        <w:t>no</w:t>
      </w:r>
      <w:r>
        <w:rPr/>
        <w:tab/>
      </w:r>
      <w:r>
        <w:rPr>
          <w:spacing w:val="-2"/>
        </w:rPr>
        <w:t>espera</w:t>
      </w:r>
      <w:r>
        <w:rPr/>
        <w:tab/>
      </w:r>
      <w:r>
        <w:rPr>
          <w:spacing w:val="-2"/>
        </w:rPr>
        <w:t>recibir</w:t>
      </w:r>
      <w:r>
        <w:rPr/>
        <w:tab/>
      </w:r>
      <w:r>
        <w:rPr>
          <w:spacing w:val="-2"/>
        </w:rPr>
        <w:t>compensaciones</w:t>
      </w:r>
      <w:r>
        <w:rPr/>
        <w:tab/>
      </w:r>
      <w:r>
        <w:rPr>
          <w:spacing w:val="-6"/>
        </w:rPr>
        <w:t>de</w:t>
      </w:r>
      <w:r>
        <w:rPr/>
        <w:tab/>
      </w:r>
      <w:r>
        <w:rPr>
          <w:spacing w:val="-2"/>
        </w:rPr>
        <w:t>terceros</w:t>
      </w:r>
      <w:r>
        <w:rPr/>
        <w:tab/>
      </w:r>
      <w:r>
        <w:rPr>
          <w:spacing w:val="-6"/>
        </w:rPr>
        <w:t>de</w:t>
      </w:r>
      <w:r>
        <w:rPr/>
        <w:tab/>
      </w:r>
      <w:r>
        <w:rPr>
          <w:spacing w:val="-2"/>
        </w:rPr>
        <w:t>naturaleza medioambiental.</w:t>
      </w:r>
    </w:p>
    <w:p>
      <w:pPr>
        <w:pStyle w:val="BodyText"/>
        <w:spacing w:before="1"/>
      </w:pPr>
    </w:p>
    <w:p>
      <w:pPr>
        <w:pStyle w:val="ListParagraph"/>
        <w:numPr>
          <w:ilvl w:val="1"/>
          <w:numId w:val="23"/>
        </w:numPr>
        <w:tabs>
          <w:tab w:pos="2488" w:val="left" w:leader="none"/>
        </w:tabs>
        <w:spacing w:line="240" w:lineRule="auto" w:before="0" w:after="0"/>
        <w:ind w:left="2488" w:right="0" w:hanging="439"/>
        <w:jc w:val="left"/>
        <w:rPr>
          <w:sz w:val="20"/>
          <w:u w:val="single"/>
        </w:rPr>
      </w:pPr>
      <w:r>
        <w:rPr>
          <w:spacing w:val="-4"/>
          <w:sz w:val="20"/>
          <w:u w:val="single"/>
        </w:rPr>
        <w:t> </w:t>
      </w:r>
      <w:r>
        <w:rPr>
          <w:sz w:val="20"/>
          <w:u w:val="single"/>
        </w:rPr>
        <w:t>Información</w:t>
      </w:r>
      <w:r>
        <w:rPr>
          <w:spacing w:val="-7"/>
          <w:sz w:val="20"/>
          <w:u w:val="single"/>
        </w:rPr>
        <w:t> </w:t>
      </w:r>
      <w:r>
        <w:rPr>
          <w:sz w:val="20"/>
          <w:u w:val="single"/>
        </w:rPr>
        <w:t>sobre</w:t>
      </w:r>
      <w:r>
        <w:rPr>
          <w:spacing w:val="-7"/>
          <w:sz w:val="20"/>
          <w:u w:val="single"/>
        </w:rPr>
        <w:t> </w:t>
      </w:r>
      <w:r>
        <w:rPr>
          <w:sz w:val="20"/>
          <w:u w:val="single"/>
        </w:rPr>
        <w:t>derechos</w:t>
      </w:r>
      <w:r>
        <w:rPr>
          <w:spacing w:val="-5"/>
          <w:sz w:val="20"/>
          <w:u w:val="single"/>
        </w:rPr>
        <w:t> </w:t>
      </w:r>
      <w:r>
        <w:rPr>
          <w:sz w:val="20"/>
          <w:u w:val="single"/>
        </w:rPr>
        <w:t>de</w:t>
      </w:r>
      <w:r>
        <w:rPr>
          <w:spacing w:val="-4"/>
          <w:sz w:val="20"/>
          <w:u w:val="single"/>
        </w:rPr>
        <w:t> </w:t>
      </w:r>
      <w:r>
        <w:rPr>
          <w:sz w:val="20"/>
          <w:u w:val="single"/>
        </w:rPr>
        <w:t>emisión</w:t>
      </w:r>
      <w:r>
        <w:rPr>
          <w:spacing w:val="-7"/>
          <w:sz w:val="20"/>
          <w:u w:val="single"/>
        </w:rPr>
        <w:t> </w:t>
      </w:r>
      <w:r>
        <w:rPr>
          <w:sz w:val="20"/>
          <w:u w:val="single"/>
        </w:rPr>
        <w:t>de</w:t>
      </w:r>
      <w:r>
        <w:rPr>
          <w:spacing w:val="-6"/>
          <w:sz w:val="20"/>
          <w:u w:val="single"/>
        </w:rPr>
        <w:t> </w:t>
      </w:r>
      <w:r>
        <w:rPr>
          <w:sz w:val="20"/>
          <w:u w:val="single"/>
        </w:rPr>
        <w:t>gases</w:t>
      </w:r>
      <w:r>
        <w:rPr>
          <w:spacing w:val="-3"/>
          <w:sz w:val="20"/>
          <w:u w:val="single"/>
        </w:rPr>
        <w:t> </w:t>
      </w:r>
      <w:r>
        <w:rPr>
          <w:sz w:val="20"/>
          <w:u w:val="single"/>
        </w:rPr>
        <w:t>de</w:t>
      </w:r>
      <w:r>
        <w:rPr>
          <w:spacing w:val="-7"/>
          <w:sz w:val="20"/>
          <w:u w:val="single"/>
        </w:rPr>
        <w:t> </w:t>
      </w:r>
      <w:r>
        <w:rPr>
          <w:sz w:val="20"/>
          <w:u w:val="single"/>
        </w:rPr>
        <w:t>efecto</w:t>
      </w:r>
      <w:r>
        <w:rPr>
          <w:spacing w:val="-4"/>
          <w:sz w:val="20"/>
          <w:u w:val="single"/>
        </w:rPr>
        <w:t> </w:t>
      </w:r>
      <w:r>
        <w:rPr>
          <w:spacing w:val="-2"/>
          <w:sz w:val="20"/>
          <w:u w:val="single"/>
        </w:rPr>
        <w:t>invernadero.</w:t>
      </w:r>
    </w:p>
    <w:p>
      <w:pPr>
        <w:pStyle w:val="BodyText"/>
        <w:spacing w:before="228"/>
        <w:ind w:left="1703" w:right="1336" w:firstLine="358"/>
      </w:pPr>
      <w:r>
        <w:rPr/>
        <w:t>A cierre de ambos ejercicios la Sociedad no dispone de derechos de emisión de gases de efecto invernadero.</w:t>
      </w:r>
    </w:p>
    <w:p>
      <w:pPr>
        <w:pStyle w:val="BodyText"/>
        <w:spacing w:before="1"/>
      </w:pPr>
    </w:p>
    <w:p>
      <w:pPr>
        <w:pStyle w:val="BodyText"/>
        <w:spacing w:before="1"/>
        <w:ind w:left="1701" w:right="1308"/>
      </w:pPr>
      <w:r>
        <w:rPr/>
        <w:t>Durante ambos ejercicios la</w:t>
      </w:r>
      <w:r>
        <w:rPr>
          <w:spacing w:val="-2"/>
        </w:rPr>
        <w:t> </w:t>
      </w:r>
      <w:r>
        <w:rPr/>
        <w:t>Sociedad no</w:t>
      </w:r>
      <w:r>
        <w:rPr>
          <w:spacing w:val="-2"/>
        </w:rPr>
        <w:t> </w:t>
      </w:r>
      <w:r>
        <w:rPr/>
        <w:t>ha incurrido en</w:t>
      </w:r>
      <w:r>
        <w:rPr>
          <w:spacing w:val="-2"/>
        </w:rPr>
        <w:t> </w:t>
      </w:r>
      <w:r>
        <w:rPr/>
        <w:t>gastos derivados de emisiones de gases de efecto invernadero.</w:t>
      </w:r>
    </w:p>
    <w:p>
      <w:pPr>
        <w:pStyle w:val="BodyText"/>
        <w:spacing w:before="229"/>
        <w:ind w:left="1701" w:right="1308"/>
      </w:pPr>
      <w:r>
        <w:rPr/>
        <w:t>La</w:t>
      </w:r>
      <w:r>
        <w:rPr>
          <w:spacing w:val="-4"/>
        </w:rPr>
        <w:t> </w:t>
      </w:r>
      <w:r>
        <w:rPr/>
        <w:t>empresa</w:t>
      </w:r>
      <w:r>
        <w:rPr>
          <w:spacing w:val="40"/>
        </w:rPr>
        <w:t> </w:t>
      </w:r>
      <w:r>
        <w:rPr/>
        <w:t>ha</w:t>
      </w:r>
      <w:r>
        <w:rPr>
          <w:spacing w:val="-5"/>
        </w:rPr>
        <w:t> </w:t>
      </w:r>
      <w:r>
        <w:rPr/>
        <w:t>adquirido</w:t>
      </w:r>
      <w:r>
        <w:rPr>
          <w:spacing w:val="-3"/>
        </w:rPr>
        <w:t> </w:t>
      </w:r>
      <w:r>
        <w:rPr/>
        <w:t>durante</w:t>
      </w:r>
      <w:r>
        <w:rPr>
          <w:spacing w:val="-3"/>
        </w:rPr>
        <w:t> </w:t>
      </w:r>
      <w:r>
        <w:rPr/>
        <w:t>el</w:t>
      </w:r>
      <w:r>
        <w:rPr>
          <w:spacing w:val="-5"/>
        </w:rPr>
        <w:t> </w:t>
      </w:r>
      <w:r>
        <w:rPr/>
        <w:t>presente</w:t>
      </w:r>
      <w:r>
        <w:rPr>
          <w:spacing w:val="-1"/>
        </w:rPr>
        <w:t> </w:t>
      </w:r>
      <w:r>
        <w:rPr/>
        <w:t>ejercicio</w:t>
      </w:r>
      <w:r>
        <w:rPr>
          <w:spacing w:val="-4"/>
        </w:rPr>
        <w:t> </w:t>
      </w:r>
      <w:r>
        <w:rPr/>
        <w:t>nuevos elementos</w:t>
      </w:r>
      <w:r>
        <w:rPr>
          <w:spacing w:val="-3"/>
        </w:rPr>
        <w:t> </w:t>
      </w:r>
      <w:r>
        <w:rPr/>
        <w:t>de</w:t>
      </w:r>
      <w:r>
        <w:rPr>
          <w:spacing w:val="-1"/>
        </w:rPr>
        <w:t> </w:t>
      </w:r>
      <w:r>
        <w:rPr/>
        <w:t>transporte</w:t>
      </w:r>
      <w:r>
        <w:rPr>
          <w:spacing w:val="-4"/>
        </w:rPr>
        <w:t> </w:t>
      </w:r>
      <w:r>
        <w:rPr/>
        <w:t>que se muestran en el siguiente cuadro:</w:t>
      </w:r>
    </w:p>
    <w:p>
      <w:pPr>
        <w:pStyle w:val="BodyText"/>
      </w:pPr>
    </w:p>
    <w:p>
      <w:pPr>
        <w:pStyle w:val="BodyText"/>
        <w:spacing w:before="23"/>
      </w:pPr>
    </w:p>
    <w:tbl>
      <w:tblPr>
        <w:tblW w:w="0" w:type="auto"/>
        <w:jc w:val="left"/>
        <w:tblInd w:w="2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718"/>
        <w:gridCol w:w="1660"/>
        <w:gridCol w:w="1310"/>
      </w:tblGrid>
      <w:tr>
        <w:trPr>
          <w:trHeight w:val="537" w:hRule="atLeast"/>
        </w:trPr>
        <w:tc>
          <w:tcPr>
            <w:tcW w:w="1200" w:type="dxa"/>
          </w:tcPr>
          <w:p>
            <w:pPr>
              <w:pStyle w:val="TableParagraph"/>
              <w:spacing w:line="265" w:lineRule="exact"/>
              <w:ind w:left="11" w:right="3"/>
              <w:jc w:val="center"/>
              <w:rPr>
                <w:rFonts w:ascii="Calibri" w:hAnsi="Calibri"/>
                <w:sz w:val="22"/>
              </w:rPr>
            </w:pPr>
            <w:r>
              <w:rPr>
                <w:rFonts w:ascii="Calibri" w:hAnsi="Calibri"/>
                <w:spacing w:val="-5"/>
                <w:sz w:val="22"/>
              </w:rPr>
              <w:t>Nº</w:t>
            </w:r>
          </w:p>
          <w:p>
            <w:pPr>
              <w:pStyle w:val="TableParagraph"/>
              <w:spacing w:line="252" w:lineRule="exact"/>
              <w:ind w:left="11" w:right="6"/>
              <w:jc w:val="center"/>
              <w:rPr>
                <w:rFonts w:ascii="Calibri"/>
                <w:sz w:val="22"/>
              </w:rPr>
            </w:pPr>
            <w:r>
              <w:rPr>
                <w:rFonts w:ascii="Calibri"/>
                <w:spacing w:val="-2"/>
                <w:sz w:val="22"/>
              </w:rPr>
              <w:t>unidades</w:t>
            </w:r>
          </w:p>
        </w:tc>
        <w:tc>
          <w:tcPr>
            <w:tcW w:w="1718" w:type="dxa"/>
          </w:tcPr>
          <w:p>
            <w:pPr>
              <w:pStyle w:val="TableParagraph"/>
              <w:spacing w:before="131"/>
              <w:ind w:left="11"/>
              <w:jc w:val="center"/>
              <w:rPr>
                <w:rFonts w:ascii="Calibri" w:hAnsi="Calibri"/>
                <w:sz w:val="22"/>
              </w:rPr>
            </w:pPr>
            <w:r>
              <w:rPr>
                <w:rFonts w:ascii="Calibri" w:hAnsi="Calibri"/>
                <w:sz w:val="22"/>
              </w:rPr>
              <w:t>Tamaño</w:t>
            </w:r>
            <w:r>
              <w:rPr>
                <w:rFonts w:ascii="Calibri" w:hAnsi="Calibri"/>
                <w:spacing w:val="-4"/>
                <w:sz w:val="22"/>
              </w:rPr>
              <w:t> </w:t>
            </w:r>
            <w:r>
              <w:rPr>
                <w:rFonts w:ascii="Calibri" w:hAnsi="Calibri"/>
                <w:spacing w:val="-2"/>
                <w:sz w:val="22"/>
              </w:rPr>
              <w:t>(metros)</w:t>
            </w:r>
          </w:p>
        </w:tc>
        <w:tc>
          <w:tcPr>
            <w:tcW w:w="1660" w:type="dxa"/>
          </w:tcPr>
          <w:p>
            <w:pPr>
              <w:pStyle w:val="TableParagraph"/>
              <w:spacing w:before="131"/>
              <w:ind w:left="10" w:right="2"/>
              <w:jc w:val="center"/>
              <w:rPr>
                <w:rFonts w:ascii="Calibri"/>
                <w:sz w:val="22"/>
              </w:rPr>
            </w:pPr>
            <w:r>
              <w:rPr>
                <w:rFonts w:ascii="Calibri"/>
                <w:spacing w:val="-2"/>
                <w:sz w:val="22"/>
              </w:rPr>
              <w:t>Motor</w:t>
            </w:r>
          </w:p>
        </w:tc>
        <w:tc>
          <w:tcPr>
            <w:tcW w:w="1310" w:type="dxa"/>
          </w:tcPr>
          <w:p>
            <w:pPr>
              <w:pStyle w:val="TableParagraph"/>
              <w:spacing w:before="131"/>
              <w:ind w:left="41" w:right="29"/>
              <w:jc w:val="center"/>
              <w:rPr>
                <w:rFonts w:ascii="Calibri"/>
                <w:sz w:val="22"/>
              </w:rPr>
            </w:pPr>
            <w:r>
              <w:rPr>
                <w:rFonts w:ascii="Calibri"/>
                <w:spacing w:val="-2"/>
                <w:sz w:val="22"/>
              </w:rPr>
              <w:t>Importe</w:t>
            </w:r>
          </w:p>
        </w:tc>
      </w:tr>
      <w:tr>
        <w:trPr>
          <w:trHeight w:val="299" w:hRule="atLeast"/>
        </w:trPr>
        <w:tc>
          <w:tcPr>
            <w:tcW w:w="1200" w:type="dxa"/>
          </w:tcPr>
          <w:p>
            <w:pPr>
              <w:pStyle w:val="TableParagraph"/>
              <w:spacing w:line="266" w:lineRule="exact" w:before="13"/>
              <w:ind w:left="11"/>
              <w:jc w:val="center"/>
              <w:rPr>
                <w:rFonts w:ascii="Calibri"/>
                <w:sz w:val="22"/>
              </w:rPr>
            </w:pPr>
            <w:r>
              <w:rPr>
                <w:rFonts w:ascii="Calibri"/>
                <w:spacing w:val="-10"/>
                <w:sz w:val="22"/>
              </w:rPr>
              <w:t>6</w:t>
            </w:r>
          </w:p>
        </w:tc>
        <w:tc>
          <w:tcPr>
            <w:tcW w:w="1718" w:type="dxa"/>
          </w:tcPr>
          <w:p>
            <w:pPr>
              <w:pStyle w:val="TableParagraph"/>
              <w:spacing w:line="266" w:lineRule="exact" w:before="13"/>
              <w:ind w:left="11" w:right="3"/>
              <w:jc w:val="center"/>
              <w:rPr>
                <w:rFonts w:ascii="Calibri"/>
                <w:sz w:val="22"/>
              </w:rPr>
            </w:pPr>
            <w:r>
              <w:rPr>
                <w:rFonts w:ascii="Calibri"/>
                <w:spacing w:val="-5"/>
                <w:sz w:val="22"/>
              </w:rPr>
              <w:t>18</w:t>
            </w:r>
          </w:p>
        </w:tc>
        <w:tc>
          <w:tcPr>
            <w:tcW w:w="1660" w:type="dxa"/>
          </w:tcPr>
          <w:p>
            <w:pPr>
              <w:pStyle w:val="TableParagraph"/>
              <w:spacing w:line="266" w:lineRule="exact" w:before="13"/>
              <w:ind w:left="10" w:right="3"/>
              <w:jc w:val="center"/>
              <w:rPr>
                <w:rFonts w:ascii="Calibri"/>
                <w:sz w:val="22"/>
              </w:rPr>
            </w:pPr>
            <w:r>
              <w:rPr>
                <w:rFonts w:ascii="Calibri"/>
                <w:spacing w:val="-5"/>
                <w:sz w:val="22"/>
              </w:rPr>
              <w:t>HEV</w:t>
            </w:r>
          </w:p>
        </w:tc>
        <w:tc>
          <w:tcPr>
            <w:tcW w:w="1310" w:type="dxa"/>
          </w:tcPr>
          <w:p>
            <w:pPr>
              <w:pStyle w:val="TableParagraph"/>
              <w:spacing w:line="266" w:lineRule="exact" w:before="13"/>
              <w:ind w:left="41" w:right="31"/>
              <w:jc w:val="center"/>
              <w:rPr>
                <w:rFonts w:ascii="Calibri"/>
                <w:sz w:val="22"/>
              </w:rPr>
            </w:pPr>
            <w:r>
              <w:rPr>
                <w:rFonts w:ascii="Calibri"/>
                <w:spacing w:val="-2"/>
                <w:sz w:val="22"/>
              </w:rPr>
              <w:t>2.442.000,00</w:t>
            </w:r>
          </w:p>
        </w:tc>
      </w:tr>
      <w:tr>
        <w:trPr>
          <w:trHeight w:val="299" w:hRule="atLeast"/>
        </w:trPr>
        <w:tc>
          <w:tcPr>
            <w:tcW w:w="1200" w:type="dxa"/>
          </w:tcPr>
          <w:p>
            <w:pPr>
              <w:pStyle w:val="TableParagraph"/>
              <w:spacing w:line="266" w:lineRule="exact" w:before="13"/>
              <w:ind w:left="11" w:right="4"/>
              <w:jc w:val="center"/>
              <w:rPr>
                <w:rFonts w:ascii="Calibri"/>
                <w:sz w:val="22"/>
              </w:rPr>
            </w:pPr>
            <w:r>
              <w:rPr>
                <w:rFonts w:ascii="Calibri"/>
                <w:spacing w:val="-5"/>
                <w:sz w:val="22"/>
              </w:rPr>
              <w:t>10</w:t>
            </w:r>
          </w:p>
        </w:tc>
        <w:tc>
          <w:tcPr>
            <w:tcW w:w="1718" w:type="dxa"/>
          </w:tcPr>
          <w:p>
            <w:pPr>
              <w:pStyle w:val="TableParagraph"/>
              <w:spacing w:line="266" w:lineRule="exact" w:before="13"/>
              <w:ind w:left="11" w:right="1"/>
              <w:jc w:val="center"/>
              <w:rPr>
                <w:rFonts w:ascii="Calibri"/>
                <w:sz w:val="22"/>
              </w:rPr>
            </w:pPr>
            <w:r>
              <w:rPr>
                <w:rFonts w:ascii="Calibri"/>
                <w:spacing w:val="-5"/>
                <w:sz w:val="22"/>
              </w:rPr>
              <w:t>9,5</w:t>
            </w:r>
          </w:p>
        </w:tc>
        <w:tc>
          <w:tcPr>
            <w:tcW w:w="1660" w:type="dxa"/>
          </w:tcPr>
          <w:p>
            <w:pPr>
              <w:pStyle w:val="TableParagraph"/>
              <w:spacing w:line="266" w:lineRule="exact" w:before="13"/>
              <w:ind w:left="10" w:right="2"/>
              <w:jc w:val="center"/>
              <w:rPr>
                <w:rFonts w:ascii="Calibri"/>
                <w:sz w:val="22"/>
              </w:rPr>
            </w:pPr>
            <w:r>
              <w:rPr>
                <w:rFonts w:ascii="Calibri"/>
                <w:spacing w:val="-5"/>
                <w:sz w:val="22"/>
              </w:rPr>
              <w:t>EV</w:t>
            </w:r>
          </w:p>
        </w:tc>
        <w:tc>
          <w:tcPr>
            <w:tcW w:w="1310" w:type="dxa"/>
          </w:tcPr>
          <w:p>
            <w:pPr>
              <w:pStyle w:val="TableParagraph"/>
              <w:spacing w:line="266" w:lineRule="exact" w:before="13"/>
              <w:ind w:left="41" w:right="31"/>
              <w:jc w:val="center"/>
              <w:rPr>
                <w:rFonts w:ascii="Calibri"/>
                <w:sz w:val="22"/>
              </w:rPr>
            </w:pPr>
            <w:r>
              <w:rPr>
                <w:rFonts w:ascii="Calibri"/>
                <w:spacing w:val="-2"/>
                <w:sz w:val="22"/>
              </w:rPr>
              <w:t>5.650.000,00</w:t>
            </w:r>
          </w:p>
        </w:tc>
      </w:tr>
      <w:tr>
        <w:trPr>
          <w:trHeight w:val="302" w:hRule="atLeast"/>
        </w:trPr>
        <w:tc>
          <w:tcPr>
            <w:tcW w:w="1200" w:type="dxa"/>
          </w:tcPr>
          <w:p>
            <w:pPr>
              <w:pStyle w:val="TableParagraph"/>
              <w:spacing w:before="13"/>
              <w:ind w:left="11" w:right="4"/>
              <w:jc w:val="center"/>
              <w:rPr>
                <w:rFonts w:ascii="Calibri"/>
                <w:sz w:val="22"/>
              </w:rPr>
            </w:pPr>
            <w:r>
              <w:rPr>
                <w:rFonts w:ascii="Calibri"/>
                <w:spacing w:val="-5"/>
                <w:sz w:val="22"/>
              </w:rPr>
              <w:t>10</w:t>
            </w:r>
          </w:p>
        </w:tc>
        <w:tc>
          <w:tcPr>
            <w:tcW w:w="1718" w:type="dxa"/>
          </w:tcPr>
          <w:p>
            <w:pPr>
              <w:pStyle w:val="TableParagraph"/>
              <w:spacing w:before="13"/>
              <w:ind w:left="11" w:right="3"/>
              <w:jc w:val="center"/>
              <w:rPr>
                <w:rFonts w:ascii="Calibri"/>
                <w:sz w:val="22"/>
              </w:rPr>
            </w:pPr>
            <w:r>
              <w:rPr>
                <w:rFonts w:ascii="Calibri"/>
                <w:spacing w:val="-5"/>
                <w:sz w:val="22"/>
              </w:rPr>
              <w:t>12</w:t>
            </w:r>
          </w:p>
        </w:tc>
        <w:tc>
          <w:tcPr>
            <w:tcW w:w="1660" w:type="dxa"/>
          </w:tcPr>
          <w:p>
            <w:pPr>
              <w:pStyle w:val="TableParagraph"/>
              <w:spacing w:before="13"/>
              <w:ind w:left="10"/>
              <w:jc w:val="center"/>
              <w:rPr>
                <w:rFonts w:ascii="Calibri"/>
                <w:sz w:val="22"/>
              </w:rPr>
            </w:pPr>
            <w:r>
              <w:rPr>
                <w:rFonts w:ascii="Calibri"/>
                <w:sz w:val="22"/>
              </w:rPr>
              <w:t>Euro VI</w:t>
            </w:r>
            <w:r>
              <w:rPr>
                <w:rFonts w:ascii="Calibri"/>
                <w:spacing w:val="-2"/>
                <w:sz w:val="22"/>
              </w:rPr>
              <w:t> </w:t>
            </w:r>
            <w:r>
              <w:rPr>
                <w:rFonts w:ascii="Calibri"/>
                <w:spacing w:val="-10"/>
                <w:sz w:val="22"/>
              </w:rPr>
              <w:t>E</w:t>
            </w:r>
          </w:p>
        </w:tc>
        <w:tc>
          <w:tcPr>
            <w:tcW w:w="1310" w:type="dxa"/>
          </w:tcPr>
          <w:p>
            <w:pPr>
              <w:pStyle w:val="TableParagraph"/>
              <w:spacing w:before="13"/>
              <w:ind w:left="41" w:right="31"/>
              <w:jc w:val="center"/>
              <w:rPr>
                <w:rFonts w:ascii="Calibri"/>
                <w:sz w:val="22"/>
              </w:rPr>
            </w:pPr>
            <w:r>
              <w:rPr>
                <w:rFonts w:ascii="Calibri"/>
                <w:spacing w:val="-2"/>
                <w:sz w:val="22"/>
              </w:rPr>
              <w:t>3.425.000,00</w:t>
            </w:r>
          </w:p>
        </w:tc>
      </w:tr>
    </w:tbl>
    <w:p>
      <w:pPr>
        <w:pStyle w:val="TableParagraph"/>
        <w:spacing w:after="0"/>
        <w:jc w:val="center"/>
        <w:rPr>
          <w:rFonts w:ascii="Calibri"/>
          <w:sz w:val="22"/>
        </w:rPr>
        <w:sectPr>
          <w:pgSz w:w="11910" w:h="16840"/>
          <w:pgMar w:header="286" w:footer="1060" w:top="1920" w:bottom="1260" w:left="360" w:right="360"/>
        </w:sectPr>
      </w:pPr>
    </w:p>
    <w:p>
      <w:pPr>
        <w:pStyle w:val="BodyText"/>
        <w:spacing w:before="199"/>
      </w:pPr>
    </w:p>
    <w:p>
      <w:pPr>
        <w:pStyle w:val="Heading2"/>
        <w:numPr>
          <w:ilvl w:val="0"/>
          <w:numId w:val="23"/>
        </w:numPr>
        <w:tabs>
          <w:tab w:pos="1560" w:val="left" w:leader="none"/>
        </w:tabs>
        <w:spacing w:line="240" w:lineRule="auto" w:before="0" w:after="0"/>
        <w:ind w:left="1560" w:right="0" w:hanging="219"/>
        <w:jc w:val="left"/>
        <w:rPr>
          <w:u w:val="none"/>
        </w:rPr>
      </w:pPr>
      <w:r>
        <w:rPr>
          <w:spacing w:val="75"/>
          <w:w w:val="150"/>
          <w:u w:val="single"/>
        </w:rPr>
        <w:t> </w:t>
      </w:r>
      <w:r>
        <w:rPr>
          <w:u w:val="single"/>
        </w:rPr>
        <w:t>PROVISIONES</w:t>
      </w:r>
      <w:r>
        <w:rPr>
          <w:spacing w:val="-1"/>
          <w:u w:val="single"/>
        </w:rPr>
        <w:t> </w:t>
      </w:r>
      <w:r>
        <w:rPr>
          <w:u w:val="single"/>
        </w:rPr>
        <w:t>Y</w:t>
      </w:r>
      <w:r>
        <w:rPr>
          <w:spacing w:val="-4"/>
          <w:u w:val="single"/>
        </w:rPr>
        <w:t> </w:t>
      </w:r>
      <w:r>
        <w:rPr>
          <w:spacing w:val="-2"/>
          <w:u w:val="single"/>
        </w:rPr>
        <w:t>CONTENGIENCIAS.</w:t>
      </w:r>
    </w:p>
    <w:p>
      <w:pPr>
        <w:spacing w:before="228"/>
        <w:ind w:left="1699" w:right="0" w:firstLine="0"/>
        <w:jc w:val="left"/>
        <w:rPr>
          <w:b/>
          <w:sz w:val="20"/>
        </w:rPr>
      </w:pPr>
      <w:r>
        <w:rPr>
          <w:b/>
          <w:spacing w:val="-2"/>
          <w:sz w:val="20"/>
          <w:u w:val="single"/>
        </w:rPr>
        <w:t>Contingencias.</w:t>
      </w:r>
    </w:p>
    <w:p>
      <w:pPr>
        <w:pStyle w:val="BodyText"/>
        <w:spacing w:before="3"/>
        <w:rPr>
          <w:b/>
        </w:rPr>
      </w:pPr>
    </w:p>
    <w:p>
      <w:pPr>
        <w:pStyle w:val="ListParagraph"/>
        <w:numPr>
          <w:ilvl w:val="1"/>
          <w:numId w:val="23"/>
        </w:numPr>
        <w:tabs>
          <w:tab w:pos="2559" w:val="left" w:leader="none"/>
        </w:tabs>
        <w:spacing w:line="240" w:lineRule="auto" w:before="1" w:after="0"/>
        <w:ind w:left="2049" w:right="1339" w:firstLine="0"/>
        <w:jc w:val="both"/>
        <w:rPr>
          <w:sz w:val="20"/>
        </w:rPr>
      </w:pPr>
      <w:r>
        <w:rPr>
          <w:sz w:val="20"/>
        </w:rPr>
        <w:t>Existen avales prestados a la Sociedad por entidades financieras por importe de 4.274.584,41 euros por contratos formalizados con proveedores relacionados con la actividad del transporte.</w:t>
      </w:r>
    </w:p>
    <w:p>
      <w:pPr>
        <w:pStyle w:val="ListParagraph"/>
        <w:numPr>
          <w:ilvl w:val="1"/>
          <w:numId w:val="23"/>
        </w:numPr>
        <w:tabs>
          <w:tab w:pos="2576" w:val="left" w:leader="none"/>
        </w:tabs>
        <w:spacing w:line="240" w:lineRule="auto" w:before="229" w:after="0"/>
        <w:ind w:left="2049" w:right="1338" w:firstLine="0"/>
        <w:jc w:val="both"/>
        <w:rPr>
          <w:sz w:val="20"/>
        </w:rPr>
      </w:pPr>
      <w:r>
        <w:rPr>
          <w:sz w:val="20"/>
        </w:rPr>
        <w:t>A la fecha de formulación del ejercicio 2024, había subvenciones a cuenta del presupuesto 2021 por importe de 150.000,00 euros, concedidos por el Excmo. Ayuntamiento de Las Palmas de Gran Canaria y que habían sido reconocidos por el mismo como pendientes de aplicar a presupuesto. Dicha subvención ha sido cobrada en el ejercicio 2025.</w:t>
      </w:r>
    </w:p>
    <w:p>
      <w:pPr>
        <w:pStyle w:val="BodyText"/>
      </w:pPr>
    </w:p>
    <w:p>
      <w:pPr>
        <w:pStyle w:val="ListParagraph"/>
        <w:numPr>
          <w:ilvl w:val="1"/>
          <w:numId w:val="23"/>
        </w:numPr>
        <w:tabs>
          <w:tab w:pos="2579" w:val="left" w:leader="none"/>
        </w:tabs>
        <w:spacing w:line="240" w:lineRule="auto" w:before="0" w:after="0"/>
        <w:ind w:left="2049" w:right="1339" w:firstLine="0"/>
        <w:jc w:val="both"/>
        <w:rPr>
          <w:sz w:val="20"/>
        </w:rPr>
      </w:pPr>
      <w:r>
        <w:rPr>
          <w:sz w:val="20"/>
        </w:rPr>
        <w:t>A cierre del ejercicio 2022 se registró</w:t>
      </w:r>
      <w:r>
        <w:rPr>
          <w:spacing w:val="40"/>
          <w:sz w:val="20"/>
        </w:rPr>
        <w:t> </w:t>
      </w:r>
      <w:r>
        <w:rPr>
          <w:sz w:val="20"/>
        </w:rPr>
        <w:t>una provisión de 890.941,95 euros por litigios de carácter laboral, derivado de diferencias interpretativas en las normas de aplicación. Derivado de este litigio se llegó durante el ejercicio 2023 a un acuerdo con</w:t>
      </w:r>
      <w:r>
        <w:rPr>
          <w:spacing w:val="40"/>
          <w:sz w:val="20"/>
        </w:rPr>
        <w:t> </w:t>
      </w:r>
      <w:r>
        <w:rPr>
          <w:sz w:val="20"/>
        </w:rPr>
        <w:t>la representación de los trabajadores para aplicar un cambio de criterio de cálculo de manera escalonada entre los ejercicios 2023 y 2024. La provisión contable registrada en el ejercicio 2022 se</w:t>
      </w:r>
      <w:r>
        <w:rPr>
          <w:spacing w:val="-1"/>
          <w:sz w:val="20"/>
        </w:rPr>
        <w:t> </w:t>
      </w:r>
      <w:r>
        <w:rPr>
          <w:sz w:val="20"/>
        </w:rPr>
        <w:t>minoró</w:t>
      </w:r>
      <w:r>
        <w:rPr>
          <w:spacing w:val="-1"/>
          <w:sz w:val="20"/>
        </w:rPr>
        <w:t> </w:t>
      </w:r>
      <w:r>
        <w:rPr>
          <w:sz w:val="20"/>
        </w:rPr>
        <w:t>durante</w:t>
      </w:r>
      <w:r>
        <w:rPr>
          <w:spacing w:val="-1"/>
          <w:sz w:val="20"/>
        </w:rPr>
        <w:t> </w:t>
      </w:r>
      <w:r>
        <w:rPr>
          <w:sz w:val="20"/>
        </w:rPr>
        <w:t>el ejercicio de 2023 dejando en su saldo a cierre del ejercicio el impacto estimado de la medida en el ejercicio 2024 por valor de 736.408,32 euros. Dicha provisión fue revertida en el ejercicio 2024 al aplicarse las mejoras pactadas en las nóminas de los trabajadores.</w:t>
      </w:r>
    </w:p>
    <w:p>
      <w:pPr>
        <w:pStyle w:val="BodyText"/>
        <w:spacing w:before="229"/>
        <w:ind w:left="2049" w:right="1338"/>
        <w:jc w:val="both"/>
      </w:pPr>
      <w:r>
        <w:rPr/>
        <w:t>A</w:t>
      </w:r>
      <w:r>
        <w:rPr>
          <w:spacing w:val="-1"/>
        </w:rPr>
        <w:t> </w:t>
      </w:r>
      <w:r>
        <w:rPr/>
        <w:t>cierre del</w:t>
      </w:r>
      <w:r>
        <w:rPr>
          <w:spacing w:val="-1"/>
        </w:rPr>
        <w:t> </w:t>
      </w:r>
      <w:r>
        <w:rPr/>
        <w:t>ejercicio 2023 se registró una provisión de 1.786.623,60 euros por un litigio de carácter laboral, derivado de diferencias interpretativas en las normas de aplicación. Dicha provisión se mantuvo al cierre del ejercicio 2024 a la espera de sentencia. En el ejercicio 2025 se ha producido una sentencia parcial en uno de los procesos abiertos,</w:t>
      </w:r>
      <w:r>
        <w:rPr>
          <w:spacing w:val="40"/>
        </w:rPr>
        <w:t> </w:t>
      </w:r>
      <w:r>
        <w:rPr/>
        <w:t>lo cual ha motivado que se amplíe la provisión en 3.123.132,21 euros, ascendiendo el total provisionado a tal efecto en el balance de la sociedad a 4.909.755,81euros.</w:t>
      </w:r>
    </w:p>
    <w:p>
      <w:pPr>
        <w:pStyle w:val="BodyText"/>
        <w:spacing w:before="1"/>
      </w:pPr>
    </w:p>
    <w:p>
      <w:pPr>
        <w:pStyle w:val="BodyText"/>
        <w:ind w:left="2049" w:right="1339"/>
        <w:jc w:val="both"/>
      </w:pPr>
      <w:r>
        <w:rPr/>
        <mc:AlternateContent>
          <mc:Choice Requires="wps">
            <w:drawing>
              <wp:anchor distT="0" distB="0" distL="0" distR="0" allowOverlap="1" layoutInCell="1" locked="0" behindDoc="0" simplePos="0" relativeHeight="15769088">
                <wp:simplePos x="0" y="0"/>
                <wp:positionH relativeFrom="page">
                  <wp:posOffset>6966436</wp:posOffset>
                </wp:positionH>
                <wp:positionV relativeFrom="paragraph">
                  <wp:posOffset>533922</wp:posOffset>
                </wp:positionV>
                <wp:extent cx="263525" cy="327596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59</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2.04118pt;width:20.75pt;height:257.95pt;mso-position-horizontal-relative:page;mso-position-vertical-relative:paragraph;z-index:15769088" type="#_x0000_t202" id="docshape13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59</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A cierre del ejercicio 2024 se ha registró una provisión de 2.457.408,00 euros por las reclamaciones de la empresa adjudicataria de la obra del Paso Inferior de Santa Catalina. Si bien se estima que una gran parte de dicha reclamación carece de fundamento jurídico, existen conceptos que sí podrían ser susceptibles de indemnización previa justificación, razón por la cual se ha registrado la citada provisión siguiendo el principio de prudencia. A cierre del ejercicio 2025 se ha mantenido dicha </w:t>
      </w:r>
      <w:r>
        <w:rPr>
          <w:spacing w:val="-2"/>
        </w:rPr>
        <w:t>provisión.</w:t>
      </w:r>
    </w:p>
    <w:p>
      <w:pPr>
        <w:pStyle w:val="BodyText"/>
        <w:spacing w:after="0"/>
        <w:jc w:val="both"/>
        <w:sectPr>
          <w:pgSz w:w="11910" w:h="16840"/>
          <w:pgMar w:header="286" w:footer="1060" w:top="1920" w:bottom="1260" w:left="360" w:right="360"/>
        </w:sectPr>
      </w:pPr>
    </w:p>
    <w:p>
      <w:pPr>
        <w:pStyle w:val="BodyText"/>
        <w:spacing w:before="199"/>
      </w:pPr>
    </w:p>
    <w:p>
      <w:pPr>
        <w:pStyle w:val="Heading2"/>
        <w:numPr>
          <w:ilvl w:val="0"/>
          <w:numId w:val="23"/>
        </w:numPr>
        <w:tabs>
          <w:tab w:pos="1558" w:val="left" w:leader="none"/>
        </w:tabs>
        <w:spacing w:line="240" w:lineRule="auto" w:before="0" w:after="0"/>
        <w:ind w:left="1558" w:right="0" w:hanging="217"/>
        <w:jc w:val="left"/>
        <w:rPr>
          <w:u w:val="none"/>
        </w:rPr>
      </w:pPr>
      <w:r>
        <w:rPr>
          <w:spacing w:val="-10"/>
          <w:u w:val="single"/>
        </w:rPr>
        <w:t> </w:t>
      </w:r>
      <w:r>
        <w:rPr>
          <w:spacing w:val="-2"/>
          <w:u w:val="single"/>
        </w:rPr>
        <w:t>SUBVENCIONES,</w:t>
      </w:r>
      <w:r>
        <w:rPr>
          <w:spacing w:val="-6"/>
          <w:u w:val="single"/>
        </w:rPr>
        <w:t> </w:t>
      </w:r>
      <w:r>
        <w:rPr>
          <w:spacing w:val="-2"/>
          <w:u w:val="single"/>
        </w:rPr>
        <w:t>DONANCIONES</w:t>
      </w:r>
      <w:r>
        <w:rPr>
          <w:spacing w:val="-6"/>
          <w:u w:val="single"/>
        </w:rPr>
        <w:t> </w:t>
      </w:r>
      <w:r>
        <w:rPr>
          <w:spacing w:val="-2"/>
          <w:u w:val="single"/>
        </w:rPr>
        <w:t>Y</w:t>
      </w:r>
      <w:r>
        <w:rPr>
          <w:spacing w:val="-5"/>
          <w:u w:val="single"/>
        </w:rPr>
        <w:t> </w:t>
      </w:r>
      <w:r>
        <w:rPr>
          <w:spacing w:val="-2"/>
          <w:u w:val="single"/>
        </w:rPr>
        <w:t>LEGADOS.</w:t>
      </w:r>
    </w:p>
    <w:p>
      <w:pPr>
        <w:pStyle w:val="BodyText"/>
        <w:spacing w:before="1"/>
        <w:rPr>
          <w:b/>
        </w:rPr>
      </w:pPr>
    </w:p>
    <w:p>
      <w:pPr>
        <w:pStyle w:val="ListParagraph"/>
        <w:numPr>
          <w:ilvl w:val="1"/>
          <w:numId w:val="23"/>
        </w:numPr>
        <w:tabs>
          <w:tab w:pos="2615" w:val="left" w:leader="none"/>
        </w:tabs>
        <w:spacing w:line="240" w:lineRule="auto" w:before="0" w:after="0"/>
        <w:ind w:left="2049" w:right="1342" w:firstLine="0"/>
        <w:jc w:val="left"/>
        <w:rPr>
          <w:sz w:val="20"/>
        </w:rPr>
      </w:pPr>
      <w:r>
        <w:rPr>
          <w:sz w:val="20"/>
        </w:rPr>
        <w:t>Los</w:t>
      </w:r>
      <w:r>
        <w:rPr>
          <w:spacing w:val="40"/>
          <w:sz w:val="20"/>
        </w:rPr>
        <w:t> </w:t>
      </w:r>
      <w:r>
        <w:rPr>
          <w:sz w:val="20"/>
        </w:rPr>
        <w:t>movimientos</w:t>
      </w:r>
      <w:r>
        <w:rPr>
          <w:spacing w:val="40"/>
          <w:sz w:val="20"/>
        </w:rPr>
        <w:t> </w:t>
      </w:r>
      <w:r>
        <w:rPr>
          <w:sz w:val="20"/>
        </w:rPr>
        <w:t>habidos</w:t>
      </w:r>
      <w:r>
        <w:rPr>
          <w:spacing w:val="40"/>
          <w:sz w:val="20"/>
        </w:rPr>
        <w:t> </w:t>
      </w:r>
      <w:r>
        <w:rPr>
          <w:sz w:val="20"/>
        </w:rPr>
        <w:t>durante</w:t>
      </w:r>
      <w:r>
        <w:rPr>
          <w:spacing w:val="40"/>
          <w:sz w:val="20"/>
        </w:rPr>
        <w:t> </w:t>
      </w:r>
      <w:r>
        <w:rPr>
          <w:sz w:val="20"/>
        </w:rPr>
        <w:t>los</w:t>
      </w:r>
      <w:r>
        <w:rPr>
          <w:spacing w:val="40"/>
          <w:sz w:val="20"/>
        </w:rPr>
        <w:t> </w:t>
      </w:r>
      <w:r>
        <w:rPr>
          <w:sz w:val="20"/>
        </w:rPr>
        <w:t>ejercicios</w:t>
      </w:r>
      <w:r>
        <w:rPr>
          <w:spacing w:val="40"/>
          <w:sz w:val="20"/>
        </w:rPr>
        <w:t> </w:t>
      </w:r>
      <w:r>
        <w:rPr>
          <w:sz w:val="20"/>
        </w:rPr>
        <w:t>2025</w:t>
      </w:r>
      <w:r>
        <w:rPr>
          <w:spacing w:val="68"/>
          <w:sz w:val="20"/>
        </w:rPr>
        <w:t> </w:t>
      </w:r>
      <w:r>
        <w:rPr>
          <w:sz w:val="20"/>
        </w:rPr>
        <w:t>y</w:t>
      </w:r>
      <w:r>
        <w:rPr>
          <w:spacing w:val="40"/>
          <w:sz w:val="20"/>
        </w:rPr>
        <w:t> </w:t>
      </w:r>
      <w:r>
        <w:rPr>
          <w:sz w:val="20"/>
        </w:rPr>
        <w:t>2024</w:t>
      </w:r>
      <w:r>
        <w:rPr>
          <w:spacing w:val="40"/>
          <w:sz w:val="20"/>
        </w:rPr>
        <w:t> </w:t>
      </w:r>
      <w:r>
        <w:rPr>
          <w:sz w:val="20"/>
        </w:rPr>
        <w:t>han</w:t>
      </w:r>
      <w:r>
        <w:rPr>
          <w:spacing w:val="40"/>
          <w:sz w:val="20"/>
        </w:rPr>
        <w:t> </w:t>
      </w:r>
      <w:r>
        <w:rPr>
          <w:sz w:val="20"/>
        </w:rPr>
        <w:t>sido</w:t>
      </w:r>
      <w:r>
        <w:rPr>
          <w:spacing w:val="40"/>
          <w:sz w:val="20"/>
        </w:rPr>
        <w:t> </w:t>
      </w:r>
      <w:r>
        <w:rPr>
          <w:sz w:val="20"/>
        </w:rPr>
        <w:t>los</w:t>
      </w:r>
      <w:r>
        <w:rPr>
          <w:spacing w:val="40"/>
          <w:sz w:val="20"/>
        </w:rPr>
        <w:t> </w:t>
      </w:r>
      <w:r>
        <w:rPr>
          <w:spacing w:val="-2"/>
          <w:sz w:val="20"/>
        </w:rPr>
        <w:t>siguientes:</w:t>
      </w:r>
    </w:p>
    <w:p>
      <w:pPr>
        <w:pStyle w:val="BodyText"/>
        <w:spacing w:before="22"/>
        <w:rPr>
          <w:sz w:val="16"/>
        </w:rPr>
      </w:pPr>
    </w:p>
    <w:p>
      <w:pPr>
        <w:tabs>
          <w:tab w:pos="5421" w:val="left" w:leader="none"/>
          <w:tab w:pos="6343" w:val="left" w:leader="none"/>
          <w:tab w:pos="7660" w:val="left" w:leader="none"/>
          <w:tab w:pos="8726" w:val="left" w:leader="none"/>
        </w:tabs>
        <w:spacing w:before="0"/>
        <w:ind w:left="3844" w:right="0" w:firstLine="0"/>
        <w:jc w:val="left"/>
        <w:rPr>
          <w:b/>
          <w:sz w:val="16"/>
        </w:rPr>
      </w:pPr>
      <w:r>
        <w:rPr>
          <w:b/>
          <w:sz w:val="16"/>
        </w:rPr>
        <w:t>Saldo</w:t>
      </w:r>
      <w:r>
        <w:rPr>
          <w:b/>
          <w:spacing w:val="-4"/>
          <w:sz w:val="16"/>
        </w:rPr>
        <w:t> </w:t>
      </w:r>
      <w:r>
        <w:rPr>
          <w:b/>
          <w:spacing w:val="-2"/>
          <w:sz w:val="16"/>
        </w:rPr>
        <w:t>31.12.23</w:t>
      </w:r>
      <w:r>
        <w:rPr>
          <w:b/>
          <w:sz w:val="16"/>
        </w:rPr>
        <w:tab/>
      </w:r>
      <w:r>
        <w:rPr>
          <w:b/>
          <w:spacing w:val="-4"/>
          <w:sz w:val="16"/>
        </w:rPr>
        <w:t>Altas</w:t>
      </w:r>
      <w:r>
        <w:rPr>
          <w:b/>
          <w:sz w:val="16"/>
        </w:rPr>
        <w:tab/>
      </w:r>
      <w:r>
        <w:rPr>
          <w:b/>
          <w:spacing w:val="-2"/>
          <w:sz w:val="16"/>
        </w:rPr>
        <w:t>Aplicaciones</w:t>
      </w:r>
      <w:r>
        <w:rPr>
          <w:b/>
          <w:sz w:val="16"/>
        </w:rPr>
        <w:tab/>
      </w:r>
      <w:r>
        <w:rPr>
          <w:b/>
          <w:spacing w:val="-2"/>
          <w:sz w:val="16"/>
        </w:rPr>
        <w:t>Traspasos</w:t>
      </w:r>
      <w:r>
        <w:rPr>
          <w:b/>
          <w:sz w:val="16"/>
        </w:rPr>
        <w:tab/>
        <w:t>Saldo</w:t>
      </w:r>
      <w:r>
        <w:rPr>
          <w:b/>
          <w:spacing w:val="-4"/>
          <w:sz w:val="16"/>
        </w:rPr>
        <w:t> </w:t>
      </w:r>
      <w:r>
        <w:rPr>
          <w:b/>
          <w:spacing w:val="-2"/>
          <w:sz w:val="16"/>
        </w:rPr>
        <w:t>31.12.24</w:t>
      </w:r>
    </w:p>
    <w:p>
      <w:pPr>
        <w:pStyle w:val="BodyText"/>
        <w:spacing w:before="93"/>
        <w:rPr>
          <w:b/>
          <w:sz w:val="16"/>
        </w:rPr>
      </w:pPr>
    </w:p>
    <w:p>
      <w:pPr>
        <w:spacing w:line="393" w:lineRule="auto" w:before="0"/>
        <w:ind w:left="1341" w:right="8498" w:firstLine="0"/>
        <w:jc w:val="left"/>
        <w:rPr>
          <w:b/>
          <w:sz w:val="16"/>
        </w:rPr>
      </w:pPr>
      <w:r>
        <w:rPr>
          <w:b/>
          <w:sz w:val="16"/>
        </w:rPr>
        <mc:AlternateContent>
          <mc:Choice Requires="wps">
            <w:drawing>
              <wp:anchor distT="0" distB="0" distL="0" distR="0" allowOverlap="1" layoutInCell="1" locked="0" behindDoc="0" simplePos="0" relativeHeight="15770112">
                <wp:simplePos x="0" y="0"/>
                <wp:positionH relativeFrom="page">
                  <wp:posOffset>2569464</wp:posOffset>
                </wp:positionH>
                <wp:positionV relativeFrom="paragraph">
                  <wp:posOffset>-37119</wp:posOffset>
                </wp:positionV>
                <wp:extent cx="3996054" cy="194119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3996054" cy="19411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6"/>
                              <w:gridCol w:w="1166"/>
                              <w:gridCol w:w="1869"/>
                              <w:gridCol w:w="1800"/>
                            </w:tblGrid>
                            <w:tr>
                              <w:trPr>
                                <w:trHeight w:val="240" w:hRule="atLeast"/>
                              </w:trPr>
                              <w:tc>
                                <w:tcPr>
                                  <w:tcW w:w="1336" w:type="dxa"/>
                                  <w:tcBorders>
                                    <w:top w:val="single" w:sz="4" w:space="0" w:color="000000"/>
                                  </w:tcBorders>
                                </w:tcPr>
                                <w:p>
                                  <w:pPr>
                                    <w:pStyle w:val="TableParagraph"/>
                                    <w:spacing w:line="180" w:lineRule="exact"/>
                                    <w:ind w:right="110"/>
                                    <w:jc w:val="right"/>
                                    <w:rPr>
                                      <w:sz w:val="16"/>
                                    </w:rPr>
                                  </w:pPr>
                                  <w:r>
                                    <w:rPr>
                                      <w:spacing w:val="-2"/>
                                      <w:sz w:val="16"/>
                                    </w:rPr>
                                    <w:t>144.160,65</w:t>
                                  </w:r>
                                </w:p>
                              </w:tc>
                              <w:tc>
                                <w:tcPr>
                                  <w:tcW w:w="3035" w:type="dxa"/>
                                  <w:gridSpan w:val="2"/>
                                  <w:tcBorders>
                                    <w:top w:val="single" w:sz="4" w:space="0" w:color="000000"/>
                                  </w:tcBorders>
                                </w:tcPr>
                                <w:p>
                                  <w:pPr>
                                    <w:pStyle w:val="TableParagraph"/>
                                    <w:spacing w:line="180" w:lineRule="exact"/>
                                    <w:ind w:left="1598"/>
                                    <w:rPr>
                                      <w:sz w:val="16"/>
                                    </w:rPr>
                                  </w:pPr>
                                  <w:r>
                                    <w:rPr>
                                      <w:spacing w:val="-2"/>
                                      <w:sz w:val="16"/>
                                    </w:rPr>
                                    <w:t>(3.915,60)</w:t>
                                  </w:r>
                                </w:p>
                              </w:tc>
                              <w:tc>
                                <w:tcPr>
                                  <w:tcW w:w="1800" w:type="dxa"/>
                                  <w:tcBorders>
                                    <w:top w:val="single" w:sz="4" w:space="0" w:color="000000"/>
                                  </w:tcBorders>
                                </w:tcPr>
                                <w:p>
                                  <w:pPr>
                                    <w:pStyle w:val="TableParagraph"/>
                                    <w:spacing w:line="180" w:lineRule="exact"/>
                                    <w:ind w:right="68"/>
                                    <w:jc w:val="right"/>
                                    <w:rPr>
                                      <w:sz w:val="16"/>
                                    </w:rPr>
                                  </w:pPr>
                                  <w:r>
                                    <w:rPr>
                                      <w:spacing w:val="-2"/>
                                      <w:sz w:val="16"/>
                                    </w:rPr>
                                    <w:t>140.245,05</w:t>
                                  </w:r>
                                </w:p>
                              </w:tc>
                            </w:tr>
                            <w:tr>
                              <w:trPr>
                                <w:trHeight w:val="300" w:hRule="atLeast"/>
                              </w:trPr>
                              <w:tc>
                                <w:tcPr>
                                  <w:tcW w:w="1336" w:type="dxa"/>
                                </w:tcPr>
                                <w:p>
                                  <w:pPr>
                                    <w:pStyle w:val="TableParagraph"/>
                                    <w:spacing w:before="55"/>
                                    <w:ind w:right="106"/>
                                    <w:jc w:val="right"/>
                                    <w:rPr>
                                      <w:sz w:val="16"/>
                                    </w:rPr>
                                  </w:pPr>
                                  <w:r>
                                    <w:rPr>
                                      <w:spacing w:val="-2"/>
                                      <w:sz w:val="16"/>
                                    </w:rPr>
                                    <w:t>6.416.017,48</w:t>
                                  </w:r>
                                </w:p>
                              </w:tc>
                              <w:tc>
                                <w:tcPr>
                                  <w:tcW w:w="1166" w:type="dxa"/>
                                </w:tcPr>
                                <w:p>
                                  <w:pPr>
                                    <w:pStyle w:val="TableParagraph"/>
                                    <w:spacing w:before="55"/>
                                    <w:ind w:left="4" w:right="13"/>
                                    <w:jc w:val="center"/>
                                    <w:rPr>
                                      <w:sz w:val="16"/>
                                    </w:rPr>
                                  </w:pPr>
                                  <w:r>
                                    <w:rPr>
                                      <w:spacing w:val="-2"/>
                                      <w:sz w:val="16"/>
                                    </w:rPr>
                                    <w:t>4.000.000,00</w:t>
                                  </w:r>
                                </w:p>
                              </w:tc>
                              <w:tc>
                                <w:tcPr>
                                  <w:tcW w:w="1869" w:type="dxa"/>
                                </w:tcPr>
                                <w:p>
                                  <w:pPr>
                                    <w:pStyle w:val="TableParagraph"/>
                                    <w:spacing w:before="55"/>
                                    <w:ind w:right="703"/>
                                    <w:jc w:val="right"/>
                                    <w:rPr>
                                      <w:sz w:val="16"/>
                                    </w:rPr>
                                  </w:pPr>
                                  <w:r>
                                    <w:rPr>
                                      <w:spacing w:val="-2"/>
                                      <w:sz w:val="16"/>
                                    </w:rPr>
                                    <w:t>(1.456.999,84)</w:t>
                                  </w:r>
                                </w:p>
                              </w:tc>
                              <w:tc>
                                <w:tcPr>
                                  <w:tcW w:w="1800" w:type="dxa"/>
                                </w:tcPr>
                                <w:p>
                                  <w:pPr>
                                    <w:pStyle w:val="TableParagraph"/>
                                    <w:spacing w:before="55"/>
                                    <w:ind w:right="64"/>
                                    <w:jc w:val="right"/>
                                    <w:rPr>
                                      <w:sz w:val="16"/>
                                    </w:rPr>
                                  </w:pPr>
                                  <w:r>
                                    <w:rPr>
                                      <w:spacing w:val="-2"/>
                                      <w:sz w:val="16"/>
                                    </w:rPr>
                                    <w:t>8.959.017,64</w:t>
                                  </w:r>
                                </w:p>
                              </w:tc>
                            </w:tr>
                            <w:tr>
                              <w:trPr>
                                <w:trHeight w:val="359" w:hRule="atLeast"/>
                              </w:trPr>
                              <w:tc>
                                <w:tcPr>
                                  <w:tcW w:w="1336" w:type="dxa"/>
                                  <w:tcBorders>
                                    <w:bottom w:val="single" w:sz="4" w:space="0" w:color="000000"/>
                                  </w:tcBorders>
                                </w:tcPr>
                                <w:p>
                                  <w:pPr>
                                    <w:pStyle w:val="TableParagraph"/>
                                    <w:spacing w:before="55"/>
                                    <w:ind w:right="107"/>
                                    <w:jc w:val="right"/>
                                    <w:rPr>
                                      <w:sz w:val="16"/>
                                    </w:rPr>
                                  </w:pPr>
                                  <w:r>
                                    <w:rPr>
                                      <w:spacing w:val="-2"/>
                                      <w:sz w:val="16"/>
                                    </w:rPr>
                                    <w:t>11.481.709,56</w:t>
                                  </w:r>
                                </w:p>
                              </w:tc>
                              <w:tc>
                                <w:tcPr>
                                  <w:tcW w:w="1166" w:type="dxa"/>
                                  <w:tcBorders>
                                    <w:bottom w:val="single" w:sz="4" w:space="0" w:color="000000"/>
                                  </w:tcBorders>
                                </w:tcPr>
                                <w:p>
                                  <w:pPr>
                                    <w:pStyle w:val="TableParagraph"/>
                                    <w:rPr>
                                      <w:rFonts w:ascii="Times New Roman"/>
                                      <w:sz w:val="16"/>
                                    </w:rPr>
                                  </w:pPr>
                                </w:p>
                              </w:tc>
                              <w:tc>
                                <w:tcPr>
                                  <w:tcW w:w="1869" w:type="dxa"/>
                                  <w:tcBorders>
                                    <w:bottom w:val="single" w:sz="4" w:space="0" w:color="000000"/>
                                  </w:tcBorders>
                                </w:tcPr>
                                <w:p>
                                  <w:pPr>
                                    <w:pStyle w:val="TableParagraph"/>
                                    <w:spacing w:before="55"/>
                                    <w:ind w:right="703"/>
                                    <w:jc w:val="right"/>
                                    <w:rPr>
                                      <w:sz w:val="16"/>
                                    </w:rPr>
                                  </w:pPr>
                                  <w:r>
                                    <w:rPr>
                                      <w:spacing w:val="-2"/>
                                      <w:sz w:val="16"/>
                                    </w:rPr>
                                    <w:t>(731.776,28)</w:t>
                                  </w:r>
                                </w:p>
                              </w:tc>
                              <w:tc>
                                <w:tcPr>
                                  <w:tcW w:w="1800" w:type="dxa"/>
                                  <w:tcBorders>
                                    <w:bottom w:val="single" w:sz="4" w:space="0" w:color="000000"/>
                                  </w:tcBorders>
                                </w:tcPr>
                                <w:p>
                                  <w:pPr>
                                    <w:pStyle w:val="TableParagraph"/>
                                    <w:spacing w:before="55"/>
                                    <w:ind w:right="65"/>
                                    <w:jc w:val="right"/>
                                    <w:rPr>
                                      <w:sz w:val="16"/>
                                    </w:rPr>
                                  </w:pPr>
                                  <w:r>
                                    <w:rPr>
                                      <w:spacing w:val="-2"/>
                                      <w:sz w:val="16"/>
                                    </w:rPr>
                                    <w:t>10.749.933,28</w:t>
                                  </w:r>
                                </w:p>
                              </w:tc>
                            </w:tr>
                            <w:tr>
                              <w:trPr>
                                <w:trHeight w:val="299" w:hRule="atLeast"/>
                              </w:trPr>
                              <w:tc>
                                <w:tcPr>
                                  <w:tcW w:w="1336" w:type="dxa"/>
                                  <w:tcBorders>
                                    <w:top w:val="single" w:sz="4" w:space="0" w:color="000000"/>
                                    <w:bottom w:val="single" w:sz="4" w:space="0" w:color="000000"/>
                                  </w:tcBorders>
                                </w:tcPr>
                                <w:p>
                                  <w:pPr>
                                    <w:pStyle w:val="TableParagraph"/>
                                    <w:spacing w:line="178" w:lineRule="exact"/>
                                    <w:ind w:right="107"/>
                                    <w:jc w:val="right"/>
                                    <w:rPr>
                                      <w:b/>
                                      <w:sz w:val="16"/>
                                    </w:rPr>
                                  </w:pPr>
                                  <w:r>
                                    <w:rPr>
                                      <w:b/>
                                      <w:spacing w:val="-2"/>
                                      <w:sz w:val="16"/>
                                    </w:rPr>
                                    <w:t>18.041.887,69</w:t>
                                  </w:r>
                                </w:p>
                              </w:tc>
                              <w:tc>
                                <w:tcPr>
                                  <w:tcW w:w="1166" w:type="dxa"/>
                                  <w:tcBorders>
                                    <w:top w:val="single" w:sz="4" w:space="0" w:color="000000"/>
                                    <w:bottom w:val="single" w:sz="4" w:space="0" w:color="000000"/>
                                  </w:tcBorders>
                                </w:tcPr>
                                <w:p>
                                  <w:pPr>
                                    <w:pStyle w:val="TableParagraph"/>
                                    <w:spacing w:line="178" w:lineRule="exact"/>
                                    <w:ind w:left="4" w:right="13"/>
                                    <w:jc w:val="center"/>
                                    <w:rPr>
                                      <w:b/>
                                      <w:sz w:val="16"/>
                                    </w:rPr>
                                  </w:pPr>
                                  <w:r>
                                    <w:rPr>
                                      <w:b/>
                                      <w:spacing w:val="-2"/>
                                      <w:sz w:val="16"/>
                                    </w:rPr>
                                    <w:t>4.000.000,00</w:t>
                                  </w:r>
                                </w:p>
                              </w:tc>
                              <w:tc>
                                <w:tcPr>
                                  <w:tcW w:w="1869" w:type="dxa"/>
                                  <w:tcBorders>
                                    <w:top w:val="single" w:sz="4" w:space="0" w:color="000000"/>
                                    <w:bottom w:val="single" w:sz="4" w:space="0" w:color="000000"/>
                                  </w:tcBorders>
                                </w:tcPr>
                                <w:p>
                                  <w:pPr>
                                    <w:pStyle w:val="TableParagraph"/>
                                    <w:spacing w:line="178" w:lineRule="exact"/>
                                    <w:ind w:right="703"/>
                                    <w:jc w:val="right"/>
                                    <w:rPr>
                                      <w:b/>
                                      <w:sz w:val="16"/>
                                    </w:rPr>
                                  </w:pPr>
                                  <w:r>
                                    <w:rPr>
                                      <w:b/>
                                      <w:spacing w:val="-2"/>
                                      <w:sz w:val="16"/>
                                    </w:rPr>
                                    <w:t>(2.192.691,72)</w:t>
                                  </w:r>
                                </w:p>
                              </w:tc>
                              <w:tc>
                                <w:tcPr>
                                  <w:tcW w:w="1800" w:type="dxa"/>
                                  <w:tcBorders>
                                    <w:top w:val="single" w:sz="4" w:space="0" w:color="000000"/>
                                    <w:bottom w:val="single" w:sz="4" w:space="0" w:color="000000"/>
                                  </w:tcBorders>
                                </w:tcPr>
                                <w:p>
                                  <w:pPr>
                                    <w:pStyle w:val="TableParagraph"/>
                                    <w:spacing w:line="178" w:lineRule="exact"/>
                                    <w:ind w:right="65"/>
                                    <w:jc w:val="right"/>
                                    <w:rPr>
                                      <w:b/>
                                      <w:sz w:val="16"/>
                                    </w:rPr>
                                  </w:pPr>
                                  <w:r>
                                    <w:rPr>
                                      <w:b/>
                                      <w:spacing w:val="-2"/>
                                      <w:sz w:val="16"/>
                                    </w:rPr>
                                    <w:t>19.849.195,97</w:t>
                                  </w:r>
                                </w:p>
                              </w:tc>
                            </w:tr>
                            <w:tr>
                              <w:trPr>
                                <w:trHeight w:val="599" w:hRule="atLeast"/>
                              </w:trPr>
                              <w:tc>
                                <w:tcPr>
                                  <w:tcW w:w="6171" w:type="dxa"/>
                                  <w:gridSpan w:val="4"/>
                                  <w:tcBorders>
                                    <w:top w:val="single" w:sz="4" w:space="0" w:color="000000"/>
                                    <w:bottom w:val="single" w:sz="4" w:space="0" w:color="000000"/>
                                  </w:tcBorders>
                                </w:tcPr>
                                <w:p>
                                  <w:pPr>
                                    <w:pStyle w:val="TableParagraph"/>
                                    <w:spacing w:before="18"/>
                                    <w:rPr>
                                      <w:sz w:val="16"/>
                                    </w:rPr>
                                  </w:pPr>
                                </w:p>
                                <w:p>
                                  <w:pPr>
                                    <w:pStyle w:val="TableParagraph"/>
                                    <w:tabs>
                                      <w:tab w:pos="1675" w:val="left" w:leader="none"/>
                                      <w:tab w:pos="2596" w:val="left" w:leader="none"/>
                                      <w:tab w:pos="3914" w:val="left" w:leader="none"/>
                                      <w:tab w:pos="4979" w:val="left" w:leader="none"/>
                                    </w:tabs>
                                    <w:ind w:left="98"/>
                                    <w:rPr>
                                      <w:b/>
                                      <w:sz w:val="16"/>
                                    </w:rPr>
                                  </w:pPr>
                                  <w:r>
                                    <w:rPr>
                                      <w:b/>
                                      <w:sz w:val="16"/>
                                    </w:rPr>
                                    <w:t>Saldo</w:t>
                                  </w:r>
                                  <w:r>
                                    <w:rPr>
                                      <w:b/>
                                      <w:spacing w:val="-4"/>
                                      <w:sz w:val="16"/>
                                    </w:rPr>
                                    <w:t> </w:t>
                                  </w:r>
                                  <w:r>
                                    <w:rPr>
                                      <w:b/>
                                      <w:spacing w:val="-2"/>
                                      <w:sz w:val="16"/>
                                    </w:rPr>
                                    <w:t>31.12.24</w:t>
                                  </w:r>
                                  <w:r>
                                    <w:rPr>
                                      <w:b/>
                                      <w:sz w:val="16"/>
                                    </w:rPr>
                                    <w:tab/>
                                  </w:r>
                                  <w:r>
                                    <w:rPr>
                                      <w:b/>
                                      <w:spacing w:val="-4"/>
                                      <w:sz w:val="16"/>
                                    </w:rPr>
                                    <w:t>Altas</w:t>
                                  </w:r>
                                  <w:r>
                                    <w:rPr>
                                      <w:b/>
                                      <w:sz w:val="16"/>
                                    </w:rPr>
                                    <w:tab/>
                                  </w:r>
                                  <w:r>
                                    <w:rPr>
                                      <w:b/>
                                      <w:spacing w:val="-2"/>
                                      <w:sz w:val="16"/>
                                    </w:rPr>
                                    <w:t>Aplicaciones</w:t>
                                  </w:r>
                                  <w:r>
                                    <w:rPr>
                                      <w:b/>
                                      <w:sz w:val="16"/>
                                    </w:rPr>
                                    <w:tab/>
                                  </w:r>
                                  <w:r>
                                    <w:rPr>
                                      <w:b/>
                                      <w:spacing w:val="-2"/>
                                      <w:sz w:val="16"/>
                                    </w:rPr>
                                    <w:t>Traspasos</w:t>
                                  </w:r>
                                  <w:r>
                                    <w:rPr>
                                      <w:b/>
                                      <w:sz w:val="16"/>
                                    </w:rPr>
                                    <w:tab/>
                                    <w:t>Saldo</w:t>
                                  </w:r>
                                  <w:r>
                                    <w:rPr>
                                      <w:b/>
                                      <w:spacing w:val="-4"/>
                                      <w:sz w:val="16"/>
                                    </w:rPr>
                                    <w:t> </w:t>
                                  </w:r>
                                  <w:r>
                                    <w:rPr>
                                      <w:b/>
                                      <w:spacing w:val="-2"/>
                                      <w:sz w:val="16"/>
                                    </w:rPr>
                                    <w:t>31.12.25</w:t>
                                  </w:r>
                                </w:p>
                              </w:tc>
                            </w:tr>
                            <w:tr>
                              <w:trPr>
                                <w:trHeight w:val="242" w:hRule="atLeast"/>
                              </w:trPr>
                              <w:tc>
                                <w:tcPr>
                                  <w:tcW w:w="1336" w:type="dxa"/>
                                  <w:tcBorders>
                                    <w:top w:val="single" w:sz="4" w:space="0" w:color="000000"/>
                                  </w:tcBorders>
                                </w:tcPr>
                                <w:p>
                                  <w:pPr>
                                    <w:pStyle w:val="TableParagraph"/>
                                    <w:spacing w:line="183" w:lineRule="exact"/>
                                    <w:ind w:right="110"/>
                                    <w:jc w:val="right"/>
                                    <w:rPr>
                                      <w:sz w:val="16"/>
                                    </w:rPr>
                                  </w:pPr>
                                  <w:r>
                                    <w:rPr>
                                      <w:spacing w:val="-2"/>
                                      <w:sz w:val="16"/>
                                    </w:rPr>
                                    <w:t>140.245,05</w:t>
                                  </w:r>
                                </w:p>
                              </w:tc>
                              <w:tc>
                                <w:tcPr>
                                  <w:tcW w:w="3035" w:type="dxa"/>
                                  <w:gridSpan w:val="2"/>
                                  <w:tcBorders>
                                    <w:top w:val="single" w:sz="4" w:space="0" w:color="000000"/>
                                  </w:tcBorders>
                                </w:tcPr>
                                <w:p>
                                  <w:pPr>
                                    <w:pStyle w:val="TableParagraph"/>
                                    <w:spacing w:line="183" w:lineRule="exact"/>
                                    <w:ind w:left="1598"/>
                                    <w:rPr>
                                      <w:sz w:val="16"/>
                                    </w:rPr>
                                  </w:pPr>
                                  <w:r>
                                    <w:rPr>
                                      <w:spacing w:val="-2"/>
                                      <w:sz w:val="16"/>
                                    </w:rPr>
                                    <w:t>(3.915,60)</w:t>
                                  </w:r>
                                </w:p>
                              </w:tc>
                              <w:tc>
                                <w:tcPr>
                                  <w:tcW w:w="1800" w:type="dxa"/>
                                  <w:tcBorders>
                                    <w:top w:val="single" w:sz="4" w:space="0" w:color="000000"/>
                                  </w:tcBorders>
                                </w:tcPr>
                                <w:p>
                                  <w:pPr>
                                    <w:pStyle w:val="TableParagraph"/>
                                    <w:spacing w:line="183" w:lineRule="exact"/>
                                    <w:ind w:right="68"/>
                                    <w:jc w:val="right"/>
                                    <w:rPr>
                                      <w:sz w:val="16"/>
                                    </w:rPr>
                                  </w:pPr>
                                  <w:r>
                                    <w:rPr>
                                      <w:spacing w:val="-2"/>
                                      <w:sz w:val="16"/>
                                    </w:rPr>
                                    <w:t>136.329,45</w:t>
                                  </w:r>
                                </w:p>
                              </w:tc>
                            </w:tr>
                            <w:tr>
                              <w:trPr>
                                <w:trHeight w:val="300" w:hRule="atLeast"/>
                              </w:trPr>
                              <w:tc>
                                <w:tcPr>
                                  <w:tcW w:w="1336" w:type="dxa"/>
                                </w:tcPr>
                                <w:p>
                                  <w:pPr>
                                    <w:pStyle w:val="TableParagraph"/>
                                    <w:spacing w:before="55"/>
                                    <w:ind w:right="106"/>
                                    <w:jc w:val="right"/>
                                    <w:rPr>
                                      <w:sz w:val="16"/>
                                    </w:rPr>
                                  </w:pPr>
                                  <w:r>
                                    <w:rPr>
                                      <w:spacing w:val="-2"/>
                                      <w:sz w:val="16"/>
                                    </w:rPr>
                                    <w:t>8.959.017,64</w:t>
                                  </w:r>
                                </w:p>
                              </w:tc>
                              <w:tc>
                                <w:tcPr>
                                  <w:tcW w:w="1166" w:type="dxa"/>
                                </w:tcPr>
                                <w:p>
                                  <w:pPr>
                                    <w:pStyle w:val="TableParagraph"/>
                                    <w:spacing w:before="55"/>
                                    <w:ind w:left="4" w:right="13"/>
                                    <w:jc w:val="center"/>
                                    <w:rPr>
                                      <w:sz w:val="16"/>
                                    </w:rPr>
                                  </w:pPr>
                                  <w:r>
                                    <w:rPr>
                                      <w:spacing w:val="-2"/>
                                      <w:sz w:val="16"/>
                                    </w:rPr>
                                    <w:t>6.816.131,33</w:t>
                                  </w:r>
                                </w:p>
                              </w:tc>
                              <w:tc>
                                <w:tcPr>
                                  <w:tcW w:w="1869" w:type="dxa"/>
                                </w:tcPr>
                                <w:p>
                                  <w:pPr>
                                    <w:pStyle w:val="TableParagraph"/>
                                    <w:spacing w:before="55"/>
                                    <w:ind w:right="703"/>
                                    <w:jc w:val="right"/>
                                    <w:rPr>
                                      <w:sz w:val="16"/>
                                    </w:rPr>
                                  </w:pPr>
                                  <w:r>
                                    <w:rPr>
                                      <w:spacing w:val="-2"/>
                                      <w:sz w:val="16"/>
                                    </w:rPr>
                                    <w:t>(3.485.644,48)</w:t>
                                  </w:r>
                                </w:p>
                              </w:tc>
                              <w:tc>
                                <w:tcPr>
                                  <w:tcW w:w="1800" w:type="dxa"/>
                                </w:tcPr>
                                <w:p>
                                  <w:pPr>
                                    <w:pStyle w:val="TableParagraph"/>
                                    <w:spacing w:before="55"/>
                                    <w:ind w:right="65"/>
                                    <w:jc w:val="right"/>
                                    <w:rPr>
                                      <w:sz w:val="16"/>
                                    </w:rPr>
                                  </w:pPr>
                                  <w:r>
                                    <w:rPr>
                                      <w:spacing w:val="-2"/>
                                      <w:sz w:val="16"/>
                                    </w:rPr>
                                    <w:t>12.289.504,49</w:t>
                                  </w:r>
                                </w:p>
                              </w:tc>
                            </w:tr>
                            <w:tr>
                              <w:trPr>
                                <w:trHeight w:val="359" w:hRule="atLeast"/>
                              </w:trPr>
                              <w:tc>
                                <w:tcPr>
                                  <w:tcW w:w="1336" w:type="dxa"/>
                                  <w:tcBorders>
                                    <w:bottom w:val="single" w:sz="4" w:space="0" w:color="000000"/>
                                  </w:tcBorders>
                                </w:tcPr>
                                <w:p>
                                  <w:pPr>
                                    <w:pStyle w:val="TableParagraph"/>
                                    <w:spacing w:before="55"/>
                                    <w:ind w:right="107"/>
                                    <w:jc w:val="right"/>
                                    <w:rPr>
                                      <w:sz w:val="16"/>
                                    </w:rPr>
                                  </w:pPr>
                                  <w:r>
                                    <w:rPr>
                                      <w:spacing w:val="-2"/>
                                      <w:sz w:val="16"/>
                                    </w:rPr>
                                    <w:t>10.749.933,28</w:t>
                                  </w:r>
                                </w:p>
                              </w:tc>
                              <w:tc>
                                <w:tcPr>
                                  <w:tcW w:w="1166" w:type="dxa"/>
                                  <w:tcBorders>
                                    <w:bottom w:val="single" w:sz="4" w:space="0" w:color="000000"/>
                                  </w:tcBorders>
                                </w:tcPr>
                                <w:p>
                                  <w:pPr>
                                    <w:pStyle w:val="TableParagraph"/>
                                    <w:rPr>
                                      <w:rFonts w:ascii="Times New Roman"/>
                                      <w:sz w:val="16"/>
                                    </w:rPr>
                                  </w:pPr>
                                </w:p>
                              </w:tc>
                              <w:tc>
                                <w:tcPr>
                                  <w:tcW w:w="1869" w:type="dxa"/>
                                  <w:tcBorders>
                                    <w:bottom w:val="single" w:sz="4" w:space="0" w:color="000000"/>
                                  </w:tcBorders>
                                </w:tcPr>
                                <w:p>
                                  <w:pPr>
                                    <w:pStyle w:val="TableParagraph"/>
                                    <w:spacing w:before="55"/>
                                    <w:ind w:right="703"/>
                                    <w:jc w:val="right"/>
                                    <w:rPr>
                                      <w:sz w:val="16"/>
                                    </w:rPr>
                                  </w:pPr>
                                  <w:r>
                                    <w:rPr>
                                      <w:spacing w:val="-2"/>
                                      <w:sz w:val="16"/>
                                    </w:rPr>
                                    <w:t>(558.789,60)</w:t>
                                  </w:r>
                                </w:p>
                              </w:tc>
                              <w:tc>
                                <w:tcPr>
                                  <w:tcW w:w="1800" w:type="dxa"/>
                                  <w:tcBorders>
                                    <w:bottom w:val="single" w:sz="4" w:space="0" w:color="000000"/>
                                  </w:tcBorders>
                                </w:tcPr>
                                <w:p>
                                  <w:pPr>
                                    <w:pStyle w:val="TableParagraph"/>
                                    <w:spacing w:before="55"/>
                                    <w:ind w:right="65"/>
                                    <w:jc w:val="right"/>
                                    <w:rPr>
                                      <w:sz w:val="16"/>
                                    </w:rPr>
                                  </w:pPr>
                                  <w:r>
                                    <w:rPr>
                                      <w:spacing w:val="-2"/>
                                      <w:sz w:val="16"/>
                                    </w:rPr>
                                    <w:t>10.191.143,68</w:t>
                                  </w:r>
                                </w:p>
                              </w:tc>
                            </w:tr>
                            <w:tr>
                              <w:trPr>
                                <w:trHeight w:val="299" w:hRule="atLeast"/>
                              </w:trPr>
                              <w:tc>
                                <w:tcPr>
                                  <w:tcW w:w="1336" w:type="dxa"/>
                                  <w:tcBorders>
                                    <w:top w:val="single" w:sz="4" w:space="0" w:color="000000"/>
                                    <w:bottom w:val="single" w:sz="4" w:space="0" w:color="000000"/>
                                  </w:tcBorders>
                                </w:tcPr>
                                <w:p>
                                  <w:pPr>
                                    <w:pStyle w:val="TableParagraph"/>
                                    <w:spacing w:line="178" w:lineRule="exact"/>
                                    <w:ind w:right="107"/>
                                    <w:jc w:val="right"/>
                                    <w:rPr>
                                      <w:b/>
                                      <w:sz w:val="16"/>
                                    </w:rPr>
                                  </w:pPr>
                                  <w:r>
                                    <w:rPr>
                                      <w:b/>
                                      <w:spacing w:val="-2"/>
                                      <w:sz w:val="16"/>
                                    </w:rPr>
                                    <w:t>19.849.195,97</w:t>
                                  </w:r>
                                </w:p>
                              </w:tc>
                              <w:tc>
                                <w:tcPr>
                                  <w:tcW w:w="1166" w:type="dxa"/>
                                  <w:tcBorders>
                                    <w:top w:val="single" w:sz="4" w:space="0" w:color="000000"/>
                                    <w:bottom w:val="single" w:sz="4" w:space="0" w:color="000000"/>
                                  </w:tcBorders>
                                </w:tcPr>
                                <w:p>
                                  <w:pPr>
                                    <w:pStyle w:val="TableParagraph"/>
                                    <w:spacing w:line="178" w:lineRule="exact"/>
                                    <w:ind w:left="4" w:right="13"/>
                                    <w:jc w:val="center"/>
                                    <w:rPr>
                                      <w:b/>
                                      <w:sz w:val="16"/>
                                    </w:rPr>
                                  </w:pPr>
                                  <w:r>
                                    <w:rPr>
                                      <w:b/>
                                      <w:spacing w:val="-2"/>
                                      <w:sz w:val="16"/>
                                    </w:rPr>
                                    <w:t>6.816.131,33</w:t>
                                  </w:r>
                                </w:p>
                              </w:tc>
                              <w:tc>
                                <w:tcPr>
                                  <w:tcW w:w="1869" w:type="dxa"/>
                                  <w:tcBorders>
                                    <w:top w:val="single" w:sz="4" w:space="0" w:color="000000"/>
                                    <w:bottom w:val="single" w:sz="4" w:space="0" w:color="000000"/>
                                  </w:tcBorders>
                                </w:tcPr>
                                <w:p>
                                  <w:pPr>
                                    <w:pStyle w:val="TableParagraph"/>
                                    <w:spacing w:line="178" w:lineRule="exact"/>
                                    <w:ind w:right="703"/>
                                    <w:jc w:val="right"/>
                                    <w:rPr>
                                      <w:b/>
                                      <w:sz w:val="16"/>
                                    </w:rPr>
                                  </w:pPr>
                                  <w:r>
                                    <w:rPr>
                                      <w:b/>
                                      <w:spacing w:val="-2"/>
                                      <w:sz w:val="16"/>
                                    </w:rPr>
                                    <w:t>(4.048.349,68)</w:t>
                                  </w:r>
                                </w:p>
                              </w:tc>
                              <w:tc>
                                <w:tcPr>
                                  <w:tcW w:w="1800" w:type="dxa"/>
                                  <w:tcBorders>
                                    <w:top w:val="single" w:sz="4" w:space="0" w:color="000000"/>
                                    <w:bottom w:val="single" w:sz="4" w:space="0" w:color="000000"/>
                                  </w:tcBorders>
                                </w:tcPr>
                                <w:p>
                                  <w:pPr>
                                    <w:pStyle w:val="TableParagraph"/>
                                    <w:spacing w:line="178" w:lineRule="exact"/>
                                    <w:ind w:right="65"/>
                                    <w:jc w:val="right"/>
                                    <w:rPr>
                                      <w:b/>
                                      <w:sz w:val="16"/>
                                    </w:rPr>
                                  </w:pPr>
                                  <w:r>
                                    <w:rPr>
                                      <w:b/>
                                      <w:spacing w:val="-2"/>
                                      <w:sz w:val="16"/>
                                    </w:rPr>
                                    <w:t>22.616.977,62</w:t>
                                  </w:r>
                                </w:p>
                              </w:tc>
                            </w:tr>
                          </w:tbl>
                          <w:p>
                            <w:pPr>
                              <w:pStyle w:val="BodyText"/>
                            </w:pPr>
                          </w:p>
                        </w:txbxContent>
                      </wps:txbx>
                      <wps:bodyPr wrap="square" lIns="0" tIns="0" rIns="0" bIns="0" rtlCol="0">
                        <a:noAutofit/>
                      </wps:bodyPr>
                    </wps:wsp>
                  </a:graphicData>
                </a:graphic>
              </wp:anchor>
            </w:drawing>
          </mc:Choice>
          <mc:Fallback>
            <w:pict>
              <v:shape style="position:absolute;margin-left:202.320007pt;margin-top:-2.922773pt;width:314.650pt;height:152.85pt;mso-position-horizontal-relative:page;mso-position-vertical-relative:paragraph;z-index:15770112" type="#_x0000_t202" id="docshape13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6"/>
                        <w:gridCol w:w="1166"/>
                        <w:gridCol w:w="1869"/>
                        <w:gridCol w:w="1800"/>
                      </w:tblGrid>
                      <w:tr>
                        <w:trPr>
                          <w:trHeight w:val="240" w:hRule="atLeast"/>
                        </w:trPr>
                        <w:tc>
                          <w:tcPr>
                            <w:tcW w:w="1336" w:type="dxa"/>
                            <w:tcBorders>
                              <w:top w:val="single" w:sz="4" w:space="0" w:color="000000"/>
                            </w:tcBorders>
                          </w:tcPr>
                          <w:p>
                            <w:pPr>
                              <w:pStyle w:val="TableParagraph"/>
                              <w:spacing w:line="180" w:lineRule="exact"/>
                              <w:ind w:right="110"/>
                              <w:jc w:val="right"/>
                              <w:rPr>
                                <w:sz w:val="16"/>
                              </w:rPr>
                            </w:pPr>
                            <w:r>
                              <w:rPr>
                                <w:spacing w:val="-2"/>
                                <w:sz w:val="16"/>
                              </w:rPr>
                              <w:t>144.160,65</w:t>
                            </w:r>
                          </w:p>
                        </w:tc>
                        <w:tc>
                          <w:tcPr>
                            <w:tcW w:w="3035" w:type="dxa"/>
                            <w:gridSpan w:val="2"/>
                            <w:tcBorders>
                              <w:top w:val="single" w:sz="4" w:space="0" w:color="000000"/>
                            </w:tcBorders>
                          </w:tcPr>
                          <w:p>
                            <w:pPr>
                              <w:pStyle w:val="TableParagraph"/>
                              <w:spacing w:line="180" w:lineRule="exact"/>
                              <w:ind w:left="1598"/>
                              <w:rPr>
                                <w:sz w:val="16"/>
                              </w:rPr>
                            </w:pPr>
                            <w:r>
                              <w:rPr>
                                <w:spacing w:val="-2"/>
                                <w:sz w:val="16"/>
                              </w:rPr>
                              <w:t>(3.915,60)</w:t>
                            </w:r>
                          </w:p>
                        </w:tc>
                        <w:tc>
                          <w:tcPr>
                            <w:tcW w:w="1800" w:type="dxa"/>
                            <w:tcBorders>
                              <w:top w:val="single" w:sz="4" w:space="0" w:color="000000"/>
                            </w:tcBorders>
                          </w:tcPr>
                          <w:p>
                            <w:pPr>
                              <w:pStyle w:val="TableParagraph"/>
                              <w:spacing w:line="180" w:lineRule="exact"/>
                              <w:ind w:right="68"/>
                              <w:jc w:val="right"/>
                              <w:rPr>
                                <w:sz w:val="16"/>
                              </w:rPr>
                            </w:pPr>
                            <w:r>
                              <w:rPr>
                                <w:spacing w:val="-2"/>
                                <w:sz w:val="16"/>
                              </w:rPr>
                              <w:t>140.245,05</w:t>
                            </w:r>
                          </w:p>
                        </w:tc>
                      </w:tr>
                      <w:tr>
                        <w:trPr>
                          <w:trHeight w:val="300" w:hRule="atLeast"/>
                        </w:trPr>
                        <w:tc>
                          <w:tcPr>
                            <w:tcW w:w="1336" w:type="dxa"/>
                          </w:tcPr>
                          <w:p>
                            <w:pPr>
                              <w:pStyle w:val="TableParagraph"/>
                              <w:spacing w:before="55"/>
                              <w:ind w:right="106"/>
                              <w:jc w:val="right"/>
                              <w:rPr>
                                <w:sz w:val="16"/>
                              </w:rPr>
                            </w:pPr>
                            <w:r>
                              <w:rPr>
                                <w:spacing w:val="-2"/>
                                <w:sz w:val="16"/>
                              </w:rPr>
                              <w:t>6.416.017,48</w:t>
                            </w:r>
                          </w:p>
                        </w:tc>
                        <w:tc>
                          <w:tcPr>
                            <w:tcW w:w="1166" w:type="dxa"/>
                          </w:tcPr>
                          <w:p>
                            <w:pPr>
                              <w:pStyle w:val="TableParagraph"/>
                              <w:spacing w:before="55"/>
                              <w:ind w:left="4" w:right="13"/>
                              <w:jc w:val="center"/>
                              <w:rPr>
                                <w:sz w:val="16"/>
                              </w:rPr>
                            </w:pPr>
                            <w:r>
                              <w:rPr>
                                <w:spacing w:val="-2"/>
                                <w:sz w:val="16"/>
                              </w:rPr>
                              <w:t>4.000.000,00</w:t>
                            </w:r>
                          </w:p>
                        </w:tc>
                        <w:tc>
                          <w:tcPr>
                            <w:tcW w:w="1869" w:type="dxa"/>
                          </w:tcPr>
                          <w:p>
                            <w:pPr>
                              <w:pStyle w:val="TableParagraph"/>
                              <w:spacing w:before="55"/>
                              <w:ind w:right="703"/>
                              <w:jc w:val="right"/>
                              <w:rPr>
                                <w:sz w:val="16"/>
                              </w:rPr>
                            </w:pPr>
                            <w:r>
                              <w:rPr>
                                <w:spacing w:val="-2"/>
                                <w:sz w:val="16"/>
                              </w:rPr>
                              <w:t>(1.456.999,84)</w:t>
                            </w:r>
                          </w:p>
                        </w:tc>
                        <w:tc>
                          <w:tcPr>
                            <w:tcW w:w="1800" w:type="dxa"/>
                          </w:tcPr>
                          <w:p>
                            <w:pPr>
                              <w:pStyle w:val="TableParagraph"/>
                              <w:spacing w:before="55"/>
                              <w:ind w:right="64"/>
                              <w:jc w:val="right"/>
                              <w:rPr>
                                <w:sz w:val="16"/>
                              </w:rPr>
                            </w:pPr>
                            <w:r>
                              <w:rPr>
                                <w:spacing w:val="-2"/>
                                <w:sz w:val="16"/>
                              </w:rPr>
                              <w:t>8.959.017,64</w:t>
                            </w:r>
                          </w:p>
                        </w:tc>
                      </w:tr>
                      <w:tr>
                        <w:trPr>
                          <w:trHeight w:val="359" w:hRule="atLeast"/>
                        </w:trPr>
                        <w:tc>
                          <w:tcPr>
                            <w:tcW w:w="1336" w:type="dxa"/>
                            <w:tcBorders>
                              <w:bottom w:val="single" w:sz="4" w:space="0" w:color="000000"/>
                            </w:tcBorders>
                          </w:tcPr>
                          <w:p>
                            <w:pPr>
                              <w:pStyle w:val="TableParagraph"/>
                              <w:spacing w:before="55"/>
                              <w:ind w:right="107"/>
                              <w:jc w:val="right"/>
                              <w:rPr>
                                <w:sz w:val="16"/>
                              </w:rPr>
                            </w:pPr>
                            <w:r>
                              <w:rPr>
                                <w:spacing w:val="-2"/>
                                <w:sz w:val="16"/>
                              </w:rPr>
                              <w:t>11.481.709,56</w:t>
                            </w:r>
                          </w:p>
                        </w:tc>
                        <w:tc>
                          <w:tcPr>
                            <w:tcW w:w="1166" w:type="dxa"/>
                            <w:tcBorders>
                              <w:bottom w:val="single" w:sz="4" w:space="0" w:color="000000"/>
                            </w:tcBorders>
                          </w:tcPr>
                          <w:p>
                            <w:pPr>
                              <w:pStyle w:val="TableParagraph"/>
                              <w:rPr>
                                <w:rFonts w:ascii="Times New Roman"/>
                                <w:sz w:val="16"/>
                              </w:rPr>
                            </w:pPr>
                          </w:p>
                        </w:tc>
                        <w:tc>
                          <w:tcPr>
                            <w:tcW w:w="1869" w:type="dxa"/>
                            <w:tcBorders>
                              <w:bottom w:val="single" w:sz="4" w:space="0" w:color="000000"/>
                            </w:tcBorders>
                          </w:tcPr>
                          <w:p>
                            <w:pPr>
                              <w:pStyle w:val="TableParagraph"/>
                              <w:spacing w:before="55"/>
                              <w:ind w:right="703"/>
                              <w:jc w:val="right"/>
                              <w:rPr>
                                <w:sz w:val="16"/>
                              </w:rPr>
                            </w:pPr>
                            <w:r>
                              <w:rPr>
                                <w:spacing w:val="-2"/>
                                <w:sz w:val="16"/>
                              </w:rPr>
                              <w:t>(731.776,28)</w:t>
                            </w:r>
                          </w:p>
                        </w:tc>
                        <w:tc>
                          <w:tcPr>
                            <w:tcW w:w="1800" w:type="dxa"/>
                            <w:tcBorders>
                              <w:bottom w:val="single" w:sz="4" w:space="0" w:color="000000"/>
                            </w:tcBorders>
                          </w:tcPr>
                          <w:p>
                            <w:pPr>
                              <w:pStyle w:val="TableParagraph"/>
                              <w:spacing w:before="55"/>
                              <w:ind w:right="65"/>
                              <w:jc w:val="right"/>
                              <w:rPr>
                                <w:sz w:val="16"/>
                              </w:rPr>
                            </w:pPr>
                            <w:r>
                              <w:rPr>
                                <w:spacing w:val="-2"/>
                                <w:sz w:val="16"/>
                              </w:rPr>
                              <w:t>10.749.933,28</w:t>
                            </w:r>
                          </w:p>
                        </w:tc>
                      </w:tr>
                      <w:tr>
                        <w:trPr>
                          <w:trHeight w:val="299" w:hRule="atLeast"/>
                        </w:trPr>
                        <w:tc>
                          <w:tcPr>
                            <w:tcW w:w="1336" w:type="dxa"/>
                            <w:tcBorders>
                              <w:top w:val="single" w:sz="4" w:space="0" w:color="000000"/>
                              <w:bottom w:val="single" w:sz="4" w:space="0" w:color="000000"/>
                            </w:tcBorders>
                          </w:tcPr>
                          <w:p>
                            <w:pPr>
                              <w:pStyle w:val="TableParagraph"/>
                              <w:spacing w:line="178" w:lineRule="exact"/>
                              <w:ind w:right="107"/>
                              <w:jc w:val="right"/>
                              <w:rPr>
                                <w:b/>
                                <w:sz w:val="16"/>
                              </w:rPr>
                            </w:pPr>
                            <w:r>
                              <w:rPr>
                                <w:b/>
                                <w:spacing w:val="-2"/>
                                <w:sz w:val="16"/>
                              </w:rPr>
                              <w:t>18.041.887,69</w:t>
                            </w:r>
                          </w:p>
                        </w:tc>
                        <w:tc>
                          <w:tcPr>
                            <w:tcW w:w="1166" w:type="dxa"/>
                            <w:tcBorders>
                              <w:top w:val="single" w:sz="4" w:space="0" w:color="000000"/>
                              <w:bottom w:val="single" w:sz="4" w:space="0" w:color="000000"/>
                            </w:tcBorders>
                          </w:tcPr>
                          <w:p>
                            <w:pPr>
                              <w:pStyle w:val="TableParagraph"/>
                              <w:spacing w:line="178" w:lineRule="exact"/>
                              <w:ind w:left="4" w:right="13"/>
                              <w:jc w:val="center"/>
                              <w:rPr>
                                <w:b/>
                                <w:sz w:val="16"/>
                              </w:rPr>
                            </w:pPr>
                            <w:r>
                              <w:rPr>
                                <w:b/>
                                <w:spacing w:val="-2"/>
                                <w:sz w:val="16"/>
                              </w:rPr>
                              <w:t>4.000.000,00</w:t>
                            </w:r>
                          </w:p>
                        </w:tc>
                        <w:tc>
                          <w:tcPr>
                            <w:tcW w:w="1869" w:type="dxa"/>
                            <w:tcBorders>
                              <w:top w:val="single" w:sz="4" w:space="0" w:color="000000"/>
                              <w:bottom w:val="single" w:sz="4" w:space="0" w:color="000000"/>
                            </w:tcBorders>
                          </w:tcPr>
                          <w:p>
                            <w:pPr>
                              <w:pStyle w:val="TableParagraph"/>
                              <w:spacing w:line="178" w:lineRule="exact"/>
                              <w:ind w:right="703"/>
                              <w:jc w:val="right"/>
                              <w:rPr>
                                <w:b/>
                                <w:sz w:val="16"/>
                              </w:rPr>
                            </w:pPr>
                            <w:r>
                              <w:rPr>
                                <w:b/>
                                <w:spacing w:val="-2"/>
                                <w:sz w:val="16"/>
                              </w:rPr>
                              <w:t>(2.192.691,72)</w:t>
                            </w:r>
                          </w:p>
                        </w:tc>
                        <w:tc>
                          <w:tcPr>
                            <w:tcW w:w="1800" w:type="dxa"/>
                            <w:tcBorders>
                              <w:top w:val="single" w:sz="4" w:space="0" w:color="000000"/>
                              <w:bottom w:val="single" w:sz="4" w:space="0" w:color="000000"/>
                            </w:tcBorders>
                          </w:tcPr>
                          <w:p>
                            <w:pPr>
                              <w:pStyle w:val="TableParagraph"/>
                              <w:spacing w:line="178" w:lineRule="exact"/>
                              <w:ind w:right="65"/>
                              <w:jc w:val="right"/>
                              <w:rPr>
                                <w:b/>
                                <w:sz w:val="16"/>
                              </w:rPr>
                            </w:pPr>
                            <w:r>
                              <w:rPr>
                                <w:b/>
                                <w:spacing w:val="-2"/>
                                <w:sz w:val="16"/>
                              </w:rPr>
                              <w:t>19.849.195,97</w:t>
                            </w:r>
                          </w:p>
                        </w:tc>
                      </w:tr>
                      <w:tr>
                        <w:trPr>
                          <w:trHeight w:val="599" w:hRule="atLeast"/>
                        </w:trPr>
                        <w:tc>
                          <w:tcPr>
                            <w:tcW w:w="6171" w:type="dxa"/>
                            <w:gridSpan w:val="4"/>
                            <w:tcBorders>
                              <w:top w:val="single" w:sz="4" w:space="0" w:color="000000"/>
                              <w:bottom w:val="single" w:sz="4" w:space="0" w:color="000000"/>
                            </w:tcBorders>
                          </w:tcPr>
                          <w:p>
                            <w:pPr>
                              <w:pStyle w:val="TableParagraph"/>
                              <w:spacing w:before="18"/>
                              <w:rPr>
                                <w:sz w:val="16"/>
                              </w:rPr>
                            </w:pPr>
                          </w:p>
                          <w:p>
                            <w:pPr>
                              <w:pStyle w:val="TableParagraph"/>
                              <w:tabs>
                                <w:tab w:pos="1675" w:val="left" w:leader="none"/>
                                <w:tab w:pos="2596" w:val="left" w:leader="none"/>
                                <w:tab w:pos="3914" w:val="left" w:leader="none"/>
                                <w:tab w:pos="4979" w:val="left" w:leader="none"/>
                              </w:tabs>
                              <w:ind w:left="98"/>
                              <w:rPr>
                                <w:b/>
                                <w:sz w:val="16"/>
                              </w:rPr>
                            </w:pPr>
                            <w:r>
                              <w:rPr>
                                <w:b/>
                                <w:sz w:val="16"/>
                              </w:rPr>
                              <w:t>Saldo</w:t>
                            </w:r>
                            <w:r>
                              <w:rPr>
                                <w:b/>
                                <w:spacing w:val="-4"/>
                                <w:sz w:val="16"/>
                              </w:rPr>
                              <w:t> </w:t>
                            </w:r>
                            <w:r>
                              <w:rPr>
                                <w:b/>
                                <w:spacing w:val="-2"/>
                                <w:sz w:val="16"/>
                              </w:rPr>
                              <w:t>31.12.24</w:t>
                            </w:r>
                            <w:r>
                              <w:rPr>
                                <w:b/>
                                <w:sz w:val="16"/>
                              </w:rPr>
                              <w:tab/>
                            </w:r>
                            <w:r>
                              <w:rPr>
                                <w:b/>
                                <w:spacing w:val="-4"/>
                                <w:sz w:val="16"/>
                              </w:rPr>
                              <w:t>Altas</w:t>
                            </w:r>
                            <w:r>
                              <w:rPr>
                                <w:b/>
                                <w:sz w:val="16"/>
                              </w:rPr>
                              <w:tab/>
                            </w:r>
                            <w:r>
                              <w:rPr>
                                <w:b/>
                                <w:spacing w:val="-2"/>
                                <w:sz w:val="16"/>
                              </w:rPr>
                              <w:t>Aplicaciones</w:t>
                            </w:r>
                            <w:r>
                              <w:rPr>
                                <w:b/>
                                <w:sz w:val="16"/>
                              </w:rPr>
                              <w:tab/>
                            </w:r>
                            <w:r>
                              <w:rPr>
                                <w:b/>
                                <w:spacing w:val="-2"/>
                                <w:sz w:val="16"/>
                              </w:rPr>
                              <w:t>Traspasos</w:t>
                            </w:r>
                            <w:r>
                              <w:rPr>
                                <w:b/>
                                <w:sz w:val="16"/>
                              </w:rPr>
                              <w:tab/>
                              <w:t>Saldo</w:t>
                            </w:r>
                            <w:r>
                              <w:rPr>
                                <w:b/>
                                <w:spacing w:val="-4"/>
                                <w:sz w:val="16"/>
                              </w:rPr>
                              <w:t> </w:t>
                            </w:r>
                            <w:r>
                              <w:rPr>
                                <w:b/>
                                <w:spacing w:val="-2"/>
                                <w:sz w:val="16"/>
                              </w:rPr>
                              <w:t>31.12.25</w:t>
                            </w:r>
                          </w:p>
                        </w:tc>
                      </w:tr>
                      <w:tr>
                        <w:trPr>
                          <w:trHeight w:val="242" w:hRule="atLeast"/>
                        </w:trPr>
                        <w:tc>
                          <w:tcPr>
                            <w:tcW w:w="1336" w:type="dxa"/>
                            <w:tcBorders>
                              <w:top w:val="single" w:sz="4" w:space="0" w:color="000000"/>
                            </w:tcBorders>
                          </w:tcPr>
                          <w:p>
                            <w:pPr>
                              <w:pStyle w:val="TableParagraph"/>
                              <w:spacing w:line="183" w:lineRule="exact"/>
                              <w:ind w:right="110"/>
                              <w:jc w:val="right"/>
                              <w:rPr>
                                <w:sz w:val="16"/>
                              </w:rPr>
                            </w:pPr>
                            <w:r>
                              <w:rPr>
                                <w:spacing w:val="-2"/>
                                <w:sz w:val="16"/>
                              </w:rPr>
                              <w:t>140.245,05</w:t>
                            </w:r>
                          </w:p>
                        </w:tc>
                        <w:tc>
                          <w:tcPr>
                            <w:tcW w:w="3035" w:type="dxa"/>
                            <w:gridSpan w:val="2"/>
                            <w:tcBorders>
                              <w:top w:val="single" w:sz="4" w:space="0" w:color="000000"/>
                            </w:tcBorders>
                          </w:tcPr>
                          <w:p>
                            <w:pPr>
                              <w:pStyle w:val="TableParagraph"/>
                              <w:spacing w:line="183" w:lineRule="exact"/>
                              <w:ind w:left="1598"/>
                              <w:rPr>
                                <w:sz w:val="16"/>
                              </w:rPr>
                            </w:pPr>
                            <w:r>
                              <w:rPr>
                                <w:spacing w:val="-2"/>
                                <w:sz w:val="16"/>
                              </w:rPr>
                              <w:t>(3.915,60)</w:t>
                            </w:r>
                          </w:p>
                        </w:tc>
                        <w:tc>
                          <w:tcPr>
                            <w:tcW w:w="1800" w:type="dxa"/>
                            <w:tcBorders>
                              <w:top w:val="single" w:sz="4" w:space="0" w:color="000000"/>
                            </w:tcBorders>
                          </w:tcPr>
                          <w:p>
                            <w:pPr>
                              <w:pStyle w:val="TableParagraph"/>
                              <w:spacing w:line="183" w:lineRule="exact"/>
                              <w:ind w:right="68"/>
                              <w:jc w:val="right"/>
                              <w:rPr>
                                <w:sz w:val="16"/>
                              </w:rPr>
                            </w:pPr>
                            <w:r>
                              <w:rPr>
                                <w:spacing w:val="-2"/>
                                <w:sz w:val="16"/>
                              </w:rPr>
                              <w:t>136.329,45</w:t>
                            </w:r>
                          </w:p>
                        </w:tc>
                      </w:tr>
                      <w:tr>
                        <w:trPr>
                          <w:trHeight w:val="300" w:hRule="atLeast"/>
                        </w:trPr>
                        <w:tc>
                          <w:tcPr>
                            <w:tcW w:w="1336" w:type="dxa"/>
                          </w:tcPr>
                          <w:p>
                            <w:pPr>
                              <w:pStyle w:val="TableParagraph"/>
                              <w:spacing w:before="55"/>
                              <w:ind w:right="106"/>
                              <w:jc w:val="right"/>
                              <w:rPr>
                                <w:sz w:val="16"/>
                              </w:rPr>
                            </w:pPr>
                            <w:r>
                              <w:rPr>
                                <w:spacing w:val="-2"/>
                                <w:sz w:val="16"/>
                              </w:rPr>
                              <w:t>8.959.017,64</w:t>
                            </w:r>
                          </w:p>
                        </w:tc>
                        <w:tc>
                          <w:tcPr>
                            <w:tcW w:w="1166" w:type="dxa"/>
                          </w:tcPr>
                          <w:p>
                            <w:pPr>
                              <w:pStyle w:val="TableParagraph"/>
                              <w:spacing w:before="55"/>
                              <w:ind w:left="4" w:right="13"/>
                              <w:jc w:val="center"/>
                              <w:rPr>
                                <w:sz w:val="16"/>
                              </w:rPr>
                            </w:pPr>
                            <w:r>
                              <w:rPr>
                                <w:spacing w:val="-2"/>
                                <w:sz w:val="16"/>
                              </w:rPr>
                              <w:t>6.816.131,33</w:t>
                            </w:r>
                          </w:p>
                        </w:tc>
                        <w:tc>
                          <w:tcPr>
                            <w:tcW w:w="1869" w:type="dxa"/>
                          </w:tcPr>
                          <w:p>
                            <w:pPr>
                              <w:pStyle w:val="TableParagraph"/>
                              <w:spacing w:before="55"/>
                              <w:ind w:right="703"/>
                              <w:jc w:val="right"/>
                              <w:rPr>
                                <w:sz w:val="16"/>
                              </w:rPr>
                            </w:pPr>
                            <w:r>
                              <w:rPr>
                                <w:spacing w:val="-2"/>
                                <w:sz w:val="16"/>
                              </w:rPr>
                              <w:t>(3.485.644,48)</w:t>
                            </w:r>
                          </w:p>
                        </w:tc>
                        <w:tc>
                          <w:tcPr>
                            <w:tcW w:w="1800" w:type="dxa"/>
                          </w:tcPr>
                          <w:p>
                            <w:pPr>
                              <w:pStyle w:val="TableParagraph"/>
                              <w:spacing w:before="55"/>
                              <w:ind w:right="65"/>
                              <w:jc w:val="right"/>
                              <w:rPr>
                                <w:sz w:val="16"/>
                              </w:rPr>
                            </w:pPr>
                            <w:r>
                              <w:rPr>
                                <w:spacing w:val="-2"/>
                                <w:sz w:val="16"/>
                              </w:rPr>
                              <w:t>12.289.504,49</w:t>
                            </w:r>
                          </w:p>
                        </w:tc>
                      </w:tr>
                      <w:tr>
                        <w:trPr>
                          <w:trHeight w:val="359" w:hRule="atLeast"/>
                        </w:trPr>
                        <w:tc>
                          <w:tcPr>
                            <w:tcW w:w="1336" w:type="dxa"/>
                            <w:tcBorders>
                              <w:bottom w:val="single" w:sz="4" w:space="0" w:color="000000"/>
                            </w:tcBorders>
                          </w:tcPr>
                          <w:p>
                            <w:pPr>
                              <w:pStyle w:val="TableParagraph"/>
                              <w:spacing w:before="55"/>
                              <w:ind w:right="107"/>
                              <w:jc w:val="right"/>
                              <w:rPr>
                                <w:sz w:val="16"/>
                              </w:rPr>
                            </w:pPr>
                            <w:r>
                              <w:rPr>
                                <w:spacing w:val="-2"/>
                                <w:sz w:val="16"/>
                              </w:rPr>
                              <w:t>10.749.933,28</w:t>
                            </w:r>
                          </w:p>
                        </w:tc>
                        <w:tc>
                          <w:tcPr>
                            <w:tcW w:w="1166" w:type="dxa"/>
                            <w:tcBorders>
                              <w:bottom w:val="single" w:sz="4" w:space="0" w:color="000000"/>
                            </w:tcBorders>
                          </w:tcPr>
                          <w:p>
                            <w:pPr>
                              <w:pStyle w:val="TableParagraph"/>
                              <w:rPr>
                                <w:rFonts w:ascii="Times New Roman"/>
                                <w:sz w:val="16"/>
                              </w:rPr>
                            </w:pPr>
                          </w:p>
                        </w:tc>
                        <w:tc>
                          <w:tcPr>
                            <w:tcW w:w="1869" w:type="dxa"/>
                            <w:tcBorders>
                              <w:bottom w:val="single" w:sz="4" w:space="0" w:color="000000"/>
                            </w:tcBorders>
                          </w:tcPr>
                          <w:p>
                            <w:pPr>
                              <w:pStyle w:val="TableParagraph"/>
                              <w:spacing w:before="55"/>
                              <w:ind w:right="703"/>
                              <w:jc w:val="right"/>
                              <w:rPr>
                                <w:sz w:val="16"/>
                              </w:rPr>
                            </w:pPr>
                            <w:r>
                              <w:rPr>
                                <w:spacing w:val="-2"/>
                                <w:sz w:val="16"/>
                              </w:rPr>
                              <w:t>(558.789,60)</w:t>
                            </w:r>
                          </w:p>
                        </w:tc>
                        <w:tc>
                          <w:tcPr>
                            <w:tcW w:w="1800" w:type="dxa"/>
                            <w:tcBorders>
                              <w:bottom w:val="single" w:sz="4" w:space="0" w:color="000000"/>
                            </w:tcBorders>
                          </w:tcPr>
                          <w:p>
                            <w:pPr>
                              <w:pStyle w:val="TableParagraph"/>
                              <w:spacing w:before="55"/>
                              <w:ind w:right="65"/>
                              <w:jc w:val="right"/>
                              <w:rPr>
                                <w:sz w:val="16"/>
                              </w:rPr>
                            </w:pPr>
                            <w:r>
                              <w:rPr>
                                <w:spacing w:val="-2"/>
                                <w:sz w:val="16"/>
                              </w:rPr>
                              <w:t>10.191.143,68</w:t>
                            </w:r>
                          </w:p>
                        </w:tc>
                      </w:tr>
                      <w:tr>
                        <w:trPr>
                          <w:trHeight w:val="299" w:hRule="atLeast"/>
                        </w:trPr>
                        <w:tc>
                          <w:tcPr>
                            <w:tcW w:w="1336" w:type="dxa"/>
                            <w:tcBorders>
                              <w:top w:val="single" w:sz="4" w:space="0" w:color="000000"/>
                              <w:bottom w:val="single" w:sz="4" w:space="0" w:color="000000"/>
                            </w:tcBorders>
                          </w:tcPr>
                          <w:p>
                            <w:pPr>
                              <w:pStyle w:val="TableParagraph"/>
                              <w:spacing w:line="178" w:lineRule="exact"/>
                              <w:ind w:right="107"/>
                              <w:jc w:val="right"/>
                              <w:rPr>
                                <w:b/>
                                <w:sz w:val="16"/>
                              </w:rPr>
                            </w:pPr>
                            <w:r>
                              <w:rPr>
                                <w:b/>
                                <w:spacing w:val="-2"/>
                                <w:sz w:val="16"/>
                              </w:rPr>
                              <w:t>19.849.195,97</w:t>
                            </w:r>
                          </w:p>
                        </w:tc>
                        <w:tc>
                          <w:tcPr>
                            <w:tcW w:w="1166" w:type="dxa"/>
                            <w:tcBorders>
                              <w:top w:val="single" w:sz="4" w:space="0" w:color="000000"/>
                              <w:bottom w:val="single" w:sz="4" w:space="0" w:color="000000"/>
                            </w:tcBorders>
                          </w:tcPr>
                          <w:p>
                            <w:pPr>
                              <w:pStyle w:val="TableParagraph"/>
                              <w:spacing w:line="178" w:lineRule="exact"/>
                              <w:ind w:left="4" w:right="13"/>
                              <w:jc w:val="center"/>
                              <w:rPr>
                                <w:b/>
                                <w:sz w:val="16"/>
                              </w:rPr>
                            </w:pPr>
                            <w:r>
                              <w:rPr>
                                <w:b/>
                                <w:spacing w:val="-2"/>
                                <w:sz w:val="16"/>
                              </w:rPr>
                              <w:t>6.816.131,33</w:t>
                            </w:r>
                          </w:p>
                        </w:tc>
                        <w:tc>
                          <w:tcPr>
                            <w:tcW w:w="1869" w:type="dxa"/>
                            <w:tcBorders>
                              <w:top w:val="single" w:sz="4" w:space="0" w:color="000000"/>
                              <w:bottom w:val="single" w:sz="4" w:space="0" w:color="000000"/>
                            </w:tcBorders>
                          </w:tcPr>
                          <w:p>
                            <w:pPr>
                              <w:pStyle w:val="TableParagraph"/>
                              <w:spacing w:line="178" w:lineRule="exact"/>
                              <w:ind w:right="703"/>
                              <w:jc w:val="right"/>
                              <w:rPr>
                                <w:b/>
                                <w:sz w:val="16"/>
                              </w:rPr>
                            </w:pPr>
                            <w:r>
                              <w:rPr>
                                <w:b/>
                                <w:spacing w:val="-2"/>
                                <w:sz w:val="16"/>
                              </w:rPr>
                              <w:t>(4.048.349,68)</w:t>
                            </w:r>
                          </w:p>
                        </w:tc>
                        <w:tc>
                          <w:tcPr>
                            <w:tcW w:w="1800" w:type="dxa"/>
                            <w:tcBorders>
                              <w:top w:val="single" w:sz="4" w:space="0" w:color="000000"/>
                              <w:bottom w:val="single" w:sz="4" w:space="0" w:color="000000"/>
                            </w:tcBorders>
                          </w:tcPr>
                          <w:p>
                            <w:pPr>
                              <w:pStyle w:val="TableParagraph"/>
                              <w:spacing w:line="178" w:lineRule="exact"/>
                              <w:ind w:right="65"/>
                              <w:jc w:val="right"/>
                              <w:rPr>
                                <w:b/>
                                <w:sz w:val="16"/>
                              </w:rPr>
                            </w:pPr>
                            <w:r>
                              <w:rPr>
                                <w:b/>
                                <w:spacing w:val="-2"/>
                                <w:sz w:val="16"/>
                              </w:rPr>
                              <w:t>22.616.977,62</w:t>
                            </w:r>
                          </w:p>
                        </w:tc>
                      </w:tr>
                    </w:tbl>
                    <w:p>
                      <w:pPr>
                        <w:pStyle w:val="BodyText"/>
                      </w:pPr>
                    </w:p>
                  </w:txbxContent>
                </v:textbox>
                <w10:wrap type="none"/>
              </v:shape>
            </w:pict>
          </mc:Fallback>
        </mc:AlternateContent>
      </w:r>
      <w:r>
        <w:rPr>
          <w:sz w:val="16"/>
        </w:rPr>
        <w:t>Gobierno</w:t>
      </w:r>
      <w:r>
        <w:rPr>
          <w:spacing w:val="-12"/>
          <w:sz w:val="16"/>
        </w:rPr>
        <w:t> </w:t>
      </w:r>
      <w:r>
        <w:rPr>
          <w:sz w:val="16"/>
        </w:rPr>
        <w:t>Canarias Ayto. LPGC Autoridad Única </w:t>
      </w:r>
      <w:r>
        <w:rPr>
          <w:b/>
          <w:spacing w:val="-2"/>
          <w:sz w:val="16"/>
        </w:rPr>
        <w:t>Sumas</w:t>
      </w:r>
    </w:p>
    <w:p>
      <w:pPr>
        <w:pStyle w:val="BodyText"/>
        <w:rPr>
          <w:b/>
          <w:sz w:val="16"/>
        </w:rPr>
      </w:pPr>
    </w:p>
    <w:p>
      <w:pPr>
        <w:pStyle w:val="BodyText"/>
        <w:rPr>
          <w:b/>
          <w:sz w:val="16"/>
        </w:rPr>
      </w:pPr>
    </w:p>
    <w:p>
      <w:pPr>
        <w:pStyle w:val="BodyText"/>
        <w:spacing w:before="72"/>
        <w:rPr>
          <w:b/>
          <w:sz w:val="16"/>
        </w:rPr>
      </w:pPr>
    </w:p>
    <w:p>
      <w:pPr>
        <w:spacing w:line="393" w:lineRule="auto" w:before="0"/>
        <w:ind w:left="1341" w:right="8498" w:firstLine="0"/>
        <w:jc w:val="left"/>
        <w:rPr>
          <w:b/>
          <w:sz w:val="16"/>
        </w:rPr>
      </w:pPr>
      <w:r>
        <w:rPr>
          <w:sz w:val="16"/>
        </w:rPr>
        <w:t>Gobierno</w:t>
      </w:r>
      <w:r>
        <w:rPr>
          <w:spacing w:val="-12"/>
          <w:sz w:val="16"/>
        </w:rPr>
        <w:t> </w:t>
      </w:r>
      <w:r>
        <w:rPr>
          <w:sz w:val="16"/>
        </w:rPr>
        <w:t>Canarias Ayto. LPGC Autoridad Única </w:t>
      </w:r>
      <w:r>
        <w:rPr>
          <w:b/>
          <w:spacing w:val="-2"/>
          <w:sz w:val="16"/>
        </w:rPr>
        <w:t>Sumas</w:t>
      </w:r>
    </w:p>
    <w:p>
      <w:pPr>
        <w:pStyle w:val="ListParagraph"/>
        <w:numPr>
          <w:ilvl w:val="1"/>
          <w:numId w:val="23"/>
        </w:numPr>
        <w:tabs>
          <w:tab w:pos="2472" w:val="left" w:leader="none"/>
        </w:tabs>
        <w:spacing w:line="240" w:lineRule="auto" w:before="186" w:after="0"/>
        <w:ind w:left="1910" w:right="1336" w:firstLine="0"/>
        <w:jc w:val="both"/>
        <w:rPr>
          <w:sz w:val="20"/>
        </w:rPr>
      </w:pPr>
      <w:r>
        <w:rPr>
          <w:sz w:val="20"/>
        </w:rPr>
        <w:t>En el ejercicio 2024 se recibió una subvención para la compra de flota de 4.000.000,00 de euros por parte del Ayuntamiento de Las Palmas de Gran Canaria. En</w:t>
      </w:r>
      <w:r>
        <w:rPr>
          <w:spacing w:val="80"/>
          <w:sz w:val="20"/>
        </w:rPr>
        <w:t> </w:t>
      </w:r>
      <w:r>
        <w:rPr>
          <w:sz w:val="20"/>
        </w:rPr>
        <w:t>el ejercicio 2025 se ha recibido una subvención para la compra de flota de 992.400,00 euros y la subvención correspondiente al proyecto INNOBUSTUR de 5.823.731,33</w:t>
      </w:r>
      <w:r>
        <w:rPr>
          <w:spacing w:val="40"/>
          <w:sz w:val="20"/>
        </w:rPr>
        <w:t> </w:t>
      </w:r>
      <w:r>
        <w:rPr>
          <w:sz w:val="20"/>
        </w:rPr>
        <w:t>euros, enmarcado en los fondos Next Generation, por parte del Ayuntamiento de Las Palmas de Gran Canaria.</w:t>
      </w:r>
    </w:p>
    <w:p>
      <w:pPr>
        <w:pStyle w:val="BodyText"/>
        <w:spacing w:before="1"/>
      </w:pPr>
    </w:p>
    <w:p>
      <w:pPr>
        <w:pStyle w:val="ListParagraph"/>
        <w:numPr>
          <w:ilvl w:val="1"/>
          <w:numId w:val="23"/>
        </w:numPr>
        <w:tabs>
          <w:tab w:pos="2440" w:val="left" w:leader="none"/>
        </w:tabs>
        <w:spacing w:line="240" w:lineRule="auto" w:before="0" w:after="0"/>
        <w:ind w:left="1910" w:right="1336" w:firstLine="0"/>
        <w:jc w:val="both"/>
        <w:rPr>
          <w:sz w:val="20"/>
        </w:rPr>
      </w:pPr>
      <w:r>
        <w:rPr>
          <w:sz w:val="20"/>
        </w:rPr>
        <mc:AlternateContent>
          <mc:Choice Requires="wps">
            <w:drawing>
              <wp:anchor distT="0" distB="0" distL="0" distR="0" allowOverlap="1" layoutInCell="1" locked="0" behindDoc="0" simplePos="0" relativeHeight="15769600">
                <wp:simplePos x="0" y="0"/>
                <wp:positionH relativeFrom="page">
                  <wp:posOffset>6966436</wp:posOffset>
                </wp:positionH>
                <wp:positionV relativeFrom="paragraph">
                  <wp:posOffset>983431</wp:posOffset>
                </wp:positionV>
                <wp:extent cx="263525" cy="327596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60</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7.435516pt;width:20.75pt;height:257.95pt;mso-position-horizontal-relative:page;mso-position-vertical-relative:paragraph;z-index:15769600" type="#_x0000_t202" id="docshape13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60</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Durante el ejercicio 2023 se recibió un pago correspondiente a una parte de la subvención del proyecto europeo SPINE por valor 126.866,25 euros. Tanto en el</w:t>
      </w:r>
      <w:r>
        <w:rPr>
          <w:spacing w:val="40"/>
          <w:sz w:val="20"/>
        </w:rPr>
        <w:t> </w:t>
      </w:r>
      <w:r>
        <w:rPr>
          <w:sz w:val="20"/>
        </w:rPr>
        <w:t>ejercicio 2023 como en el 2024 se recibió una subvención para el desarrollo del Plan de Movilidad Urbana Sostenible de la ciudad por valor de 150.000,00 euros cada año por parte del Cabildo de Gran Canaria, habiéndose incrementado dicha subvención en 300.000,00 euros adicionales en el ejercicio 2025. Asimismo se ha recibido en el</w:t>
      </w:r>
      <w:r>
        <w:rPr>
          <w:spacing w:val="40"/>
          <w:sz w:val="20"/>
        </w:rPr>
        <w:t> </w:t>
      </w:r>
      <w:r>
        <w:rPr>
          <w:sz w:val="20"/>
        </w:rPr>
        <w:t>ejercicio 2025 un anticipo de 18.577,35 euros de una subvención para el fomento de la autosuficiencia en las AAPP, para la ampliación de las placas fotovoltaicas en las instalaciones. Estos importes se han registrado como deudas transformables en subvenciones hasta que se finalice la ejecución de los correspondientes proyectos.</w:t>
      </w:r>
    </w:p>
    <w:p>
      <w:pPr>
        <w:pStyle w:val="ListParagraph"/>
        <w:numPr>
          <w:ilvl w:val="1"/>
          <w:numId w:val="23"/>
        </w:numPr>
        <w:tabs>
          <w:tab w:pos="2456" w:val="left" w:leader="none"/>
        </w:tabs>
        <w:spacing w:line="240" w:lineRule="auto" w:before="230" w:after="0"/>
        <w:ind w:left="1910" w:right="1338" w:firstLine="0"/>
        <w:jc w:val="both"/>
        <w:rPr>
          <w:sz w:val="20"/>
        </w:rPr>
      </w:pPr>
      <w:r>
        <w:rPr>
          <w:sz w:val="20"/>
        </w:rPr>
        <w:t>Las subvenciones para la explotación recibidas en los ejercicios 2024 y 2025 presentan el siguiente desglose:</w:t>
      </w:r>
    </w:p>
    <w:p>
      <w:pPr>
        <w:pStyle w:val="BodyText"/>
        <w:spacing w:before="7"/>
      </w:pPr>
    </w:p>
    <w:tbl>
      <w:tblPr>
        <w:tblW w:w="0" w:type="auto"/>
        <w:jc w:val="left"/>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3"/>
        <w:gridCol w:w="1729"/>
        <w:gridCol w:w="1344"/>
      </w:tblGrid>
      <w:tr>
        <w:trPr>
          <w:trHeight w:val="293" w:hRule="atLeast"/>
        </w:trPr>
        <w:tc>
          <w:tcPr>
            <w:tcW w:w="5553" w:type="dxa"/>
          </w:tcPr>
          <w:p>
            <w:pPr>
              <w:pStyle w:val="TableParagraph"/>
              <w:rPr>
                <w:rFonts w:ascii="Times New Roman"/>
                <w:sz w:val="16"/>
              </w:rPr>
            </w:pPr>
          </w:p>
        </w:tc>
        <w:tc>
          <w:tcPr>
            <w:tcW w:w="1729" w:type="dxa"/>
            <w:tcBorders>
              <w:bottom w:val="single" w:sz="4" w:space="0" w:color="000000"/>
            </w:tcBorders>
          </w:tcPr>
          <w:p>
            <w:pPr>
              <w:pStyle w:val="TableParagraph"/>
              <w:spacing w:before="45"/>
              <w:ind w:right="175"/>
              <w:jc w:val="center"/>
              <w:rPr>
                <w:b/>
                <w:sz w:val="16"/>
              </w:rPr>
            </w:pPr>
            <w:r>
              <w:rPr>
                <w:b/>
                <w:spacing w:val="-4"/>
                <w:sz w:val="16"/>
              </w:rPr>
              <w:t>2025</w:t>
            </w:r>
          </w:p>
        </w:tc>
        <w:tc>
          <w:tcPr>
            <w:tcW w:w="1344" w:type="dxa"/>
            <w:tcBorders>
              <w:bottom w:val="single" w:sz="4" w:space="0" w:color="000000"/>
            </w:tcBorders>
          </w:tcPr>
          <w:p>
            <w:pPr>
              <w:pStyle w:val="TableParagraph"/>
              <w:spacing w:before="45"/>
              <w:ind w:left="402"/>
              <w:rPr>
                <w:b/>
                <w:sz w:val="16"/>
              </w:rPr>
            </w:pPr>
            <w:r>
              <w:rPr>
                <w:b/>
                <w:spacing w:val="-4"/>
                <w:sz w:val="16"/>
              </w:rPr>
              <w:t>2024</w:t>
            </w:r>
          </w:p>
        </w:tc>
      </w:tr>
      <w:tr>
        <w:trPr>
          <w:trHeight w:val="596" w:hRule="atLeast"/>
        </w:trPr>
        <w:tc>
          <w:tcPr>
            <w:tcW w:w="5553" w:type="dxa"/>
          </w:tcPr>
          <w:p>
            <w:pPr>
              <w:pStyle w:val="TableParagraph"/>
              <w:spacing w:before="51"/>
              <w:ind w:left="50"/>
              <w:rPr>
                <w:b/>
                <w:sz w:val="16"/>
              </w:rPr>
            </w:pPr>
            <w:r>
              <w:rPr>
                <w:b/>
                <w:sz w:val="16"/>
              </w:rPr>
              <w:t>Aportaciones</w:t>
            </w:r>
            <w:r>
              <w:rPr>
                <w:b/>
                <w:spacing w:val="-9"/>
                <w:sz w:val="16"/>
              </w:rPr>
              <w:t> </w:t>
            </w:r>
            <w:r>
              <w:rPr>
                <w:b/>
                <w:sz w:val="16"/>
              </w:rPr>
              <w:t>Autoridad</w:t>
            </w:r>
            <w:r>
              <w:rPr>
                <w:b/>
                <w:spacing w:val="-7"/>
                <w:sz w:val="16"/>
              </w:rPr>
              <w:t> </w:t>
            </w:r>
            <w:r>
              <w:rPr>
                <w:b/>
                <w:spacing w:val="-2"/>
                <w:sz w:val="16"/>
              </w:rPr>
              <w:t>Única</w:t>
            </w:r>
          </w:p>
          <w:p>
            <w:pPr>
              <w:pStyle w:val="TableParagraph"/>
              <w:spacing w:before="118"/>
              <w:ind w:left="50"/>
              <w:rPr>
                <w:sz w:val="16"/>
              </w:rPr>
            </w:pPr>
            <w:r>
              <w:rPr>
                <w:sz w:val="16"/>
              </w:rPr>
              <w:t>Subv.</w:t>
            </w:r>
            <w:r>
              <w:rPr>
                <w:spacing w:val="-7"/>
                <w:sz w:val="16"/>
              </w:rPr>
              <w:t> </w:t>
            </w:r>
            <w:r>
              <w:rPr>
                <w:sz w:val="16"/>
              </w:rPr>
              <w:t>déficit</w:t>
            </w:r>
            <w:r>
              <w:rPr>
                <w:spacing w:val="-2"/>
                <w:sz w:val="16"/>
              </w:rPr>
              <w:t> </w:t>
            </w:r>
            <w:r>
              <w:rPr>
                <w:sz w:val="16"/>
              </w:rPr>
              <w:t>Contrato</w:t>
            </w:r>
            <w:r>
              <w:rPr>
                <w:spacing w:val="-7"/>
                <w:sz w:val="16"/>
              </w:rPr>
              <w:t> </w:t>
            </w:r>
            <w:r>
              <w:rPr>
                <w:sz w:val="16"/>
              </w:rPr>
              <w:t>Programa</w:t>
            </w:r>
            <w:r>
              <w:rPr>
                <w:spacing w:val="-7"/>
                <w:sz w:val="16"/>
              </w:rPr>
              <w:t> </w:t>
            </w:r>
            <w:r>
              <w:rPr>
                <w:sz w:val="16"/>
              </w:rPr>
              <w:t>(nota</w:t>
            </w:r>
            <w:r>
              <w:rPr>
                <w:spacing w:val="-2"/>
                <w:sz w:val="16"/>
              </w:rPr>
              <w:t> 16.6)</w:t>
            </w:r>
          </w:p>
        </w:tc>
        <w:tc>
          <w:tcPr>
            <w:tcW w:w="1729" w:type="dxa"/>
            <w:tcBorders>
              <w:top w:val="single" w:sz="4" w:space="0" w:color="000000"/>
            </w:tcBorders>
          </w:tcPr>
          <w:p>
            <w:pPr>
              <w:pStyle w:val="TableParagraph"/>
              <w:spacing w:before="169"/>
              <w:rPr>
                <w:sz w:val="16"/>
              </w:rPr>
            </w:pPr>
          </w:p>
          <w:p>
            <w:pPr>
              <w:pStyle w:val="TableParagraph"/>
              <w:ind w:right="249"/>
              <w:jc w:val="right"/>
              <w:rPr>
                <w:sz w:val="16"/>
              </w:rPr>
            </w:pPr>
            <w:r>
              <w:rPr>
                <w:spacing w:val="-2"/>
                <w:sz w:val="16"/>
              </w:rPr>
              <w:t>5.648.666,24</w:t>
            </w:r>
          </w:p>
        </w:tc>
        <w:tc>
          <w:tcPr>
            <w:tcW w:w="1344" w:type="dxa"/>
            <w:tcBorders>
              <w:top w:val="single" w:sz="4" w:space="0" w:color="000000"/>
            </w:tcBorders>
          </w:tcPr>
          <w:p>
            <w:pPr>
              <w:pStyle w:val="TableParagraph"/>
              <w:spacing w:before="169"/>
              <w:rPr>
                <w:sz w:val="16"/>
              </w:rPr>
            </w:pPr>
          </w:p>
          <w:p>
            <w:pPr>
              <w:pStyle w:val="TableParagraph"/>
              <w:ind w:right="62"/>
              <w:jc w:val="right"/>
              <w:rPr>
                <w:sz w:val="16"/>
              </w:rPr>
            </w:pPr>
            <w:r>
              <w:rPr>
                <w:spacing w:val="-2"/>
                <w:sz w:val="16"/>
              </w:rPr>
              <w:t>5.648.666,24</w:t>
            </w:r>
          </w:p>
        </w:tc>
      </w:tr>
      <w:tr>
        <w:trPr>
          <w:trHeight w:val="606" w:hRule="atLeast"/>
        </w:trPr>
        <w:tc>
          <w:tcPr>
            <w:tcW w:w="5553" w:type="dxa"/>
          </w:tcPr>
          <w:p>
            <w:pPr>
              <w:pStyle w:val="TableParagraph"/>
              <w:spacing w:before="54"/>
              <w:ind w:left="50"/>
              <w:rPr>
                <w:b/>
                <w:sz w:val="16"/>
              </w:rPr>
            </w:pPr>
            <w:r>
              <w:rPr>
                <w:b/>
                <w:sz w:val="16"/>
              </w:rPr>
              <w:t>Aportaciones</w:t>
            </w:r>
            <w:r>
              <w:rPr>
                <w:b/>
                <w:spacing w:val="-7"/>
                <w:sz w:val="16"/>
              </w:rPr>
              <w:t> </w:t>
            </w:r>
            <w:r>
              <w:rPr>
                <w:b/>
                <w:spacing w:val="-2"/>
                <w:sz w:val="16"/>
              </w:rPr>
              <w:t>Ayuntamiento</w:t>
            </w:r>
          </w:p>
          <w:p>
            <w:pPr>
              <w:pStyle w:val="TableParagraph"/>
              <w:spacing w:before="119"/>
              <w:ind w:left="50"/>
              <w:rPr>
                <w:sz w:val="16"/>
              </w:rPr>
            </w:pPr>
            <w:r>
              <w:rPr>
                <w:sz w:val="16"/>
              </w:rPr>
              <w:t>Subv.</w:t>
            </w:r>
            <w:r>
              <w:rPr>
                <w:spacing w:val="-7"/>
                <w:sz w:val="16"/>
              </w:rPr>
              <w:t> </w:t>
            </w:r>
            <w:r>
              <w:rPr>
                <w:sz w:val="16"/>
              </w:rPr>
              <w:t>déficit</w:t>
            </w:r>
            <w:r>
              <w:rPr>
                <w:spacing w:val="-2"/>
                <w:sz w:val="16"/>
              </w:rPr>
              <w:t> </w:t>
            </w:r>
            <w:r>
              <w:rPr>
                <w:sz w:val="16"/>
              </w:rPr>
              <w:t>Contrato</w:t>
            </w:r>
            <w:r>
              <w:rPr>
                <w:spacing w:val="-7"/>
                <w:sz w:val="16"/>
              </w:rPr>
              <w:t> </w:t>
            </w:r>
            <w:r>
              <w:rPr>
                <w:sz w:val="16"/>
              </w:rPr>
              <w:t>Programa</w:t>
            </w:r>
            <w:r>
              <w:rPr>
                <w:spacing w:val="-7"/>
                <w:sz w:val="16"/>
              </w:rPr>
              <w:t> </w:t>
            </w:r>
            <w:r>
              <w:rPr>
                <w:sz w:val="16"/>
              </w:rPr>
              <w:t>(nota</w:t>
            </w:r>
            <w:r>
              <w:rPr>
                <w:spacing w:val="-2"/>
                <w:sz w:val="16"/>
              </w:rPr>
              <w:t> 16.6)</w:t>
            </w:r>
          </w:p>
        </w:tc>
        <w:tc>
          <w:tcPr>
            <w:tcW w:w="1729" w:type="dxa"/>
          </w:tcPr>
          <w:p>
            <w:pPr>
              <w:pStyle w:val="TableParagraph"/>
              <w:spacing w:before="172"/>
              <w:rPr>
                <w:sz w:val="16"/>
              </w:rPr>
            </w:pPr>
          </w:p>
          <w:p>
            <w:pPr>
              <w:pStyle w:val="TableParagraph"/>
              <w:spacing w:before="1"/>
              <w:ind w:right="249"/>
              <w:jc w:val="right"/>
              <w:rPr>
                <w:sz w:val="16"/>
              </w:rPr>
            </w:pPr>
            <w:r>
              <w:rPr>
                <w:spacing w:val="-2"/>
                <w:sz w:val="16"/>
              </w:rPr>
              <w:t>3.050.688,76</w:t>
            </w:r>
          </w:p>
        </w:tc>
        <w:tc>
          <w:tcPr>
            <w:tcW w:w="1344" w:type="dxa"/>
          </w:tcPr>
          <w:p>
            <w:pPr>
              <w:pStyle w:val="TableParagraph"/>
              <w:spacing w:before="172"/>
              <w:rPr>
                <w:sz w:val="16"/>
              </w:rPr>
            </w:pPr>
          </w:p>
          <w:p>
            <w:pPr>
              <w:pStyle w:val="TableParagraph"/>
              <w:spacing w:before="1"/>
              <w:ind w:right="62"/>
              <w:jc w:val="right"/>
              <w:rPr>
                <w:sz w:val="16"/>
              </w:rPr>
            </w:pPr>
            <w:r>
              <w:rPr>
                <w:spacing w:val="-2"/>
                <w:sz w:val="16"/>
              </w:rPr>
              <w:t>3.050.688,76</w:t>
            </w:r>
          </w:p>
        </w:tc>
      </w:tr>
      <w:tr>
        <w:trPr>
          <w:trHeight w:val="310" w:hRule="atLeast"/>
        </w:trPr>
        <w:tc>
          <w:tcPr>
            <w:tcW w:w="5553" w:type="dxa"/>
          </w:tcPr>
          <w:p>
            <w:pPr>
              <w:pStyle w:val="TableParagraph"/>
              <w:spacing w:before="60"/>
              <w:ind w:left="50"/>
              <w:rPr>
                <w:sz w:val="16"/>
              </w:rPr>
            </w:pPr>
            <w:r>
              <w:rPr>
                <w:sz w:val="16"/>
              </w:rPr>
              <w:t>Aportación</w:t>
            </w:r>
            <w:r>
              <w:rPr>
                <w:spacing w:val="-7"/>
                <w:sz w:val="16"/>
              </w:rPr>
              <w:t> </w:t>
            </w:r>
            <w:r>
              <w:rPr>
                <w:sz w:val="16"/>
              </w:rPr>
              <w:t>al</w:t>
            </w:r>
            <w:r>
              <w:rPr>
                <w:spacing w:val="-1"/>
                <w:sz w:val="16"/>
              </w:rPr>
              <w:t> </w:t>
            </w:r>
            <w:r>
              <w:rPr>
                <w:sz w:val="16"/>
              </w:rPr>
              <w:t>déficit</w:t>
            </w:r>
            <w:r>
              <w:rPr>
                <w:spacing w:val="-5"/>
                <w:sz w:val="16"/>
              </w:rPr>
              <w:t> </w:t>
            </w:r>
            <w:r>
              <w:rPr>
                <w:sz w:val="16"/>
              </w:rPr>
              <w:t>del</w:t>
            </w:r>
            <w:r>
              <w:rPr>
                <w:spacing w:val="-2"/>
                <w:sz w:val="16"/>
              </w:rPr>
              <w:t> presupuesto</w:t>
            </w:r>
          </w:p>
        </w:tc>
        <w:tc>
          <w:tcPr>
            <w:tcW w:w="1729" w:type="dxa"/>
          </w:tcPr>
          <w:p>
            <w:pPr>
              <w:pStyle w:val="TableParagraph"/>
              <w:spacing w:before="60"/>
              <w:ind w:right="250"/>
              <w:jc w:val="right"/>
              <w:rPr>
                <w:sz w:val="16"/>
              </w:rPr>
            </w:pPr>
            <w:r>
              <w:rPr>
                <w:spacing w:val="-2"/>
                <w:sz w:val="16"/>
              </w:rPr>
              <w:t>16.878.000,00</w:t>
            </w:r>
          </w:p>
        </w:tc>
        <w:tc>
          <w:tcPr>
            <w:tcW w:w="1344" w:type="dxa"/>
          </w:tcPr>
          <w:p>
            <w:pPr>
              <w:pStyle w:val="TableParagraph"/>
              <w:spacing w:before="60"/>
              <w:ind w:right="63"/>
              <w:jc w:val="right"/>
              <w:rPr>
                <w:sz w:val="16"/>
              </w:rPr>
            </w:pPr>
            <w:r>
              <w:rPr>
                <w:spacing w:val="-2"/>
                <w:sz w:val="16"/>
              </w:rPr>
              <w:t>16.878.000,00</w:t>
            </w:r>
          </w:p>
        </w:tc>
      </w:tr>
      <w:tr>
        <w:trPr>
          <w:trHeight w:val="314" w:hRule="atLeast"/>
        </w:trPr>
        <w:tc>
          <w:tcPr>
            <w:tcW w:w="5553" w:type="dxa"/>
          </w:tcPr>
          <w:p>
            <w:pPr>
              <w:pStyle w:val="TableParagraph"/>
              <w:spacing w:before="61"/>
              <w:ind w:left="50"/>
              <w:rPr>
                <w:b/>
                <w:sz w:val="16"/>
              </w:rPr>
            </w:pPr>
            <w:r>
              <w:rPr>
                <w:b/>
                <w:spacing w:val="-2"/>
                <w:sz w:val="16"/>
              </w:rPr>
              <w:t>Aportaciones</w:t>
            </w:r>
            <w:r>
              <w:rPr>
                <w:b/>
                <w:spacing w:val="12"/>
                <w:sz w:val="16"/>
              </w:rPr>
              <w:t> </w:t>
            </w:r>
            <w:r>
              <w:rPr>
                <w:b/>
                <w:spacing w:val="-2"/>
                <w:sz w:val="16"/>
              </w:rPr>
              <w:t>MITMA</w:t>
            </w:r>
          </w:p>
        </w:tc>
        <w:tc>
          <w:tcPr>
            <w:tcW w:w="1729" w:type="dxa"/>
          </w:tcPr>
          <w:p>
            <w:pPr>
              <w:pStyle w:val="TableParagraph"/>
              <w:rPr>
                <w:rFonts w:ascii="Times New Roman"/>
                <w:sz w:val="16"/>
              </w:rPr>
            </w:pPr>
          </w:p>
        </w:tc>
        <w:tc>
          <w:tcPr>
            <w:tcW w:w="1344" w:type="dxa"/>
          </w:tcPr>
          <w:p>
            <w:pPr>
              <w:pStyle w:val="TableParagraph"/>
              <w:rPr>
                <w:rFonts w:ascii="Times New Roman"/>
                <w:sz w:val="16"/>
              </w:rPr>
            </w:pPr>
          </w:p>
        </w:tc>
      </w:tr>
      <w:tr>
        <w:trPr>
          <w:trHeight w:val="314" w:hRule="atLeast"/>
        </w:trPr>
        <w:tc>
          <w:tcPr>
            <w:tcW w:w="5553" w:type="dxa"/>
          </w:tcPr>
          <w:p>
            <w:pPr>
              <w:pStyle w:val="TableParagraph"/>
              <w:spacing w:before="64"/>
              <w:ind w:left="50"/>
              <w:rPr>
                <w:sz w:val="16"/>
              </w:rPr>
            </w:pPr>
            <w:r>
              <w:rPr>
                <w:sz w:val="16"/>
              </w:rPr>
              <w:t>Subv.</w:t>
            </w:r>
            <w:r>
              <w:rPr>
                <w:spacing w:val="-5"/>
                <w:sz w:val="16"/>
              </w:rPr>
              <w:t> </w:t>
            </w:r>
            <w:r>
              <w:rPr>
                <w:sz w:val="16"/>
              </w:rPr>
              <w:t>Estatal</w:t>
            </w:r>
            <w:r>
              <w:rPr>
                <w:spacing w:val="-5"/>
                <w:sz w:val="16"/>
              </w:rPr>
              <w:t> </w:t>
            </w:r>
            <w:r>
              <w:rPr>
                <w:sz w:val="16"/>
              </w:rPr>
              <w:t>Ayuda</w:t>
            </w:r>
            <w:r>
              <w:rPr>
                <w:spacing w:val="-3"/>
                <w:sz w:val="16"/>
              </w:rPr>
              <w:t> </w:t>
            </w:r>
            <w:r>
              <w:rPr>
                <w:sz w:val="16"/>
              </w:rPr>
              <w:t>al</w:t>
            </w:r>
            <w:r>
              <w:rPr>
                <w:spacing w:val="-4"/>
                <w:sz w:val="16"/>
              </w:rPr>
              <w:t> </w:t>
            </w:r>
            <w:r>
              <w:rPr>
                <w:sz w:val="16"/>
              </w:rPr>
              <w:t>Transporte</w:t>
            </w:r>
            <w:r>
              <w:rPr>
                <w:spacing w:val="-6"/>
                <w:sz w:val="16"/>
              </w:rPr>
              <w:t> </w:t>
            </w:r>
            <w:r>
              <w:rPr>
                <w:sz w:val="16"/>
              </w:rPr>
              <w:t>RDL</w:t>
            </w:r>
            <w:r>
              <w:rPr>
                <w:spacing w:val="-2"/>
                <w:sz w:val="16"/>
              </w:rPr>
              <w:t> 5/2023</w:t>
            </w:r>
          </w:p>
        </w:tc>
        <w:tc>
          <w:tcPr>
            <w:tcW w:w="1729" w:type="dxa"/>
          </w:tcPr>
          <w:p>
            <w:pPr>
              <w:pStyle w:val="TableParagraph"/>
              <w:spacing w:before="64"/>
              <w:ind w:right="252"/>
              <w:jc w:val="right"/>
              <w:rPr>
                <w:sz w:val="16"/>
              </w:rPr>
            </w:pPr>
            <w:r>
              <w:rPr>
                <w:spacing w:val="-4"/>
                <w:sz w:val="16"/>
              </w:rPr>
              <w:t>0,00</w:t>
            </w:r>
          </w:p>
        </w:tc>
        <w:tc>
          <w:tcPr>
            <w:tcW w:w="1344" w:type="dxa"/>
          </w:tcPr>
          <w:p>
            <w:pPr>
              <w:pStyle w:val="TableParagraph"/>
              <w:spacing w:before="64"/>
              <w:ind w:right="66"/>
              <w:jc w:val="right"/>
              <w:rPr>
                <w:sz w:val="16"/>
              </w:rPr>
            </w:pPr>
            <w:r>
              <w:rPr>
                <w:spacing w:val="-2"/>
                <w:sz w:val="16"/>
              </w:rPr>
              <w:t>189.750,00</w:t>
            </w:r>
          </w:p>
        </w:tc>
      </w:tr>
      <w:tr>
        <w:trPr>
          <w:trHeight w:val="315" w:hRule="atLeast"/>
        </w:trPr>
        <w:tc>
          <w:tcPr>
            <w:tcW w:w="5553" w:type="dxa"/>
          </w:tcPr>
          <w:p>
            <w:pPr>
              <w:pStyle w:val="TableParagraph"/>
              <w:spacing w:before="61"/>
              <w:ind w:left="50"/>
              <w:rPr>
                <w:b/>
                <w:sz w:val="16"/>
              </w:rPr>
            </w:pPr>
            <w:r>
              <w:rPr>
                <w:b/>
                <w:sz w:val="16"/>
              </w:rPr>
              <w:t>Otras</w:t>
            </w:r>
            <w:r>
              <w:rPr>
                <w:b/>
                <w:spacing w:val="-3"/>
                <w:sz w:val="16"/>
              </w:rPr>
              <w:t> </w:t>
            </w:r>
            <w:r>
              <w:rPr>
                <w:b/>
                <w:sz w:val="16"/>
              </w:rPr>
              <w:t>Subvenciones</w:t>
            </w:r>
            <w:r>
              <w:rPr>
                <w:b/>
                <w:spacing w:val="-5"/>
                <w:sz w:val="16"/>
              </w:rPr>
              <w:t> </w:t>
            </w:r>
            <w:r>
              <w:rPr>
                <w:b/>
                <w:sz w:val="16"/>
              </w:rPr>
              <w:t>de</w:t>
            </w:r>
            <w:r>
              <w:rPr>
                <w:b/>
                <w:spacing w:val="-4"/>
                <w:sz w:val="16"/>
              </w:rPr>
              <w:t> </w:t>
            </w:r>
            <w:r>
              <w:rPr>
                <w:b/>
                <w:spacing w:val="-2"/>
                <w:sz w:val="16"/>
              </w:rPr>
              <w:t>Explotación</w:t>
            </w:r>
          </w:p>
        </w:tc>
        <w:tc>
          <w:tcPr>
            <w:tcW w:w="1729" w:type="dxa"/>
          </w:tcPr>
          <w:p>
            <w:pPr>
              <w:pStyle w:val="TableParagraph"/>
              <w:rPr>
                <w:rFonts w:ascii="Times New Roman"/>
                <w:sz w:val="16"/>
              </w:rPr>
            </w:pPr>
          </w:p>
        </w:tc>
        <w:tc>
          <w:tcPr>
            <w:tcW w:w="1344" w:type="dxa"/>
          </w:tcPr>
          <w:p>
            <w:pPr>
              <w:pStyle w:val="TableParagraph"/>
              <w:rPr>
                <w:rFonts w:ascii="Times New Roman"/>
                <w:sz w:val="16"/>
              </w:rPr>
            </w:pPr>
          </w:p>
        </w:tc>
      </w:tr>
      <w:tr>
        <w:trPr>
          <w:trHeight w:val="315" w:hRule="atLeast"/>
        </w:trPr>
        <w:tc>
          <w:tcPr>
            <w:tcW w:w="5553" w:type="dxa"/>
          </w:tcPr>
          <w:p>
            <w:pPr>
              <w:pStyle w:val="TableParagraph"/>
              <w:spacing w:before="65"/>
              <w:ind w:left="50"/>
              <w:rPr>
                <w:sz w:val="16"/>
              </w:rPr>
            </w:pPr>
            <w:r>
              <w:rPr>
                <w:sz w:val="16"/>
              </w:rPr>
              <w:t>Subvención</w:t>
            </w:r>
            <w:r>
              <w:rPr>
                <w:spacing w:val="-6"/>
                <w:sz w:val="16"/>
              </w:rPr>
              <w:t> </w:t>
            </w:r>
            <w:r>
              <w:rPr>
                <w:sz w:val="16"/>
              </w:rPr>
              <w:t>Formación</w:t>
            </w:r>
            <w:r>
              <w:rPr>
                <w:spacing w:val="-9"/>
                <w:sz w:val="16"/>
              </w:rPr>
              <w:t> </w:t>
            </w:r>
            <w:r>
              <w:rPr>
                <w:spacing w:val="-2"/>
                <w:sz w:val="16"/>
              </w:rPr>
              <w:t>Bonificada</w:t>
            </w:r>
          </w:p>
        </w:tc>
        <w:tc>
          <w:tcPr>
            <w:tcW w:w="1729" w:type="dxa"/>
          </w:tcPr>
          <w:p>
            <w:pPr>
              <w:pStyle w:val="TableParagraph"/>
              <w:spacing w:before="65"/>
              <w:ind w:right="252"/>
              <w:jc w:val="right"/>
              <w:rPr>
                <w:sz w:val="16"/>
              </w:rPr>
            </w:pPr>
            <w:r>
              <w:rPr>
                <w:spacing w:val="-2"/>
                <w:sz w:val="16"/>
              </w:rPr>
              <w:t>48.380,58</w:t>
            </w:r>
          </w:p>
        </w:tc>
        <w:tc>
          <w:tcPr>
            <w:tcW w:w="1344" w:type="dxa"/>
          </w:tcPr>
          <w:p>
            <w:pPr>
              <w:pStyle w:val="TableParagraph"/>
              <w:spacing w:before="65"/>
              <w:ind w:right="65"/>
              <w:jc w:val="right"/>
              <w:rPr>
                <w:sz w:val="16"/>
              </w:rPr>
            </w:pPr>
            <w:r>
              <w:rPr>
                <w:spacing w:val="-2"/>
                <w:sz w:val="16"/>
              </w:rPr>
              <w:t>34.688,21</w:t>
            </w:r>
          </w:p>
        </w:tc>
      </w:tr>
      <w:tr>
        <w:trPr>
          <w:trHeight w:val="317" w:hRule="atLeast"/>
        </w:trPr>
        <w:tc>
          <w:tcPr>
            <w:tcW w:w="5553" w:type="dxa"/>
          </w:tcPr>
          <w:p>
            <w:pPr>
              <w:pStyle w:val="TableParagraph"/>
              <w:spacing w:before="61"/>
              <w:ind w:left="50"/>
              <w:rPr>
                <w:b/>
                <w:sz w:val="16"/>
              </w:rPr>
            </w:pPr>
            <w:r>
              <w:rPr>
                <w:b/>
                <w:spacing w:val="-2"/>
                <w:sz w:val="16"/>
              </w:rPr>
              <w:t>Totales</w:t>
            </w:r>
          </w:p>
        </w:tc>
        <w:tc>
          <w:tcPr>
            <w:tcW w:w="1729" w:type="dxa"/>
            <w:tcBorders>
              <w:bottom w:val="single" w:sz="4" w:space="0" w:color="000000"/>
            </w:tcBorders>
          </w:tcPr>
          <w:p>
            <w:pPr>
              <w:pStyle w:val="TableParagraph"/>
              <w:spacing w:before="61"/>
              <w:ind w:right="250"/>
              <w:jc w:val="right"/>
              <w:rPr>
                <w:b/>
                <w:sz w:val="16"/>
              </w:rPr>
            </w:pPr>
            <w:r>
              <w:rPr>
                <w:b/>
                <w:spacing w:val="-2"/>
                <w:sz w:val="16"/>
              </w:rPr>
              <w:t>25.625.735,58</w:t>
            </w:r>
          </w:p>
        </w:tc>
        <w:tc>
          <w:tcPr>
            <w:tcW w:w="1344" w:type="dxa"/>
            <w:tcBorders>
              <w:bottom w:val="single" w:sz="4" w:space="0" w:color="000000"/>
            </w:tcBorders>
          </w:tcPr>
          <w:p>
            <w:pPr>
              <w:pStyle w:val="TableParagraph"/>
              <w:spacing w:before="61"/>
              <w:ind w:right="63"/>
              <w:jc w:val="right"/>
              <w:rPr>
                <w:b/>
                <w:sz w:val="16"/>
              </w:rPr>
            </w:pPr>
            <w:r>
              <w:rPr>
                <w:b/>
                <w:spacing w:val="-2"/>
                <w:sz w:val="16"/>
              </w:rPr>
              <w:t>25.801.793,21</w:t>
            </w:r>
          </w:p>
        </w:tc>
      </w:tr>
    </w:tbl>
    <w:p>
      <w:pPr>
        <w:pStyle w:val="TableParagraph"/>
        <w:spacing w:after="0"/>
        <w:jc w:val="right"/>
        <w:rPr>
          <w:b/>
          <w:sz w:val="16"/>
        </w:rPr>
        <w:sectPr>
          <w:pgSz w:w="11910" w:h="16840"/>
          <w:pgMar w:header="286" w:footer="1060" w:top="1920" w:bottom="1260" w:left="360" w:right="360"/>
        </w:sectPr>
      </w:pPr>
    </w:p>
    <w:p>
      <w:pPr>
        <w:pStyle w:val="BodyText"/>
      </w:pPr>
    </w:p>
    <w:p>
      <w:pPr>
        <w:pStyle w:val="BodyText"/>
      </w:pPr>
    </w:p>
    <w:p>
      <w:pPr>
        <w:pStyle w:val="BodyText"/>
        <w:spacing w:before="200"/>
      </w:pPr>
    </w:p>
    <w:p>
      <w:pPr>
        <w:pStyle w:val="BodyText"/>
        <w:ind w:left="2248" w:right="1335"/>
        <w:jc w:val="both"/>
      </w:pPr>
      <w:r>
        <w:rPr/>
        <w:t>A la fecha de formulación del ejercicio 2024, había subvenciones a cuenta del presupuesto 2021 por importe de 150.000,00 euros, concedidos por el Excmo. Ayuntamiento de Las Palmas de Gran Canaria y que habían sido reconocidos por el mismo</w:t>
      </w:r>
      <w:r>
        <w:rPr>
          <w:spacing w:val="-4"/>
        </w:rPr>
        <w:t> </w:t>
      </w:r>
      <w:r>
        <w:rPr/>
        <w:t>como</w:t>
      </w:r>
      <w:r>
        <w:rPr>
          <w:spacing w:val="-4"/>
        </w:rPr>
        <w:t> </w:t>
      </w:r>
      <w:r>
        <w:rPr/>
        <w:t>pendientes de aplicar</w:t>
      </w:r>
      <w:r>
        <w:rPr>
          <w:spacing w:val="-1"/>
        </w:rPr>
        <w:t> </w:t>
      </w:r>
      <w:r>
        <w:rPr/>
        <w:t>a</w:t>
      </w:r>
      <w:r>
        <w:rPr>
          <w:spacing w:val="-4"/>
        </w:rPr>
        <w:t> </w:t>
      </w:r>
      <w:r>
        <w:rPr/>
        <w:t>presupuesto.</w:t>
      </w:r>
      <w:r>
        <w:rPr>
          <w:spacing w:val="-2"/>
        </w:rPr>
        <w:t> </w:t>
      </w:r>
      <w:r>
        <w:rPr/>
        <w:t>Dicha</w:t>
      </w:r>
      <w:r>
        <w:rPr>
          <w:spacing w:val="-2"/>
        </w:rPr>
        <w:t> </w:t>
      </w:r>
      <w:r>
        <w:rPr/>
        <w:t>subvención</w:t>
      </w:r>
      <w:r>
        <w:rPr>
          <w:spacing w:val="-2"/>
        </w:rPr>
        <w:t> </w:t>
      </w:r>
      <w:r>
        <w:rPr/>
        <w:t>ha</w:t>
      </w:r>
      <w:r>
        <w:rPr>
          <w:spacing w:val="-4"/>
        </w:rPr>
        <w:t> </w:t>
      </w:r>
      <w:r>
        <w:rPr/>
        <w:t>sido</w:t>
      </w:r>
      <w:r>
        <w:rPr>
          <w:spacing w:val="-2"/>
        </w:rPr>
        <w:t> </w:t>
      </w:r>
      <w:r>
        <w:rPr/>
        <w:t>cobrada en el ejercicio 2025.</w:t>
      </w:r>
    </w:p>
    <w:p>
      <w:pPr>
        <w:pStyle w:val="BodyText"/>
      </w:pPr>
    </w:p>
    <w:p>
      <w:pPr>
        <w:pStyle w:val="ListParagraph"/>
        <w:numPr>
          <w:ilvl w:val="1"/>
          <w:numId w:val="23"/>
        </w:numPr>
        <w:tabs>
          <w:tab w:pos="2454" w:val="left" w:leader="none"/>
        </w:tabs>
        <w:spacing w:line="240" w:lineRule="auto" w:before="0" w:after="0"/>
        <w:ind w:left="1910" w:right="1334" w:firstLine="0"/>
        <w:jc w:val="both"/>
        <w:rPr>
          <w:sz w:val="20"/>
        </w:rPr>
      </w:pPr>
      <w:r>
        <w:rPr>
          <w:sz w:val="20"/>
        </w:rPr>
        <w:t>Durante los ejercicios 2024 y 2025 se han recibido de la Autoridad Única del Transporte de Gran Canaria fuera del Contrato Programa, a través del Convenio de Bonos que se firma anualmente, unas subvenciones al viajero por importe de 28.131.095,10 y 35.535.997,20 euros respectivamente, que han sido registradas como mayor importe de la cifra de ventas.</w:t>
      </w:r>
    </w:p>
    <w:p>
      <w:pPr>
        <w:pStyle w:val="BodyText"/>
      </w:pPr>
    </w:p>
    <w:p>
      <w:pPr>
        <w:pStyle w:val="ListParagraph"/>
        <w:numPr>
          <w:ilvl w:val="1"/>
          <w:numId w:val="23"/>
        </w:numPr>
        <w:tabs>
          <w:tab w:pos="2476" w:val="left" w:leader="none"/>
        </w:tabs>
        <w:spacing w:line="240" w:lineRule="auto" w:before="0" w:after="0"/>
        <w:ind w:left="1910" w:right="1336" w:firstLine="0"/>
        <w:jc w:val="both"/>
        <w:rPr>
          <w:sz w:val="20"/>
        </w:rPr>
      </w:pPr>
      <w:r>
        <w:rPr>
          <w:sz w:val="20"/>
        </w:rPr>
        <w:t>A la fecha de formulación de las presentes cuentas anuales se encuentran pendiente de formalizar el Contrato Programa 2017-2021 y los posteriores Contrato Programa, ya que se está negociando por parte de las Administraciones Públicas Canarias. Las cantidades transferidas a la Sociedad por parte de la Autoridad Única del Transporte, que se consideran entregas a cuenta, se han registrado de la siguiente </w:t>
      </w:r>
      <w:r>
        <w:rPr>
          <w:spacing w:val="-2"/>
          <w:sz w:val="20"/>
        </w:rPr>
        <w:t>manera:</w:t>
      </w:r>
    </w:p>
    <w:p>
      <w:pPr>
        <w:pStyle w:val="BodyText"/>
        <w:spacing w:before="128"/>
        <w:rPr>
          <w:sz w:val="18"/>
        </w:rPr>
      </w:pPr>
    </w:p>
    <w:p>
      <w:pPr>
        <w:tabs>
          <w:tab w:pos="6595" w:val="left" w:leader="none"/>
          <w:tab w:pos="8668" w:val="left" w:leader="none"/>
          <w:tab w:pos="9916" w:val="left" w:leader="none"/>
        </w:tabs>
        <w:spacing w:before="1"/>
        <w:ind w:left="5762" w:right="0" w:firstLine="0"/>
        <w:jc w:val="left"/>
        <w:rPr>
          <w:b/>
          <w:sz w:val="18"/>
        </w:rPr>
      </w:pPr>
      <w:r>
        <w:rPr>
          <w:rFonts w:ascii="Times New Roman"/>
          <w:sz w:val="18"/>
          <w:u w:val="single"/>
        </w:rPr>
        <w:tab/>
      </w:r>
      <w:r>
        <w:rPr>
          <w:b/>
          <w:spacing w:val="-4"/>
          <w:sz w:val="18"/>
          <w:u w:val="single"/>
        </w:rPr>
        <w:t>2025</w:t>
      </w:r>
      <w:r>
        <w:rPr>
          <w:b/>
          <w:sz w:val="18"/>
          <w:u w:val="single"/>
        </w:rPr>
        <w:tab/>
      </w:r>
      <w:r>
        <w:rPr>
          <w:b/>
          <w:spacing w:val="-4"/>
          <w:sz w:val="18"/>
          <w:u w:val="single"/>
        </w:rPr>
        <w:t>2024</w:t>
      </w:r>
      <w:r>
        <w:rPr>
          <w:b/>
          <w:sz w:val="18"/>
          <w:u w:val="single"/>
        </w:rPr>
        <w:tab/>
      </w:r>
    </w:p>
    <w:p>
      <w:pPr>
        <w:spacing w:before="117"/>
        <w:ind w:left="1341" w:right="0" w:firstLine="0"/>
        <w:jc w:val="left"/>
        <w:rPr>
          <w:sz w:val="18"/>
        </w:rPr>
      </w:pPr>
      <w:r>
        <w:rPr>
          <w:sz w:val="18"/>
        </w:rPr>
        <w:t>Subvención de </w:t>
      </w:r>
      <w:r>
        <w:rPr>
          <w:spacing w:val="-2"/>
          <w:sz w:val="18"/>
        </w:rPr>
        <w:t>capital</w:t>
      </w:r>
    </w:p>
    <w:p>
      <w:pPr>
        <w:tabs>
          <w:tab w:pos="5762" w:val="left" w:leader="none"/>
          <w:tab w:pos="6268" w:val="left" w:leader="none"/>
          <w:tab w:pos="8344" w:val="left" w:leader="none"/>
          <w:tab w:pos="9916" w:val="left" w:leader="none"/>
        </w:tabs>
        <w:spacing w:line="374" w:lineRule="auto" w:before="93"/>
        <w:ind w:left="1341" w:right="1267" w:firstLine="0"/>
        <w:jc w:val="left"/>
        <w:rPr>
          <w:b/>
          <w:sz w:val="18"/>
        </w:rPr>
      </w:pPr>
      <w:r>
        <w:rPr>
          <w:b/>
          <w:sz w:val="18"/>
        </w:rPr>
        <mc:AlternateContent>
          <mc:Choice Requires="wps">
            <w:drawing>
              <wp:anchor distT="0" distB="0" distL="0" distR="0" allowOverlap="1" layoutInCell="1" locked="0" behindDoc="1" simplePos="0" relativeHeight="476739072">
                <wp:simplePos x="0" y="0"/>
                <wp:positionH relativeFrom="page">
                  <wp:posOffset>3878580</wp:posOffset>
                </wp:positionH>
                <wp:positionV relativeFrom="paragraph">
                  <wp:posOffset>605195</wp:posOffset>
                </wp:positionV>
                <wp:extent cx="2647315" cy="1270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647315" cy="12700"/>
                        </a:xfrm>
                        <a:custGeom>
                          <a:avLst/>
                          <a:gdLst/>
                          <a:ahLst/>
                          <a:cxnLst/>
                          <a:rect l="l" t="t" r="r" b="b"/>
                          <a:pathLst>
                            <a:path w="2647315" h="12700">
                              <a:moveTo>
                                <a:pt x="2647188" y="0"/>
                              </a:moveTo>
                              <a:lnTo>
                                <a:pt x="1324356" y="0"/>
                              </a:lnTo>
                              <a:lnTo>
                                <a:pt x="0" y="0"/>
                              </a:lnTo>
                              <a:lnTo>
                                <a:pt x="0" y="12192"/>
                              </a:lnTo>
                              <a:lnTo>
                                <a:pt x="1324356" y="12192"/>
                              </a:lnTo>
                              <a:lnTo>
                                <a:pt x="2647188" y="12192"/>
                              </a:lnTo>
                              <a:lnTo>
                                <a:pt x="26471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5.400024pt;margin-top:47.653168pt;width:208.45pt;height:1pt;mso-position-horizontal-relative:page;mso-position-vertical-relative:paragraph;z-index:-26577408" id="docshape133" coordorigin="6108,953" coordsize="4169,20" path="m10277,953l8194,953,6108,953,6108,972,8194,972,10277,972,10277,953xe" filled="true" fillcolor="#000000" stroked="false">
                <v:path arrowok="t"/>
                <v:fill type="solid"/>
                <w10:wrap type="none"/>
              </v:shape>
            </w:pict>
          </mc:Fallback>
        </mc:AlternateContent>
      </w:r>
      <w:r>
        <w:rPr>
          <w:sz w:val="18"/>
        </w:rPr>
        <w:t>Subvención al déficit</w:t>
        <w:tab/>
        <w:tab/>
      </w:r>
      <w:r>
        <w:rPr>
          <w:spacing w:val="-2"/>
          <w:sz w:val="18"/>
        </w:rPr>
        <w:t>5.648.666,24</w:t>
      </w:r>
      <w:r>
        <w:rPr>
          <w:sz w:val="18"/>
        </w:rPr>
        <w:tab/>
      </w:r>
      <w:r>
        <w:rPr>
          <w:spacing w:val="-2"/>
          <w:sz w:val="18"/>
        </w:rPr>
        <w:t>5.648.666,24 </w:t>
      </w:r>
      <w:r>
        <w:rPr>
          <w:sz w:val="18"/>
        </w:rPr>
        <w:t>Subvención al déficit (Ayuntamiento)</w:t>
        <w:tab/>
      </w:r>
      <w:r>
        <w:rPr>
          <w:rFonts w:ascii="Times New Roman" w:hAnsi="Times New Roman"/>
          <w:sz w:val="18"/>
          <w:u w:val="single"/>
        </w:rPr>
        <w:tab/>
      </w:r>
      <w:r>
        <w:rPr>
          <w:spacing w:val="-2"/>
          <w:sz w:val="18"/>
          <w:u w:val="single"/>
        </w:rPr>
        <w:t>3.050.688,76</w:t>
      </w:r>
      <w:r>
        <w:rPr>
          <w:sz w:val="18"/>
          <w:u w:val="single"/>
        </w:rPr>
        <w:tab/>
      </w:r>
      <w:r>
        <w:rPr>
          <w:spacing w:val="-2"/>
          <w:sz w:val="18"/>
          <w:u w:val="single"/>
        </w:rPr>
        <w:t>3.050.688,76</w:t>
      </w:r>
      <w:r>
        <w:rPr>
          <w:sz w:val="18"/>
          <w:u w:val="single"/>
        </w:rPr>
        <w:tab/>
      </w:r>
      <w:r>
        <w:rPr>
          <w:sz w:val="18"/>
          <w:u w:val="none"/>
        </w:rPr>
        <w:t> </w:t>
      </w:r>
      <w:r>
        <w:rPr>
          <w:b/>
          <w:spacing w:val="-2"/>
          <w:sz w:val="18"/>
          <w:u w:val="none"/>
        </w:rPr>
        <w:t>Totales</w:t>
      </w:r>
      <w:r>
        <w:rPr>
          <w:b/>
          <w:sz w:val="18"/>
          <w:u w:val="none"/>
        </w:rPr>
        <w:tab/>
        <w:tab/>
      </w:r>
      <w:r>
        <w:rPr>
          <w:b/>
          <w:spacing w:val="-2"/>
          <w:sz w:val="18"/>
          <w:u w:val="none"/>
        </w:rPr>
        <w:t>8.699.355,00</w:t>
      </w:r>
      <w:r>
        <w:rPr>
          <w:b/>
          <w:sz w:val="18"/>
          <w:u w:val="none"/>
        </w:rPr>
        <w:tab/>
      </w:r>
      <w:r>
        <w:rPr>
          <w:b/>
          <w:spacing w:val="-2"/>
          <w:sz w:val="18"/>
          <w:u w:val="none"/>
        </w:rPr>
        <w:t>8.699.355,00</w:t>
      </w:r>
    </w:p>
    <w:p>
      <w:pPr>
        <w:pStyle w:val="BodyText"/>
        <w:spacing w:before="136"/>
        <w:rPr>
          <w:b/>
        </w:rPr>
      </w:pPr>
    </w:p>
    <w:p>
      <w:pPr>
        <w:pStyle w:val="ListParagraph"/>
        <w:numPr>
          <w:ilvl w:val="1"/>
          <w:numId w:val="23"/>
        </w:numPr>
        <w:tabs>
          <w:tab w:pos="2416" w:val="left" w:leader="none"/>
        </w:tabs>
        <w:spacing w:line="240" w:lineRule="auto" w:before="0" w:after="0"/>
        <w:ind w:left="1910" w:right="1340" w:firstLine="0"/>
        <w:jc w:val="left"/>
        <w:rPr>
          <w:sz w:val="20"/>
        </w:rPr>
      </w:pPr>
      <w:r>
        <w:rPr>
          <w:sz w:val="20"/>
        </w:rPr>
        <w:t>A la fecha de formulación de las presentes cuentas anuales quedan pendientes de liquidar los siguientes convenios:</w:t>
      </w:r>
    </w:p>
    <w:p>
      <w:pPr>
        <w:pStyle w:val="BodyText"/>
        <w:spacing w:before="3"/>
      </w:pPr>
    </w:p>
    <w:p>
      <w:pPr>
        <w:pStyle w:val="ListParagraph"/>
        <w:numPr>
          <w:ilvl w:val="2"/>
          <w:numId w:val="23"/>
        </w:numPr>
        <w:tabs>
          <w:tab w:pos="2421" w:val="left" w:leader="none"/>
        </w:tabs>
        <w:spacing w:line="240" w:lineRule="auto" w:before="0" w:after="0"/>
        <w:ind w:left="2421" w:right="0" w:hanging="360"/>
        <w:jc w:val="left"/>
        <w:rPr>
          <w:sz w:val="20"/>
        </w:rPr>
      </w:pPr>
      <w:r>
        <w:rPr>
          <w:sz w:val="20"/>
        </w:rPr>
        <w:t>Contrato</w:t>
      </w:r>
      <w:r>
        <w:rPr>
          <w:spacing w:val="-13"/>
          <w:sz w:val="20"/>
        </w:rPr>
        <w:t> </w:t>
      </w:r>
      <w:r>
        <w:rPr>
          <w:sz w:val="20"/>
        </w:rPr>
        <w:t>Programa</w:t>
      </w:r>
      <w:r>
        <w:rPr>
          <w:spacing w:val="-14"/>
          <w:sz w:val="20"/>
        </w:rPr>
        <w:t> </w:t>
      </w:r>
      <w:r>
        <w:rPr>
          <w:sz w:val="20"/>
        </w:rPr>
        <w:t>2012-</w:t>
      </w:r>
      <w:r>
        <w:rPr>
          <w:spacing w:val="-2"/>
          <w:sz w:val="20"/>
        </w:rPr>
        <w:t>2016.</w:t>
      </w:r>
    </w:p>
    <w:p>
      <w:pPr>
        <w:pStyle w:val="ListParagraph"/>
        <w:numPr>
          <w:ilvl w:val="2"/>
          <w:numId w:val="23"/>
        </w:numPr>
        <w:tabs>
          <w:tab w:pos="2421" w:val="left" w:leader="none"/>
        </w:tabs>
        <w:spacing w:line="240" w:lineRule="auto" w:before="0" w:after="0"/>
        <w:ind w:left="2421" w:right="1335" w:hanging="360"/>
        <w:jc w:val="left"/>
        <w:rPr>
          <w:sz w:val="20"/>
        </w:rPr>
      </w:pPr>
      <w:r>
        <w:rPr>
          <w:sz w:val="20"/>
        </w:rPr>
        <mc:AlternateContent>
          <mc:Choice Requires="wps">
            <w:drawing>
              <wp:anchor distT="0" distB="0" distL="0" distR="0" allowOverlap="1" layoutInCell="1" locked="0" behindDoc="0" simplePos="0" relativeHeight="15771136">
                <wp:simplePos x="0" y="0"/>
                <wp:positionH relativeFrom="page">
                  <wp:posOffset>6966436</wp:posOffset>
                </wp:positionH>
                <wp:positionV relativeFrom="paragraph">
                  <wp:posOffset>89306</wp:posOffset>
                </wp:positionV>
                <wp:extent cx="263525" cy="32759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61</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7.032002pt;width:20.75pt;height:257.95pt;mso-position-horizontal-relative:page;mso-position-vertical-relative:paragraph;z-index:15771136" type="#_x0000_t202" id="docshape13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61</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Financiación referente a la aportación de los ejercicios 2017, 2018 y 2019, 2020 y 2021 como pago a cuenta del Contrato Programa 2017-2021.</w:t>
      </w:r>
    </w:p>
    <w:p>
      <w:pPr>
        <w:pStyle w:val="ListParagraph"/>
        <w:numPr>
          <w:ilvl w:val="2"/>
          <w:numId w:val="23"/>
        </w:numPr>
        <w:tabs>
          <w:tab w:pos="2421" w:val="left" w:leader="none"/>
        </w:tabs>
        <w:spacing w:line="240" w:lineRule="auto" w:before="0" w:after="0"/>
        <w:ind w:left="2421" w:right="1340" w:hanging="360"/>
        <w:jc w:val="left"/>
        <w:rPr>
          <w:sz w:val="20"/>
        </w:rPr>
      </w:pPr>
      <w:r>
        <w:rPr>
          <w:sz w:val="20"/>
        </w:rPr>
        <w:t>Financiación referente a la</w:t>
      </w:r>
      <w:r>
        <w:rPr>
          <w:spacing w:val="27"/>
          <w:sz w:val="20"/>
        </w:rPr>
        <w:t> </w:t>
      </w:r>
      <w:r>
        <w:rPr>
          <w:sz w:val="20"/>
        </w:rPr>
        <w:t>aportación de los</w:t>
      </w:r>
      <w:r>
        <w:rPr>
          <w:spacing w:val="26"/>
          <w:sz w:val="20"/>
        </w:rPr>
        <w:t> </w:t>
      </w:r>
      <w:r>
        <w:rPr>
          <w:sz w:val="20"/>
        </w:rPr>
        <w:t>ejercicios</w:t>
      </w:r>
      <w:r>
        <w:rPr>
          <w:spacing w:val="26"/>
          <w:sz w:val="20"/>
        </w:rPr>
        <w:t> </w:t>
      </w:r>
      <w:r>
        <w:rPr>
          <w:sz w:val="20"/>
        </w:rPr>
        <w:t>2022, 2023, 2024</w:t>
      </w:r>
      <w:r>
        <w:rPr>
          <w:spacing w:val="27"/>
          <w:sz w:val="20"/>
        </w:rPr>
        <w:t> </w:t>
      </w:r>
      <w:r>
        <w:rPr>
          <w:sz w:val="20"/>
        </w:rPr>
        <w:t>y 2025 como pago a cuenta del futuro Contrato Programa.</w:t>
      </w:r>
    </w:p>
    <w:p>
      <w:pPr>
        <w:pStyle w:val="ListParagraph"/>
        <w:spacing w:after="0" w:line="240" w:lineRule="auto"/>
        <w:jc w:val="left"/>
        <w:rPr>
          <w:sz w:val="20"/>
        </w:rPr>
        <w:sectPr>
          <w:pgSz w:w="11910" w:h="16840"/>
          <w:pgMar w:header="286" w:footer="1060" w:top="1920" w:bottom="1260" w:left="360" w:right="360"/>
        </w:sectPr>
      </w:pPr>
    </w:p>
    <w:p>
      <w:pPr>
        <w:pStyle w:val="BodyText"/>
        <w:spacing w:before="199"/>
      </w:pPr>
    </w:p>
    <w:p>
      <w:pPr>
        <w:pStyle w:val="Heading2"/>
        <w:numPr>
          <w:ilvl w:val="0"/>
          <w:numId w:val="23"/>
        </w:numPr>
        <w:tabs>
          <w:tab w:pos="1560" w:val="left" w:leader="none"/>
        </w:tabs>
        <w:spacing w:line="240" w:lineRule="auto" w:before="0" w:after="0"/>
        <w:ind w:left="1560" w:right="0" w:hanging="219"/>
        <w:jc w:val="left"/>
        <w:rPr>
          <w:u w:val="none"/>
        </w:rPr>
      </w:pPr>
      <w:r>
        <w:rPr>
          <w:spacing w:val="-6"/>
          <w:u w:val="single"/>
        </w:rPr>
        <w:t> </w:t>
      </w:r>
      <w:r>
        <w:rPr>
          <w:u w:val="single"/>
        </w:rPr>
        <w:t>HECHOS</w:t>
      </w:r>
      <w:r>
        <w:rPr>
          <w:spacing w:val="-3"/>
          <w:u w:val="single"/>
        </w:rPr>
        <w:t> </w:t>
      </w:r>
      <w:r>
        <w:rPr>
          <w:spacing w:val="-2"/>
          <w:u w:val="single"/>
        </w:rPr>
        <w:t>POSTERIORES.</w:t>
      </w:r>
    </w:p>
    <w:p>
      <w:pPr>
        <w:pStyle w:val="BodyText"/>
        <w:spacing w:before="1"/>
        <w:rPr>
          <w:b/>
        </w:rPr>
      </w:pPr>
    </w:p>
    <w:p>
      <w:pPr>
        <w:pStyle w:val="BodyText"/>
        <w:ind w:left="1341" w:right="1338"/>
        <w:jc w:val="both"/>
      </w:pPr>
      <w:r>
        <w:rPr/>
        <w:t>Entre</w:t>
      </w:r>
      <w:r>
        <w:rPr>
          <w:spacing w:val="-3"/>
        </w:rPr>
        <w:t> </w:t>
      </w:r>
      <w:r>
        <w:rPr/>
        <w:t>la</w:t>
      </w:r>
      <w:r>
        <w:rPr>
          <w:spacing w:val="-4"/>
        </w:rPr>
        <w:t> </w:t>
      </w:r>
      <w:r>
        <w:rPr/>
        <w:t>fecha de</w:t>
      </w:r>
      <w:r>
        <w:rPr>
          <w:spacing w:val="-3"/>
        </w:rPr>
        <w:t> </w:t>
      </w:r>
      <w:r>
        <w:rPr/>
        <w:t>cierre</w:t>
      </w:r>
      <w:r>
        <w:rPr>
          <w:spacing w:val="-2"/>
        </w:rPr>
        <w:t> </w:t>
      </w:r>
      <w:r>
        <w:rPr/>
        <w:t>del ejercicio y</w:t>
      </w:r>
      <w:r>
        <w:rPr>
          <w:spacing w:val="-4"/>
        </w:rPr>
        <w:t> </w:t>
      </w:r>
      <w:r>
        <w:rPr/>
        <w:t>la</w:t>
      </w:r>
      <w:r>
        <w:rPr>
          <w:spacing w:val="-3"/>
        </w:rPr>
        <w:t> </w:t>
      </w:r>
      <w:r>
        <w:rPr/>
        <w:t>fecha</w:t>
      </w:r>
      <w:r>
        <w:rPr>
          <w:spacing w:val="-3"/>
        </w:rPr>
        <w:t> </w:t>
      </w:r>
      <w:r>
        <w:rPr/>
        <w:t>de</w:t>
      </w:r>
      <w:r>
        <w:rPr>
          <w:spacing w:val="-4"/>
        </w:rPr>
        <w:t> </w:t>
      </w:r>
      <w:r>
        <w:rPr/>
        <w:t>formulación</w:t>
      </w:r>
      <w:r>
        <w:rPr>
          <w:spacing w:val="-2"/>
        </w:rPr>
        <w:t> </w:t>
      </w:r>
      <w:r>
        <w:rPr/>
        <w:t>de las</w:t>
      </w:r>
      <w:r>
        <w:rPr>
          <w:spacing w:val="-2"/>
        </w:rPr>
        <w:t> </w:t>
      </w:r>
      <w:r>
        <w:rPr/>
        <w:t>presentes</w:t>
      </w:r>
      <w:r>
        <w:rPr>
          <w:spacing w:val="-1"/>
        </w:rPr>
        <w:t> </w:t>
      </w:r>
      <w:r>
        <w:rPr/>
        <w:t>cuentas anuales se ha producido una intensificación del conflicto y de la inestabilidad geopolítica en Oriente Medio. Dichos acontecimientos han generado un incremento de la incertidumbre y la volatilidad en determinados mercados internacionales, con incidencia principalmente en los precios de la energía, los costes logísticos y las condiciones de acceso a la financiación.</w:t>
      </w:r>
    </w:p>
    <w:p>
      <w:pPr>
        <w:pStyle w:val="BodyText"/>
      </w:pPr>
    </w:p>
    <w:p>
      <w:pPr>
        <w:pStyle w:val="BodyText"/>
        <w:ind w:left="1341" w:right="1337"/>
        <w:jc w:val="both"/>
      </w:pPr>
      <w:r>
        <w:rPr/>
        <w:t>La Sociedad no mantiene exposiciones directas significativas en las zonas afectadas ni con contrapartes directamente vinculadas a las mismas. No obstante, la Dirección ha tenido en consideración dichos acontecimientos en el marco de su proceso de evaluación de estimaciones y</w:t>
      </w:r>
      <w:r>
        <w:rPr>
          <w:spacing w:val="-1"/>
        </w:rPr>
        <w:t> </w:t>
      </w:r>
      <w:r>
        <w:rPr/>
        <w:t>juicios contables, así como en la revisión de escenarios y presupuestos, habida cuenta de</w:t>
      </w:r>
      <w:r>
        <w:rPr>
          <w:spacing w:val="-2"/>
        </w:rPr>
        <w:t> </w:t>
      </w:r>
      <w:r>
        <w:rPr/>
        <w:t>su posible repercusión indirecta</w:t>
      </w:r>
      <w:r>
        <w:rPr>
          <w:spacing w:val="-2"/>
        </w:rPr>
        <w:t> </w:t>
      </w:r>
      <w:r>
        <w:rPr/>
        <w:t>sobre la actividad ordinaria —en</w:t>
      </w:r>
      <w:r>
        <w:rPr>
          <w:spacing w:val="-2"/>
        </w:rPr>
        <w:t> </w:t>
      </w:r>
      <w:r>
        <w:rPr/>
        <w:t>particular,</w:t>
      </w:r>
      <w:r>
        <w:rPr>
          <w:spacing w:val="-2"/>
        </w:rPr>
        <w:t> </w:t>
      </w:r>
      <w:r>
        <w:rPr/>
        <w:t>sobre los costes operativos y de aprovisionamiento— y, en su caso, sobre determinadas valoraciones contables y análisis de recuperabilidad de activos.</w:t>
      </w:r>
    </w:p>
    <w:p>
      <w:pPr>
        <w:pStyle w:val="BodyText"/>
        <w:spacing w:before="1"/>
      </w:pPr>
    </w:p>
    <w:p>
      <w:pPr>
        <w:pStyle w:val="BodyText"/>
        <w:ind w:left="1341" w:right="1335"/>
        <w:jc w:val="both"/>
      </w:pPr>
      <w:r>
        <w:rPr/>
        <w:t>A la fecha de formulación de las presentes cuentas anuales, no se dispone de información suficiente que permita cuantificar de forma fiable el impacto de los referidos acontecimientos sobre los estados financieros.</w:t>
      </w:r>
    </w:p>
    <w:p>
      <w:pPr>
        <w:pStyle w:val="Heading2"/>
        <w:numPr>
          <w:ilvl w:val="0"/>
          <w:numId w:val="23"/>
        </w:numPr>
        <w:tabs>
          <w:tab w:pos="1558" w:val="left" w:leader="none"/>
        </w:tabs>
        <w:spacing w:line="240" w:lineRule="auto" w:before="227" w:after="0"/>
        <w:ind w:left="1558" w:right="0" w:hanging="217"/>
        <w:jc w:val="both"/>
        <w:rPr>
          <w:u w:val="none"/>
        </w:rPr>
      </w:pPr>
      <w:r>
        <w:rPr>
          <w:spacing w:val="-11"/>
          <w:u w:val="single"/>
        </w:rPr>
        <w:t> </w:t>
      </w:r>
      <w:r>
        <w:rPr>
          <w:spacing w:val="-2"/>
          <w:u w:val="single"/>
        </w:rPr>
        <w:t>OPERACIONES</w:t>
      </w:r>
      <w:r>
        <w:rPr>
          <w:spacing w:val="-7"/>
          <w:u w:val="single"/>
        </w:rPr>
        <w:t> </w:t>
      </w:r>
      <w:r>
        <w:rPr>
          <w:spacing w:val="-2"/>
          <w:u w:val="single"/>
        </w:rPr>
        <w:t>CON</w:t>
      </w:r>
      <w:r>
        <w:rPr>
          <w:spacing w:val="-4"/>
          <w:u w:val="single"/>
        </w:rPr>
        <w:t> </w:t>
      </w:r>
      <w:r>
        <w:rPr>
          <w:spacing w:val="-2"/>
          <w:u w:val="single"/>
        </w:rPr>
        <w:t>PARTES</w:t>
      </w:r>
      <w:r>
        <w:rPr>
          <w:spacing w:val="-7"/>
          <w:u w:val="single"/>
        </w:rPr>
        <w:t> </w:t>
      </w:r>
      <w:r>
        <w:rPr>
          <w:spacing w:val="-2"/>
          <w:u w:val="single"/>
        </w:rPr>
        <w:t>VINCULADAS.</w:t>
      </w:r>
    </w:p>
    <w:p>
      <w:pPr>
        <w:pStyle w:val="BodyText"/>
        <w:spacing w:before="3"/>
        <w:rPr>
          <w:b/>
        </w:rPr>
      </w:pPr>
    </w:p>
    <w:p>
      <w:pPr>
        <w:pStyle w:val="ListParagraph"/>
        <w:numPr>
          <w:ilvl w:val="1"/>
          <w:numId w:val="23"/>
        </w:numPr>
        <w:tabs>
          <w:tab w:pos="2488" w:val="left" w:leader="none"/>
        </w:tabs>
        <w:spacing w:line="240" w:lineRule="auto" w:before="0" w:after="0"/>
        <w:ind w:left="2488" w:right="0" w:hanging="439"/>
        <w:jc w:val="left"/>
        <w:rPr>
          <w:sz w:val="20"/>
          <w:u w:val="single"/>
        </w:rPr>
      </w:pPr>
      <w:r>
        <w:rPr>
          <w:spacing w:val="-6"/>
          <w:sz w:val="20"/>
          <w:u w:val="single"/>
        </w:rPr>
        <w:t> </w:t>
      </w:r>
      <w:r>
        <w:rPr>
          <w:sz w:val="20"/>
          <w:u w:val="single"/>
        </w:rPr>
        <w:t>Operaciones</w:t>
      </w:r>
      <w:r>
        <w:rPr>
          <w:spacing w:val="-7"/>
          <w:sz w:val="20"/>
          <w:u w:val="single"/>
        </w:rPr>
        <w:t> </w:t>
      </w:r>
      <w:r>
        <w:rPr>
          <w:sz w:val="20"/>
          <w:u w:val="single"/>
        </w:rPr>
        <w:t>realizadas</w:t>
      </w:r>
      <w:r>
        <w:rPr>
          <w:spacing w:val="-7"/>
          <w:sz w:val="20"/>
          <w:u w:val="single"/>
        </w:rPr>
        <w:t> </w:t>
      </w:r>
      <w:r>
        <w:rPr>
          <w:sz w:val="20"/>
          <w:u w:val="single"/>
        </w:rPr>
        <w:t>con</w:t>
      </w:r>
      <w:r>
        <w:rPr>
          <w:spacing w:val="-8"/>
          <w:sz w:val="20"/>
          <w:u w:val="single"/>
        </w:rPr>
        <w:t> </w:t>
      </w:r>
      <w:r>
        <w:rPr>
          <w:sz w:val="20"/>
          <w:u w:val="single"/>
        </w:rPr>
        <w:t>empresas</w:t>
      </w:r>
      <w:r>
        <w:rPr>
          <w:spacing w:val="-7"/>
          <w:sz w:val="20"/>
          <w:u w:val="single"/>
        </w:rPr>
        <w:t> </w:t>
      </w:r>
      <w:r>
        <w:rPr>
          <w:spacing w:val="-2"/>
          <w:sz w:val="20"/>
          <w:u w:val="single"/>
        </w:rPr>
        <w:t>asociadas:</w:t>
      </w:r>
    </w:p>
    <w:p>
      <w:pPr>
        <w:pStyle w:val="BodyText"/>
        <w:spacing w:before="228"/>
        <w:ind w:left="1701" w:right="1308"/>
      </w:pPr>
      <w:r>
        <w:rPr/>
        <w:t>Las</w:t>
      </w:r>
      <w:r>
        <w:rPr>
          <w:spacing w:val="-3"/>
        </w:rPr>
        <w:t> </w:t>
      </w:r>
      <w:r>
        <w:rPr/>
        <w:t>operaciones</w:t>
      </w:r>
      <w:r>
        <w:rPr>
          <w:spacing w:val="-4"/>
        </w:rPr>
        <w:t> </w:t>
      </w:r>
      <w:r>
        <w:rPr/>
        <w:t>realizadas</w:t>
      </w:r>
      <w:r>
        <w:rPr>
          <w:spacing w:val="-1"/>
        </w:rPr>
        <w:t> </w:t>
      </w:r>
      <w:r>
        <w:rPr/>
        <w:t>con</w:t>
      </w:r>
      <w:r>
        <w:rPr>
          <w:spacing w:val="-5"/>
        </w:rPr>
        <w:t> </w:t>
      </w:r>
      <w:r>
        <w:rPr/>
        <w:t>empresas</w:t>
      </w:r>
      <w:r>
        <w:rPr>
          <w:spacing w:val="-4"/>
        </w:rPr>
        <w:t> </w:t>
      </w:r>
      <w:r>
        <w:rPr/>
        <w:t>asociadas durante</w:t>
      </w:r>
      <w:r>
        <w:rPr>
          <w:spacing w:val="-4"/>
        </w:rPr>
        <w:t> </w:t>
      </w:r>
      <w:r>
        <w:rPr/>
        <w:t>los ejercicios</w:t>
      </w:r>
      <w:r>
        <w:rPr>
          <w:spacing w:val="-5"/>
        </w:rPr>
        <w:t> </w:t>
      </w:r>
      <w:r>
        <w:rPr/>
        <w:t>2025 y</w:t>
      </w:r>
      <w:r>
        <w:rPr>
          <w:spacing w:val="-6"/>
        </w:rPr>
        <w:t> </w:t>
      </w:r>
      <w:r>
        <w:rPr/>
        <w:t>2024</w:t>
      </w:r>
      <w:r>
        <w:rPr>
          <w:spacing w:val="-5"/>
        </w:rPr>
        <w:t> </w:t>
      </w:r>
      <w:r>
        <w:rPr/>
        <w:t>son las siguientes:</w:t>
      </w:r>
    </w:p>
    <w:p>
      <w:pPr>
        <w:pStyle w:val="BodyText"/>
        <w:spacing w:before="4"/>
      </w:pPr>
    </w:p>
    <w:tbl>
      <w:tblPr>
        <w:tblW w:w="0" w:type="auto"/>
        <w:jc w:val="left"/>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6"/>
        <w:gridCol w:w="1468"/>
        <w:gridCol w:w="1336"/>
      </w:tblGrid>
      <w:tr>
        <w:trPr>
          <w:trHeight w:val="299" w:hRule="atLeast"/>
        </w:trPr>
        <w:tc>
          <w:tcPr>
            <w:tcW w:w="5306" w:type="dxa"/>
            <w:tcBorders>
              <w:top w:val="nil"/>
              <w:left w:val="nil"/>
            </w:tcBorders>
          </w:tcPr>
          <w:p>
            <w:pPr>
              <w:pStyle w:val="TableParagraph"/>
              <w:rPr>
                <w:rFonts w:ascii="Times New Roman"/>
                <w:sz w:val="18"/>
              </w:rPr>
            </w:pPr>
          </w:p>
        </w:tc>
        <w:tc>
          <w:tcPr>
            <w:tcW w:w="2804" w:type="dxa"/>
            <w:gridSpan w:val="2"/>
          </w:tcPr>
          <w:p>
            <w:pPr>
              <w:pStyle w:val="TableParagraph"/>
              <w:spacing w:before="30"/>
              <w:ind w:left="485"/>
              <w:rPr>
                <w:b/>
                <w:sz w:val="20"/>
              </w:rPr>
            </w:pPr>
            <w:r>
              <w:rPr>
                <w:b/>
                <w:spacing w:val="-2"/>
                <w:sz w:val="20"/>
              </w:rPr>
              <w:t>Servicios</w:t>
            </w:r>
            <w:r>
              <w:rPr>
                <w:b/>
                <w:spacing w:val="4"/>
                <w:sz w:val="20"/>
              </w:rPr>
              <w:t> </w:t>
            </w:r>
            <w:r>
              <w:rPr>
                <w:b/>
                <w:spacing w:val="-2"/>
                <w:sz w:val="20"/>
              </w:rPr>
              <w:t>recibidos</w:t>
            </w:r>
          </w:p>
        </w:tc>
      </w:tr>
      <w:tr>
        <w:trPr>
          <w:trHeight w:val="299" w:hRule="atLeast"/>
        </w:trPr>
        <w:tc>
          <w:tcPr>
            <w:tcW w:w="5306" w:type="dxa"/>
          </w:tcPr>
          <w:p>
            <w:pPr>
              <w:pStyle w:val="TableParagraph"/>
              <w:spacing w:before="30"/>
              <w:ind w:left="69"/>
              <w:rPr>
                <w:b/>
                <w:sz w:val="20"/>
              </w:rPr>
            </w:pPr>
            <w:r>
              <w:rPr>
                <w:b/>
                <w:spacing w:val="-2"/>
                <w:sz w:val="20"/>
              </w:rPr>
              <w:t>EMPRESA</w:t>
            </w:r>
          </w:p>
        </w:tc>
        <w:tc>
          <w:tcPr>
            <w:tcW w:w="1468" w:type="dxa"/>
          </w:tcPr>
          <w:p>
            <w:pPr>
              <w:pStyle w:val="TableParagraph"/>
              <w:spacing w:before="30"/>
              <w:ind w:left="6"/>
              <w:jc w:val="center"/>
              <w:rPr>
                <w:b/>
                <w:sz w:val="20"/>
              </w:rPr>
            </w:pPr>
            <w:r>
              <w:rPr>
                <w:b/>
                <w:spacing w:val="-4"/>
                <w:sz w:val="20"/>
              </w:rPr>
              <w:t>2025</w:t>
            </w:r>
          </w:p>
        </w:tc>
        <w:tc>
          <w:tcPr>
            <w:tcW w:w="1336" w:type="dxa"/>
          </w:tcPr>
          <w:p>
            <w:pPr>
              <w:pStyle w:val="TableParagraph"/>
              <w:spacing w:before="30"/>
              <w:ind w:left="447"/>
              <w:rPr>
                <w:b/>
                <w:sz w:val="20"/>
              </w:rPr>
            </w:pPr>
            <w:r>
              <w:rPr>
                <w:b/>
                <w:spacing w:val="-4"/>
                <w:sz w:val="20"/>
              </w:rPr>
              <w:t>2024</w:t>
            </w:r>
          </w:p>
        </w:tc>
      </w:tr>
      <w:tr>
        <w:trPr>
          <w:trHeight w:val="299" w:hRule="atLeast"/>
        </w:trPr>
        <w:tc>
          <w:tcPr>
            <w:tcW w:w="5306" w:type="dxa"/>
          </w:tcPr>
          <w:p>
            <w:pPr>
              <w:pStyle w:val="TableParagraph"/>
              <w:spacing w:before="33"/>
              <w:ind w:left="69"/>
              <w:rPr>
                <w:sz w:val="20"/>
              </w:rPr>
            </w:pPr>
            <w:r>
              <w:rPr>
                <w:sz w:val="20"/>
              </w:rPr>
              <w:t>Gexco,</w:t>
            </w:r>
            <w:r>
              <w:rPr>
                <w:spacing w:val="-6"/>
                <w:sz w:val="20"/>
              </w:rPr>
              <w:t> </w:t>
            </w:r>
            <w:r>
              <w:rPr>
                <w:spacing w:val="-4"/>
                <w:sz w:val="20"/>
              </w:rPr>
              <w:t>S.L.</w:t>
            </w:r>
          </w:p>
        </w:tc>
        <w:tc>
          <w:tcPr>
            <w:tcW w:w="1468" w:type="dxa"/>
          </w:tcPr>
          <w:p>
            <w:pPr>
              <w:pStyle w:val="TableParagraph"/>
              <w:spacing w:before="33"/>
              <w:ind w:right="62"/>
              <w:jc w:val="right"/>
              <w:rPr>
                <w:sz w:val="20"/>
              </w:rPr>
            </w:pPr>
            <w:r>
              <w:rPr>
                <w:spacing w:val="-2"/>
                <w:sz w:val="20"/>
              </w:rPr>
              <w:t>319.924,78</w:t>
            </w:r>
          </w:p>
        </w:tc>
        <w:tc>
          <w:tcPr>
            <w:tcW w:w="1336" w:type="dxa"/>
          </w:tcPr>
          <w:p>
            <w:pPr>
              <w:pStyle w:val="TableParagraph"/>
              <w:spacing w:before="33"/>
              <w:ind w:right="59"/>
              <w:jc w:val="right"/>
              <w:rPr>
                <w:sz w:val="20"/>
              </w:rPr>
            </w:pPr>
            <w:r>
              <w:rPr>
                <w:spacing w:val="-2"/>
                <w:sz w:val="20"/>
              </w:rPr>
              <w:t>320.865,95</w:t>
            </w:r>
          </w:p>
        </w:tc>
      </w:tr>
      <w:tr>
        <w:trPr>
          <w:trHeight w:val="302" w:hRule="atLeast"/>
        </w:trPr>
        <w:tc>
          <w:tcPr>
            <w:tcW w:w="5306" w:type="dxa"/>
          </w:tcPr>
          <w:p>
            <w:pPr>
              <w:pStyle w:val="TableParagraph"/>
              <w:spacing w:before="33"/>
              <w:ind w:left="69"/>
              <w:rPr>
                <w:sz w:val="20"/>
              </w:rPr>
            </w:pPr>
            <w:r>
              <w:rPr>
                <w:sz w:val="20"/>
              </w:rPr>
              <w:t>Sagulpa,</w:t>
            </w:r>
            <w:r>
              <w:rPr>
                <w:spacing w:val="-11"/>
                <w:sz w:val="20"/>
              </w:rPr>
              <w:t> </w:t>
            </w:r>
            <w:r>
              <w:rPr>
                <w:spacing w:val="-4"/>
                <w:sz w:val="20"/>
              </w:rPr>
              <w:t>S.A.</w:t>
            </w:r>
          </w:p>
        </w:tc>
        <w:tc>
          <w:tcPr>
            <w:tcW w:w="1468" w:type="dxa"/>
          </w:tcPr>
          <w:p>
            <w:pPr>
              <w:pStyle w:val="TableParagraph"/>
              <w:spacing w:before="33"/>
              <w:ind w:right="60"/>
              <w:jc w:val="right"/>
              <w:rPr>
                <w:sz w:val="20"/>
              </w:rPr>
            </w:pPr>
            <w:r>
              <w:rPr>
                <w:spacing w:val="-2"/>
                <w:sz w:val="20"/>
              </w:rPr>
              <w:t>14.891,40</w:t>
            </w:r>
          </w:p>
        </w:tc>
        <w:tc>
          <w:tcPr>
            <w:tcW w:w="1336" w:type="dxa"/>
          </w:tcPr>
          <w:p>
            <w:pPr>
              <w:pStyle w:val="TableParagraph"/>
              <w:spacing w:before="33"/>
              <w:ind w:right="57"/>
              <w:jc w:val="right"/>
              <w:rPr>
                <w:sz w:val="20"/>
              </w:rPr>
            </w:pPr>
            <w:r>
              <w:rPr>
                <w:spacing w:val="-2"/>
                <w:sz w:val="20"/>
              </w:rPr>
              <w:t>14.891,40</w:t>
            </w:r>
          </w:p>
        </w:tc>
      </w:tr>
      <w:tr>
        <w:trPr>
          <w:trHeight w:val="299" w:hRule="atLeast"/>
        </w:trPr>
        <w:tc>
          <w:tcPr>
            <w:tcW w:w="5306" w:type="dxa"/>
          </w:tcPr>
          <w:p>
            <w:pPr>
              <w:pStyle w:val="TableParagraph"/>
              <w:spacing w:before="30"/>
              <w:ind w:left="69"/>
              <w:rPr>
                <w:sz w:val="20"/>
              </w:rPr>
            </w:pPr>
            <w:r>
              <w:rPr>
                <w:sz w:val="20"/>
              </w:rPr>
              <w:t>GEURSA,</w:t>
            </w:r>
            <w:r>
              <w:rPr>
                <w:spacing w:val="-11"/>
                <w:sz w:val="20"/>
              </w:rPr>
              <w:t> </w:t>
            </w:r>
            <w:r>
              <w:rPr>
                <w:spacing w:val="-4"/>
                <w:sz w:val="20"/>
              </w:rPr>
              <w:t>S.A.</w:t>
            </w:r>
          </w:p>
        </w:tc>
        <w:tc>
          <w:tcPr>
            <w:tcW w:w="1468" w:type="dxa"/>
          </w:tcPr>
          <w:p>
            <w:pPr>
              <w:pStyle w:val="TableParagraph"/>
              <w:rPr>
                <w:rFonts w:ascii="Times New Roman"/>
                <w:sz w:val="18"/>
              </w:rPr>
            </w:pPr>
          </w:p>
        </w:tc>
        <w:tc>
          <w:tcPr>
            <w:tcW w:w="1336" w:type="dxa"/>
          </w:tcPr>
          <w:p>
            <w:pPr>
              <w:pStyle w:val="TableParagraph"/>
              <w:spacing w:before="30"/>
              <w:ind w:right="57"/>
              <w:jc w:val="right"/>
              <w:rPr>
                <w:sz w:val="20"/>
              </w:rPr>
            </w:pPr>
            <w:r>
              <w:rPr>
                <w:spacing w:val="-2"/>
                <w:sz w:val="20"/>
              </w:rPr>
              <w:t>32.772,39</w:t>
            </w:r>
          </w:p>
        </w:tc>
      </w:tr>
      <w:tr>
        <w:trPr>
          <w:trHeight w:val="299" w:hRule="atLeast"/>
        </w:trPr>
        <w:tc>
          <w:tcPr>
            <w:tcW w:w="5306" w:type="dxa"/>
          </w:tcPr>
          <w:p>
            <w:pPr>
              <w:pStyle w:val="TableParagraph"/>
              <w:spacing w:before="30"/>
              <w:ind w:left="69"/>
              <w:rPr>
                <w:sz w:val="20"/>
              </w:rPr>
            </w:pPr>
            <w:r>
              <w:rPr>
                <w:sz w:val="20"/>
              </w:rPr>
              <w:t>Red</w:t>
            </w:r>
            <w:r>
              <w:rPr>
                <w:spacing w:val="-9"/>
                <w:sz w:val="20"/>
              </w:rPr>
              <w:t> </w:t>
            </w:r>
            <w:r>
              <w:rPr>
                <w:sz w:val="20"/>
              </w:rPr>
              <w:t>Canarias</w:t>
            </w:r>
            <w:r>
              <w:rPr>
                <w:spacing w:val="-6"/>
                <w:sz w:val="20"/>
              </w:rPr>
              <w:t> </w:t>
            </w:r>
            <w:r>
              <w:rPr>
                <w:sz w:val="20"/>
              </w:rPr>
              <w:t>de</w:t>
            </w:r>
            <w:r>
              <w:rPr>
                <w:spacing w:val="-8"/>
                <w:sz w:val="20"/>
              </w:rPr>
              <w:t> </w:t>
            </w:r>
            <w:r>
              <w:rPr>
                <w:sz w:val="20"/>
              </w:rPr>
              <w:t>Transportes</w:t>
            </w:r>
            <w:r>
              <w:rPr>
                <w:spacing w:val="-7"/>
                <w:sz w:val="20"/>
              </w:rPr>
              <w:t> </w:t>
            </w:r>
            <w:r>
              <w:rPr>
                <w:sz w:val="20"/>
              </w:rPr>
              <w:t>Integrados,</w:t>
            </w:r>
            <w:r>
              <w:rPr>
                <w:spacing w:val="-7"/>
                <w:sz w:val="20"/>
              </w:rPr>
              <w:t> </w:t>
            </w:r>
            <w:r>
              <w:rPr>
                <w:sz w:val="20"/>
              </w:rPr>
              <w:t>S.L.</w:t>
            </w:r>
            <w:r>
              <w:rPr>
                <w:spacing w:val="-9"/>
                <w:sz w:val="20"/>
              </w:rPr>
              <w:t> </w:t>
            </w:r>
            <w:r>
              <w:rPr>
                <w:spacing w:val="-2"/>
                <w:sz w:val="20"/>
              </w:rPr>
              <w:t>(Transred)</w:t>
            </w:r>
          </w:p>
        </w:tc>
        <w:tc>
          <w:tcPr>
            <w:tcW w:w="1468" w:type="dxa"/>
          </w:tcPr>
          <w:p>
            <w:pPr>
              <w:pStyle w:val="TableParagraph"/>
              <w:spacing w:before="30"/>
              <w:ind w:right="62"/>
              <w:jc w:val="right"/>
              <w:rPr>
                <w:sz w:val="20"/>
              </w:rPr>
            </w:pPr>
            <w:r>
              <w:rPr>
                <w:spacing w:val="-2"/>
                <w:sz w:val="20"/>
              </w:rPr>
              <w:t>298.236,84</w:t>
            </w:r>
          </w:p>
        </w:tc>
        <w:tc>
          <w:tcPr>
            <w:tcW w:w="1336" w:type="dxa"/>
          </w:tcPr>
          <w:p>
            <w:pPr>
              <w:pStyle w:val="TableParagraph"/>
              <w:spacing w:before="30"/>
              <w:ind w:right="59"/>
              <w:jc w:val="right"/>
              <w:rPr>
                <w:sz w:val="20"/>
              </w:rPr>
            </w:pPr>
            <w:r>
              <w:rPr>
                <w:spacing w:val="-2"/>
                <w:sz w:val="20"/>
              </w:rPr>
              <w:t>240.312,96</w:t>
            </w:r>
          </w:p>
        </w:tc>
      </w:tr>
      <w:tr>
        <w:trPr>
          <w:trHeight w:val="299" w:hRule="atLeast"/>
        </w:trPr>
        <w:tc>
          <w:tcPr>
            <w:tcW w:w="5306" w:type="dxa"/>
          </w:tcPr>
          <w:p>
            <w:pPr>
              <w:pStyle w:val="TableParagraph"/>
              <w:spacing w:before="30"/>
              <w:ind w:right="61"/>
              <w:jc w:val="right"/>
              <w:rPr>
                <w:b/>
                <w:sz w:val="20"/>
              </w:rPr>
            </w:pPr>
            <w:r>
              <w:rPr>
                <w:b/>
                <w:spacing w:val="-2"/>
                <w:sz w:val="20"/>
              </w:rPr>
              <w:t>TOTAL</w:t>
            </w:r>
          </w:p>
        </w:tc>
        <w:tc>
          <w:tcPr>
            <w:tcW w:w="1468" w:type="dxa"/>
          </w:tcPr>
          <w:p>
            <w:pPr>
              <w:pStyle w:val="TableParagraph"/>
              <w:spacing w:before="30"/>
              <w:ind w:right="62"/>
              <w:jc w:val="right"/>
              <w:rPr>
                <w:b/>
                <w:sz w:val="20"/>
              </w:rPr>
            </w:pPr>
            <w:r>
              <w:rPr>
                <w:b/>
                <w:spacing w:val="-2"/>
                <w:sz w:val="20"/>
              </w:rPr>
              <w:t>633.053,02</w:t>
            </w:r>
          </w:p>
        </w:tc>
        <w:tc>
          <w:tcPr>
            <w:tcW w:w="1336" w:type="dxa"/>
          </w:tcPr>
          <w:p>
            <w:pPr>
              <w:pStyle w:val="TableParagraph"/>
              <w:spacing w:before="30"/>
              <w:ind w:right="59"/>
              <w:jc w:val="right"/>
              <w:rPr>
                <w:b/>
                <w:sz w:val="20"/>
              </w:rPr>
            </w:pPr>
            <w:r>
              <w:rPr>
                <w:b/>
                <w:spacing w:val="-2"/>
                <w:sz w:val="20"/>
              </w:rPr>
              <w:t>608.842,70</w:t>
            </w:r>
          </w:p>
        </w:tc>
      </w:tr>
    </w:tbl>
    <w:p>
      <w:pPr>
        <w:pStyle w:val="BodyText"/>
      </w:pPr>
    </w:p>
    <w:p>
      <w:pPr>
        <w:pStyle w:val="BodyText"/>
        <w:spacing w:before="1"/>
        <w:ind w:left="1699" w:right="1308"/>
      </w:pPr>
      <w:r>
        <w:rPr/>
        <mc:AlternateContent>
          <mc:Choice Requires="wps">
            <w:drawing>
              <wp:anchor distT="0" distB="0" distL="0" distR="0" allowOverlap="1" layoutInCell="1" locked="0" behindDoc="0" simplePos="0" relativeHeight="15771648">
                <wp:simplePos x="0" y="0"/>
                <wp:positionH relativeFrom="page">
                  <wp:posOffset>6966436</wp:posOffset>
                </wp:positionH>
                <wp:positionV relativeFrom="paragraph">
                  <wp:posOffset>-412066</wp:posOffset>
                </wp:positionV>
                <wp:extent cx="263525" cy="327596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62</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32.446163pt;width:20.75pt;height:257.95pt;mso-position-horizontal-relative:page;mso-position-vertical-relative:paragraph;z-index:15771648" type="#_x0000_t202" id="docshape13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62</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Las operaciones realizadas entre las empresas del grupo y asociadas se han realizado en condiciones normales de mercado.</w:t>
      </w:r>
    </w:p>
    <w:p>
      <w:pPr>
        <w:pStyle w:val="BodyText"/>
        <w:ind w:left="1699" w:right="1388"/>
      </w:pPr>
      <w:r>
        <w:rPr/>
        <w:t>Los saldos pendientes con empresas del grupo y asociadas al cierre de los ejercicios 2025</w:t>
      </w:r>
      <w:r>
        <w:rPr>
          <w:spacing w:val="40"/>
        </w:rPr>
        <w:t> </w:t>
      </w:r>
      <w:r>
        <w:rPr/>
        <w:t>y 2024 son los siguientes:</w:t>
      </w:r>
    </w:p>
    <w:p>
      <w:pPr>
        <w:pStyle w:val="BodyText"/>
        <w:spacing w:before="2"/>
      </w:pPr>
    </w:p>
    <w:tbl>
      <w:tblPr>
        <w:tblW w:w="0" w:type="auto"/>
        <w:jc w:val="left"/>
        <w:tblInd w:w="1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8"/>
        <w:gridCol w:w="1200"/>
        <w:gridCol w:w="1210"/>
        <w:gridCol w:w="1140"/>
        <w:gridCol w:w="1207"/>
      </w:tblGrid>
      <w:tr>
        <w:trPr>
          <w:trHeight w:val="299" w:hRule="atLeast"/>
        </w:trPr>
        <w:tc>
          <w:tcPr>
            <w:tcW w:w="2678" w:type="dxa"/>
            <w:tcBorders>
              <w:top w:val="nil"/>
              <w:left w:val="nil"/>
            </w:tcBorders>
          </w:tcPr>
          <w:p>
            <w:pPr>
              <w:pStyle w:val="TableParagraph"/>
              <w:rPr>
                <w:rFonts w:ascii="Times New Roman"/>
                <w:sz w:val="18"/>
              </w:rPr>
            </w:pPr>
          </w:p>
        </w:tc>
        <w:tc>
          <w:tcPr>
            <w:tcW w:w="2410" w:type="dxa"/>
            <w:gridSpan w:val="2"/>
          </w:tcPr>
          <w:p>
            <w:pPr>
              <w:pStyle w:val="TableParagraph"/>
              <w:spacing w:before="30"/>
              <w:ind w:left="5"/>
              <w:jc w:val="center"/>
              <w:rPr>
                <w:b/>
                <w:sz w:val="20"/>
              </w:rPr>
            </w:pPr>
            <w:r>
              <w:rPr>
                <w:b/>
                <w:spacing w:val="-4"/>
                <w:sz w:val="20"/>
              </w:rPr>
              <w:t>2025</w:t>
            </w:r>
          </w:p>
        </w:tc>
        <w:tc>
          <w:tcPr>
            <w:tcW w:w="2347" w:type="dxa"/>
            <w:gridSpan w:val="2"/>
          </w:tcPr>
          <w:p>
            <w:pPr>
              <w:pStyle w:val="TableParagraph"/>
              <w:spacing w:before="30"/>
              <w:jc w:val="center"/>
              <w:rPr>
                <w:b/>
                <w:sz w:val="20"/>
              </w:rPr>
            </w:pPr>
            <w:r>
              <w:rPr>
                <w:b/>
                <w:spacing w:val="-4"/>
                <w:sz w:val="20"/>
              </w:rPr>
              <w:t>2024</w:t>
            </w:r>
          </w:p>
        </w:tc>
      </w:tr>
      <w:tr>
        <w:trPr>
          <w:trHeight w:val="602" w:hRule="atLeast"/>
        </w:trPr>
        <w:tc>
          <w:tcPr>
            <w:tcW w:w="2678" w:type="dxa"/>
          </w:tcPr>
          <w:p>
            <w:pPr>
              <w:pStyle w:val="TableParagraph"/>
              <w:spacing w:before="182"/>
              <w:ind w:left="66"/>
              <w:rPr>
                <w:b/>
                <w:sz w:val="20"/>
              </w:rPr>
            </w:pPr>
            <w:r>
              <w:rPr>
                <w:b/>
                <w:spacing w:val="-2"/>
                <w:sz w:val="20"/>
              </w:rPr>
              <w:t>EMPRESA</w:t>
            </w:r>
          </w:p>
        </w:tc>
        <w:tc>
          <w:tcPr>
            <w:tcW w:w="1200" w:type="dxa"/>
          </w:tcPr>
          <w:p>
            <w:pPr>
              <w:pStyle w:val="TableParagraph"/>
              <w:spacing w:before="66"/>
              <w:ind w:left="148" w:right="137" w:firstLine="124"/>
              <w:rPr>
                <w:b/>
                <w:sz w:val="20"/>
              </w:rPr>
            </w:pPr>
            <w:r>
              <w:rPr>
                <w:b/>
                <w:spacing w:val="-2"/>
                <w:sz w:val="20"/>
              </w:rPr>
              <w:t>Saldos deudores</w:t>
            </w:r>
          </w:p>
        </w:tc>
        <w:tc>
          <w:tcPr>
            <w:tcW w:w="1210" w:type="dxa"/>
          </w:tcPr>
          <w:p>
            <w:pPr>
              <w:pStyle w:val="TableParagraph"/>
              <w:spacing w:before="66"/>
              <w:ind w:left="69" w:firstLine="206"/>
              <w:rPr>
                <w:b/>
                <w:sz w:val="20"/>
              </w:rPr>
            </w:pPr>
            <w:r>
              <w:rPr>
                <w:b/>
                <w:spacing w:val="-2"/>
                <w:sz w:val="20"/>
              </w:rPr>
              <w:t>Saldos acreedores</w:t>
            </w:r>
          </w:p>
        </w:tc>
        <w:tc>
          <w:tcPr>
            <w:tcW w:w="1140" w:type="dxa"/>
          </w:tcPr>
          <w:p>
            <w:pPr>
              <w:pStyle w:val="TableParagraph"/>
              <w:spacing w:before="66"/>
              <w:ind w:left="117" w:right="108" w:firstLine="122"/>
              <w:rPr>
                <w:b/>
                <w:sz w:val="20"/>
              </w:rPr>
            </w:pPr>
            <w:r>
              <w:rPr>
                <w:b/>
                <w:spacing w:val="-2"/>
                <w:sz w:val="20"/>
              </w:rPr>
              <w:t>Saldos deudores</w:t>
            </w:r>
          </w:p>
        </w:tc>
        <w:tc>
          <w:tcPr>
            <w:tcW w:w="1207" w:type="dxa"/>
          </w:tcPr>
          <w:p>
            <w:pPr>
              <w:pStyle w:val="TableParagraph"/>
              <w:spacing w:before="66"/>
              <w:ind w:left="69" w:firstLine="206"/>
              <w:rPr>
                <w:b/>
                <w:sz w:val="20"/>
              </w:rPr>
            </w:pPr>
            <w:r>
              <w:rPr>
                <w:b/>
                <w:spacing w:val="-2"/>
                <w:sz w:val="20"/>
              </w:rPr>
              <w:t>Saldos acreedores</w:t>
            </w:r>
          </w:p>
        </w:tc>
      </w:tr>
      <w:tr>
        <w:trPr>
          <w:trHeight w:val="299" w:hRule="atLeast"/>
        </w:trPr>
        <w:tc>
          <w:tcPr>
            <w:tcW w:w="2678" w:type="dxa"/>
          </w:tcPr>
          <w:p>
            <w:pPr>
              <w:pStyle w:val="TableParagraph"/>
              <w:spacing w:before="30"/>
              <w:ind w:left="66"/>
              <w:rPr>
                <w:sz w:val="20"/>
              </w:rPr>
            </w:pPr>
            <w:r>
              <w:rPr>
                <w:sz w:val="20"/>
              </w:rPr>
              <w:t>Gexco,</w:t>
            </w:r>
            <w:r>
              <w:rPr>
                <w:spacing w:val="-6"/>
                <w:sz w:val="20"/>
              </w:rPr>
              <w:t> </w:t>
            </w:r>
            <w:r>
              <w:rPr>
                <w:spacing w:val="-4"/>
                <w:sz w:val="20"/>
              </w:rPr>
              <w:t>S.L.</w:t>
            </w:r>
          </w:p>
        </w:tc>
        <w:tc>
          <w:tcPr>
            <w:tcW w:w="1200" w:type="dxa"/>
          </w:tcPr>
          <w:p>
            <w:pPr>
              <w:pStyle w:val="TableParagraph"/>
              <w:spacing w:before="30"/>
              <w:ind w:right="59"/>
              <w:jc w:val="right"/>
              <w:rPr>
                <w:sz w:val="20"/>
              </w:rPr>
            </w:pPr>
            <w:r>
              <w:rPr>
                <w:spacing w:val="-2"/>
                <w:sz w:val="20"/>
              </w:rPr>
              <w:t>4.235,00</w:t>
            </w:r>
          </w:p>
        </w:tc>
        <w:tc>
          <w:tcPr>
            <w:tcW w:w="1210" w:type="dxa"/>
          </w:tcPr>
          <w:p>
            <w:pPr>
              <w:pStyle w:val="TableParagraph"/>
              <w:spacing w:before="30"/>
              <w:ind w:right="61"/>
              <w:jc w:val="right"/>
              <w:rPr>
                <w:sz w:val="20"/>
              </w:rPr>
            </w:pPr>
            <w:r>
              <w:rPr>
                <w:spacing w:val="-2"/>
                <w:sz w:val="20"/>
              </w:rPr>
              <w:t>23.009,71</w:t>
            </w:r>
          </w:p>
        </w:tc>
        <w:tc>
          <w:tcPr>
            <w:tcW w:w="1140" w:type="dxa"/>
          </w:tcPr>
          <w:p>
            <w:pPr>
              <w:pStyle w:val="TableParagraph"/>
              <w:spacing w:before="30"/>
              <w:ind w:right="62"/>
              <w:jc w:val="right"/>
              <w:rPr>
                <w:sz w:val="20"/>
              </w:rPr>
            </w:pPr>
            <w:r>
              <w:rPr>
                <w:spacing w:val="-2"/>
                <w:sz w:val="20"/>
              </w:rPr>
              <w:t>4.235,00</w:t>
            </w:r>
          </w:p>
        </w:tc>
        <w:tc>
          <w:tcPr>
            <w:tcW w:w="1207" w:type="dxa"/>
          </w:tcPr>
          <w:p>
            <w:pPr>
              <w:pStyle w:val="TableParagraph"/>
              <w:spacing w:before="30"/>
              <w:ind w:left="185"/>
              <w:jc w:val="center"/>
              <w:rPr>
                <w:sz w:val="20"/>
              </w:rPr>
            </w:pPr>
            <w:r>
              <w:rPr>
                <w:spacing w:val="-2"/>
                <w:sz w:val="20"/>
              </w:rPr>
              <w:t>22.680,78</w:t>
            </w:r>
          </w:p>
        </w:tc>
      </w:tr>
      <w:tr>
        <w:trPr>
          <w:trHeight w:val="299" w:hRule="atLeast"/>
        </w:trPr>
        <w:tc>
          <w:tcPr>
            <w:tcW w:w="2678" w:type="dxa"/>
          </w:tcPr>
          <w:p>
            <w:pPr>
              <w:pStyle w:val="TableParagraph"/>
              <w:spacing w:before="30"/>
              <w:ind w:left="66"/>
              <w:rPr>
                <w:sz w:val="20"/>
              </w:rPr>
            </w:pPr>
            <w:r>
              <w:rPr>
                <w:spacing w:val="-2"/>
                <w:sz w:val="20"/>
              </w:rPr>
              <w:t>Transred</w:t>
            </w:r>
          </w:p>
        </w:tc>
        <w:tc>
          <w:tcPr>
            <w:tcW w:w="1200" w:type="dxa"/>
          </w:tcPr>
          <w:p>
            <w:pPr>
              <w:pStyle w:val="TableParagraph"/>
              <w:rPr>
                <w:rFonts w:ascii="Times New Roman"/>
                <w:sz w:val="18"/>
              </w:rPr>
            </w:pPr>
          </w:p>
        </w:tc>
        <w:tc>
          <w:tcPr>
            <w:tcW w:w="1210" w:type="dxa"/>
          </w:tcPr>
          <w:p>
            <w:pPr>
              <w:pStyle w:val="TableParagraph"/>
              <w:spacing w:before="30"/>
              <w:ind w:right="61"/>
              <w:jc w:val="right"/>
              <w:rPr>
                <w:sz w:val="20"/>
              </w:rPr>
            </w:pPr>
            <w:r>
              <w:rPr>
                <w:spacing w:val="-2"/>
                <w:sz w:val="20"/>
              </w:rPr>
              <w:t>27.737,73</w:t>
            </w:r>
          </w:p>
        </w:tc>
        <w:tc>
          <w:tcPr>
            <w:tcW w:w="1140" w:type="dxa"/>
          </w:tcPr>
          <w:p>
            <w:pPr>
              <w:pStyle w:val="TableParagraph"/>
              <w:rPr>
                <w:rFonts w:ascii="Times New Roman"/>
                <w:sz w:val="18"/>
              </w:rPr>
            </w:pPr>
          </w:p>
        </w:tc>
        <w:tc>
          <w:tcPr>
            <w:tcW w:w="1207" w:type="dxa"/>
          </w:tcPr>
          <w:p>
            <w:pPr>
              <w:pStyle w:val="TableParagraph"/>
              <w:spacing w:before="30"/>
              <w:ind w:left="185"/>
              <w:jc w:val="center"/>
              <w:rPr>
                <w:sz w:val="20"/>
              </w:rPr>
            </w:pPr>
            <w:r>
              <w:rPr>
                <w:spacing w:val="-2"/>
                <w:sz w:val="20"/>
              </w:rPr>
              <w:t>23.263,23</w:t>
            </w:r>
          </w:p>
        </w:tc>
      </w:tr>
      <w:tr>
        <w:trPr>
          <w:trHeight w:val="299" w:hRule="atLeast"/>
        </w:trPr>
        <w:tc>
          <w:tcPr>
            <w:tcW w:w="2678" w:type="dxa"/>
          </w:tcPr>
          <w:p>
            <w:pPr>
              <w:pStyle w:val="TableParagraph"/>
              <w:spacing w:before="33"/>
              <w:ind w:left="66"/>
              <w:rPr>
                <w:sz w:val="20"/>
              </w:rPr>
            </w:pPr>
            <w:r>
              <w:rPr>
                <w:sz w:val="20"/>
              </w:rPr>
              <w:t>Sagulpa,</w:t>
            </w:r>
            <w:r>
              <w:rPr>
                <w:spacing w:val="-11"/>
                <w:sz w:val="20"/>
              </w:rPr>
              <w:t> </w:t>
            </w:r>
            <w:r>
              <w:rPr>
                <w:spacing w:val="-4"/>
                <w:sz w:val="20"/>
              </w:rPr>
              <w:t>S.A.</w:t>
            </w:r>
          </w:p>
        </w:tc>
        <w:tc>
          <w:tcPr>
            <w:tcW w:w="1200" w:type="dxa"/>
          </w:tcPr>
          <w:p>
            <w:pPr>
              <w:pStyle w:val="TableParagraph"/>
              <w:spacing w:before="33"/>
              <w:ind w:right="58"/>
              <w:jc w:val="right"/>
              <w:rPr>
                <w:sz w:val="20"/>
              </w:rPr>
            </w:pPr>
            <w:r>
              <w:rPr>
                <w:spacing w:val="-2"/>
                <w:sz w:val="20"/>
              </w:rPr>
              <w:t>30.724,46</w:t>
            </w:r>
          </w:p>
        </w:tc>
        <w:tc>
          <w:tcPr>
            <w:tcW w:w="1210" w:type="dxa"/>
          </w:tcPr>
          <w:p>
            <w:pPr>
              <w:pStyle w:val="TableParagraph"/>
              <w:spacing w:before="33"/>
              <w:ind w:right="61"/>
              <w:jc w:val="right"/>
              <w:rPr>
                <w:sz w:val="20"/>
              </w:rPr>
            </w:pPr>
            <w:r>
              <w:rPr>
                <w:spacing w:val="-2"/>
                <w:sz w:val="20"/>
              </w:rPr>
              <w:t>80.149,20</w:t>
            </w:r>
          </w:p>
        </w:tc>
        <w:tc>
          <w:tcPr>
            <w:tcW w:w="1140" w:type="dxa"/>
          </w:tcPr>
          <w:p>
            <w:pPr>
              <w:pStyle w:val="TableParagraph"/>
              <w:spacing w:before="33"/>
              <w:ind w:right="61"/>
              <w:jc w:val="right"/>
              <w:rPr>
                <w:sz w:val="20"/>
              </w:rPr>
            </w:pPr>
            <w:r>
              <w:rPr>
                <w:spacing w:val="-2"/>
                <w:sz w:val="20"/>
              </w:rPr>
              <w:t>30.724,46</w:t>
            </w:r>
          </w:p>
        </w:tc>
        <w:tc>
          <w:tcPr>
            <w:tcW w:w="1207" w:type="dxa"/>
          </w:tcPr>
          <w:p>
            <w:pPr>
              <w:pStyle w:val="TableParagraph"/>
              <w:spacing w:before="33"/>
              <w:ind w:left="185"/>
              <w:jc w:val="center"/>
              <w:rPr>
                <w:sz w:val="20"/>
              </w:rPr>
            </w:pPr>
            <w:r>
              <w:rPr>
                <w:spacing w:val="-2"/>
                <w:sz w:val="20"/>
              </w:rPr>
              <w:t>64.215,36</w:t>
            </w:r>
          </w:p>
        </w:tc>
      </w:tr>
      <w:tr>
        <w:trPr>
          <w:trHeight w:val="299" w:hRule="atLeast"/>
        </w:trPr>
        <w:tc>
          <w:tcPr>
            <w:tcW w:w="2678" w:type="dxa"/>
          </w:tcPr>
          <w:p>
            <w:pPr>
              <w:pStyle w:val="TableParagraph"/>
              <w:spacing w:before="33"/>
              <w:ind w:left="66"/>
              <w:rPr>
                <w:sz w:val="20"/>
              </w:rPr>
            </w:pPr>
            <w:r>
              <w:rPr>
                <w:sz w:val="20"/>
              </w:rPr>
              <w:t>GEURSA,</w:t>
            </w:r>
            <w:r>
              <w:rPr>
                <w:spacing w:val="-11"/>
                <w:sz w:val="20"/>
              </w:rPr>
              <w:t> </w:t>
            </w:r>
            <w:r>
              <w:rPr>
                <w:spacing w:val="-4"/>
                <w:sz w:val="20"/>
              </w:rPr>
              <w:t>S.A.</w:t>
            </w:r>
          </w:p>
        </w:tc>
        <w:tc>
          <w:tcPr>
            <w:tcW w:w="1200" w:type="dxa"/>
          </w:tcPr>
          <w:p>
            <w:pPr>
              <w:pStyle w:val="TableParagraph"/>
              <w:rPr>
                <w:rFonts w:ascii="Times New Roman"/>
                <w:sz w:val="18"/>
              </w:rPr>
            </w:pPr>
          </w:p>
        </w:tc>
        <w:tc>
          <w:tcPr>
            <w:tcW w:w="1210" w:type="dxa"/>
          </w:tcPr>
          <w:p>
            <w:pPr>
              <w:pStyle w:val="TableParagraph"/>
              <w:spacing w:before="33"/>
              <w:ind w:right="61"/>
              <w:jc w:val="right"/>
              <w:rPr>
                <w:sz w:val="20"/>
              </w:rPr>
            </w:pPr>
            <w:r>
              <w:rPr>
                <w:spacing w:val="-2"/>
                <w:sz w:val="20"/>
              </w:rPr>
              <w:t>80.757,49</w:t>
            </w:r>
          </w:p>
        </w:tc>
        <w:tc>
          <w:tcPr>
            <w:tcW w:w="1140" w:type="dxa"/>
          </w:tcPr>
          <w:p>
            <w:pPr>
              <w:pStyle w:val="TableParagraph"/>
              <w:rPr>
                <w:rFonts w:ascii="Times New Roman"/>
                <w:sz w:val="18"/>
              </w:rPr>
            </w:pPr>
          </w:p>
        </w:tc>
        <w:tc>
          <w:tcPr>
            <w:tcW w:w="1207" w:type="dxa"/>
          </w:tcPr>
          <w:p>
            <w:pPr>
              <w:pStyle w:val="TableParagraph"/>
              <w:spacing w:before="33"/>
              <w:ind w:left="185"/>
              <w:jc w:val="center"/>
              <w:rPr>
                <w:sz w:val="20"/>
              </w:rPr>
            </w:pPr>
            <w:r>
              <w:rPr>
                <w:spacing w:val="-2"/>
                <w:sz w:val="20"/>
              </w:rPr>
              <w:t>80.757,49</w:t>
            </w:r>
          </w:p>
        </w:tc>
      </w:tr>
      <w:tr>
        <w:trPr>
          <w:trHeight w:val="302" w:hRule="atLeast"/>
        </w:trPr>
        <w:tc>
          <w:tcPr>
            <w:tcW w:w="2678" w:type="dxa"/>
          </w:tcPr>
          <w:p>
            <w:pPr>
              <w:pStyle w:val="TableParagraph"/>
              <w:spacing w:before="30"/>
              <w:ind w:right="63"/>
              <w:jc w:val="right"/>
              <w:rPr>
                <w:b/>
                <w:sz w:val="20"/>
              </w:rPr>
            </w:pPr>
            <w:r>
              <w:rPr>
                <w:b/>
                <w:spacing w:val="-2"/>
                <w:sz w:val="20"/>
              </w:rPr>
              <w:t>TOTAL</w:t>
            </w:r>
          </w:p>
        </w:tc>
        <w:tc>
          <w:tcPr>
            <w:tcW w:w="1200" w:type="dxa"/>
          </w:tcPr>
          <w:p>
            <w:pPr>
              <w:pStyle w:val="TableParagraph"/>
              <w:spacing w:before="30"/>
              <w:ind w:right="58"/>
              <w:jc w:val="right"/>
              <w:rPr>
                <w:b/>
                <w:sz w:val="20"/>
              </w:rPr>
            </w:pPr>
            <w:r>
              <w:rPr>
                <w:b/>
                <w:spacing w:val="-2"/>
                <w:sz w:val="20"/>
              </w:rPr>
              <w:t>34.959,46</w:t>
            </w:r>
          </w:p>
        </w:tc>
        <w:tc>
          <w:tcPr>
            <w:tcW w:w="1210" w:type="dxa"/>
          </w:tcPr>
          <w:p>
            <w:pPr>
              <w:pStyle w:val="TableParagraph"/>
              <w:spacing w:before="30"/>
              <w:ind w:right="63"/>
              <w:jc w:val="right"/>
              <w:rPr>
                <w:b/>
                <w:sz w:val="20"/>
              </w:rPr>
            </w:pPr>
            <w:r>
              <w:rPr>
                <w:b/>
                <w:spacing w:val="-2"/>
                <w:sz w:val="20"/>
              </w:rPr>
              <w:t>211.654,13</w:t>
            </w:r>
          </w:p>
        </w:tc>
        <w:tc>
          <w:tcPr>
            <w:tcW w:w="1140" w:type="dxa"/>
          </w:tcPr>
          <w:p>
            <w:pPr>
              <w:pStyle w:val="TableParagraph"/>
              <w:spacing w:before="30"/>
              <w:ind w:right="61"/>
              <w:jc w:val="right"/>
              <w:rPr>
                <w:b/>
                <w:sz w:val="20"/>
              </w:rPr>
            </w:pPr>
            <w:r>
              <w:rPr>
                <w:b/>
                <w:spacing w:val="-2"/>
                <w:sz w:val="20"/>
              </w:rPr>
              <w:t>34.959,46</w:t>
            </w:r>
          </w:p>
        </w:tc>
        <w:tc>
          <w:tcPr>
            <w:tcW w:w="1207" w:type="dxa"/>
          </w:tcPr>
          <w:p>
            <w:pPr>
              <w:pStyle w:val="TableParagraph"/>
              <w:spacing w:before="30"/>
              <w:ind w:left="73"/>
              <w:jc w:val="center"/>
              <w:rPr>
                <w:b/>
                <w:sz w:val="20"/>
              </w:rPr>
            </w:pPr>
            <w:r>
              <w:rPr>
                <w:b/>
                <w:spacing w:val="-2"/>
                <w:sz w:val="20"/>
              </w:rPr>
              <w:t>190.916,86</w:t>
            </w:r>
          </w:p>
        </w:tc>
      </w:tr>
    </w:tbl>
    <w:p>
      <w:pPr>
        <w:pStyle w:val="TableParagraph"/>
        <w:spacing w:after="0"/>
        <w:jc w:val="center"/>
        <w:rPr>
          <w:b/>
          <w:sz w:val="20"/>
        </w:rPr>
        <w:sectPr>
          <w:pgSz w:w="11910" w:h="16840"/>
          <w:pgMar w:header="286" w:footer="1060" w:top="1920" w:bottom="1260" w:left="360" w:right="360"/>
        </w:sectPr>
      </w:pPr>
    </w:p>
    <w:p>
      <w:pPr>
        <w:pStyle w:val="BodyText"/>
        <w:spacing w:before="201"/>
      </w:pPr>
    </w:p>
    <w:p>
      <w:pPr>
        <w:pStyle w:val="ListParagraph"/>
        <w:numPr>
          <w:ilvl w:val="1"/>
          <w:numId w:val="23"/>
        </w:numPr>
        <w:tabs>
          <w:tab w:pos="2488" w:val="left" w:leader="none"/>
        </w:tabs>
        <w:spacing w:line="240" w:lineRule="auto" w:before="0" w:after="0"/>
        <w:ind w:left="2488" w:right="0" w:hanging="439"/>
        <w:jc w:val="left"/>
        <w:rPr>
          <w:sz w:val="20"/>
          <w:u w:val="single"/>
        </w:rPr>
      </w:pPr>
      <w:r>
        <w:rPr>
          <w:spacing w:val="-4"/>
          <w:sz w:val="20"/>
          <w:u w:val="single"/>
        </w:rPr>
        <w:t> </w:t>
      </w:r>
      <w:r>
        <w:rPr>
          <w:sz w:val="20"/>
          <w:u w:val="single"/>
        </w:rPr>
        <w:t>Información</w:t>
      </w:r>
      <w:r>
        <w:rPr>
          <w:spacing w:val="-6"/>
          <w:sz w:val="20"/>
          <w:u w:val="single"/>
        </w:rPr>
        <w:t> </w:t>
      </w:r>
      <w:r>
        <w:rPr>
          <w:sz w:val="20"/>
          <w:u w:val="single"/>
        </w:rPr>
        <w:t>sobre</w:t>
      </w:r>
      <w:r>
        <w:rPr>
          <w:spacing w:val="-6"/>
          <w:sz w:val="20"/>
          <w:u w:val="single"/>
        </w:rPr>
        <w:t> </w:t>
      </w:r>
      <w:r>
        <w:rPr>
          <w:sz w:val="20"/>
          <w:u w:val="single"/>
        </w:rPr>
        <w:t>el</w:t>
      </w:r>
      <w:r>
        <w:rPr>
          <w:spacing w:val="-6"/>
          <w:sz w:val="20"/>
          <w:u w:val="single"/>
        </w:rPr>
        <w:t> </w:t>
      </w:r>
      <w:r>
        <w:rPr>
          <w:sz w:val="20"/>
          <w:u w:val="single"/>
        </w:rPr>
        <w:t>órgano</w:t>
      </w:r>
      <w:r>
        <w:rPr>
          <w:spacing w:val="-7"/>
          <w:sz w:val="20"/>
          <w:u w:val="single"/>
        </w:rPr>
        <w:t> </w:t>
      </w:r>
      <w:r>
        <w:rPr>
          <w:sz w:val="20"/>
          <w:u w:val="single"/>
        </w:rPr>
        <w:t>de</w:t>
      </w:r>
      <w:r>
        <w:rPr>
          <w:spacing w:val="-3"/>
          <w:sz w:val="20"/>
          <w:u w:val="single"/>
        </w:rPr>
        <w:t> </w:t>
      </w:r>
      <w:r>
        <w:rPr>
          <w:sz w:val="20"/>
          <w:u w:val="single"/>
        </w:rPr>
        <w:t>administración</w:t>
      </w:r>
      <w:r>
        <w:rPr>
          <w:spacing w:val="-1"/>
          <w:sz w:val="20"/>
          <w:u w:val="single"/>
        </w:rPr>
        <w:t> </w:t>
      </w:r>
      <w:r>
        <w:rPr>
          <w:sz w:val="20"/>
          <w:u w:val="single"/>
        </w:rPr>
        <w:t>y</w:t>
      </w:r>
      <w:r>
        <w:rPr>
          <w:spacing w:val="-7"/>
          <w:sz w:val="20"/>
          <w:u w:val="single"/>
        </w:rPr>
        <w:t> </w:t>
      </w:r>
      <w:r>
        <w:rPr>
          <w:sz w:val="20"/>
          <w:u w:val="single"/>
        </w:rPr>
        <w:t>personal</w:t>
      </w:r>
      <w:r>
        <w:rPr>
          <w:spacing w:val="-8"/>
          <w:sz w:val="20"/>
          <w:u w:val="single"/>
        </w:rPr>
        <w:t> </w:t>
      </w:r>
      <w:r>
        <w:rPr>
          <w:sz w:val="20"/>
          <w:u w:val="single"/>
        </w:rPr>
        <w:t>clave</w:t>
      </w:r>
      <w:r>
        <w:rPr>
          <w:spacing w:val="-7"/>
          <w:sz w:val="20"/>
          <w:u w:val="single"/>
        </w:rPr>
        <w:t> </w:t>
      </w:r>
      <w:r>
        <w:rPr>
          <w:sz w:val="20"/>
          <w:u w:val="single"/>
        </w:rPr>
        <w:t>de</w:t>
      </w:r>
      <w:r>
        <w:rPr>
          <w:spacing w:val="-3"/>
          <w:sz w:val="20"/>
          <w:u w:val="single"/>
        </w:rPr>
        <w:t> </w:t>
      </w:r>
      <w:r>
        <w:rPr>
          <w:sz w:val="20"/>
          <w:u w:val="single"/>
        </w:rPr>
        <w:t>la</w:t>
      </w:r>
      <w:r>
        <w:rPr>
          <w:spacing w:val="-6"/>
          <w:sz w:val="20"/>
          <w:u w:val="single"/>
        </w:rPr>
        <w:t> </w:t>
      </w:r>
      <w:r>
        <w:rPr>
          <w:spacing w:val="-2"/>
          <w:sz w:val="20"/>
          <w:u w:val="single"/>
        </w:rPr>
        <w:t>Compañía.</w:t>
      </w:r>
    </w:p>
    <w:p>
      <w:pPr>
        <w:pStyle w:val="BodyText"/>
        <w:spacing w:before="229"/>
        <w:ind w:left="1701" w:right="1338"/>
        <w:jc w:val="both"/>
      </w:pPr>
      <w:r>
        <w:rPr/>
        <w:t>Los consejeros Don Valerio Medina Álvarez y Don Miguel Ángel Medina Hernández recibieron en el ejercicio 2024 por su ocupación de oficial de taller y conductor respectivamente un importe total de 85.518,31 euros. Durante el ejercicio 2025 han</w:t>
      </w:r>
      <w:r>
        <w:rPr>
          <w:spacing w:val="80"/>
        </w:rPr>
        <w:t> </w:t>
      </w:r>
      <w:r>
        <w:rPr/>
        <w:t>recibido un total de 92.484,23 euros. El resto de consejeros no han recibido cantidad</w:t>
      </w:r>
      <w:r>
        <w:rPr>
          <w:spacing w:val="40"/>
        </w:rPr>
        <w:t> </w:t>
      </w:r>
      <w:r>
        <w:rPr/>
        <w:t>alguna en conceptos de sueldos ni dietas por asistencia al Consejo de Administración.</w:t>
      </w:r>
    </w:p>
    <w:p>
      <w:pPr>
        <w:pStyle w:val="BodyText"/>
      </w:pPr>
    </w:p>
    <w:p>
      <w:pPr>
        <w:pStyle w:val="BodyText"/>
        <w:ind w:left="1699"/>
        <w:jc w:val="both"/>
      </w:pPr>
      <w:r>
        <w:rPr/>
        <w:t>El</w:t>
      </w:r>
      <w:r>
        <w:rPr>
          <w:spacing w:val="-3"/>
        </w:rPr>
        <w:t> </w:t>
      </w:r>
      <w:r>
        <w:rPr/>
        <w:t>personal</w:t>
      </w:r>
      <w:r>
        <w:rPr>
          <w:spacing w:val="-6"/>
        </w:rPr>
        <w:t> </w:t>
      </w:r>
      <w:r>
        <w:rPr/>
        <w:t>clave</w:t>
      </w:r>
      <w:r>
        <w:rPr>
          <w:spacing w:val="-6"/>
        </w:rPr>
        <w:t> </w:t>
      </w:r>
      <w:r>
        <w:rPr/>
        <w:t>de</w:t>
      </w:r>
      <w:r>
        <w:rPr>
          <w:spacing w:val="-6"/>
        </w:rPr>
        <w:t> </w:t>
      </w:r>
      <w:r>
        <w:rPr/>
        <w:t>la</w:t>
      </w:r>
      <w:r>
        <w:rPr>
          <w:spacing w:val="-6"/>
        </w:rPr>
        <w:t> </w:t>
      </w:r>
      <w:r>
        <w:rPr/>
        <w:t>Compañía</w:t>
      </w:r>
      <w:r>
        <w:rPr>
          <w:spacing w:val="-4"/>
        </w:rPr>
        <w:t> </w:t>
      </w:r>
      <w:r>
        <w:rPr/>
        <w:t>es</w:t>
      </w:r>
      <w:r>
        <w:rPr>
          <w:spacing w:val="-3"/>
        </w:rPr>
        <w:t> </w:t>
      </w:r>
      <w:r>
        <w:rPr/>
        <w:t>el</w:t>
      </w:r>
      <w:r>
        <w:rPr>
          <w:spacing w:val="-6"/>
        </w:rPr>
        <w:t> </w:t>
      </w:r>
      <w:r>
        <w:rPr>
          <w:spacing w:val="-2"/>
        </w:rPr>
        <w:t>siguiente:</w:t>
      </w:r>
    </w:p>
    <w:p>
      <w:pPr>
        <w:pStyle w:val="BodyText"/>
        <w:spacing w:before="1"/>
      </w:pPr>
    </w:p>
    <w:p>
      <w:pPr>
        <w:pStyle w:val="ListParagraph"/>
        <w:numPr>
          <w:ilvl w:val="0"/>
          <w:numId w:val="24"/>
        </w:numPr>
        <w:tabs>
          <w:tab w:pos="2059" w:val="left" w:leader="none"/>
        </w:tabs>
        <w:spacing w:line="244" w:lineRule="exact" w:before="1" w:after="0"/>
        <w:ind w:left="2059" w:right="0" w:hanging="360"/>
        <w:jc w:val="left"/>
        <w:rPr>
          <w:sz w:val="20"/>
        </w:rPr>
      </w:pPr>
      <w:r>
        <w:rPr>
          <w:sz w:val="20"/>
        </w:rPr>
        <w:t>Don</w:t>
      </w:r>
      <w:r>
        <w:rPr>
          <w:spacing w:val="-9"/>
          <w:sz w:val="20"/>
        </w:rPr>
        <w:t> </w:t>
      </w:r>
      <w:r>
        <w:rPr>
          <w:sz w:val="20"/>
        </w:rPr>
        <w:t>Miguel</w:t>
      </w:r>
      <w:r>
        <w:rPr>
          <w:spacing w:val="-9"/>
          <w:sz w:val="20"/>
        </w:rPr>
        <w:t> </w:t>
      </w:r>
      <w:r>
        <w:rPr>
          <w:sz w:val="20"/>
        </w:rPr>
        <w:t>Ángel</w:t>
      </w:r>
      <w:r>
        <w:rPr>
          <w:spacing w:val="-10"/>
          <w:sz w:val="20"/>
        </w:rPr>
        <w:t> </w:t>
      </w:r>
      <w:r>
        <w:rPr>
          <w:sz w:val="20"/>
        </w:rPr>
        <w:t>Rodríguez</w:t>
      </w:r>
      <w:r>
        <w:rPr>
          <w:spacing w:val="-10"/>
          <w:sz w:val="20"/>
        </w:rPr>
        <w:t> </w:t>
      </w:r>
      <w:r>
        <w:rPr>
          <w:sz w:val="20"/>
        </w:rPr>
        <w:t>Ramírez,</w:t>
      </w:r>
      <w:r>
        <w:rPr>
          <w:spacing w:val="-5"/>
          <w:sz w:val="20"/>
        </w:rPr>
        <w:t> </w:t>
      </w:r>
      <w:r>
        <w:rPr>
          <w:sz w:val="20"/>
        </w:rPr>
        <w:t>Director</w:t>
      </w:r>
      <w:r>
        <w:rPr>
          <w:spacing w:val="-7"/>
          <w:sz w:val="20"/>
        </w:rPr>
        <w:t> </w:t>
      </w:r>
      <w:r>
        <w:rPr>
          <w:spacing w:val="-2"/>
          <w:sz w:val="20"/>
        </w:rPr>
        <w:t>General.</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9"/>
          <w:sz w:val="20"/>
        </w:rPr>
        <w:t> </w:t>
      </w:r>
      <w:r>
        <w:rPr>
          <w:sz w:val="20"/>
        </w:rPr>
        <w:t>Ángel</w:t>
      </w:r>
      <w:r>
        <w:rPr>
          <w:spacing w:val="-9"/>
          <w:sz w:val="20"/>
        </w:rPr>
        <w:t> </w:t>
      </w:r>
      <w:r>
        <w:rPr>
          <w:sz w:val="20"/>
        </w:rPr>
        <w:t>Luis</w:t>
      </w:r>
      <w:r>
        <w:rPr>
          <w:spacing w:val="-9"/>
          <w:sz w:val="20"/>
        </w:rPr>
        <w:t> </w:t>
      </w:r>
      <w:r>
        <w:rPr>
          <w:sz w:val="20"/>
        </w:rPr>
        <w:t>Placeres</w:t>
      </w:r>
      <w:r>
        <w:rPr>
          <w:spacing w:val="-10"/>
          <w:sz w:val="20"/>
        </w:rPr>
        <w:t> </w:t>
      </w:r>
      <w:r>
        <w:rPr>
          <w:sz w:val="20"/>
        </w:rPr>
        <w:t>Hernández,</w:t>
      </w:r>
      <w:r>
        <w:rPr>
          <w:spacing w:val="-11"/>
          <w:sz w:val="20"/>
        </w:rPr>
        <w:t> </w:t>
      </w:r>
      <w:r>
        <w:rPr>
          <w:sz w:val="20"/>
        </w:rPr>
        <w:t>Director</w:t>
      </w:r>
      <w:r>
        <w:rPr>
          <w:spacing w:val="-10"/>
          <w:sz w:val="20"/>
        </w:rPr>
        <w:t> </w:t>
      </w:r>
      <w:r>
        <w:rPr>
          <w:sz w:val="20"/>
        </w:rPr>
        <w:t>Económico-</w:t>
      </w:r>
      <w:r>
        <w:rPr>
          <w:spacing w:val="-2"/>
          <w:sz w:val="20"/>
        </w:rPr>
        <w:t>Financiero.</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10"/>
          <w:sz w:val="20"/>
        </w:rPr>
        <w:t> </w:t>
      </w:r>
      <w:r>
        <w:rPr>
          <w:sz w:val="20"/>
        </w:rPr>
        <w:t>Manuel</w:t>
      </w:r>
      <w:r>
        <w:rPr>
          <w:spacing w:val="-7"/>
          <w:sz w:val="20"/>
        </w:rPr>
        <w:t> </w:t>
      </w:r>
      <w:r>
        <w:rPr>
          <w:sz w:val="20"/>
        </w:rPr>
        <w:t>Ángel</w:t>
      </w:r>
      <w:r>
        <w:rPr>
          <w:spacing w:val="-10"/>
          <w:sz w:val="20"/>
        </w:rPr>
        <w:t> </w:t>
      </w:r>
      <w:r>
        <w:rPr>
          <w:sz w:val="20"/>
        </w:rPr>
        <w:t>Hernández</w:t>
      </w:r>
      <w:r>
        <w:rPr>
          <w:spacing w:val="-11"/>
          <w:sz w:val="20"/>
        </w:rPr>
        <w:t> </w:t>
      </w:r>
      <w:r>
        <w:rPr>
          <w:sz w:val="20"/>
        </w:rPr>
        <w:t>Dámaso,</w:t>
      </w:r>
      <w:r>
        <w:rPr>
          <w:spacing w:val="-9"/>
          <w:sz w:val="20"/>
        </w:rPr>
        <w:t> </w:t>
      </w:r>
      <w:r>
        <w:rPr>
          <w:sz w:val="20"/>
        </w:rPr>
        <w:t>Director</w:t>
      </w:r>
      <w:r>
        <w:rPr>
          <w:spacing w:val="-8"/>
          <w:sz w:val="20"/>
        </w:rPr>
        <w:t> </w:t>
      </w:r>
      <w:r>
        <w:rPr>
          <w:sz w:val="20"/>
        </w:rPr>
        <w:t>Relaciones</w:t>
      </w:r>
      <w:r>
        <w:rPr>
          <w:spacing w:val="-8"/>
          <w:sz w:val="20"/>
        </w:rPr>
        <w:t> </w:t>
      </w:r>
      <w:r>
        <w:rPr>
          <w:spacing w:val="-2"/>
          <w:sz w:val="20"/>
        </w:rPr>
        <w:t>Institucionales.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7"/>
          <w:sz w:val="20"/>
        </w:rPr>
        <w:t> </w:t>
      </w:r>
      <w:r>
        <w:rPr>
          <w:sz w:val="20"/>
        </w:rPr>
        <w:t>Roque</w:t>
      </w:r>
      <w:r>
        <w:rPr>
          <w:spacing w:val="-6"/>
          <w:sz w:val="20"/>
        </w:rPr>
        <w:t> </w:t>
      </w:r>
      <w:r>
        <w:rPr>
          <w:sz w:val="20"/>
        </w:rPr>
        <w:t>Ignacio</w:t>
      </w:r>
      <w:r>
        <w:rPr>
          <w:spacing w:val="-7"/>
          <w:sz w:val="20"/>
        </w:rPr>
        <w:t> </w:t>
      </w:r>
      <w:r>
        <w:rPr>
          <w:sz w:val="20"/>
        </w:rPr>
        <w:t>Suárez</w:t>
      </w:r>
      <w:r>
        <w:rPr>
          <w:spacing w:val="-4"/>
          <w:sz w:val="20"/>
        </w:rPr>
        <w:t> </w:t>
      </w:r>
      <w:r>
        <w:rPr>
          <w:sz w:val="20"/>
        </w:rPr>
        <w:t>López,</w:t>
      </w:r>
      <w:r>
        <w:rPr>
          <w:spacing w:val="-5"/>
          <w:sz w:val="20"/>
        </w:rPr>
        <w:t> </w:t>
      </w:r>
      <w:r>
        <w:rPr>
          <w:sz w:val="20"/>
        </w:rPr>
        <w:t>Director</w:t>
      </w:r>
      <w:r>
        <w:rPr>
          <w:spacing w:val="-7"/>
          <w:sz w:val="20"/>
        </w:rPr>
        <w:t> </w:t>
      </w:r>
      <w:r>
        <w:rPr>
          <w:sz w:val="20"/>
        </w:rPr>
        <w:t>de</w:t>
      </w:r>
      <w:r>
        <w:rPr>
          <w:spacing w:val="-6"/>
          <w:sz w:val="20"/>
        </w:rPr>
        <w:t> </w:t>
      </w:r>
      <w:r>
        <w:rPr>
          <w:sz w:val="20"/>
        </w:rPr>
        <w:t>Gestión</w:t>
      </w:r>
      <w:r>
        <w:rPr>
          <w:spacing w:val="-1"/>
          <w:sz w:val="20"/>
        </w:rPr>
        <w:t> </w:t>
      </w:r>
      <w:r>
        <w:rPr>
          <w:sz w:val="20"/>
        </w:rPr>
        <w:t>y</w:t>
      </w:r>
      <w:r>
        <w:rPr>
          <w:spacing w:val="-10"/>
          <w:sz w:val="20"/>
        </w:rPr>
        <w:t> </w:t>
      </w:r>
      <w:r>
        <w:rPr>
          <w:sz w:val="20"/>
        </w:rPr>
        <w:t>Desarrollo</w:t>
      </w:r>
      <w:r>
        <w:rPr>
          <w:spacing w:val="-6"/>
          <w:sz w:val="20"/>
        </w:rPr>
        <w:t> </w:t>
      </w:r>
      <w:r>
        <w:rPr>
          <w:sz w:val="20"/>
        </w:rPr>
        <w:t>de</w:t>
      </w:r>
      <w:r>
        <w:rPr>
          <w:spacing w:val="-7"/>
          <w:sz w:val="20"/>
        </w:rPr>
        <w:t> </w:t>
      </w:r>
      <w:r>
        <w:rPr>
          <w:spacing w:val="-2"/>
          <w:sz w:val="20"/>
        </w:rPr>
        <w:t>Personas.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Doña</w:t>
      </w:r>
      <w:r>
        <w:rPr>
          <w:spacing w:val="-6"/>
          <w:sz w:val="20"/>
        </w:rPr>
        <w:t> </w:t>
      </w:r>
      <w:r>
        <w:rPr>
          <w:sz w:val="20"/>
        </w:rPr>
        <w:t>Ángeles</w:t>
      </w:r>
      <w:r>
        <w:rPr>
          <w:spacing w:val="-7"/>
          <w:sz w:val="20"/>
        </w:rPr>
        <w:t> </w:t>
      </w:r>
      <w:r>
        <w:rPr>
          <w:sz w:val="20"/>
        </w:rPr>
        <w:t>Maeso</w:t>
      </w:r>
      <w:r>
        <w:rPr>
          <w:spacing w:val="-9"/>
          <w:sz w:val="20"/>
        </w:rPr>
        <w:t> </w:t>
      </w:r>
      <w:r>
        <w:rPr>
          <w:sz w:val="20"/>
        </w:rPr>
        <w:t>Fortuni,</w:t>
      </w:r>
      <w:r>
        <w:rPr>
          <w:spacing w:val="-8"/>
          <w:sz w:val="20"/>
        </w:rPr>
        <w:t> </w:t>
      </w:r>
      <w:r>
        <w:rPr>
          <w:sz w:val="20"/>
        </w:rPr>
        <w:t>Directora</w:t>
      </w:r>
      <w:r>
        <w:rPr>
          <w:spacing w:val="-7"/>
          <w:sz w:val="20"/>
        </w:rPr>
        <w:t> </w:t>
      </w:r>
      <w:r>
        <w:rPr>
          <w:sz w:val="20"/>
        </w:rPr>
        <w:t>de</w:t>
      </w:r>
      <w:r>
        <w:rPr>
          <w:spacing w:val="-7"/>
          <w:sz w:val="20"/>
        </w:rPr>
        <w:t> </w:t>
      </w:r>
      <w:r>
        <w:rPr>
          <w:spacing w:val="-2"/>
          <w:sz w:val="20"/>
        </w:rPr>
        <w:t>Planificación.</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8"/>
          <w:sz w:val="20"/>
        </w:rPr>
        <w:t> </w:t>
      </w:r>
      <w:r>
        <w:rPr>
          <w:sz w:val="20"/>
        </w:rPr>
        <w:t>José</w:t>
      </w:r>
      <w:r>
        <w:rPr>
          <w:spacing w:val="-6"/>
          <w:sz w:val="20"/>
        </w:rPr>
        <w:t> </w:t>
      </w:r>
      <w:r>
        <w:rPr>
          <w:sz w:val="20"/>
        </w:rPr>
        <w:t>Efigenio</w:t>
      </w:r>
      <w:r>
        <w:rPr>
          <w:spacing w:val="-8"/>
          <w:sz w:val="20"/>
        </w:rPr>
        <w:t> </w:t>
      </w:r>
      <w:r>
        <w:rPr>
          <w:sz w:val="20"/>
        </w:rPr>
        <w:t>Hernández</w:t>
      </w:r>
      <w:r>
        <w:rPr>
          <w:spacing w:val="-10"/>
          <w:sz w:val="20"/>
        </w:rPr>
        <w:t> </w:t>
      </w:r>
      <w:r>
        <w:rPr>
          <w:sz w:val="20"/>
        </w:rPr>
        <w:t>Cabrera,</w:t>
      </w:r>
      <w:r>
        <w:rPr>
          <w:spacing w:val="-5"/>
          <w:sz w:val="20"/>
        </w:rPr>
        <w:t> </w:t>
      </w:r>
      <w:r>
        <w:rPr>
          <w:sz w:val="20"/>
        </w:rPr>
        <w:t>Director</w:t>
      </w:r>
      <w:r>
        <w:rPr>
          <w:spacing w:val="-5"/>
          <w:sz w:val="20"/>
        </w:rPr>
        <w:t> </w:t>
      </w:r>
      <w:r>
        <w:rPr>
          <w:sz w:val="20"/>
        </w:rPr>
        <w:t>de</w:t>
      </w:r>
      <w:r>
        <w:rPr>
          <w:spacing w:val="-8"/>
          <w:sz w:val="20"/>
        </w:rPr>
        <w:t> </w:t>
      </w:r>
      <w:r>
        <w:rPr>
          <w:sz w:val="20"/>
        </w:rPr>
        <w:t>Informática</w:t>
      </w:r>
      <w:r>
        <w:rPr>
          <w:spacing w:val="-6"/>
          <w:sz w:val="20"/>
        </w:rPr>
        <w:t> </w:t>
      </w:r>
      <w:r>
        <w:rPr>
          <w:sz w:val="20"/>
        </w:rPr>
        <w:t>y</w:t>
      </w:r>
      <w:r>
        <w:rPr>
          <w:spacing w:val="-11"/>
          <w:sz w:val="20"/>
        </w:rPr>
        <w:t> </w:t>
      </w:r>
      <w:r>
        <w:rPr>
          <w:spacing w:val="-2"/>
          <w:sz w:val="20"/>
        </w:rPr>
        <w:t>TIC’s.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Doña</w:t>
      </w:r>
      <w:r>
        <w:rPr>
          <w:spacing w:val="-6"/>
          <w:sz w:val="20"/>
        </w:rPr>
        <w:t> </w:t>
      </w:r>
      <w:r>
        <w:rPr>
          <w:sz w:val="20"/>
        </w:rPr>
        <w:t>Gemma</w:t>
      </w:r>
      <w:r>
        <w:rPr>
          <w:spacing w:val="-9"/>
          <w:sz w:val="20"/>
        </w:rPr>
        <w:t> </w:t>
      </w:r>
      <w:r>
        <w:rPr>
          <w:sz w:val="20"/>
        </w:rPr>
        <w:t>Tor</w:t>
      </w:r>
      <w:r>
        <w:rPr>
          <w:spacing w:val="-5"/>
          <w:sz w:val="20"/>
        </w:rPr>
        <w:t> </w:t>
      </w:r>
      <w:r>
        <w:rPr>
          <w:sz w:val="20"/>
        </w:rPr>
        <w:t>Visús,</w:t>
      </w:r>
      <w:r>
        <w:rPr>
          <w:spacing w:val="-6"/>
          <w:sz w:val="20"/>
        </w:rPr>
        <w:t> </w:t>
      </w:r>
      <w:r>
        <w:rPr>
          <w:sz w:val="20"/>
        </w:rPr>
        <w:t>Directora</w:t>
      </w:r>
      <w:r>
        <w:rPr>
          <w:spacing w:val="-7"/>
          <w:sz w:val="20"/>
        </w:rPr>
        <w:t> </w:t>
      </w:r>
      <w:r>
        <w:rPr>
          <w:sz w:val="20"/>
        </w:rPr>
        <w:t>de</w:t>
      </w:r>
      <w:r>
        <w:rPr>
          <w:spacing w:val="-4"/>
          <w:sz w:val="20"/>
        </w:rPr>
        <w:t> </w:t>
      </w:r>
      <w:r>
        <w:rPr>
          <w:sz w:val="20"/>
        </w:rPr>
        <w:t>Calidad</w:t>
      </w:r>
      <w:r>
        <w:rPr>
          <w:spacing w:val="-2"/>
          <w:sz w:val="20"/>
        </w:rPr>
        <w:t> </w:t>
      </w:r>
      <w:r>
        <w:rPr>
          <w:sz w:val="20"/>
        </w:rPr>
        <w:t>y</w:t>
      </w:r>
      <w:r>
        <w:rPr>
          <w:spacing w:val="-9"/>
          <w:sz w:val="20"/>
        </w:rPr>
        <w:t> </w:t>
      </w:r>
      <w:r>
        <w:rPr>
          <w:spacing w:val="-2"/>
          <w:sz w:val="20"/>
        </w:rPr>
        <w:t>Comercial.</w:t>
      </w:r>
    </w:p>
    <w:p>
      <w:pPr>
        <w:pStyle w:val="ListParagraph"/>
        <w:numPr>
          <w:ilvl w:val="0"/>
          <w:numId w:val="24"/>
        </w:numPr>
        <w:tabs>
          <w:tab w:pos="2059" w:val="left" w:leader="none"/>
        </w:tabs>
        <w:spacing w:line="242" w:lineRule="exact" w:before="0" w:after="0"/>
        <w:ind w:left="2059" w:right="0" w:hanging="360"/>
        <w:jc w:val="left"/>
        <w:rPr>
          <w:sz w:val="20"/>
        </w:rPr>
      </w:pPr>
      <w:r>
        <w:rPr>
          <w:sz w:val="20"/>
        </w:rPr>
        <w:t>Don</w:t>
      </w:r>
      <w:r>
        <w:rPr>
          <w:spacing w:val="-4"/>
          <w:sz w:val="20"/>
        </w:rPr>
        <w:t> </w:t>
      </w:r>
      <w:r>
        <w:rPr>
          <w:sz w:val="20"/>
        </w:rPr>
        <w:t>Antonio</w:t>
      </w:r>
      <w:r>
        <w:rPr>
          <w:spacing w:val="-8"/>
          <w:sz w:val="20"/>
        </w:rPr>
        <w:t> </w:t>
      </w:r>
      <w:r>
        <w:rPr>
          <w:sz w:val="20"/>
        </w:rPr>
        <w:t>Artiles</w:t>
      </w:r>
      <w:r>
        <w:rPr>
          <w:spacing w:val="-6"/>
          <w:sz w:val="20"/>
        </w:rPr>
        <w:t> </w:t>
      </w:r>
      <w:r>
        <w:rPr>
          <w:sz w:val="20"/>
        </w:rPr>
        <w:t>del</w:t>
      </w:r>
      <w:r>
        <w:rPr>
          <w:spacing w:val="-8"/>
          <w:sz w:val="20"/>
        </w:rPr>
        <w:t> </w:t>
      </w:r>
      <w:r>
        <w:rPr>
          <w:sz w:val="20"/>
        </w:rPr>
        <w:t>Toro,</w:t>
      </w:r>
      <w:r>
        <w:rPr>
          <w:spacing w:val="-7"/>
          <w:sz w:val="20"/>
        </w:rPr>
        <w:t> </w:t>
      </w:r>
      <w:r>
        <w:rPr>
          <w:sz w:val="20"/>
        </w:rPr>
        <w:t>Director</w:t>
      </w:r>
      <w:r>
        <w:rPr>
          <w:spacing w:val="-4"/>
          <w:sz w:val="20"/>
        </w:rPr>
        <w:t> </w:t>
      </w:r>
      <w:r>
        <w:rPr>
          <w:sz w:val="20"/>
        </w:rPr>
        <w:t>de</w:t>
      </w:r>
      <w:r>
        <w:rPr>
          <w:spacing w:val="-7"/>
          <w:sz w:val="20"/>
        </w:rPr>
        <w:t> </w:t>
      </w:r>
      <w:r>
        <w:rPr>
          <w:spacing w:val="-2"/>
          <w:sz w:val="20"/>
        </w:rPr>
        <w:t>Operaciones.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5"/>
          <w:sz w:val="20"/>
        </w:rPr>
        <w:t> </w:t>
      </w:r>
      <w:r>
        <w:rPr>
          <w:sz w:val="20"/>
        </w:rPr>
        <w:t>Eduardo</w:t>
      </w:r>
      <w:r>
        <w:rPr>
          <w:spacing w:val="-7"/>
          <w:sz w:val="20"/>
        </w:rPr>
        <w:t> </w:t>
      </w:r>
      <w:r>
        <w:rPr>
          <w:sz w:val="20"/>
        </w:rPr>
        <w:t>García</w:t>
      </w:r>
      <w:r>
        <w:rPr>
          <w:spacing w:val="-7"/>
          <w:sz w:val="20"/>
        </w:rPr>
        <w:t> </w:t>
      </w:r>
      <w:r>
        <w:rPr>
          <w:sz w:val="20"/>
        </w:rPr>
        <w:t>Suárez,</w:t>
      </w:r>
      <w:r>
        <w:rPr>
          <w:spacing w:val="-7"/>
          <w:sz w:val="20"/>
        </w:rPr>
        <w:t> </w:t>
      </w:r>
      <w:r>
        <w:rPr>
          <w:sz w:val="20"/>
        </w:rPr>
        <w:t>Director</w:t>
      </w:r>
      <w:r>
        <w:rPr>
          <w:spacing w:val="-5"/>
          <w:sz w:val="20"/>
        </w:rPr>
        <w:t> </w:t>
      </w:r>
      <w:r>
        <w:rPr>
          <w:sz w:val="20"/>
        </w:rPr>
        <w:t>de</w:t>
      </w:r>
      <w:r>
        <w:rPr>
          <w:spacing w:val="-8"/>
          <w:sz w:val="20"/>
        </w:rPr>
        <w:t> </w:t>
      </w:r>
      <w:r>
        <w:rPr>
          <w:sz w:val="20"/>
        </w:rPr>
        <w:t>Prevención</w:t>
      </w:r>
      <w:r>
        <w:rPr>
          <w:spacing w:val="-4"/>
          <w:sz w:val="20"/>
        </w:rPr>
        <w:t> </w:t>
      </w:r>
      <w:r>
        <w:rPr>
          <w:sz w:val="20"/>
        </w:rPr>
        <w:t>y</w:t>
      </w:r>
      <w:r>
        <w:rPr>
          <w:spacing w:val="-9"/>
          <w:sz w:val="20"/>
        </w:rPr>
        <w:t> </w:t>
      </w:r>
      <w:r>
        <w:rPr>
          <w:spacing w:val="-2"/>
          <w:sz w:val="20"/>
        </w:rPr>
        <w:t>Seguros.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7"/>
          <w:sz w:val="20"/>
        </w:rPr>
        <w:t> </w:t>
      </w:r>
      <w:r>
        <w:rPr>
          <w:sz w:val="20"/>
        </w:rPr>
        <w:t>Jesús</w:t>
      </w:r>
      <w:r>
        <w:rPr>
          <w:spacing w:val="-5"/>
          <w:sz w:val="20"/>
        </w:rPr>
        <w:t> </w:t>
      </w:r>
      <w:r>
        <w:rPr>
          <w:sz w:val="20"/>
        </w:rPr>
        <w:t>Orlando</w:t>
      </w:r>
      <w:r>
        <w:rPr>
          <w:spacing w:val="-6"/>
          <w:sz w:val="20"/>
        </w:rPr>
        <w:t> </w:t>
      </w:r>
      <w:r>
        <w:rPr>
          <w:sz w:val="20"/>
        </w:rPr>
        <w:t>Jiménez</w:t>
      </w:r>
      <w:r>
        <w:rPr>
          <w:spacing w:val="-9"/>
          <w:sz w:val="20"/>
        </w:rPr>
        <w:t> </w:t>
      </w:r>
      <w:r>
        <w:rPr>
          <w:sz w:val="20"/>
        </w:rPr>
        <w:t>Artiles,</w:t>
      </w:r>
      <w:r>
        <w:rPr>
          <w:spacing w:val="-8"/>
          <w:sz w:val="20"/>
        </w:rPr>
        <w:t> </w:t>
      </w:r>
      <w:r>
        <w:rPr>
          <w:sz w:val="20"/>
        </w:rPr>
        <w:t>Director</w:t>
      </w:r>
      <w:r>
        <w:rPr>
          <w:spacing w:val="-5"/>
          <w:sz w:val="20"/>
        </w:rPr>
        <w:t> </w:t>
      </w:r>
      <w:r>
        <w:rPr>
          <w:sz w:val="20"/>
        </w:rPr>
        <w:t>de</w:t>
      </w:r>
      <w:r>
        <w:rPr>
          <w:spacing w:val="-4"/>
          <w:sz w:val="20"/>
        </w:rPr>
        <w:t> </w:t>
      </w:r>
      <w:r>
        <w:rPr>
          <w:sz w:val="20"/>
        </w:rPr>
        <w:t>Control</w:t>
      </w:r>
      <w:r>
        <w:rPr>
          <w:spacing w:val="-8"/>
          <w:sz w:val="20"/>
        </w:rPr>
        <w:t> </w:t>
      </w:r>
      <w:r>
        <w:rPr>
          <w:sz w:val="20"/>
        </w:rPr>
        <w:t>Interno</w:t>
      </w:r>
      <w:r>
        <w:rPr>
          <w:spacing w:val="-2"/>
          <w:sz w:val="20"/>
        </w:rPr>
        <w:t> </w:t>
      </w:r>
      <w:r>
        <w:rPr>
          <w:sz w:val="20"/>
        </w:rPr>
        <w:t>y</w:t>
      </w:r>
      <w:r>
        <w:rPr>
          <w:spacing w:val="-8"/>
          <w:sz w:val="20"/>
        </w:rPr>
        <w:t> </w:t>
      </w:r>
      <w:r>
        <w:rPr>
          <w:spacing w:val="-2"/>
          <w:sz w:val="20"/>
        </w:rPr>
        <w:t>Compras.</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6"/>
          <w:sz w:val="20"/>
        </w:rPr>
        <w:t> </w:t>
      </w:r>
      <w:r>
        <w:rPr>
          <w:sz w:val="20"/>
        </w:rPr>
        <w:t>Adrián</w:t>
      </w:r>
      <w:r>
        <w:rPr>
          <w:spacing w:val="-8"/>
          <w:sz w:val="20"/>
        </w:rPr>
        <w:t> </w:t>
      </w:r>
      <w:r>
        <w:rPr>
          <w:sz w:val="20"/>
        </w:rPr>
        <w:t>Delgado</w:t>
      </w:r>
      <w:r>
        <w:rPr>
          <w:spacing w:val="-8"/>
          <w:sz w:val="20"/>
        </w:rPr>
        <w:t> </w:t>
      </w:r>
      <w:r>
        <w:rPr>
          <w:sz w:val="20"/>
        </w:rPr>
        <w:t>Montesdeoca,</w:t>
      </w:r>
      <w:r>
        <w:rPr>
          <w:spacing w:val="-8"/>
          <w:sz w:val="20"/>
        </w:rPr>
        <w:t> </w:t>
      </w:r>
      <w:r>
        <w:rPr>
          <w:sz w:val="20"/>
        </w:rPr>
        <w:t>Director</w:t>
      </w:r>
      <w:r>
        <w:rPr>
          <w:spacing w:val="-7"/>
          <w:sz w:val="20"/>
        </w:rPr>
        <w:t> </w:t>
      </w:r>
      <w:r>
        <w:rPr>
          <w:sz w:val="20"/>
        </w:rPr>
        <w:t>de</w:t>
      </w:r>
      <w:r>
        <w:rPr>
          <w:spacing w:val="-8"/>
          <w:sz w:val="20"/>
        </w:rPr>
        <w:t> </w:t>
      </w:r>
      <w:r>
        <w:rPr>
          <w:sz w:val="20"/>
        </w:rPr>
        <w:t>Servicios</w:t>
      </w:r>
      <w:r>
        <w:rPr>
          <w:spacing w:val="-6"/>
          <w:sz w:val="20"/>
        </w:rPr>
        <w:t> </w:t>
      </w:r>
      <w:r>
        <w:rPr>
          <w:sz w:val="20"/>
        </w:rPr>
        <w:t>Jurídicos</w:t>
      </w:r>
      <w:r>
        <w:rPr>
          <w:spacing w:val="-4"/>
          <w:sz w:val="20"/>
        </w:rPr>
        <w:t> </w:t>
      </w:r>
      <w:r>
        <w:rPr>
          <w:sz w:val="20"/>
        </w:rPr>
        <w:t>y</w:t>
      </w:r>
      <w:r>
        <w:rPr>
          <w:spacing w:val="-9"/>
          <w:sz w:val="20"/>
        </w:rPr>
        <w:t> </w:t>
      </w:r>
      <w:r>
        <w:rPr>
          <w:spacing w:val="-2"/>
          <w:sz w:val="20"/>
        </w:rPr>
        <w:t>Contratación.</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Don</w:t>
      </w:r>
      <w:r>
        <w:rPr>
          <w:spacing w:val="-8"/>
          <w:sz w:val="20"/>
        </w:rPr>
        <w:t> </w:t>
      </w:r>
      <w:r>
        <w:rPr>
          <w:sz w:val="20"/>
        </w:rPr>
        <w:t>Óscar</w:t>
      </w:r>
      <w:r>
        <w:rPr>
          <w:spacing w:val="-5"/>
          <w:sz w:val="20"/>
        </w:rPr>
        <w:t> </w:t>
      </w:r>
      <w:r>
        <w:rPr>
          <w:sz w:val="20"/>
        </w:rPr>
        <w:t>Fuentes</w:t>
      </w:r>
      <w:r>
        <w:rPr>
          <w:spacing w:val="-6"/>
          <w:sz w:val="20"/>
        </w:rPr>
        <w:t> </w:t>
      </w:r>
      <w:r>
        <w:rPr>
          <w:sz w:val="20"/>
        </w:rPr>
        <w:t>García,</w:t>
      </w:r>
      <w:r>
        <w:rPr>
          <w:spacing w:val="-5"/>
          <w:sz w:val="20"/>
        </w:rPr>
        <w:t> </w:t>
      </w:r>
      <w:r>
        <w:rPr>
          <w:sz w:val="20"/>
        </w:rPr>
        <w:t>Director</w:t>
      </w:r>
      <w:r>
        <w:rPr>
          <w:spacing w:val="-5"/>
          <w:sz w:val="20"/>
        </w:rPr>
        <w:t> </w:t>
      </w:r>
      <w:r>
        <w:rPr>
          <w:sz w:val="20"/>
        </w:rPr>
        <w:t>de</w:t>
      </w:r>
      <w:r>
        <w:rPr>
          <w:spacing w:val="-8"/>
          <w:sz w:val="20"/>
        </w:rPr>
        <w:t> </w:t>
      </w:r>
      <w:r>
        <w:rPr>
          <w:sz w:val="20"/>
        </w:rPr>
        <w:t>Salud</w:t>
      </w:r>
      <w:r>
        <w:rPr>
          <w:spacing w:val="-5"/>
          <w:sz w:val="20"/>
        </w:rPr>
        <w:t> </w:t>
      </w:r>
      <w:r>
        <w:rPr>
          <w:sz w:val="20"/>
        </w:rPr>
        <w:t>Laboral</w:t>
      </w:r>
      <w:r>
        <w:rPr>
          <w:spacing w:val="-4"/>
          <w:sz w:val="20"/>
        </w:rPr>
        <w:t> </w:t>
      </w:r>
      <w:r>
        <w:rPr>
          <w:sz w:val="20"/>
        </w:rPr>
        <w:t>y</w:t>
      </w:r>
      <w:r>
        <w:rPr>
          <w:spacing w:val="-8"/>
          <w:sz w:val="20"/>
        </w:rPr>
        <w:t> </w:t>
      </w:r>
      <w:r>
        <w:rPr>
          <w:spacing w:val="-2"/>
          <w:sz w:val="20"/>
        </w:rPr>
        <w:t>Bienestar.</w:t>
      </w:r>
    </w:p>
    <w:p>
      <w:pPr>
        <w:pStyle w:val="ListParagraph"/>
        <w:numPr>
          <w:ilvl w:val="0"/>
          <w:numId w:val="24"/>
        </w:numPr>
        <w:tabs>
          <w:tab w:pos="2059" w:val="left" w:leader="none"/>
        </w:tabs>
        <w:spacing w:line="244" w:lineRule="exact" w:before="0" w:after="0"/>
        <w:ind w:left="2059" w:right="0" w:hanging="360"/>
        <w:jc w:val="left"/>
        <w:rPr>
          <w:sz w:val="20"/>
        </w:rPr>
      </w:pPr>
      <w:r>
        <w:rPr>
          <w:sz w:val="20"/>
        </w:rPr>
        <w:t>Doña</w:t>
      </w:r>
      <w:r>
        <w:rPr>
          <w:spacing w:val="-7"/>
          <w:sz w:val="20"/>
        </w:rPr>
        <w:t> </w:t>
      </w:r>
      <w:r>
        <w:rPr>
          <w:sz w:val="20"/>
        </w:rPr>
        <w:t>Yurena</w:t>
      </w:r>
      <w:r>
        <w:rPr>
          <w:spacing w:val="-6"/>
          <w:sz w:val="20"/>
        </w:rPr>
        <w:t> </w:t>
      </w:r>
      <w:r>
        <w:rPr>
          <w:sz w:val="20"/>
        </w:rPr>
        <w:t>Vega</w:t>
      </w:r>
      <w:r>
        <w:rPr>
          <w:spacing w:val="-9"/>
          <w:sz w:val="20"/>
        </w:rPr>
        <w:t> </w:t>
      </w:r>
      <w:r>
        <w:rPr>
          <w:sz w:val="20"/>
        </w:rPr>
        <w:t>Reyes,</w:t>
      </w:r>
      <w:r>
        <w:rPr>
          <w:spacing w:val="-5"/>
          <w:sz w:val="20"/>
        </w:rPr>
        <w:t> </w:t>
      </w:r>
      <w:r>
        <w:rPr>
          <w:sz w:val="20"/>
        </w:rPr>
        <w:t>Directora</w:t>
      </w:r>
      <w:r>
        <w:rPr>
          <w:spacing w:val="-6"/>
          <w:sz w:val="20"/>
        </w:rPr>
        <w:t> </w:t>
      </w:r>
      <w:r>
        <w:rPr>
          <w:sz w:val="20"/>
        </w:rPr>
        <w:t>de</w:t>
      </w:r>
      <w:r>
        <w:rPr>
          <w:spacing w:val="-9"/>
          <w:sz w:val="20"/>
        </w:rPr>
        <w:t> </w:t>
      </w:r>
      <w:r>
        <w:rPr>
          <w:sz w:val="20"/>
        </w:rPr>
        <w:t>Coordinación,</w:t>
      </w:r>
      <w:r>
        <w:rPr>
          <w:spacing w:val="-6"/>
          <w:sz w:val="20"/>
        </w:rPr>
        <w:t> </w:t>
      </w:r>
      <w:r>
        <w:rPr>
          <w:sz w:val="20"/>
        </w:rPr>
        <w:t>Innovación</w:t>
      </w:r>
      <w:r>
        <w:rPr>
          <w:spacing w:val="-6"/>
          <w:sz w:val="20"/>
        </w:rPr>
        <w:t> </w:t>
      </w:r>
      <w:r>
        <w:rPr>
          <w:sz w:val="20"/>
        </w:rPr>
        <w:t>e</w:t>
      </w:r>
      <w:r>
        <w:rPr>
          <w:spacing w:val="-10"/>
          <w:sz w:val="20"/>
        </w:rPr>
        <w:t> </w:t>
      </w:r>
      <w:r>
        <w:rPr>
          <w:spacing w:val="-2"/>
          <w:sz w:val="20"/>
        </w:rPr>
        <w:t>Infraestructuras.</w:t>
      </w:r>
    </w:p>
    <w:p>
      <w:pPr>
        <w:pStyle w:val="BodyText"/>
        <w:spacing w:before="226"/>
        <w:ind w:left="1768" w:right="1310"/>
        <w:jc w:val="both"/>
      </w:pPr>
      <w:r>
        <w:rPr/>
        <w:t>El personal clave de la Compañía descrito en la relación anterior durante el ejercicio 2025 ha recibido, en concepto de sueldos, la cantidad conjunta de 961.390,09 euros. En el ejercicio 2024 la percepción fue de 964.650,49 euros.</w:t>
      </w:r>
    </w:p>
    <w:p>
      <w:pPr>
        <w:pStyle w:val="BodyText"/>
        <w:spacing w:before="2"/>
      </w:pPr>
    </w:p>
    <w:p>
      <w:pPr>
        <w:pStyle w:val="ListParagraph"/>
        <w:numPr>
          <w:ilvl w:val="1"/>
          <w:numId w:val="23"/>
        </w:numPr>
        <w:tabs>
          <w:tab w:pos="2488" w:val="left" w:leader="none"/>
        </w:tabs>
        <w:spacing w:line="240" w:lineRule="auto" w:before="0" w:after="0"/>
        <w:ind w:left="2488" w:right="0" w:hanging="439"/>
        <w:jc w:val="left"/>
        <w:rPr>
          <w:sz w:val="20"/>
          <w:u w:val="single"/>
        </w:rPr>
      </w:pPr>
      <w:r>
        <w:rPr>
          <w:spacing w:val="-4"/>
          <w:sz w:val="20"/>
          <w:u w:val="single"/>
        </w:rPr>
        <w:t> </w:t>
      </w:r>
      <w:r>
        <w:rPr>
          <w:sz w:val="20"/>
          <w:u w:val="single"/>
        </w:rPr>
        <w:t>Información</w:t>
      </w:r>
      <w:r>
        <w:rPr>
          <w:spacing w:val="-5"/>
          <w:sz w:val="20"/>
          <w:u w:val="single"/>
        </w:rPr>
        <w:t> </w:t>
      </w:r>
      <w:r>
        <w:rPr>
          <w:sz w:val="20"/>
          <w:u w:val="single"/>
        </w:rPr>
        <w:t>exigida</w:t>
      </w:r>
      <w:r>
        <w:rPr>
          <w:spacing w:val="-3"/>
          <w:sz w:val="20"/>
          <w:u w:val="single"/>
        </w:rPr>
        <w:t> </w:t>
      </w:r>
      <w:r>
        <w:rPr>
          <w:sz w:val="20"/>
          <w:u w:val="single"/>
        </w:rPr>
        <w:t>por</w:t>
      </w:r>
      <w:r>
        <w:rPr>
          <w:spacing w:val="-6"/>
          <w:sz w:val="20"/>
          <w:u w:val="single"/>
        </w:rPr>
        <w:t> </w:t>
      </w:r>
      <w:r>
        <w:rPr>
          <w:sz w:val="20"/>
          <w:u w:val="single"/>
        </w:rPr>
        <w:t>el</w:t>
      </w:r>
      <w:r>
        <w:rPr>
          <w:spacing w:val="-3"/>
          <w:sz w:val="20"/>
          <w:u w:val="single"/>
        </w:rPr>
        <w:t> </w:t>
      </w:r>
      <w:r>
        <w:rPr>
          <w:sz w:val="20"/>
          <w:u w:val="single"/>
        </w:rPr>
        <w:t>artículo</w:t>
      </w:r>
      <w:r>
        <w:rPr>
          <w:spacing w:val="-6"/>
          <w:sz w:val="20"/>
          <w:u w:val="single"/>
        </w:rPr>
        <w:t> </w:t>
      </w:r>
      <w:r>
        <w:rPr>
          <w:sz w:val="20"/>
          <w:u w:val="single"/>
        </w:rPr>
        <w:t>229</w:t>
      </w:r>
      <w:r>
        <w:rPr>
          <w:spacing w:val="-6"/>
          <w:sz w:val="20"/>
          <w:u w:val="single"/>
        </w:rPr>
        <w:t> </w:t>
      </w:r>
      <w:r>
        <w:rPr>
          <w:sz w:val="20"/>
          <w:u w:val="single"/>
        </w:rPr>
        <w:t>de</w:t>
      </w:r>
      <w:r>
        <w:rPr>
          <w:spacing w:val="-5"/>
          <w:sz w:val="20"/>
          <w:u w:val="single"/>
        </w:rPr>
        <w:t> </w:t>
      </w:r>
      <w:r>
        <w:rPr>
          <w:sz w:val="20"/>
          <w:u w:val="single"/>
        </w:rPr>
        <w:t>la</w:t>
      </w:r>
      <w:r>
        <w:rPr>
          <w:spacing w:val="-6"/>
          <w:sz w:val="20"/>
          <w:u w:val="single"/>
        </w:rPr>
        <w:t> </w:t>
      </w:r>
      <w:r>
        <w:rPr>
          <w:sz w:val="20"/>
          <w:u w:val="single"/>
        </w:rPr>
        <w:t>Ley</w:t>
      </w:r>
      <w:r>
        <w:rPr>
          <w:spacing w:val="-5"/>
          <w:sz w:val="20"/>
          <w:u w:val="single"/>
        </w:rPr>
        <w:t> </w:t>
      </w:r>
      <w:r>
        <w:rPr>
          <w:sz w:val="20"/>
          <w:u w:val="single"/>
        </w:rPr>
        <w:t>de</w:t>
      </w:r>
      <w:r>
        <w:rPr>
          <w:spacing w:val="-6"/>
          <w:sz w:val="20"/>
          <w:u w:val="single"/>
        </w:rPr>
        <w:t> </w:t>
      </w:r>
      <w:r>
        <w:rPr>
          <w:sz w:val="20"/>
          <w:u w:val="single"/>
        </w:rPr>
        <w:t>Sociedades</w:t>
      </w:r>
      <w:r>
        <w:rPr>
          <w:spacing w:val="-5"/>
          <w:sz w:val="20"/>
          <w:u w:val="single"/>
        </w:rPr>
        <w:t> </w:t>
      </w:r>
      <w:r>
        <w:rPr>
          <w:sz w:val="20"/>
          <w:u w:val="single"/>
        </w:rPr>
        <w:t>de</w:t>
      </w:r>
      <w:r>
        <w:rPr>
          <w:spacing w:val="-3"/>
          <w:sz w:val="20"/>
          <w:u w:val="single"/>
        </w:rPr>
        <w:t> </w:t>
      </w:r>
      <w:r>
        <w:rPr>
          <w:spacing w:val="-2"/>
          <w:sz w:val="20"/>
          <w:u w:val="single"/>
        </w:rPr>
        <w:t>Capital.</w:t>
      </w:r>
    </w:p>
    <w:p>
      <w:pPr>
        <w:pStyle w:val="BodyText"/>
        <w:spacing w:before="229"/>
        <w:ind w:left="1701" w:right="1304"/>
        <w:jc w:val="both"/>
      </w:pPr>
      <w:r>
        <w:rPr/>
        <mc:AlternateContent>
          <mc:Choice Requires="wps">
            <w:drawing>
              <wp:anchor distT="0" distB="0" distL="0" distR="0" allowOverlap="1" layoutInCell="1" locked="0" behindDoc="0" simplePos="0" relativeHeight="15772160">
                <wp:simplePos x="0" y="0"/>
                <wp:positionH relativeFrom="page">
                  <wp:posOffset>6966436</wp:posOffset>
                </wp:positionH>
                <wp:positionV relativeFrom="paragraph">
                  <wp:posOffset>714203</wp:posOffset>
                </wp:positionV>
                <wp:extent cx="263525" cy="327596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63</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6.236492pt;width:20.75pt;height:257.95pt;mso-position-horizontal-relative:page;mso-position-vertical-relative:paragraph;z-index:15772160" type="#_x0000_t202" id="docshape13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63</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A efectos de lo previsto en el artículo 229 de la Ley de Sociedades de Capital, se comunica </w:t>
      </w:r>
      <w:r>
        <w:rPr>
          <w:spacing w:val="-2"/>
        </w:rPr>
        <w:t>que</w:t>
      </w:r>
      <w:r>
        <w:rPr>
          <w:spacing w:val="-12"/>
        </w:rPr>
        <w:t> </w:t>
      </w:r>
      <w:r>
        <w:rPr>
          <w:spacing w:val="-2"/>
        </w:rPr>
        <w:t>los</w:t>
      </w:r>
      <w:r>
        <w:rPr>
          <w:spacing w:val="-11"/>
        </w:rPr>
        <w:t> </w:t>
      </w:r>
      <w:r>
        <w:rPr>
          <w:spacing w:val="-2"/>
        </w:rPr>
        <w:t>miembros</w:t>
      </w:r>
      <w:r>
        <w:rPr>
          <w:spacing w:val="-10"/>
        </w:rPr>
        <w:t> </w:t>
      </w:r>
      <w:r>
        <w:rPr>
          <w:spacing w:val="-2"/>
        </w:rPr>
        <w:t>del</w:t>
      </w:r>
      <w:r>
        <w:rPr>
          <w:spacing w:val="-12"/>
        </w:rPr>
        <w:t> </w:t>
      </w:r>
      <w:r>
        <w:rPr>
          <w:spacing w:val="-2"/>
        </w:rPr>
        <w:t>consejo</w:t>
      </w:r>
      <w:r>
        <w:rPr>
          <w:spacing w:val="-11"/>
        </w:rPr>
        <w:t> </w:t>
      </w:r>
      <w:r>
        <w:rPr>
          <w:spacing w:val="-2"/>
        </w:rPr>
        <w:t>de</w:t>
      </w:r>
      <w:r>
        <w:rPr>
          <w:spacing w:val="-11"/>
        </w:rPr>
        <w:t> </w:t>
      </w:r>
      <w:r>
        <w:rPr>
          <w:spacing w:val="-2"/>
        </w:rPr>
        <w:t>administración</w:t>
      </w:r>
      <w:r>
        <w:rPr>
          <w:spacing w:val="-12"/>
        </w:rPr>
        <w:t> </w:t>
      </w:r>
      <w:r>
        <w:rPr>
          <w:spacing w:val="-2"/>
        </w:rPr>
        <w:t>no</w:t>
      </w:r>
      <w:r>
        <w:rPr>
          <w:spacing w:val="-12"/>
        </w:rPr>
        <w:t> </w:t>
      </w:r>
      <w:r>
        <w:rPr>
          <w:spacing w:val="-2"/>
        </w:rPr>
        <w:t>tienen</w:t>
      </w:r>
      <w:r>
        <w:rPr>
          <w:spacing w:val="-11"/>
        </w:rPr>
        <w:t> </w:t>
      </w:r>
      <w:r>
        <w:rPr>
          <w:spacing w:val="-2"/>
        </w:rPr>
        <w:t>participaciones,</w:t>
      </w:r>
      <w:r>
        <w:rPr>
          <w:spacing w:val="-12"/>
        </w:rPr>
        <w:t> </w:t>
      </w:r>
      <w:r>
        <w:rPr>
          <w:spacing w:val="-2"/>
        </w:rPr>
        <w:t>ni</w:t>
      </w:r>
      <w:r>
        <w:rPr>
          <w:spacing w:val="-12"/>
        </w:rPr>
        <w:t> </w:t>
      </w:r>
      <w:r>
        <w:rPr>
          <w:spacing w:val="-2"/>
        </w:rPr>
        <w:t>ostentan</w:t>
      </w:r>
      <w:r>
        <w:rPr>
          <w:spacing w:val="-12"/>
        </w:rPr>
        <w:t> </w:t>
      </w:r>
      <w:r>
        <w:rPr>
          <w:spacing w:val="-2"/>
        </w:rPr>
        <w:t>cargos</w:t>
      </w:r>
      <w:r>
        <w:rPr>
          <w:spacing w:val="-10"/>
        </w:rPr>
        <w:t> </w:t>
      </w:r>
      <w:r>
        <w:rPr>
          <w:spacing w:val="-2"/>
        </w:rPr>
        <w:t>o </w:t>
      </w:r>
      <w:r>
        <w:rPr/>
        <w:t>desarrollan funciones en empresas cuyo objeto social sea el mismo, análogo o complementario</w:t>
      </w:r>
      <w:r>
        <w:rPr>
          <w:spacing w:val="-9"/>
        </w:rPr>
        <w:t> </w:t>
      </w:r>
      <w:r>
        <w:rPr/>
        <w:t>al</w:t>
      </w:r>
      <w:r>
        <w:rPr>
          <w:spacing w:val="-10"/>
        </w:rPr>
        <w:t> </w:t>
      </w:r>
      <w:r>
        <w:rPr/>
        <w:t>de</w:t>
      </w:r>
      <w:r>
        <w:rPr>
          <w:spacing w:val="-9"/>
        </w:rPr>
        <w:t> </w:t>
      </w:r>
      <w:r>
        <w:rPr/>
        <w:t>la</w:t>
      </w:r>
      <w:r>
        <w:rPr>
          <w:spacing w:val="-9"/>
        </w:rPr>
        <w:t> </w:t>
      </w:r>
      <w:r>
        <w:rPr/>
        <w:t>Sociedad.</w:t>
      </w:r>
      <w:r>
        <w:rPr>
          <w:spacing w:val="-7"/>
        </w:rPr>
        <w:t> </w:t>
      </w:r>
      <w:r>
        <w:rPr/>
        <w:t>No</w:t>
      </w:r>
      <w:r>
        <w:rPr>
          <w:spacing w:val="-6"/>
        </w:rPr>
        <w:t> </w:t>
      </w:r>
      <w:r>
        <w:rPr/>
        <w:t>obstante,</w:t>
      </w:r>
      <w:r>
        <w:rPr>
          <w:spacing w:val="-6"/>
        </w:rPr>
        <w:t> </w:t>
      </w:r>
      <w:r>
        <w:rPr/>
        <w:t>el</w:t>
      </w:r>
      <w:r>
        <w:rPr>
          <w:spacing w:val="-3"/>
        </w:rPr>
        <w:t> </w:t>
      </w:r>
      <w:r>
        <w:rPr/>
        <w:t>presidente</w:t>
      </w:r>
      <w:r>
        <w:rPr>
          <w:spacing w:val="-6"/>
        </w:rPr>
        <w:t> </w:t>
      </w:r>
      <w:r>
        <w:rPr/>
        <w:t>del</w:t>
      </w:r>
      <w:r>
        <w:rPr>
          <w:spacing w:val="-4"/>
        </w:rPr>
        <w:t> </w:t>
      </w:r>
      <w:r>
        <w:rPr/>
        <w:t>Consejo</w:t>
      </w:r>
      <w:r>
        <w:rPr>
          <w:spacing w:val="-4"/>
        </w:rPr>
        <w:t> </w:t>
      </w:r>
      <w:r>
        <w:rPr/>
        <w:t>de</w:t>
      </w:r>
      <w:r>
        <w:rPr>
          <w:spacing w:val="-6"/>
        </w:rPr>
        <w:t> </w:t>
      </w:r>
      <w:r>
        <w:rPr/>
        <w:t>Administración ostenta cargos en otras empresas que no han sido objeto de inclusión en esta nota de la memoria al no suponer menoscabo alguno de sus deberes de diligencia y lealtad o la existencia de potenciales conflictos de interés en el contexto de la Ley 26/2003, de 17 de julio, por la que se modifican la Ley 24/1988, de 28 de julio, del Mercado de Valores, y el Texto Refundido de la Ley de Sociedades Anónimas, aprobado por el Real Decreto Legislativo 1564/1989, de 22 de diciembre.</w:t>
      </w:r>
    </w:p>
    <w:p>
      <w:pPr>
        <w:pStyle w:val="BodyText"/>
        <w:spacing w:before="1"/>
        <w:ind w:left="1701" w:right="1308"/>
        <w:jc w:val="both"/>
      </w:pPr>
      <w:r>
        <w:rPr/>
        <w:t>Asimismo, durante el ejercicio 2025, los miembros del Consejo de Administración no han realizado con la Sociedad ni con sociedades del grupo operaciones ajenas al tráfico ordinario o en condiciones distintas a las de mercado.</w:t>
      </w:r>
    </w:p>
    <w:p>
      <w:pPr>
        <w:pStyle w:val="BodyText"/>
        <w:spacing w:after="0"/>
        <w:jc w:val="both"/>
        <w:sectPr>
          <w:pgSz w:w="11910" w:h="16840"/>
          <w:pgMar w:header="286" w:footer="1060" w:top="1920" w:bottom="1260" w:left="360" w:right="360"/>
        </w:sectPr>
      </w:pPr>
    </w:p>
    <w:p>
      <w:pPr>
        <w:pStyle w:val="BodyText"/>
        <w:spacing w:before="199"/>
      </w:pPr>
    </w:p>
    <w:p>
      <w:pPr>
        <w:pStyle w:val="Heading2"/>
        <w:numPr>
          <w:ilvl w:val="0"/>
          <w:numId w:val="23"/>
        </w:numPr>
        <w:tabs>
          <w:tab w:pos="1560" w:val="left" w:leader="none"/>
        </w:tabs>
        <w:spacing w:line="240" w:lineRule="auto" w:before="0" w:after="0"/>
        <w:ind w:left="1560" w:right="0" w:hanging="219"/>
        <w:jc w:val="left"/>
        <w:rPr>
          <w:u w:val="none"/>
        </w:rPr>
      </w:pPr>
      <w:r>
        <w:rPr>
          <w:spacing w:val="54"/>
          <w:u w:val="single"/>
        </w:rPr>
        <w:t> </w:t>
      </w:r>
      <w:r>
        <w:rPr>
          <w:u w:val="single"/>
        </w:rPr>
        <w:t>OTRA</w:t>
      </w:r>
      <w:r>
        <w:rPr>
          <w:spacing w:val="-7"/>
          <w:u w:val="single"/>
        </w:rPr>
        <w:t> </w:t>
      </w:r>
      <w:r>
        <w:rPr>
          <w:spacing w:val="-2"/>
          <w:u w:val="single"/>
        </w:rPr>
        <w:t>INFORMACION.</w:t>
      </w:r>
    </w:p>
    <w:p>
      <w:pPr>
        <w:pStyle w:val="BodyText"/>
        <w:spacing w:before="1"/>
        <w:rPr>
          <w:b/>
        </w:rPr>
      </w:pPr>
    </w:p>
    <w:p>
      <w:pPr>
        <w:pStyle w:val="ListParagraph"/>
        <w:numPr>
          <w:ilvl w:val="1"/>
          <w:numId w:val="23"/>
        </w:numPr>
        <w:tabs>
          <w:tab w:pos="2579" w:val="left" w:leader="none"/>
        </w:tabs>
        <w:spacing w:line="240" w:lineRule="auto" w:before="0" w:after="0"/>
        <w:ind w:left="2049" w:right="1338" w:firstLine="0"/>
        <w:jc w:val="left"/>
        <w:rPr>
          <w:sz w:val="20"/>
        </w:rPr>
      </w:pPr>
      <w:r>
        <w:rPr>
          <w:sz w:val="20"/>
        </w:rPr>
        <w:t>El</w:t>
      </w:r>
      <w:r>
        <w:rPr>
          <w:spacing w:val="31"/>
          <w:sz w:val="20"/>
        </w:rPr>
        <w:t> </w:t>
      </w:r>
      <w:r>
        <w:rPr>
          <w:sz w:val="20"/>
        </w:rPr>
        <w:t>número</w:t>
      </w:r>
      <w:r>
        <w:rPr>
          <w:spacing w:val="29"/>
          <w:sz w:val="20"/>
        </w:rPr>
        <w:t> </w:t>
      </w:r>
      <w:r>
        <w:rPr>
          <w:sz w:val="20"/>
        </w:rPr>
        <w:t>medio</w:t>
      </w:r>
      <w:r>
        <w:rPr>
          <w:spacing w:val="30"/>
          <w:sz w:val="20"/>
        </w:rPr>
        <w:t> </w:t>
      </w:r>
      <w:r>
        <w:rPr>
          <w:sz w:val="20"/>
        </w:rPr>
        <w:t>de</w:t>
      </w:r>
      <w:r>
        <w:rPr>
          <w:spacing w:val="34"/>
          <w:sz w:val="20"/>
        </w:rPr>
        <w:t> </w:t>
      </w:r>
      <w:r>
        <w:rPr>
          <w:sz w:val="20"/>
        </w:rPr>
        <w:t>personas</w:t>
      </w:r>
      <w:r>
        <w:rPr>
          <w:spacing w:val="33"/>
          <w:sz w:val="20"/>
        </w:rPr>
        <w:t> </w:t>
      </w:r>
      <w:r>
        <w:rPr>
          <w:sz w:val="20"/>
        </w:rPr>
        <w:t>empleadas</w:t>
      </w:r>
      <w:r>
        <w:rPr>
          <w:spacing w:val="33"/>
          <w:sz w:val="20"/>
        </w:rPr>
        <w:t> </w:t>
      </w:r>
      <w:r>
        <w:rPr>
          <w:sz w:val="20"/>
        </w:rPr>
        <w:t>por</w:t>
      </w:r>
      <w:r>
        <w:rPr>
          <w:spacing w:val="32"/>
          <w:sz w:val="20"/>
        </w:rPr>
        <w:t> </w:t>
      </w:r>
      <w:r>
        <w:rPr>
          <w:sz w:val="20"/>
        </w:rPr>
        <w:t>la</w:t>
      </w:r>
      <w:r>
        <w:rPr>
          <w:spacing w:val="30"/>
          <w:sz w:val="20"/>
        </w:rPr>
        <w:t> </w:t>
      </w:r>
      <w:r>
        <w:rPr>
          <w:sz w:val="20"/>
        </w:rPr>
        <w:t>Sociedad</w:t>
      </w:r>
      <w:r>
        <w:rPr>
          <w:spacing w:val="30"/>
          <w:sz w:val="20"/>
        </w:rPr>
        <w:t> </w:t>
      </w:r>
      <w:r>
        <w:rPr>
          <w:sz w:val="20"/>
        </w:rPr>
        <w:t>durante</w:t>
      </w:r>
      <w:r>
        <w:rPr>
          <w:spacing w:val="31"/>
          <w:sz w:val="20"/>
        </w:rPr>
        <w:t> </w:t>
      </w:r>
      <w:r>
        <w:rPr>
          <w:sz w:val="20"/>
        </w:rPr>
        <w:t>el</w:t>
      </w:r>
      <w:r>
        <w:rPr>
          <w:spacing w:val="29"/>
          <w:sz w:val="20"/>
        </w:rPr>
        <w:t> </w:t>
      </w:r>
      <w:r>
        <w:rPr>
          <w:sz w:val="20"/>
        </w:rPr>
        <w:t>ejercicio 2024, distribuido por agrupación funcional, sexo y</w:t>
      </w:r>
      <w:r>
        <w:rPr>
          <w:spacing w:val="-2"/>
          <w:sz w:val="20"/>
        </w:rPr>
        <w:t> </w:t>
      </w:r>
      <w:r>
        <w:rPr>
          <w:sz w:val="20"/>
        </w:rPr>
        <w:t>tipo de contrato, ha sido el siguiente:</w:t>
      </w:r>
    </w:p>
    <w:p>
      <w:pPr>
        <w:tabs>
          <w:tab w:pos="7173" w:val="left" w:leader="none"/>
        </w:tabs>
        <w:spacing w:before="34" w:after="51"/>
        <w:ind w:left="4840" w:right="0" w:firstLine="0"/>
        <w:jc w:val="left"/>
        <w:rPr>
          <w:b/>
          <w:sz w:val="18"/>
        </w:rPr>
      </w:pPr>
      <w:r>
        <w:rPr>
          <w:b/>
          <w:spacing w:val="-2"/>
          <w:sz w:val="18"/>
        </w:rPr>
        <w:t>Hombres</w:t>
      </w:r>
      <w:r>
        <w:rPr>
          <w:b/>
          <w:sz w:val="18"/>
        </w:rPr>
        <w:tab/>
      </w:r>
      <w:r>
        <w:rPr>
          <w:b/>
          <w:spacing w:val="-2"/>
          <w:sz w:val="18"/>
        </w:rPr>
        <w:t>Mujeres</w:t>
      </w: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3"/>
        <w:gridCol w:w="1175"/>
        <w:gridCol w:w="1116"/>
        <w:gridCol w:w="1164"/>
        <w:gridCol w:w="1074"/>
        <w:gridCol w:w="1303"/>
      </w:tblGrid>
      <w:tr>
        <w:trPr>
          <w:trHeight w:val="280" w:hRule="atLeast"/>
        </w:trPr>
        <w:tc>
          <w:tcPr>
            <w:tcW w:w="2793" w:type="dxa"/>
          </w:tcPr>
          <w:p>
            <w:pPr>
              <w:pStyle w:val="TableParagraph"/>
              <w:rPr>
                <w:rFonts w:ascii="Times New Roman"/>
                <w:sz w:val="16"/>
              </w:rPr>
            </w:pPr>
          </w:p>
        </w:tc>
        <w:tc>
          <w:tcPr>
            <w:tcW w:w="1175" w:type="dxa"/>
            <w:tcBorders>
              <w:top w:val="single" w:sz="8" w:space="0" w:color="000000"/>
              <w:bottom w:val="single" w:sz="8" w:space="0" w:color="000000"/>
            </w:tcBorders>
          </w:tcPr>
          <w:p>
            <w:pPr>
              <w:pStyle w:val="TableParagraph"/>
              <w:spacing w:before="30"/>
              <w:ind w:left="10" w:right="2"/>
              <w:jc w:val="center"/>
              <w:rPr>
                <w:b/>
                <w:sz w:val="18"/>
              </w:rPr>
            </w:pPr>
            <w:r>
              <w:rPr>
                <w:b/>
                <w:spacing w:val="-2"/>
                <w:sz w:val="18"/>
              </w:rPr>
              <w:t>Indefinido</w:t>
            </w:r>
          </w:p>
        </w:tc>
        <w:tc>
          <w:tcPr>
            <w:tcW w:w="1116" w:type="dxa"/>
            <w:tcBorders>
              <w:top w:val="single" w:sz="8" w:space="0" w:color="000000"/>
              <w:bottom w:val="single" w:sz="8" w:space="0" w:color="000000"/>
            </w:tcBorders>
          </w:tcPr>
          <w:p>
            <w:pPr>
              <w:pStyle w:val="TableParagraph"/>
              <w:spacing w:before="30"/>
              <w:ind w:left="9" w:right="7"/>
              <w:jc w:val="center"/>
              <w:rPr>
                <w:b/>
                <w:sz w:val="18"/>
              </w:rPr>
            </w:pPr>
            <w:r>
              <w:rPr>
                <w:b/>
                <w:spacing w:val="-2"/>
                <w:sz w:val="18"/>
              </w:rPr>
              <w:t>Temporal</w:t>
            </w:r>
          </w:p>
        </w:tc>
        <w:tc>
          <w:tcPr>
            <w:tcW w:w="1164" w:type="dxa"/>
            <w:tcBorders>
              <w:top w:val="single" w:sz="8" w:space="0" w:color="000000"/>
              <w:bottom w:val="single" w:sz="8" w:space="0" w:color="000000"/>
            </w:tcBorders>
          </w:tcPr>
          <w:p>
            <w:pPr>
              <w:pStyle w:val="TableParagraph"/>
              <w:spacing w:before="30"/>
              <w:ind w:left="3" w:right="2"/>
              <w:jc w:val="center"/>
              <w:rPr>
                <w:b/>
                <w:sz w:val="18"/>
              </w:rPr>
            </w:pPr>
            <w:r>
              <w:rPr>
                <w:b/>
                <w:spacing w:val="-2"/>
                <w:sz w:val="18"/>
              </w:rPr>
              <w:t>Indefinido</w:t>
            </w:r>
          </w:p>
        </w:tc>
        <w:tc>
          <w:tcPr>
            <w:tcW w:w="1074" w:type="dxa"/>
            <w:tcBorders>
              <w:top w:val="single" w:sz="8" w:space="0" w:color="000000"/>
              <w:bottom w:val="single" w:sz="8" w:space="0" w:color="000000"/>
            </w:tcBorders>
          </w:tcPr>
          <w:p>
            <w:pPr>
              <w:pStyle w:val="TableParagraph"/>
              <w:spacing w:before="30"/>
              <w:ind w:left="43" w:right="1"/>
              <w:jc w:val="center"/>
              <w:rPr>
                <w:b/>
                <w:sz w:val="18"/>
              </w:rPr>
            </w:pPr>
            <w:r>
              <w:rPr>
                <w:b/>
                <w:spacing w:val="-2"/>
                <w:sz w:val="18"/>
              </w:rPr>
              <w:t>Temporal</w:t>
            </w:r>
          </w:p>
        </w:tc>
        <w:tc>
          <w:tcPr>
            <w:tcW w:w="1303" w:type="dxa"/>
            <w:tcBorders>
              <w:top w:val="single" w:sz="8" w:space="0" w:color="000000"/>
              <w:bottom w:val="single" w:sz="8" w:space="0" w:color="000000"/>
            </w:tcBorders>
          </w:tcPr>
          <w:p>
            <w:pPr>
              <w:pStyle w:val="TableParagraph"/>
              <w:spacing w:before="30"/>
              <w:ind w:left="40" w:right="2"/>
              <w:jc w:val="center"/>
              <w:rPr>
                <w:b/>
                <w:sz w:val="18"/>
              </w:rPr>
            </w:pPr>
            <w:r>
              <w:rPr>
                <w:b/>
                <w:sz w:val="18"/>
              </w:rPr>
              <w:t>Total</w:t>
            </w:r>
            <w:r>
              <w:rPr>
                <w:b/>
                <w:spacing w:val="-2"/>
                <w:sz w:val="18"/>
              </w:rPr>
              <w:t> general</w:t>
            </w:r>
          </w:p>
        </w:tc>
      </w:tr>
      <w:tr>
        <w:trPr>
          <w:trHeight w:val="252" w:hRule="atLeast"/>
        </w:trPr>
        <w:tc>
          <w:tcPr>
            <w:tcW w:w="2793" w:type="dxa"/>
          </w:tcPr>
          <w:p>
            <w:pPr>
              <w:pStyle w:val="TableParagraph"/>
              <w:spacing w:line="205" w:lineRule="exact" w:before="27"/>
              <w:ind w:left="50"/>
              <w:rPr>
                <w:sz w:val="18"/>
              </w:rPr>
            </w:pPr>
            <w:r>
              <w:rPr>
                <w:sz w:val="18"/>
              </w:rPr>
              <w:t>ALTA</w:t>
            </w:r>
            <w:r>
              <w:rPr>
                <w:spacing w:val="-5"/>
                <w:sz w:val="18"/>
              </w:rPr>
              <w:t> </w:t>
            </w:r>
            <w:r>
              <w:rPr>
                <w:spacing w:val="-2"/>
                <w:sz w:val="18"/>
              </w:rPr>
              <w:t>DIRECCIÓN</w:t>
            </w:r>
          </w:p>
        </w:tc>
        <w:tc>
          <w:tcPr>
            <w:tcW w:w="1175" w:type="dxa"/>
            <w:tcBorders>
              <w:top w:val="single" w:sz="8" w:space="0" w:color="000000"/>
            </w:tcBorders>
          </w:tcPr>
          <w:p>
            <w:pPr>
              <w:pStyle w:val="TableParagraph"/>
              <w:rPr>
                <w:rFonts w:ascii="Times New Roman"/>
                <w:sz w:val="16"/>
              </w:rPr>
            </w:pPr>
          </w:p>
        </w:tc>
        <w:tc>
          <w:tcPr>
            <w:tcW w:w="1116" w:type="dxa"/>
            <w:tcBorders>
              <w:top w:val="single" w:sz="8" w:space="0" w:color="000000"/>
            </w:tcBorders>
          </w:tcPr>
          <w:p>
            <w:pPr>
              <w:pStyle w:val="TableParagraph"/>
              <w:spacing w:line="206" w:lineRule="exact"/>
              <w:ind w:left="7" w:right="7"/>
              <w:jc w:val="center"/>
              <w:rPr>
                <w:sz w:val="18"/>
              </w:rPr>
            </w:pPr>
            <w:r>
              <w:rPr>
                <w:spacing w:val="-4"/>
                <w:sz w:val="18"/>
              </w:rPr>
              <w:t>1,00</w:t>
            </w:r>
          </w:p>
        </w:tc>
        <w:tc>
          <w:tcPr>
            <w:tcW w:w="1164" w:type="dxa"/>
            <w:tcBorders>
              <w:top w:val="single" w:sz="8" w:space="0" w:color="000000"/>
            </w:tcBorders>
          </w:tcPr>
          <w:p>
            <w:pPr>
              <w:pStyle w:val="TableParagraph"/>
              <w:rPr>
                <w:rFonts w:ascii="Times New Roman"/>
                <w:sz w:val="16"/>
              </w:rPr>
            </w:pPr>
          </w:p>
        </w:tc>
        <w:tc>
          <w:tcPr>
            <w:tcW w:w="1074" w:type="dxa"/>
            <w:tcBorders>
              <w:top w:val="single" w:sz="8" w:space="0" w:color="000000"/>
            </w:tcBorders>
          </w:tcPr>
          <w:p>
            <w:pPr>
              <w:pStyle w:val="TableParagraph"/>
              <w:rPr>
                <w:rFonts w:ascii="Times New Roman"/>
                <w:sz w:val="16"/>
              </w:rPr>
            </w:pPr>
          </w:p>
        </w:tc>
        <w:tc>
          <w:tcPr>
            <w:tcW w:w="1303" w:type="dxa"/>
            <w:tcBorders>
              <w:top w:val="single" w:sz="8" w:space="0" w:color="000000"/>
            </w:tcBorders>
          </w:tcPr>
          <w:p>
            <w:pPr>
              <w:pStyle w:val="TableParagraph"/>
              <w:spacing w:line="206" w:lineRule="exact"/>
              <w:ind w:left="40" w:right="4"/>
              <w:jc w:val="center"/>
              <w:rPr>
                <w:sz w:val="18"/>
              </w:rPr>
            </w:pPr>
            <w:r>
              <w:rPr>
                <w:spacing w:val="-4"/>
                <w:sz w:val="18"/>
              </w:rPr>
              <w:t>1,00</w:t>
            </w:r>
          </w:p>
        </w:tc>
      </w:tr>
      <w:tr>
        <w:trPr>
          <w:trHeight w:val="266" w:hRule="atLeast"/>
        </w:trPr>
        <w:tc>
          <w:tcPr>
            <w:tcW w:w="2793" w:type="dxa"/>
          </w:tcPr>
          <w:p>
            <w:pPr>
              <w:pStyle w:val="TableParagraph"/>
              <w:spacing w:line="205" w:lineRule="exact" w:before="41"/>
              <w:ind w:left="50"/>
              <w:rPr>
                <w:sz w:val="18"/>
              </w:rPr>
            </w:pPr>
            <w:r>
              <w:rPr>
                <w:sz w:val="18"/>
              </w:rPr>
              <w:t>PERSONAL</w:t>
            </w:r>
            <w:r>
              <w:rPr>
                <w:spacing w:val="-4"/>
                <w:sz w:val="18"/>
              </w:rPr>
              <w:t> </w:t>
            </w:r>
            <w:r>
              <w:rPr>
                <w:spacing w:val="-2"/>
                <w:sz w:val="18"/>
              </w:rPr>
              <w:t>DIRECTIVO</w:t>
            </w:r>
          </w:p>
        </w:tc>
        <w:tc>
          <w:tcPr>
            <w:tcW w:w="1175" w:type="dxa"/>
          </w:tcPr>
          <w:p>
            <w:pPr>
              <w:pStyle w:val="TableParagraph"/>
              <w:spacing w:before="12"/>
              <w:ind w:left="10" w:right="3"/>
              <w:jc w:val="center"/>
              <w:rPr>
                <w:sz w:val="18"/>
              </w:rPr>
            </w:pPr>
            <w:r>
              <w:rPr>
                <w:spacing w:val="-2"/>
                <w:sz w:val="18"/>
              </w:rPr>
              <w:t>14,00</w:t>
            </w:r>
          </w:p>
        </w:tc>
        <w:tc>
          <w:tcPr>
            <w:tcW w:w="1116" w:type="dxa"/>
          </w:tcPr>
          <w:p>
            <w:pPr>
              <w:pStyle w:val="TableParagraph"/>
              <w:rPr>
                <w:rFonts w:ascii="Times New Roman"/>
                <w:sz w:val="16"/>
              </w:rPr>
            </w:pPr>
          </w:p>
        </w:tc>
        <w:tc>
          <w:tcPr>
            <w:tcW w:w="1164" w:type="dxa"/>
          </w:tcPr>
          <w:p>
            <w:pPr>
              <w:pStyle w:val="TableParagraph"/>
              <w:spacing w:before="12"/>
              <w:ind w:left="3" w:right="2"/>
              <w:jc w:val="center"/>
              <w:rPr>
                <w:sz w:val="18"/>
              </w:rPr>
            </w:pPr>
            <w:r>
              <w:rPr>
                <w:spacing w:val="-4"/>
                <w:sz w:val="18"/>
              </w:rPr>
              <w:t>8,00</w:t>
            </w:r>
          </w:p>
        </w:tc>
        <w:tc>
          <w:tcPr>
            <w:tcW w:w="1074" w:type="dxa"/>
          </w:tcPr>
          <w:p>
            <w:pPr>
              <w:pStyle w:val="TableParagraph"/>
              <w:rPr>
                <w:rFonts w:ascii="Times New Roman"/>
                <w:sz w:val="16"/>
              </w:rPr>
            </w:pPr>
          </w:p>
        </w:tc>
        <w:tc>
          <w:tcPr>
            <w:tcW w:w="1303" w:type="dxa"/>
          </w:tcPr>
          <w:p>
            <w:pPr>
              <w:pStyle w:val="TableParagraph"/>
              <w:spacing w:before="12"/>
              <w:ind w:left="40" w:right="2"/>
              <w:jc w:val="center"/>
              <w:rPr>
                <w:sz w:val="18"/>
              </w:rPr>
            </w:pPr>
            <w:r>
              <w:rPr>
                <w:spacing w:val="-2"/>
                <w:sz w:val="18"/>
              </w:rPr>
              <w:t>22,00</w:t>
            </w:r>
          </w:p>
        </w:tc>
      </w:tr>
      <w:tr>
        <w:trPr>
          <w:trHeight w:val="266" w:hRule="atLeast"/>
        </w:trPr>
        <w:tc>
          <w:tcPr>
            <w:tcW w:w="2793" w:type="dxa"/>
          </w:tcPr>
          <w:p>
            <w:pPr>
              <w:pStyle w:val="TableParagraph"/>
              <w:spacing w:line="205" w:lineRule="exact" w:before="41"/>
              <w:ind w:left="50"/>
              <w:rPr>
                <w:sz w:val="18"/>
              </w:rPr>
            </w:pPr>
            <w:r>
              <w:rPr>
                <w:sz w:val="18"/>
              </w:rPr>
              <w:t>PERSONAL</w:t>
            </w:r>
            <w:r>
              <w:rPr>
                <w:spacing w:val="-4"/>
                <w:sz w:val="18"/>
              </w:rPr>
              <w:t> </w:t>
            </w:r>
            <w:r>
              <w:rPr>
                <w:spacing w:val="-2"/>
                <w:sz w:val="18"/>
              </w:rPr>
              <w:t>TÉCNICO</w:t>
            </w:r>
          </w:p>
        </w:tc>
        <w:tc>
          <w:tcPr>
            <w:tcW w:w="1175" w:type="dxa"/>
          </w:tcPr>
          <w:p>
            <w:pPr>
              <w:pStyle w:val="TableParagraph"/>
              <w:spacing w:before="12"/>
              <w:ind w:left="10" w:right="3"/>
              <w:jc w:val="center"/>
              <w:rPr>
                <w:sz w:val="18"/>
              </w:rPr>
            </w:pPr>
            <w:r>
              <w:rPr>
                <w:spacing w:val="-2"/>
                <w:sz w:val="18"/>
              </w:rPr>
              <w:t>11,62</w:t>
            </w:r>
          </w:p>
        </w:tc>
        <w:tc>
          <w:tcPr>
            <w:tcW w:w="1116" w:type="dxa"/>
          </w:tcPr>
          <w:p>
            <w:pPr>
              <w:pStyle w:val="TableParagraph"/>
              <w:rPr>
                <w:rFonts w:ascii="Times New Roman"/>
                <w:sz w:val="16"/>
              </w:rPr>
            </w:pPr>
          </w:p>
        </w:tc>
        <w:tc>
          <w:tcPr>
            <w:tcW w:w="1164" w:type="dxa"/>
          </w:tcPr>
          <w:p>
            <w:pPr>
              <w:pStyle w:val="TableParagraph"/>
              <w:spacing w:before="12"/>
              <w:ind w:left="3" w:right="2"/>
              <w:jc w:val="center"/>
              <w:rPr>
                <w:sz w:val="18"/>
              </w:rPr>
            </w:pPr>
            <w:r>
              <w:rPr>
                <w:spacing w:val="-4"/>
                <w:sz w:val="18"/>
              </w:rPr>
              <w:t>2,69</w:t>
            </w:r>
          </w:p>
        </w:tc>
        <w:tc>
          <w:tcPr>
            <w:tcW w:w="1074" w:type="dxa"/>
          </w:tcPr>
          <w:p>
            <w:pPr>
              <w:pStyle w:val="TableParagraph"/>
              <w:rPr>
                <w:rFonts w:ascii="Times New Roman"/>
                <w:sz w:val="16"/>
              </w:rPr>
            </w:pPr>
          </w:p>
        </w:tc>
        <w:tc>
          <w:tcPr>
            <w:tcW w:w="1303" w:type="dxa"/>
          </w:tcPr>
          <w:p>
            <w:pPr>
              <w:pStyle w:val="TableParagraph"/>
              <w:spacing w:before="12"/>
              <w:ind w:left="40" w:right="2"/>
              <w:jc w:val="center"/>
              <w:rPr>
                <w:sz w:val="18"/>
              </w:rPr>
            </w:pPr>
            <w:r>
              <w:rPr>
                <w:spacing w:val="-2"/>
                <w:sz w:val="18"/>
              </w:rPr>
              <w:t>14,31</w:t>
            </w:r>
          </w:p>
        </w:tc>
      </w:tr>
      <w:tr>
        <w:trPr>
          <w:trHeight w:val="265" w:hRule="atLeast"/>
        </w:trPr>
        <w:tc>
          <w:tcPr>
            <w:tcW w:w="2793" w:type="dxa"/>
          </w:tcPr>
          <w:p>
            <w:pPr>
              <w:pStyle w:val="TableParagraph"/>
              <w:spacing w:line="204" w:lineRule="exact" w:before="41"/>
              <w:ind w:left="50"/>
              <w:rPr>
                <w:sz w:val="18"/>
              </w:rPr>
            </w:pPr>
            <w:r>
              <w:rPr>
                <w:sz w:val="18"/>
              </w:rPr>
              <w:t>MANDO</w:t>
            </w:r>
            <w:r>
              <w:rPr>
                <w:spacing w:val="-7"/>
                <w:sz w:val="18"/>
              </w:rPr>
              <w:t> </w:t>
            </w:r>
            <w:r>
              <w:rPr>
                <w:spacing w:val="-2"/>
                <w:sz w:val="18"/>
              </w:rPr>
              <w:t>ADMINISTRACIÓN</w:t>
            </w:r>
          </w:p>
        </w:tc>
        <w:tc>
          <w:tcPr>
            <w:tcW w:w="1175" w:type="dxa"/>
          </w:tcPr>
          <w:p>
            <w:pPr>
              <w:pStyle w:val="TableParagraph"/>
              <w:spacing w:before="12"/>
              <w:ind w:left="10" w:right="2"/>
              <w:jc w:val="center"/>
              <w:rPr>
                <w:sz w:val="18"/>
              </w:rPr>
            </w:pPr>
            <w:r>
              <w:rPr>
                <w:spacing w:val="-4"/>
                <w:sz w:val="18"/>
              </w:rPr>
              <w:t>5,00</w:t>
            </w:r>
          </w:p>
        </w:tc>
        <w:tc>
          <w:tcPr>
            <w:tcW w:w="1116" w:type="dxa"/>
          </w:tcPr>
          <w:p>
            <w:pPr>
              <w:pStyle w:val="TableParagraph"/>
              <w:rPr>
                <w:rFonts w:ascii="Times New Roman"/>
                <w:sz w:val="16"/>
              </w:rPr>
            </w:pPr>
          </w:p>
        </w:tc>
        <w:tc>
          <w:tcPr>
            <w:tcW w:w="1164" w:type="dxa"/>
          </w:tcPr>
          <w:p>
            <w:pPr>
              <w:pStyle w:val="TableParagraph"/>
              <w:spacing w:before="12"/>
              <w:ind w:left="3" w:right="2"/>
              <w:jc w:val="center"/>
              <w:rPr>
                <w:sz w:val="18"/>
              </w:rPr>
            </w:pPr>
            <w:r>
              <w:rPr>
                <w:spacing w:val="-4"/>
                <w:sz w:val="18"/>
              </w:rPr>
              <w:t>7,00</w:t>
            </w:r>
          </w:p>
        </w:tc>
        <w:tc>
          <w:tcPr>
            <w:tcW w:w="1074" w:type="dxa"/>
          </w:tcPr>
          <w:p>
            <w:pPr>
              <w:pStyle w:val="TableParagraph"/>
              <w:spacing w:before="12"/>
              <w:ind w:left="43" w:right="1"/>
              <w:jc w:val="center"/>
              <w:rPr>
                <w:sz w:val="18"/>
              </w:rPr>
            </w:pPr>
            <w:r>
              <w:rPr>
                <w:spacing w:val="-4"/>
                <w:sz w:val="18"/>
              </w:rPr>
              <w:t>0,25</w:t>
            </w:r>
          </w:p>
        </w:tc>
        <w:tc>
          <w:tcPr>
            <w:tcW w:w="1303" w:type="dxa"/>
          </w:tcPr>
          <w:p>
            <w:pPr>
              <w:pStyle w:val="TableParagraph"/>
              <w:spacing w:before="12"/>
              <w:ind w:left="40" w:right="3"/>
              <w:jc w:val="center"/>
              <w:rPr>
                <w:sz w:val="18"/>
              </w:rPr>
            </w:pPr>
            <w:r>
              <w:rPr>
                <w:spacing w:val="-2"/>
                <w:sz w:val="18"/>
              </w:rPr>
              <w:t>12,25</w:t>
            </w:r>
          </w:p>
        </w:tc>
      </w:tr>
      <w:tr>
        <w:trPr>
          <w:trHeight w:val="266" w:hRule="atLeast"/>
        </w:trPr>
        <w:tc>
          <w:tcPr>
            <w:tcW w:w="2793" w:type="dxa"/>
          </w:tcPr>
          <w:p>
            <w:pPr>
              <w:pStyle w:val="TableParagraph"/>
              <w:spacing w:line="204" w:lineRule="exact" w:before="42"/>
              <w:ind w:left="50"/>
              <w:rPr>
                <w:sz w:val="18"/>
              </w:rPr>
            </w:pPr>
            <w:r>
              <w:rPr>
                <w:sz w:val="18"/>
              </w:rPr>
              <w:t>MANDO</w:t>
            </w:r>
            <w:r>
              <w:rPr>
                <w:spacing w:val="-5"/>
                <w:sz w:val="18"/>
              </w:rPr>
              <w:t> </w:t>
            </w:r>
            <w:r>
              <w:rPr>
                <w:spacing w:val="-2"/>
                <w:sz w:val="18"/>
              </w:rPr>
              <w:t>MOVIMIENTO</w:t>
            </w:r>
          </w:p>
        </w:tc>
        <w:tc>
          <w:tcPr>
            <w:tcW w:w="1175" w:type="dxa"/>
          </w:tcPr>
          <w:p>
            <w:pPr>
              <w:pStyle w:val="TableParagraph"/>
              <w:spacing w:before="11"/>
              <w:ind w:left="10" w:right="3"/>
              <w:jc w:val="center"/>
              <w:rPr>
                <w:sz w:val="18"/>
              </w:rPr>
            </w:pPr>
            <w:r>
              <w:rPr>
                <w:spacing w:val="-2"/>
                <w:sz w:val="18"/>
              </w:rPr>
              <w:t>23,99</w:t>
            </w:r>
          </w:p>
        </w:tc>
        <w:tc>
          <w:tcPr>
            <w:tcW w:w="1116" w:type="dxa"/>
          </w:tcPr>
          <w:p>
            <w:pPr>
              <w:pStyle w:val="TableParagraph"/>
              <w:spacing w:before="11"/>
              <w:ind w:left="7" w:right="7"/>
              <w:jc w:val="center"/>
              <w:rPr>
                <w:sz w:val="18"/>
              </w:rPr>
            </w:pPr>
            <w:r>
              <w:rPr>
                <w:spacing w:val="-4"/>
                <w:sz w:val="18"/>
              </w:rPr>
              <w:t>0,45</w:t>
            </w:r>
          </w:p>
        </w:tc>
        <w:tc>
          <w:tcPr>
            <w:tcW w:w="1164" w:type="dxa"/>
          </w:tcPr>
          <w:p>
            <w:pPr>
              <w:pStyle w:val="TableParagraph"/>
              <w:rPr>
                <w:rFonts w:ascii="Times New Roman"/>
                <w:sz w:val="16"/>
              </w:rPr>
            </w:pPr>
          </w:p>
        </w:tc>
        <w:tc>
          <w:tcPr>
            <w:tcW w:w="1074" w:type="dxa"/>
          </w:tcPr>
          <w:p>
            <w:pPr>
              <w:pStyle w:val="TableParagraph"/>
              <w:rPr>
                <w:rFonts w:ascii="Times New Roman"/>
                <w:sz w:val="16"/>
              </w:rPr>
            </w:pPr>
          </w:p>
        </w:tc>
        <w:tc>
          <w:tcPr>
            <w:tcW w:w="1303" w:type="dxa"/>
          </w:tcPr>
          <w:p>
            <w:pPr>
              <w:pStyle w:val="TableParagraph"/>
              <w:spacing w:before="11"/>
              <w:ind w:left="40" w:right="3"/>
              <w:jc w:val="center"/>
              <w:rPr>
                <w:sz w:val="18"/>
              </w:rPr>
            </w:pPr>
            <w:r>
              <w:rPr>
                <w:spacing w:val="-2"/>
                <w:sz w:val="18"/>
              </w:rPr>
              <w:t>24,45</w:t>
            </w:r>
          </w:p>
        </w:tc>
      </w:tr>
      <w:tr>
        <w:trPr>
          <w:trHeight w:val="266" w:hRule="atLeast"/>
        </w:trPr>
        <w:tc>
          <w:tcPr>
            <w:tcW w:w="2793" w:type="dxa"/>
          </w:tcPr>
          <w:p>
            <w:pPr>
              <w:pStyle w:val="TableParagraph"/>
              <w:spacing w:line="204" w:lineRule="exact" w:before="42"/>
              <w:ind w:left="50"/>
              <w:rPr>
                <w:sz w:val="18"/>
              </w:rPr>
            </w:pPr>
            <w:r>
              <w:rPr>
                <w:sz w:val="18"/>
              </w:rPr>
              <w:t>MANDO</w:t>
            </w:r>
            <w:r>
              <w:rPr>
                <w:spacing w:val="-7"/>
                <w:sz w:val="18"/>
              </w:rPr>
              <w:t> </w:t>
            </w:r>
            <w:r>
              <w:rPr>
                <w:spacing w:val="-2"/>
                <w:sz w:val="18"/>
              </w:rPr>
              <w:t>TALLER</w:t>
            </w:r>
          </w:p>
        </w:tc>
        <w:tc>
          <w:tcPr>
            <w:tcW w:w="1175" w:type="dxa"/>
          </w:tcPr>
          <w:p>
            <w:pPr>
              <w:pStyle w:val="TableParagraph"/>
              <w:spacing w:before="11"/>
              <w:ind w:left="10" w:right="2"/>
              <w:jc w:val="center"/>
              <w:rPr>
                <w:sz w:val="18"/>
              </w:rPr>
            </w:pPr>
            <w:r>
              <w:rPr>
                <w:spacing w:val="-4"/>
                <w:sz w:val="18"/>
              </w:rPr>
              <w:t>3,98</w:t>
            </w:r>
          </w:p>
        </w:tc>
        <w:tc>
          <w:tcPr>
            <w:tcW w:w="1116" w:type="dxa"/>
          </w:tcPr>
          <w:p>
            <w:pPr>
              <w:pStyle w:val="TableParagraph"/>
              <w:spacing w:before="11"/>
              <w:ind w:left="7" w:right="7"/>
              <w:jc w:val="center"/>
              <w:rPr>
                <w:sz w:val="18"/>
              </w:rPr>
            </w:pPr>
            <w:r>
              <w:rPr>
                <w:spacing w:val="-4"/>
                <w:sz w:val="18"/>
              </w:rPr>
              <w:t>0,50</w:t>
            </w:r>
          </w:p>
        </w:tc>
        <w:tc>
          <w:tcPr>
            <w:tcW w:w="1164" w:type="dxa"/>
          </w:tcPr>
          <w:p>
            <w:pPr>
              <w:pStyle w:val="TableParagraph"/>
              <w:rPr>
                <w:rFonts w:ascii="Times New Roman"/>
                <w:sz w:val="16"/>
              </w:rPr>
            </w:pPr>
          </w:p>
        </w:tc>
        <w:tc>
          <w:tcPr>
            <w:tcW w:w="1074" w:type="dxa"/>
          </w:tcPr>
          <w:p>
            <w:pPr>
              <w:pStyle w:val="TableParagraph"/>
              <w:rPr>
                <w:rFonts w:ascii="Times New Roman"/>
                <w:sz w:val="16"/>
              </w:rPr>
            </w:pPr>
          </w:p>
        </w:tc>
        <w:tc>
          <w:tcPr>
            <w:tcW w:w="1303" w:type="dxa"/>
          </w:tcPr>
          <w:p>
            <w:pPr>
              <w:pStyle w:val="TableParagraph"/>
              <w:spacing w:before="11"/>
              <w:ind w:left="40" w:right="3"/>
              <w:jc w:val="center"/>
              <w:rPr>
                <w:sz w:val="18"/>
              </w:rPr>
            </w:pPr>
            <w:r>
              <w:rPr>
                <w:spacing w:val="-4"/>
                <w:sz w:val="18"/>
              </w:rPr>
              <w:t>4,48</w:t>
            </w:r>
          </w:p>
        </w:tc>
      </w:tr>
      <w:tr>
        <w:trPr>
          <w:trHeight w:val="265" w:hRule="atLeast"/>
        </w:trPr>
        <w:tc>
          <w:tcPr>
            <w:tcW w:w="2793" w:type="dxa"/>
          </w:tcPr>
          <w:p>
            <w:pPr>
              <w:pStyle w:val="TableParagraph"/>
              <w:spacing w:line="205" w:lineRule="exact" w:before="40"/>
              <w:ind w:left="50"/>
              <w:rPr>
                <w:sz w:val="18"/>
              </w:rPr>
            </w:pPr>
            <w:r>
              <w:rPr>
                <w:sz w:val="18"/>
              </w:rPr>
              <w:t>CONDUCTOR/A</w:t>
            </w:r>
            <w:r>
              <w:rPr>
                <w:spacing w:val="-6"/>
                <w:sz w:val="18"/>
              </w:rPr>
              <w:t> </w:t>
            </w:r>
            <w:r>
              <w:rPr>
                <w:spacing w:val="-2"/>
                <w:sz w:val="18"/>
              </w:rPr>
              <w:t>PERCEPTOR/A</w:t>
            </w:r>
          </w:p>
        </w:tc>
        <w:tc>
          <w:tcPr>
            <w:tcW w:w="1175" w:type="dxa"/>
          </w:tcPr>
          <w:p>
            <w:pPr>
              <w:pStyle w:val="TableParagraph"/>
              <w:spacing w:before="11"/>
              <w:ind w:left="10"/>
              <w:jc w:val="center"/>
              <w:rPr>
                <w:sz w:val="18"/>
              </w:rPr>
            </w:pPr>
            <w:r>
              <w:rPr>
                <w:spacing w:val="-2"/>
                <w:sz w:val="18"/>
              </w:rPr>
              <w:t>417,16</w:t>
            </w:r>
          </w:p>
        </w:tc>
        <w:tc>
          <w:tcPr>
            <w:tcW w:w="1116" w:type="dxa"/>
          </w:tcPr>
          <w:p>
            <w:pPr>
              <w:pStyle w:val="TableParagraph"/>
              <w:spacing w:before="11"/>
              <w:ind w:left="6" w:right="7"/>
              <w:jc w:val="center"/>
              <w:rPr>
                <w:sz w:val="18"/>
              </w:rPr>
            </w:pPr>
            <w:r>
              <w:rPr>
                <w:spacing w:val="-2"/>
                <w:sz w:val="18"/>
              </w:rPr>
              <w:t>151,31</w:t>
            </w:r>
          </w:p>
        </w:tc>
        <w:tc>
          <w:tcPr>
            <w:tcW w:w="1164" w:type="dxa"/>
          </w:tcPr>
          <w:p>
            <w:pPr>
              <w:pStyle w:val="TableParagraph"/>
              <w:spacing w:before="11"/>
              <w:ind w:left="3" w:right="1"/>
              <w:jc w:val="center"/>
              <w:rPr>
                <w:sz w:val="18"/>
              </w:rPr>
            </w:pPr>
            <w:r>
              <w:rPr>
                <w:spacing w:val="-2"/>
                <w:sz w:val="18"/>
              </w:rPr>
              <w:t>15,65</w:t>
            </w:r>
          </w:p>
        </w:tc>
        <w:tc>
          <w:tcPr>
            <w:tcW w:w="1074" w:type="dxa"/>
          </w:tcPr>
          <w:p>
            <w:pPr>
              <w:pStyle w:val="TableParagraph"/>
              <w:spacing w:before="11"/>
              <w:ind w:left="43" w:right="1"/>
              <w:jc w:val="center"/>
              <w:rPr>
                <w:sz w:val="18"/>
              </w:rPr>
            </w:pPr>
            <w:r>
              <w:rPr>
                <w:spacing w:val="-2"/>
                <w:sz w:val="18"/>
              </w:rPr>
              <w:t>20,82</w:t>
            </w:r>
          </w:p>
        </w:tc>
        <w:tc>
          <w:tcPr>
            <w:tcW w:w="1303" w:type="dxa"/>
          </w:tcPr>
          <w:p>
            <w:pPr>
              <w:pStyle w:val="TableParagraph"/>
              <w:spacing w:before="11"/>
              <w:ind w:left="40" w:right="1"/>
              <w:jc w:val="center"/>
              <w:rPr>
                <w:sz w:val="18"/>
              </w:rPr>
            </w:pPr>
            <w:r>
              <w:rPr>
                <w:spacing w:val="-2"/>
                <w:sz w:val="18"/>
              </w:rPr>
              <w:t>604,94</w:t>
            </w:r>
          </w:p>
        </w:tc>
      </w:tr>
      <w:tr>
        <w:trPr>
          <w:trHeight w:val="266" w:hRule="atLeast"/>
        </w:trPr>
        <w:tc>
          <w:tcPr>
            <w:tcW w:w="2793" w:type="dxa"/>
          </w:tcPr>
          <w:p>
            <w:pPr>
              <w:pStyle w:val="TableParagraph"/>
              <w:spacing w:line="205" w:lineRule="exact" w:before="41"/>
              <w:ind w:left="50"/>
              <w:rPr>
                <w:sz w:val="18"/>
              </w:rPr>
            </w:pPr>
            <w:r>
              <w:rPr>
                <w:sz w:val="18"/>
              </w:rPr>
              <w:t>OFICIAL</w:t>
            </w:r>
            <w:r>
              <w:rPr>
                <w:spacing w:val="-3"/>
                <w:sz w:val="18"/>
              </w:rPr>
              <w:t> </w:t>
            </w:r>
            <w:r>
              <w:rPr>
                <w:spacing w:val="-2"/>
                <w:sz w:val="18"/>
              </w:rPr>
              <w:t>ADMINISTRACIÓN</w:t>
            </w:r>
          </w:p>
        </w:tc>
        <w:tc>
          <w:tcPr>
            <w:tcW w:w="1175" w:type="dxa"/>
          </w:tcPr>
          <w:p>
            <w:pPr>
              <w:pStyle w:val="TableParagraph"/>
              <w:spacing w:before="12"/>
              <w:ind w:left="10" w:right="2"/>
              <w:jc w:val="center"/>
              <w:rPr>
                <w:sz w:val="18"/>
              </w:rPr>
            </w:pPr>
            <w:r>
              <w:rPr>
                <w:spacing w:val="-4"/>
                <w:sz w:val="18"/>
              </w:rPr>
              <w:t>5,00</w:t>
            </w:r>
          </w:p>
        </w:tc>
        <w:tc>
          <w:tcPr>
            <w:tcW w:w="1116" w:type="dxa"/>
          </w:tcPr>
          <w:p>
            <w:pPr>
              <w:pStyle w:val="TableParagraph"/>
              <w:rPr>
                <w:rFonts w:ascii="Times New Roman"/>
                <w:sz w:val="16"/>
              </w:rPr>
            </w:pPr>
          </w:p>
        </w:tc>
        <w:tc>
          <w:tcPr>
            <w:tcW w:w="1164" w:type="dxa"/>
          </w:tcPr>
          <w:p>
            <w:pPr>
              <w:pStyle w:val="TableParagraph"/>
              <w:spacing w:before="12"/>
              <w:ind w:left="4" w:right="1"/>
              <w:jc w:val="center"/>
              <w:rPr>
                <w:sz w:val="18"/>
              </w:rPr>
            </w:pPr>
            <w:r>
              <w:rPr>
                <w:spacing w:val="-2"/>
                <w:sz w:val="18"/>
              </w:rPr>
              <w:t>12,25</w:t>
            </w:r>
          </w:p>
        </w:tc>
        <w:tc>
          <w:tcPr>
            <w:tcW w:w="1074" w:type="dxa"/>
          </w:tcPr>
          <w:p>
            <w:pPr>
              <w:pStyle w:val="TableParagraph"/>
              <w:rPr>
                <w:rFonts w:ascii="Times New Roman"/>
                <w:sz w:val="16"/>
              </w:rPr>
            </w:pPr>
          </w:p>
        </w:tc>
        <w:tc>
          <w:tcPr>
            <w:tcW w:w="1303" w:type="dxa"/>
          </w:tcPr>
          <w:p>
            <w:pPr>
              <w:pStyle w:val="TableParagraph"/>
              <w:spacing w:before="12"/>
              <w:ind w:left="40" w:right="4"/>
              <w:jc w:val="center"/>
              <w:rPr>
                <w:sz w:val="18"/>
              </w:rPr>
            </w:pPr>
            <w:r>
              <w:rPr>
                <w:spacing w:val="-2"/>
                <w:sz w:val="18"/>
              </w:rPr>
              <w:t>17,25</w:t>
            </w:r>
          </w:p>
        </w:tc>
      </w:tr>
      <w:tr>
        <w:trPr>
          <w:trHeight w:val="291" w:hRule="atLeast"/>
        </w:trPr>
        <w:tc>
          <w:tcPr>
            <w:tcW w:w="2793" w:type="dxa"/>
          </w:tcPr>
          <w:p>
            <w:pPr>
              <w:pStyle w:val="TableParagraph"/>
              <w:spacing w:before="48"/>
              <w:ind w:left="50"/>
              <w:rPr>
                <w:sz w:val="18"/>
              </w:rPr>
            </w:pPr>
            <w:r>
              <w:rPr>
                <w:sz w:val="18"/>
              </w:rPr>
              <w:t>OFICIAL</w:t>
            </w:r>
            <w:r>
              <w:rPr>
                <w:spacing w:val="-3"/>
                <w:sz w:val="18"/>
              </w:rPr>
              <w:t> </w:t>
            </w:r>
            <w:r>
              <w:rPr>
                <w:spacing w:val="-2"/>
                <w:sz w:val="18"/>
              </w:rPr>
              <w:t>TALLER</w:t>
            </w:r>
          </w:p>
        </w:tc>
        <w:tc>
          <w:tcPr>
            <w:tcW w:w="1175" w:type="dxa"/>
            <w:tcBorders>
              <w:bottom w:val="single" w:sz="8" w:space="0" w:color="000000"/>
            </w:tcBorders>
          </w:tcPr>
          <w:p>
            <w:pPr>
              <w:pStyle w:val="TableParagraph"/>
              <w:spacing w:before="12"/>
              <w:ind w:left="10" w:right="3"/>
              <w:jc w:val="center"/>
              <w:rPr>
                <w:sz w:val="18"/>
              </w:rPr>
            </w:pPr>
            <w:r>
              <w:rPr>
                <w:spacing w:val="-2"/>
                <w:sz w:val="18"/>
              </w:rPr>
              <w:t>36,71</w:t>
            </w:r>
          </w:p>
        </w:tc>
        <w:tc>
          <w:tcPr>
            <w:tcW w:w="1116" w:type="dxa"/>
            <w:tcBorders>
              <w:bottom w:val="single" w:sz="8" w:space="0" w:color="000000"/>
            </w:tcBorders>
          </w:tcPr>
          <w:p>
            <w:pPr>
              <w:pStyle w:val="TableParagraph"/>
              <w:spacing w:before="12"/>
              <w:ind w:left="7" w:right="7"/>
              <w:jc w:val="center"/>
              <w:rPr>
                <w:sz w:val="18"/>
              </w:rPr>
            </w:pPr>
            <w:r>
              <w:rPr>
                <w:spacing w:val="-4"/>
                <w:sz w:val="18"/>
              </w:rPr>
              <w:t>0,24</w:t>
            </w:r>
          </w:p>
        </w:tc>
        <w:tc>
          <w:tcPr>
            <w:tcW w:w="1164" w:type="dxa"/>
            <w:tcBorders>
              <w:bottom w:val="single" w:sz="8" w:space="0" w:color="000000"/>
            </w:tcBorders>
          </w:tcPr>
          <w:p>
            <w:pPr>
              <w:pStyle w:val="TableParagraph"/>
              <w:rPr>
                <w:rFonts w:ascii="Times New Roman"/>
                <w:sz w:val="16"/>
              </w:rPr>
            </w:pPr>
          </w:p>
        </w:tc>
        <w:tc>
          <w:tcPr>
            <w:tcW w:w="1074" w:type="dxa"/>
            <w:tcBorders>
              <w:bottom w:val="single" w:sz="8" w:space="0" w:color="000000"/>
            </w:tcBorders>
          </w:tcPr>
          <w:p>
            <w:pPr>
              <w:pStyle w:val="TableParagraph"/>
              <w:rPr>
                <w:rFonts w:ascii="Times New Roman"/>
                <w:sz w:val="16"/>
              </w:rPr>
            </w:pPr>
          </w:p>
        </w:tc>
        <w:tc>
          <w:tcPr>
            <w:tcW w:w="1303" w:type="dxa"/>
            <w:tcBorders>
              <w:bottom w:val="single" w:sz="8" w:space="0" w:color="000000"/>
            </w:tcBorders>
          </w:tcPr>
          <w:p>
            <w:pPr>
              <w:pStyle w:val="TableParagraph"/>
              <w:spacing w:before="12"/>
              <w:ind w:left="40" w:right="3"/>
              <w:jc w:val="center"/>
              <w:rPr>
                <w:sz w:val="18"/>
              </w:rPr>
            </w:pPr>
            <w:r>
              <w:rPr>
                <w:spacing w:val="-2"/>
                <w:sz w:val="18"/>
              </w:rPr>
              <w:t>36,95</w:t>
            </w:r>
          </w:p>
        </w:tc>
      </w:tr>
      <w:tr>
        <w:trPr>
          <w:trHeight w:val="280" w:hRule="atLeast"/>
        </w:trPr>
        <w:tc>
          <w:tcPr>
            <w:tcW w:w="2793" w:type="dxa"/>
          </w:tcPr>
          <w:p>
            <w:pPr>
              <w:pStyle w:val="TableParagraph"/>
              <w:spacing w:before="30"/>
              <w:ind w:left="50"/>
              <w:rPr>
                <w:b/>
                <w:sz w:val="18"/>
              </w:rPr>
            </w:pPr>
            <w:r>
              <w:rPr>
                <w:b/>
                <w:sz w:val="18"/>
              </w:rPr>
              <w:t>Totales</w:t>
            </w:r>
            <w:r>
              <w:rPr>
                <w:b/>
                <w:spacing w:val="-7"/>
                <w:sz w:val="18"/>
              </w:rPr>
              <w:t> </w:t>
            </w:r>
            <w:r>
              <w:rPr>
                <w:b/>
                <w:sz w:val="18"/>
              </w:rPr>
              <w:t>empleo</w:t>
            </w:r>
            <w:r>
              <w:rPr>
                <w:b/>
                <w:spacing w:val="-1"/>
                <w:sz w:val="18"/>
              </w:rPr>
              <w:t> </w:t>
            </w:r>
            <w:r>
              <w:rPr>
                <w:b/>
                <w:spacing w:val="-4"/>
                <w:sz w:val="18"/>
              </w:rPr>
              <w:t>medio</w:t>
            </w:r>
          </w:p>
        </w:tc>
        <w:tc>
          <w:tcPr>
            <w:tcW w:w="1175" w:type="dxa"/>
            <w:tcBorders>
              <w:top w:val="single" w:sz="8" w:space="0" w:color="000000"/>
              <w:bottom w:val="single" w:sz="8" w:space="0" w:color="000000"/>
            </w:tcBorders>
          </w:tcPr>
          <w:p>
            <w:pPr>
              <w:pStyle w:val="TableParagraph"/>
              <w:spacing w:line="201" w:lineRule="exact"/>
              <w:ind w:left="10"/>
              <w:jc w:val="center"/>
              <w:rPr>
                <w:b/>
                <w:sz w:val="18"/>
              </w:rPr>
            </w:pPr>
            <w:r>
              <w:rPr>
                <w:b/>
                <w:spacing w:val="-2"/>
                <w:sz w:val="18"/>
              </w:rPr>
              <w:t>517,47</w:t>
            </w:r>
          </w:p>
        </w:tc>
        <w:tc>
          <w:tcPr>
            <w:tcW w:w="1116" w:type="dxa"/>
            <w:tcBorders>
              <w:top w:val="single" w:sz="8" w:space="0" w:color="000000"/>
              <w:bottom w:val="single" w:sz="8" w:space="0" w:color="000000"/>
            </w:tcBorders>
          </w:tcPr>
          <w:p>
            <w:pPr>
              <w:pStyle w:val="TableParagraph"/>
              <w:spacing w:line="201" w:lineRule="exact"/>
              <w:ind w:left="7" w:right="7"/>
              <w:jc w:val="center"/>
              <w:rPr>
                <w:b/>
                <w:sz w:val="18"/>
              </w:rPr>
            </w:pPr>
            <w:r>
              <w:rPr>
                <w:b/>
                <w:spacing w:val="-2"/>
                <w:sz w:val="18"/>
              </w:rPr>
              <w:t>153,50</w:t>
            </w:r>
          </w:p>
        </w:tc>
        <w:tc>
          <w:tcPr>
            <w:tcW w:w="1164" w:type="dxa"/>
            <w:tcBorders>
              <w:top w:val="single" w:sz="8" w:space="0" w:color="000000"/>
              <w:bottom w:val="single" w:sz="8" w:space="0" w:color="000000"/>
            </w:tcBorders>
          </w:tcPr>
          <w:p>
            <w:pPr>
              <w:pStyle w:val="TableParagraph"/>
              <w:spacing w:line="201" w:lineRule="exact"/>
              <w:ind w:left="3" w:right="2"/>
              <w:jc w:val="center"/>
              <w:rPr>
                <w:b/>
                <w:sz w:val="18"/>
              </w:rPr>
            </w:pPr>
            <w:r>
              <w:rPr>
                <w:b/>
                <w:spacing w:val="-2"/>
                <w:sz w:val="18"/>
              </w:rPr>
              <w:t>45,59</w:t>
            </w:r>
          </w:p>
        </w:tc>
        <w:tc>
          <w:tcPr>
            <w:tcW w:w="1074" w:type="dxa"/>
            <w:tcBorders>
              <w:top w:val="single" w:sz="8" w:space="0" w:color="000000"/>
              <w:bottom w:val="single" w:sz="8" w:space="0" w:color="000000"/>
            </w:tcBorders>
          </w:tcPr>
          <w:p>
            <w:pPr>
              <w:pStyle w:val="TableParagraph"/>
              <w:spacing w:line="201" w:lineRule="exact"/>
              <w:ind w:left="43"/>
              <w:jc w:val="center"/>
              <w:rPr>
                <w:b/>
                <w:sz w:val="18"/>
              </w:rPr>
            </w:pPr>
            <w:r>
              <w:rPr>
                <w:b/>
                <w:spacing w:val="-2"/>
                <w:sz w:val="18"/>
              </w:rPr>
              <w:t>21,07</w:t>
            </w:r>
          </w:p>
        </w:tc>
        <w:tc>
          <w:tcPr>
            <w:tcW w:w="1303" w:type="dxa"/>
            <w:tcBorders>
              <w:top w:val="single" w:sz="8" w:space="0" w:color="000000"/>
              <w:bottom w:val="single" w:sz="8" w:space="0" w:color="000000"/>
            </w:tcBorders>
          </w:tcPr>
          <w:p>
            <w:pPr>
              <w:pStyle w:val="TableParagraph"/>
              <w:spacing w:line="201" w:lineRule="exact"/>
              <w:ind w:left="40"/>
              <w:jc w:val="center"/>
              <w:rPr>
                <w:b/>
                <w:sz w:val="18"/>
              </w:rPr>
            </w:pPr>
            <w:r>
              <w:rPr>
                <w:b/>
                <w:spacing w:val="-2"/>
                <w:sz w:val="18"/>
              </w:rPr>
              <w:t>737,63</w:t>
            </w:r>
          </w:p>
        </w:tc>
      </w:tr>
    </w:tbl>
    <w:p>
      <w:pPr>
        <w:pStyle w:val="BodyText"/>
        <w:spacing w:before="13"/>
        <w:rPr>
          <w:b/>
          <w:sz w:val="18"/>
        </w:rPr>
      </w:pPr>
    </w:p>
    <w:p>
      <w:pPr>
        <w:pStyle w:val="BodyText"/>
        <w:ind w:left="2248" w:right="1308"/>
      </w:pPr>
      <w:r>
        <w:rPr/>
        <w:t>El número medio de personas empleadas por la Sociedad durante el ejercicio 2025, distribuido por agrupación funcional, sexo y tipo de contrato, ha sido el siguiente:</w:t>
      </w:r>
    </w:p>
    <w:p>
      <w:pPr>
        <w:tabs>
          <w:tab w:pos="7173" w:val="left" w:leader="none"/>
        </w:tabs>
        <w:spacing w:before="49"/>
        <w:ind w:left="4840" w:right="0" w:firstLine="0"/>
        <w:jc w:val="left"/>
        <w:rPr>
          <w:b/>
          <w:sz w:val="18"/>
        </w:rPr>
      </w:pPr>
      <w:r>
        <w:rPr>
          <w:b/>
          <w:spacing w:val="-2"/>
          <w:sz w:val="18"/>
        </w:rPr>
        <w:t>Hombres</w:t>
      </w:r>
      <w:r>
        <w:rPr>
          <w:b/>
          <w:sz w:val="18"/>
        </w:rPr>
        <w:tab/>
      </w:r>
      <w:r>
        <w:rPr>
          <w:b/>
          <w:spacing w:val="-2"/>
          <w:sz w:val="18"/>
        </w:rPr>
        <w:t>Mujeres</w:t>
      </w:r>
    </w:p>
    <w:p>
      <w:pPr>
        <w:pStyle w:val="BodyText"/>
        <w:spacing w:before="9"/>
        <w:rPr>
          <w:b/>
          <w:sz w:val="5"/>
        </w:rPr>
      </w:pP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3"/>
        <w:gridCol w:w="1177"/>
        <w:gridCol w:w="1115"/>
        <w:gridCol w:w="1166"/>
        <w:gridCol w:w="1072"/>
        <w:gridCol w:w="1300"/>
      </w:tblGrid>
      <w:tr>
        <w:trPr>
          <w:trHeight w:val="313" w:hRule="atLeast"/>
        </w:trPr>
        <w:tc>
          <w:tcPr>
            <w:tcW w:w="2793" w:type="dxa"/>
          </w:tcPr>
          <w:p>
            <w:pPr>
              <w:pStyle w:val="TableParagraph"/>
              <w:rPr>
                <w:rFonts w:ascii="Times New Roman"/>
                <w:sz w:val="16"/>
              </w:rPr>
            </w:pPr>
          </w:p>
        </w:tc>
        <w:tc>
          <w:tcPr>
            <w:tcW w:w="1177" w:type="dxa"/>
            <w:tcBorders>
              <w:top w:val="single" w:sz="8" w:space="0" w:color="000000"/>
              <w:bottom w:val="single" w:sz="8" w:space="0" w:color="000000"/>
            </w:tcBorders>
          </w:tcPr>
          <w:p>
            <w:pPr>
              <w:pStyle w:val="TableParagraph"/>
              <w:spacing w:before="49"/>
              <w:ind w:left="16"/>
              <w:jc w:val="center"/>
              <w:rPr>
                <w:b/>
                <w:sz w:val="18"/>
              </w:rPr>
            </w:pPr>
            <w:r>
              <w:rPr>
                <w:b/>
                <w:spacing w:val="-2"/>
                <w:sz w:val="18"/>
              </w:rPr>
              <w:t>Indefinido</w:t>
            </w:r>
          </w:p>
        </w:tc>
        <w:tc>
          <w:tcPr>
            <w:tcW w:w="1115" w:type="dxa"/>
            <w:tcBorders>
              <w:top w:val="single" w:sz="8" w:space="0" w:color="000000"/>
              <w:bottom w:val="single" w:sz="8" w:space="0" w:color="000000"/>
            </w:tcBorders>
          </w:tcPr>
          <w:p>
            <w:pPr>
              <w:pStyle w:val="TableParagraph"/>
              <w:spacing w:before="49"/>
              <w:ind w:left="1" w:right="2"/>
              <w:jc w:val="center"/>
              <w:rPr>
                <w:b/>
                <w:sz w:val="18"/>
              </w:rPr>
            </w:pPr>
            <w:r>
              <w:rPr>
                <w:b/>
                <w:spacing w:val="-2"/>
                <w:sz w:val="18"/>
              </w:rPr>
              <w:t>Temporal</w:t>
            </w:r>
          </w:p>
        </w:tc>
        <w:tc>
          <w:tcPr>
            <w:tcW w:w="1166" w:type="dxa"/>
            <w:tcBorders>
              <w:top w:val="single" w:sz="8" w:space="0" w:color="000000"/>
              <w:bottom w:val="single" w:sz="8" w:space="0" w:color="000000"/>
            </w:tcBorders>
          </w:tcPr>
          <w:p>
            <w:pPr>
              <w:pStyle w:val="TableParagraph"/>
              <w:spacing w:before="49"/>
              <w:ind w:left="12" w:right="9"/>
              <w:jc w:val="center"/>
              <w:rPr>
                <w:b/>
                <w:sz w:val="18"/>
              </w:rPr>
            </w:pPr>
            <w:r>
              <w:rPr>
                <w:b/>
                <w:spacing w:val="-2"/>
                <w:sz w:val="18"/>
              </w:rPr>
              <w:t>Indefinido</w:t>
            </w:r>
          </w:p>
        </w:tc>
        <w:tc>
          <w:tcPr>
            <w:tcW w:w="1072" w:type="dxa"/>
            <w:tcBorders>
              <w:top w:val="single" w:sz="8" w:space="0" w:color="000000"/>
              <w:bottom w:val="single" w:sz="8" w:space="0" w:color="000000"/>
            </w:tcBorders>
          </w:tcPr>
          <w:p>
            <w:pPr>
              <w:pStyle w:val="TableParagraph"/>
              <w:spacing w:before="49"/>
              <w:ind w:left="48" w:right="1"/>
              <w:jc w:val="center"/>
              <w:rPr>
                <w:b/>
                <w:sz w:val="18"/>
              </w:rPr>
            </w:pPr>
            <w:r>
              <w:rPr>
                <w:b/>
                <w:spacing w:val="-2"/>
                <w:sz w:val="18"/>
              </w:rPr>
              <w:t>Temporal</w:t>
            </w:r>
          </w:p>
        </w:tc>
        <w:tc>
          <w:tcPr>
            <w:tcW w:w="1300" w:type="dxa"/>
            <w:tcBorders>
              <w:top w:val="single" w:sz="8" w:space="0" w:color="000000"/>
              <w:bottom w:val="single" w:sz="8" w:space="0" w:color="000000"/>
            </w:tcBorders>
          </w:tcPr>
          <w:p>
            <w:pPr>
              <w:pStyle w:val="TableParagraph"/>
              <w:spacing w:before="49"/>
              <w:ind w:left="41" w:right="2"/>
              <w:jc w:val="center"/>
              <w:rPr>
                <w:b/>
                <w:sz w:val="18"/>
              </w:rPr>
            </w:pPr>
            <w:r>
              <w:rPr>
                <w:b/>
                <w:sz w:val="18"/>
              </w:rPr>
              <w:t>Total</w:t>
            </w:r>
            <w:r>
              <w:rPr>
                <w:b/>
                <w:spacing w:val="-2"/>
                <w:sz w:val="18"/>
              </w:rPr>
              <w:t> general</w:t>
            </w:r>
          </w:p>
        </w:tc>
      </w:tr>
      <w:tr>
        <w:trPr>
          <w:trHeight w:val="276" w:hRule="atLeast"/>
        </w:trPr>
        <w:tc>
          <w:tcPr>
            <w:tcW w:w="2793" w:type="dxa"/>
          </w:tcPr>
          <w:p>
            <w:pPr>
              <w:pStyle w:val="TableParagraph"/>
              <w:spacing w:before="44"/>
              <w:ind w:left="50"/>
              <w:rPr>
                <w:sz w:val="18"/>
              </w:rPr>
            </w:pPr>
            <w:r>
              <w:rPr>
                <w:sz w:val="18"/>
              </w:rPr>
              <w:t>ALTA</w:t>
            </w:r>
            <w:r>
              <w:rPr>
                <w:spacing w:val="-5"/>
                <w:sz w:val="18"/>
              </w:rPr>
              <w:t> </w:t>
            </w:r>
            <w:r>
              <w:rPr>
                <w:spacing w:val="-2"/>
                <w:sz w:val="18"/>
              </w:rPr>
              <w:t>DIRECCIÓN</w:t>
            </w:r>
          </w:p>
        </w:tc>
        <w:tc>
          <w:tcPr>
            <w:tcW w:w="1177" w:type="dxa"/>
            <w:tcBorders>
              <w:top w:val="single" w:sz="8" w:space="0" w:color="000000"/>
            </w:tcBorders>
          </w:tcPr>
          <w:p>
            <w:pPr>
              <w:pStyle w:val="TableParagraph"/>
              <w:rPr>
                <w:rFonts w:ascii="Times New Roman"/>
                <w:sz w:val="16"/>
              </w:rPr>
            </w:pPr>
          </w:p>
        </w:tc>
        <w:tc>
          <w:tcPr>
            <w:tcW w:w="1115" w:type="dxa"/>
            <w:tcBorders>
              <w:top w:val="single" w:sz="8" w:space="0" w:color="000000"/>
            </w:tcBorders>
          </w:tcPr>
          <w:p>
            <w:pPr>
              <w:pStyle w:val="TableParagraph"/>
              <w:spacing w:line="206" w:lineRule="exact"/>
              <w:ind w:left="1" w:right="2"/>
              <w:jc w:val="center"/>
              <w:rPr>
                <w:sz w:val="18"/>
              </w:rPr>
            </w:pPr>
            <w:r>
              <w:rPr>
                <w:spacing w:val="-4"/>
                <w:sz w:val="18"/>
              </w:rPr>
              <w:t>1,00</w:t>
            </w:r>
          </w:p>
        </w:tc>
        <w:tc>
          <w:tcPr>
            <w:tcW w:w="1166" w:type="dxa"/>
            <w:tcBorders>
              <w:top w:val="single" w:sz="8" w:space="0" w:color="000000"/>
            </w:tcBorders>
          </w:tcPr>
          <w:p>
            <w:pPr>
              <w:pStyle w:val="TableParagraph"/>
              <w:rPr>
                <w:rFonts w:ascii="Times New Roman"/>
                <w:sz w:val="16"/>
              </w:rPr>
            </w:pPr>
          </w:p>
        </w:tc>
        <w:tc>
          <w:tcPr>
            <w:tcW w:w="1072" w:type="dxa"/>
            <w:tcBorders>
              <w:top w:val="single" w:sz="8" w:space="0" w:color="000000"/>
            </w:tcBorders>
          </w:tcPr>
          <w:p>
            <w:pPr>
              <w:pStyle w:val="TableParagraph"/>
              <w:rPr>
                <w:rFonts w:ascii="Times New Roman"/>
                <w:sz w:val="16"/>
              </w:rPr>
            </w:pPr>
          </w:p>
        </w:tc>
        <w:tc>
          <w:tcPr>
            <w:tcW w:w="1300" w:type="dxa"/>
            <w:tcBorders>
              <w:top w:val="single" w:sz="8" w:space="0" w:color="000000"/>
            </w:tcBorders>
          </w:tcPr>
          <w:p>
            <w:pPr>
              <w:pStyle w:val="TableParagraph"/>
              <w:spacing w:line="206" w:lineRule="exact"/>
              <w:ind w:left="41" w:right="4"/>
              <w:jc w:val="center"/>
              <w:rPr>
                <w:sz w:val="18"/>
              </w:rPr>
            </w:pPr>
            <w:r>
              <w:rPr>
                <w:spacing w:val="-4"/>
                <w:sz w:val="18"/>
              </w:rPr>
              <w:t>1,00</w:t>
            </w:r>
          </w:p>
        </w:tc>
      </w:tr>
      <w:tr>
        <w:trPr>
          <w:trHeight w:val="297" w:hRule="atLeast"/>
        </w:trPr>
        <w:tc>
          <w:tcPr>
            <w:tcW w:w="2793" w:type="dxa"/>
          </w:tcPr>
          <w:p>
            <w:pPr>
              <w:pStyle w:val="TableParagraph"/>
              <w:spacing w:before="65"/>
              <w:ind w:left="50"/>
              <w:rPr>
                <w:sz w:val="18"/>
              </w:rPr>
            </w:pPr>
            <w:r>
              <w:rPr>
                <w:sz w:val="18"/>
              </w:rPr>
              <w:t>PERSONAL</w:t>
            </w:r>
            <w:r>
              <w:rPr>
                <w:spacing w:val="-4"/>
                <w:sz w:val="18"/>
              </w:rPr>
              <w:t> </w:t>
            </w:r>
            <w:r>
              <w:rPr>
                <w:spacing w:val="-2"/>
                <w:sz w:val="18"/>
              </w:rPr>
              <w:t>DIRECTIVO</w:t>
            </w:r>
          </w:p>
        </w:tc>
        <w:tc>
          <w:tcPr>
            <w:tcW w:w="1177" w:type="dxa"/>
          </w:tcPr>
          <w:p>
            <w:pPr>
              <w:pStyle w:val="TableParagraph"/>
              <w:spacing w:before="19"/>
              <w:ind w:left="16" w:right="2"/>
              <w:jc w:val="center"/>
              <w:rPr>
                <w:sz w:val="18"/>
              </w:rPr>
            </w:pPr>
            <w:r>
              <w:rPr>
                <w:spacing w:val="-2"/>
                <w:sz w:val="18"/>
              </w:rPr>
              <w:t>12,46</w:t>
            </w:r>
          </w:p>
        </w:tc>
        <w:tc>
          <w:tcPr>
            <w:tcW w:w="1115" w:type="dxa"/>
          </w:tcPr>
          <w:p>
            <w:pPr>
              <w:pStyle w:val="TableParagraph"/>
              <w:rPr>
                <w:rFonts w:ascii="Times New Roman"/>
                <w:sz w:val="16"/>
              </w:rPr>
            </w:pPr>
          </w:p>
        </w:tc>
        <w:tc>
          <w:tcPr>
            <w:tcW w:w="1166" w:type="dxa"/>
          </w:tcPr>
          <w:p>
            <w:pPr>
              <w:pStyle w:val="TableParagraph"/>
              <w:spacing w:before="19"/>
              <w:ind w:left="10" w:right="9"/>
              <w:jc w:val="center"/>
              <w:rPr>
                <w:sz w:val="18"/>
              </w:rPr>
            </w:pPr>
            <w:r>
              <w:rPr>
                <w:spacing w:val="-4"/>
                <w:sz w:val="18"/>
              </w:rPr>
              <w:t>8,00</w:t>
            </w:r>
          </w:p>
        </w:tc>
        <w:tc>
          <w:tcPr>
            <w:tcW w:w="1072" w:type="dxa"/>
          </w:tcPr>
          <w:p>
            <w:pPr>
              <w:pStyle w:val="TableParagraph"/>
              <w:rPr>
                <w:rFonts w:ascii="Times New Roman"/>
                <w:sz w:val="16"/>
              </w:rPr>
            </w:pPr>
          </w:p>
        </w:tc>
        <w:tc>
          <w:tcPr>
            <w:tcW w:w="1300" w:type="dxa"/>
          </w:tcPr>
          <w:p>
            <w:pPr>
              <w:pStyle w:val="TableParagraph"/>
              <w:spacing w:before="19"/>
              <w:ind w:left="41" w:right="4"/>
              <w:jc w:val="center"/>
              <w:rPr>
                <w:sz w:val="18"/>
              </w:rPr>
            </w:pPr>
            <w:r>
              <w:rPr>
                <w:spacing w:val="-2"/>
                <w:sz w:val="18"/>
              </w:rPr>
              <w:t>20,46</w:t>
            </w:r>
          </w:p>
        </w:tc>
      </w:tr>
      <w:tr>
        <w:trPr>
          <w:trHeight w:val="295" w:hRule="atLeast"/>
        </w:trPr>
        <w:tc>
          <w:tcPr>
            <w:tcW w:w="2793" w:type="dxa"/>
          </w:tcPr>
          <w:p>
            <w:pPr>
              <w:pStyle w:val="TableParagraph"/>
              <w:spacing w:before="62"/>
              <w:ind w:left="50"/>
              <w:rPr>
                <w:sz w:val="18"/>
              </w:rPr>
            </w:pPr>
            <w:r>
              <w:rPr>
                <w:sz w:val="18"/>
              </w:rPr>
              <w:t>PERSONAL</w:t>
            </w:r>
            <w:r>
              <w:rPr>
                <w:spacing w:val="-4"/>
                <w:sz w:val="18"/>
              </w:rPr>
              <w:t> </w:t>
            </w:r>
            <w:r>
              <w:rPr>
                <w:spacing w:val="-2"/>
                <w:sz w:val="18"/>
              </w:rPr>
              <w:t>TÉCNICO</w:t>
            </w:r>
          </w:p>
        </w:tc>
        <w:tc>
          <w:tcPr>
            <w:tcW w:w="1177" w:type="dxa"/>
          </w:tcPr>
          <w:p>
            <w:pPr>
              <w:pStyle w:val="TableParagraph"/>
              <w:spacing w:before="19"/>
              <w:ind w:left="16" w:right="2"/>
              <w:jc w:val="center"/>
              <w:rPr>
                <w:sz w:val="18"/>
              </w:rPr>
            </w:pPr>
            <w:r>
              <w:rPr>
                <w:spacing w:val="-2"/>
                <w:sz w:val="18"/>
              </w:rPr>
              <w:t>12,00</w:t>
            </w:r>
          </w:p>
        </w:tc>
        <w:tc>
          <w:tcPr>
            <w:tcW w:w="1115" w:type="dxa"/>
          </w:tcPr>
          <w:p>
            <w:pPr>
              <w:pStyle w:val="TableParagraph"/>
              <w:rPr>
                <w:rFonts w:ascii="Times New Roman"/>
                <w:sz w:val="16"/>
              </w:rPr>
            </w:pPr>
          </w:p>
        </w:tc>
        <w:tc>
          <w:tcPr>
            <w:tcW w:w="1166" w:type="dxa"/>
          </w:tcPr>
          <w:p>
            <w:pPr>
              <w:pStyle w:val="TableParagraph"/>
              <w:spacing w:before="19"/>
              <w:ind w:left="10" w:right="9"/>
              <w:jc w:val="center"/>
              <w:rPr>
                <w:sz w:val="18"/>
              </w:rPr>
            </w:pPr>
            <w:r>
              <w:rPr>
                <w:spacing w:val="-4"/>
                <w:sz w:val="18"/>
              </w:rPr>
              <w:t>4,79</w:t>
            </w:r>
          </w:p>
        </w:tc>
        <w:tc>
          <w:tcPr>
            <w:tcW w:w="1072" w:type="dxa"/>
          </w:tcPr>
          <w:p>
            <w:pPr>
              <w:pStyle w:val="TableParagraph"/>
              <w:rPr>
                <w:rFonts w:ascii="Times New Roman"/>
                <w:sz w:val="16"/>
              </w:rPr>
            </w:pPr>
          </w:p>
        </w:tc>
        <w:tc>
          <w:tcPr>
            <w:tcW w:w="1300" w:type="dxa"/>
          </w:tcPr>
          <w:p>
            <w:pPr>
              <w:pStyle w:val="TableParagraph"/>
              <w:spacing w:before="19"/>
              <w:ind w:left="41" w:right="4"/>
              <w:jc w:val="center"/>
              <w:rPr>
                <w:sz w:val="18"/>
              </w:rPr>
            </w:pPr>
            <w:r>
              <w:rPr>
                <w:spacing w:val="-2"/>
                <w:sz w:val="18"/>
              </w:rPr>
              <w:t>16,79</w:t>
            </w:r>
          </w:p>
        </w:tc>
      </w:tr>
      <w:tr>
        <w:trPr>
          <w:trHeight w:val="297" w:hRule="atLeast"/>
        </w:trPr>
        <w:tc>
          <w:tcPr>
            <w:tcW w:w="2793" w:type="dxa"/>
          </w:tcPr>
          <w:p>
            <w:pPr>
              <w:pStyle w:val="TableParagraph"/>
              <w:spacing w:before="65"/>
              <w:ind w:left="50"/>
              <w:rPr>
                <w:sz w:val="18"/>
              </w:rPr>
            </w:pPr>
            <w:r>
              <w:rPr>
                <w:sz w:val="18"/>
              </w:rPr>
              <w:t>MANDO</w:t>
            </w:r>
            <w:r>
              <w:rPr>
                <w:spacing w:val="-7"/>
                <w:sz w:val="18"/>
              </w:rPr>
              <w:t> </w:t>
            </w:r>
            <w:r>
              <w:rPr>
                <w:spacing w:val="-2"/>
                <w:sz w:val="18"/>
              </w:rPr>
              <w:t>ADMINISTRACIÓN</w:t>
            </w:r>
          </w:p>
        </w:tc>
        <w:tc>
          <w:tcPr>
            <w:tcW w:w="1177" w:type="dxa"/>
          </w:tcPr>
          <w:p>
            <w:pPr>
              <w:pStyle w:val="TableParagraph"/>
              <w:spacing w:before="19"/>
              <w:ind w:left="16"/>
              <w:jc w:val="center"/>
              <w:rPr>
                <w:sz w:val="18"/>
              </w:rPr>
            </w:pPr>
            <w:r>
              <w:rPr>
                <w:spacing w:val="-4"/>
                <w:sz w:val="18"/>
              </w:rPr>
              <w:t>5,00</w:t>
            </w:r>
          </w:p>
        </w:tc>
        <w:tc>
          <w:tcPr>
            <w:tcW w:w="1115" w:type="dxa"/>
          </w:tcPr>
          <w:p>
            <w:pPr>
              <w:pStyle w:val="TableParagraph"/>
              <w:rPr>
                <w:rFonts w:ascii="Times New Roman"/>
                <w:sz w:val="16"/>
              </w:rPr>
            </w:pPr>
          </w:p>
        </w:tc>
        <w:tc>
          <w:tcPr>
            <w:tcW w:w="1166" w:type="dxa"/>
          </w:tcPr>
          <w:p>
            <w:pPr>
              <w:pStyle w:val="TableParagraph"/>
              <w:spacing w:before="19"/>
              <w:ind w:left="11" w:right="9"/>
              <w:jc w:val="center"/>
              <w:rPr>
                <w:sz w:val="18"/>
              </w:rPr>
            </w:pPr>
            <w:r>
              <w:rPr>
                <w:spacing w:val="-5"/>
                <w:sz w:val="18"/>
              </w:rPr>
              <w:t>6,7</w:t>
            </w:r>
          </w:p>
        </w:tc>
        <w:tc>
          <w:tcPr>
            <w:tcW w:w="1072" w:type="dxa"/>
          </w:tcPr>
          <w:p>
            <w:pPr>
              <w:pStyle w:val="TableParagraph"/>
              <w:rPr>
                <w:rFonts w:ascii="Times New Roman"/>
                <w:sz w:val="16"/>
              </w:rPr>
            </w:pPr>
          </w:p>
        </w:tc>
        <w:tc>
          <w:tcPr>
            <w:tcW w:w="1300" w:type="dxa"/>
          </w:tcPr>
          <w:p>
            <w:pPr>
              <w:pStyle w:val="TableParagraph"/>
              <w:spacing w:before="19"/>
              <w:ind w:left="41" w:right="3"/>
              <w:jc w:val="center"/>
              <w:rPr>
                <w:sz w:val="18"/>
              </w:rPr>
            </w:pPr>
            <w:r>
              <w:rPr>
                <w:spacing w:val="-2"/>
                <w:sz w:val="18"/>
              </w:rPr>
              <w:t>11,70</w:t>
            </w:r>
          </w:p>
        </w:tc>
      </w:tr>
      <w:tr>
        <w:trPr>
          <w:trHeight w:val="297" w:hRule="atLeast"/>
        </w:trPr>
        <w:tc>
          <w:tcPr>
            <w:tcW w:w="2793" w:type="dxa"/>
          </w:tcPr>
          <w:p>
            <w:pPr>
              <w:pStyle w:val="TableParagraph"/>
              <w:spacing w:before="65"/>
              <w:ind w:left="50"/>
              <w:rPr>
                <w:sz w:val="18"/>
              </w:rPr>
            </w:pPr>
            <w:r>
              <w:rPr>
                <w:sz w:val="18"/>
              </w:rPr>
              <w:t>MANDO</w:t>
            </w:r>
            <w:r>
              <w:rPr>
                <w:spacing w:val="-5"/>
                <w:sz w:val="18"/>
              </w:rPr>
              <w:t> </w:t>
            </w:r>
            <w:r>
              <w:rPr>
                <w:spacing w:val="-2"/>
                <w:sz w:val="18"/>
              </w:rPr>
              <w:t>MOVIMIENTO</w:t>
            </w:r>
          </w:p>
        </w:tc>
        <w:tc>
          <w:tcPr>
            <w:tcW w:w="1177" w:type="dxa"/>
          </w:tcPr>
          <w:p>
            <w:pPr>
              <w:pStyle w:val="TableParagraph"/>
              <w:spacing w:before="19"/>
              <w:ind w:left="16" w:right="2"/>
              <w:jc w:val="center"/>
              <w:rPr>
                <w:sz w:val="18"/>
              </w:rPr>
            </w:pPr>
            <w:r>
              <w:rPr>
                <w:spacing w:val="-2"/>
                <w:sz w:val="18"/>
              </w:rPr>
              <w:t>24,75</w:t>
            </w:r>
          </w:p>
        </w:tc>
        <w:tc>
          <w:tcPr>
            <w:tcW w:w="1115" w:type="dxa"/>
          </w:tcPr>
          <w:p>
            <w:pPr>
              <w:pStyle w:val="TableParagraph"/>
              <w:rPr>
                <w:rFonts w:ascii="Times New Roman"/>
                <w:sz w:val="16"/>
              </w:rPr>
            </w:pPr>
          </w:p>
        </w:tc>
        <w:tc>
          <w:tcPr>
            <w:tcW w:w="1166" w:type="dxa"/>
          </w:tcPr>
          <w:p>
            <w:pPr>
              <w:pStyle w:val="TableParagraph"/>
              <w:rPr>
                <w:rFonts w:ascii="Times New Roman"/>
                <w:sz w:val="16"/>
              </w:rPr>
            </w:pPr>
          </w:p>
        </w:tc>
        <w:tc>
          <w:tcPr>
            <w:tcW w:w="1072" w:type="dxa"/>
          </w:tcPr>
          <w:p>
            <w:pPr>
              <w:pStyle w:val="TableParagraph"/>
              <w:rPr>
                <w:rFonts w:ascii="Times New Roman"/>
                <w:sz w:val="16"/>
              </w:rPr>
            </w:pPr>
          </w:p>
        </w:tc>
        <w:tc>
          <w:tcPr>
            <w:tcW w:w="1300" w:type="dxa"/>
          </w:tcPr>
          <w:p>
            <w:pPr>
              <w:pStyle w:val="TableParagraph"/>
              <w:spacing w:before="19"/>
              <w:ind w:left="41" w:right="4"/>
              <w:jc w:val="center"/>
              <w:rPr>
                <w:sz w:val="18"/>
              </w:rPr>
            </w:pPr>
            <w:r>
              <w:rPr>
                <w:spacing w:val="-2"/>
                <w:sz w:val="18"/>
              </w:rPr>
              <w:t>24,75</w:t>
            </w:r>
          </w:p>
        </w:tc>
      </w:tr>
      <w:tr>
        <w:trPr>
          <w:trHeight w:val="297" w:hRule="atLeast"/>
        </w:trPr>
        <w:tc>
          <w:tcPr>
            <w:tcW w:w="2793" w:type="dxa"/>
          </w:tcPr>
          <w:p>
            <w:pPr>
              <w:pStyle w:val="TableParagraph"/>
              <w:spacing w:before="65"/>
              <w:ind w:left="50"/>
              <w:rPr>
                <w:sz w:val="18"/>
              </w:rPr>
            </w:pPr>
            <w:r>
              <w:rPr>
                <w:sz w:val="18"/>
              </w:rPr>
              <w:t>MANDO</w:t>
            </w:r>
            <w:r>
              <w:rPr>
                <w:spacing w:val="-7"/>
                <w:sz w:val="18"/>
              </w:rPr>
              <w:t> </w:t>
            </w:r>
            <w:r>
              <w:rPr>
                <w:spacing w:val="-2"/>
                <w:sz w:val="18"/>
              </w:rPr>
              <w:t>TALLER</w:t>
            </w:r>
          </w:p>
        </w:tc>
        <w:tc>
          <w:tcPr>
            <w:tcW w:w="1177" w:type="dxa"/>
          </w:tcPr>
          <w:p>
            <w:pPr>
              <w:pStyle w:val="TableParagraph"/>
              <w:spacing w:before="19"/>
              <w:ind w:left="16"/>
              <w:jc w:val="center"/>
              <w:rPr>
                <w:sz w:val="18"/>
              </w:rPr>
            </w:pPr>
            <w:r>
              <w:rPr>
                <w:spacing w:val="-4"/>
                <w:sz w:val="18"/>
              </w:rPr>
              <w:t>4,59</w:t>
            </w:r>
          </w:p>
        </w:tc>
        <w:tc>
          <w:tcPr>
            <w:tcW w:w="1115" w:type="dxa"/>
          </w:tcPr>
          <w:p>
            <w:pPr>
              <w:pStyle w:val="TableParagraph"/>
              <w:rPr>
                <w:rFonts w:ascii="Times New Roman"/>
                <w:sz w:val="16"/>
              </w:rPr>
            </w:pPr>
          </w:p>
        </w:tc>
        <w:tc>
          <w:tcPr>
            <w:tcW w:w="1166" w:type="dxa"/>
          </w:tcPr>
          <w:p>
            <w:pPr>
              <w:pStyle w:val="TableParagraph"/>
              <w:rPr>
                <w:rFonts w:ascii="Times New Roman"/>
                <w:sz w:val="16"/>
              </w:rPr>
            </w:pPr>
          </w:p>
        </w:tc>
        <w:tc>
          <w:tcPr>
            <w:tcW w:w="1072" w:type="dxa"/>
          </w:tcPr>
          <w:p>
            <w:pPr>
              <w:pStyle w:val="TableParagraph"/>
              <w:rPr>
                <w:rFonts w:ascii="Times New Roman"/>
                <w:sz w:val="16"/>
              </w:rPr>
            </w:pPr>
          </w:p>
        </w:tc>
        <w:tc>
          <w:tcPr>
            <w:tcW w:w="1300" w:type="dxa"/>
          </w:tcPr>
          <w:p>
            <w:pPr>
              <w:pStyle w:val="TableParagraph"/>
              <w:spacing w:before="19"/>
              <w:ind w:left="41" w:right="4"/>
              <w:jc w:val="center"/>
              <w:rPr>
                <w:sz w:val="18"/>
              </w:rPr>
            </w:pPr>
            <w:r>
              <w:rPr>
                <w:spacing w:val="-4"/>
                <w:sz w:val="18"/>
              </w:rPr>
              <w:t>4,59</w:t>
            </w:r>
          </w:p>
        </w:tc>
      </w:tr>
      <w:tr>
        <w:trPr>
          <w:trHeight w:val="295" w:hRule="atLeast"/>
        </w:trPr>
        <w:tc>
          <w:tcPr>
            <w:tcW w:w="2793" w:type="dxa"/>
          </w:tcPr>
          <w:p>
            <w:pPr>
              <w:pStyle w:val="TableParagraph"/>
              <w:spacing w:before="62"/>
              <w:ind w:left="50"/>
              <w:rPr>
                <w:sz w:val="18"/>
              </w:rPr>
            </w:pPr>
            <w:r>
              <w:rPr>
                <w:sz w:val="18"/>
              </w:rPr>
              <w:t>CONDUCTOR/A</w:t>
            </w:r>
            <w:r>
              <w:rPr>
                <w:spacing w:val="-6"/>
                <w:sz w:val="18"/>
              </w:rPr>
              <w:t> </w:t>
            </w:r>
            <w:r>
              <w:rPr>
                <w:spacing w:val="-2"/>
                <w:sz w:val="18"/>
              </w:rPr>
              <w:t>PERCEPTOR/A</w:t>
            </w:r>
          </w:p>
        </w:tc>
        <w:tc>
          <w:tcPr>
            <w:tcW w:w="1177" w:type="dxa"/>
          </w:tcPr>
          <w:p>
            <w:pPr>
              <w:pStyle w:val="TableParagraph"/>
              <w:spacing w:before="19"/>
              <w:ind w:left="16" w:right="3"/>
              <w:jc w:val="center"/>
              <w:rPr>
                <w:sz w:val="18"/>
              </w:rPr>
            </w:pPr>
            <w:r>
              <w:rPr>
                <w:spacing w:val="-2"/>
                <w:sz w:val="18"/>
              </w:rPr>
              <w:t>412,64</w:t>
            </w:r>
          </w:p>
        </w:tc>
        <w:tc>
          <w:tcPr>
            <w:tcW w:w="1115" w:type="dxa"/>
          </w:tcPr>
          <w:p>
            <w:pPr>
              <w:pStyle w:val="TableParagraph"/>
              <w:spacing w:before="19"/>
              <w:ind w:left="2" w:right="2"/>
              <w:jc w:val="center"/>
              <w:rPr>
                <w:sz w:val="18"/>
              </w:rPr>
            </w:pPr>
            <w:r>
              <w:rPr>
                <w:spacing w:val="-2"/>
                <w:sz w:val="18"/>
              </w:rPr>
              <w:t>189,10</w:t>
            </w:r>
          </w:p>
        </w:tc>
        <w:tc>
          <w:tcPr>
            <w:tcW w:w="1166" w:type="dxa"/>
          </w:tcPr>
          <w:p>
            <w:pPr>
              <w:pStyle w:val="TableParagraph"/>
              <w:spacing w:before="19"/>
              <w:ind w:left="12" w:right="9"/>
              <w:jc w:val="center"/>
              <w:rPr>
                <w:sz w:val="18"/>
              </w:rPr>
            </w:pPr>
            <w:r>
              <w:rPr>
                <w:spacing w:val="-2"/>
                <w:sz w:val="18"/>
              </w:rPr>
              <w:t>18,89</w:t>
            </w:r>
          </w:p>
        </w:tc>
        <w:tc>
          <w:tcPr>
            <w:tcW w:w="1072" w:type="dxa"/>
          </w:tcPr>
          <w:p>
            <w:pPr>
              <w:pStyle w:val="TableParagraph"/>
              <w:spacing w:before="19"/>
              <w:ind w:left="48" w:right="1"/>
              <w:jc w:val="center"/>
              <w:rPr>
                <w:sz w:val="18"/>
              </w:rPr>
            </w:pPr>
            <w:r>
              <w:rPr>
                <w:spacing w:val="-2"/>
                <w:sz w:val="18"/>
              </w:rPr>
              <w:t>34,78</w:t>
            </w:r>
          </w:p>
        </w:tc>
        <w:tc>
          <w:tcPr>
            <w:tcW w:w="1300" w:type="dxa"/>
          </w:tcPr>
          <w:p>
            <w:pPr>
              <w:pStyle w:val="TableParagraph"/>
              <w:spacing w:before="19"/>
              <w:ind w:left="41" w:right="1"/>
              <w:jc w:val="center"/>
              <w:rPr>
                <w:sz w:val="18"/>
              </w:rPr>
            </w:pPr>
            <w:r>
              <w:rPr>
                <w:spacing w:val="-2"/>
                <w:sz w:val="18"/>
              </w:rPr>
              <w:t>655,41</w:t>
            </w:r>
          </w:p>
        </w:tc>
      </w:tr>
      <w:tr>
        <w:trPr>
          <w:trHeight w:val="297" w:hRule="atLeast"/>
        </w:trPr>
        <w:tc>
          <w:tcPr>
            <w:tcW w:w="2793" w:type="dxa"/>
          </w:tcPr>
          <w:p>
            <w:pPr>
              <w:pStyle w:val="TableParagraph"/>
              <w:spacing w:before="65"/>
              <w:ind w:left="50"/>
              <w:rPr>
                <w:sz w:val="18"/>
              </w:rPr>
            </w:pPr>
            <w:r>
              <w:rPr>
                <w:sz w:val="18"/>
              </w:rPr>
              <w:t>OFICIAL</w:t>
            </w:r>
            <w:r>
              <w:rPr>
                <w:spacing w:val="-3"/>
                <w:sz w:val="18"/>
              </w:rPr>
              <w:t> </w:t>
            </w:r>
            <w:r>
              <w:rPr>
                <w:spacing w:val="-2"/>
                <w:sz w:val="18"/>
              </w:rPr>
              <w:t>ADMINISTRACIÓN</w:t>
            </w:r>
          </w:p>
        </w:tc>
        <w:tc>
          <w:tcPr>
            <w:tcW w:w="1177" w:type="dxa"/>
          </w:tcPr>
          <w:p>
            <w:pPr>
              <w:pStyle w:val="TableParagraph"/>
              <w:spacing w:before="19"/>
              <w:ind w:left="16"/>
              <w:jc w:val="center"/>
              <w:rPr>
                <w:sz w:val="18"/>
              </w:rPr>
            </w:pPr>
            <w:r>
              <w:rPr>
                <w:spacing w:val="-4"/>
                <w:sz w:val="18"/>
              </w:rPr>
              <w:t>5,00</w:t>
            </w:r>
          </w:p>
        </w:tc>
        <w:tc>
          <w:tcPr>
            <w:tcW w:w="1115" w:type="dxa"/>
          </w:tcPr>
          <w:p>
            <w:pPr>
              <w:pStyle w:val="TableParagraph"/>
              <w:rPr>
                <w:rFonts w:ascii="Times New Roman"/>
                <w:sz w:val="16"/>
              </w:rPr>
            </w:pPr>
          </w:p>
        </w:tc>
        <w:tc>
          <w:tcPr>
            <w:tcW w:w="1166" w:type="dxa"/>
          </w:tcPr>
          <w:p>
            <w:pPr>
              <w:pStyle w:val="TableParagraph"/>
              <w:spacing w:before="19"/>
              <w:ind w:left="10" w:right="9"/>
              <w:jc w:val="center"/>
              <w:rPr>
                <w:sz w:val="18"/>
              </w:rPr>
            </w:pPr>
            <w:r>
              <w:rPr>
                <w:spacing w:val="-2"/>
                <w:sz w:val="18"/>
              </w:rPr>
              <w:t>12,88</w:t>
            </w:r>
          </w:p>
        </w:tc>
        <w:tc>
          <w:tcPr>
            <w:tcW w:w="1072" w:type="dxa"/>
          </w:tcPr>
          <w:p>
            <w:pPr>
              <w:pStyle w:val="TableParagraph"/>
              <w:rPr>
                <w:rFonts w:ascii="Times New Roman"/>
                <w:sz w:val="16"/>
              </w:rPr>
            </w:pPr>
          </w:p>
        </w:tc>
        <w:tc>
          <w:tcPr>
            <w:tcW w:w="1300" w:type="dxa"/>
          </w:tcPr>
          <w:p>
            <w:pPr>
              <w:pStyle w:val="TableParagraph"/>
              <w:spacing w:before="19"/>
              <w:ind w:left="41" w:right="2"/>
              <w:jc w:val="center"/>
              <w:rPr>
                <w:sz w:val="18"/>
              </w:rPr>
            </w:pPr>
            <w:r>
              <w:rPr>
                <w:spacing w:val="-2"/>
                <w:sz w:val="18"/>
              </w:rPr>
              <w:t>17,88</w:t>
            </w:r>
          </w:p>
        </w:tc>
      </w:tr>
      <w:tr>
        <w:trPr>
          <w:trHeight w:val="332" w:hRule="atLeast"/>
        </w:trPr>
        <w:tc>
          <w:tcPr>
            <w:tcW w:w="2793" w:type="dxa"/>
          </w:tcPr>
          <w:p>
            <w:pPr>
              <w:pStyle w:val="TableParagraph"/>
              <w:spacing w:before="72"/>
              <w:ind w:left="50"/>
              <w:rPr>
                <w:sz w:val="18"/>
              </w:rPr>
            </w:pPr>
            <w:r>
              <w:rPr>
                <w:sz w:val="18"/>
              </w:rPr>
              <w:t>OFICIAL</w:t>
            </w:r>
            <w:r>
              <w:rPr>
                <w:spacing w:val="-3"/>
                <w:sz w:val="18"/>
              </w:rPr>
              <w:t> </w:t>
            </w:r>
            <w:r>
              <w:rPr>
                <w:spacing w:val="-2"/>
                <w:sz w:val="18"/>
              </w:rPr>
              <w:t>TALLER</w:t>
            </w:r>
          </w:p>
        </w:tc>
        <w:tc>
          <w:tcPr>
            <w:tcW w:w="1177" w:type="dxa"/>
            <w:tcBorders>
              <w:bottom w:val="single" w:sz="8" w:space="0" w:color="000000"/>
            </w:tcBorders>
          </w:tcPr>
          <w:p>
            <w:pPr>
              <w:pStyle w:val="TableParagraph"/>
              <w:spacing w:before="19"/>
              <w:ind w:left="16" w:right="2"/>
              <w:jc w:val="center"/>
              <w:rPr>
                <w:sz w:val="18"/>
              </w:rPr>
            </w:pPr>
            <w:r>
              <w:rPr>
                <w:spacing w:val="-2"/>
                <w:sz w:val="18"/>
              </w:rPr>
              <w:t>41,21</w:t>
            </w:r>
          </w:p>
        </w:tc>
        <w:tc>
          <w:tcPr>
            <w:tcW w:w="1115" w:type="dxa"/>
            <w:tcBorders>
              <w:bottom w:val="single" w:sz="8" w:space="0" w:color="000000"/>
            </w:tcBorders>
          </w:tcPr>
          <w:p>
            <w:pPr>
              <w:pStyle w:val="TableParagraph"/>
              <w:rPr>
                <w:rFonts w:ascii="Times New Roman"/>
                <w:sz w:val="16"/>
              </w:rPr>
            </w:pPr>
          </w:p>
        </w:tc>
        <w:tc>
          <w:tcPr>
            <w:tcW w:w="1166" w:type="dxa"/>
            <w:tcBorders>
              <w:bottom w:val="single" w:sz="8" w:space="0" w:color="000000"/>
            </w:tcBorders>
          </w:tcPr>
          <w:p>
            <w:pPr>
              <w:pStyle w:val="TableParagraph"/>
              <w:spacing w:before="19"/>
              <w:ind w:left="10" w:right="9"/>
              <w:jc w:val="center"/>
              <w:rPr>
                <w:sz w:val="18"/>
              </w:rPr>
            </w:pPr>
            <w:r>
              <w:rPr>
                <w:spacing w:val="-4"/>
                <w:sz w:val="18"/>
              </w:rPr>
              <w:t>0,24</w:t>
            </w:r>
          </w:p>
        </w:tc>
        <w:tc>
          <w:tcPr>
            <w:tcW w:w="1072" w:type="dxa"/>
            <w:tcBorders>
              <w:bottom w:val="single" w:sz="8" w:space="0" w:color="000000"/>
            </w:tcBorders>
          </w:tcPr>
          <w:p>
            <w:pPr>
              <w:pStyle w:val="TableParagraph"/>
              <w:rPr>
                <w:rFonts w:ascii="Times New Roman"/>
                <w:sz w:val="16"/>
              </w:rPr>
            </w:pPr>
          </w:p>
        </w:tc>
        <w:tc>
          <w:tcPr>
            <w:tcW w:w="1300" w:type="dxa"/>
            <w:tcBorders>
              <w:bottom w:val="single" w:sz="8" w:space="0" w:color="000000"/>
            </w:tcBorders>
          </w:tcPr>
          <w:p>
            <w:pPr>
              <w:pStyle w:val="TableParagraph"/>
              <w:spacing w:before="19"/>
              <w:ind w:left="41" w:right="4"/>
              <w:jc w:val="center"/>
              <w:rPr>
                <w:sz w:val="18"/>
              </w:rPr>
            </w:pPr>
            <w:r>
              <w:rPr>
                <w:spacing w:val="-2"/>
                <w:sz w:val="18"/>
              </w:rPr>
              <w:t>41,45</w:t>
            </w:r>
          </w:p>
        </w:tc>
      </w:tr>
      <w:tr>
        <w:trPr>
          <w:trHeight w:val="313" w:hRule="atLeast"/>
        </w:trPr>
        <w:tc>
          <w:tcPr>
            <w:tcW w:w="2793" w:type="dxa"/>
          </w:tcPr>
          <w:p>
            <w:pPr>
              <w:pStyle w:val="TableParagraph"/>
              <w:spacing w:before="46"/>
              <w:ind w:left="50"/>
              <w:rPr>
                <w:b/>
                <w:sz w:val="18"/>
              </w:rPr>
            </w:pPr>
            <w:r>
              <w:rPr>
                <w:b/>
                <w:sz w:val="18"/>
              </w:rPr>
              <w:t>Totales</w:t>
            </w:r>
            <w:r>
              <w:rPr>
                <w:b/>
                <w:spacing w:val="-7"/>
                <w:sz w:val="18"/>
              </w:rPr>
              <w:t> </w:t>
            </w:r>
            <w:r>
              <w:rPr>
                <w:b/>
                <w:sz w:val="18"/>
              </w:rPr>
              <w:t>empleo</w:t>
            </w:r>
            <w:r>
              <w:rPr>
                <w:b/>
                <w:spacing w:val="-1"/>
                <w:sz w:val="18"/>
              </w:rPr>
              <w:t> </w:t>
            </w:r>
            <w:r>
              <w:rPr>
                <w:b/>
                <w:spacing w:val="-4"/>
                <w:sz w:val="18"/>
              </w:rPr>
              <w:t>medio</w:t>
            </w:r>
          </w:p>
        </w:tc>
        <w:tc>
          <w:tcPr>
            <w:tcW w:w="1177" w:type="dxa"/>
            <w:tcBorders>
              <w:top w:val="single" w:sz="8" w:space="0" w:color="000000"/>
              <w:bottom w:val="single" w:sz="8" w:space="0" w:color="000000"/>
            </w:tcBorders>
          </w:tcPr>
          <w:p>
            <w:pPr>
              <w:pStyle w:val="TableParagraph"/>
              <w:spacing w:line="201" w:lineRule="exact"/>
              <w:ind w:left="16" w:right="3"/>
              <w:jc w:val="center"/>
              <w:rPr>
                <w:b/>
                <w:sz w:val="18"/>
              </w:rPr>
            </w:pPr>
            <w:r>
              <w:rPr>
                <w:b/>
                <w:spacing w:val="-2"/>
                <w:sz w:val="18"/>
              </w:rPr>
              <w:t>517,66</w:t>
            </w:r>
          </w:p>
        </w:tc>
        <w:tc>
          <w:tcPr>
            <w:tcW w:w="1115" w:type="dxa"/>
            <w:tcBorders>
              <w:top w:val="single" w:sz="8" w:space="0" w:color="000000"/>
              <w:bottom w:val="single" w:sz="8" w:space="0" w:color="000000"/>
            </w:tcBorders>
          </w:tcPr>
          <w:p>
            <w:pPr>
              <w:pStyle w:val="TableParagraph"/>
              <w:spacing w:line="201" w:lineRule="exact"/>
              <w:ind w:left="3" w:right="2"/>
              <w:jc w:val="center"/>
              <w:rPr>
                <w:b/>
                <w:sz w:val="18"/>
              </w:rPr>
            </w:pPr>
            <w:r>
              <w:rPr>
                <w:b/>
                <w:spacing w:val="-2"/>
                <w:sz w:val="18"/>
              </w:rPr>
              <w:t>190,10</w:t>
            </w:r>
          </w:p>
        </w:tc>
        <w:tc>
          <w:tcPr>
            <w:tcW w:w="1166" w:type="dxa"/>
            <w:tcBorders>
              <w:top w:val="single" w:sz="8" w:space="0" w:color="000000"/>
              <w:bottom w:val="single" w:sz="8" w:space="0" w:color="000000"/>
            </w:tcBorders>
          </w:tcPr>
          <w:p>
            <w:pPr>
              <w:pStyle w:val="TableParagraph"/>
              <w:spacing w:line="201" w:lineRule="exact"/>
              <w:ind w:left="10" w:right="9"/>
              <w:jc w:val="center"/>
              <w:rPr>
                <w:b/>
                <w:sz w:val="18"/>
              </w:rPr>
            </w:pPr>
            <w:r>
              <w:rPr>
                <w:b/>
                <w:spacing w:val="-2"/>
                <w:sz w:val="18"/>
              </w:rPr>
              <w:t>51,49</w:t>
            </w:r>
          </w:p>
        </w:tc>
        <w:tc>
          <w:tcPr>
            <w:tcW w:w="1072" w:type="dxa"/>
            <w:tcBorders>
              <w:top w:val="single" w:sz="8" w:space="0" w:color="000000"/>
              <w:bottom w:val="single" w:sz="8" w:space="0" w:color="000000"/>
            </w:tcBorders>
          </w:tcPr>
          <w:p>
            <w:pPr>
              <w:pStyle w:val="TableParagraph"/>
              <w:spacing w:line="201" w:lineRule="exact"/>
              <w:ind w:left="48"/>
              <w:jc w:val="center"/>
              <w:rPr>
                <w:b/>
                <w:sz w:val="18"/>
              </w:rPr>
            </w:pPr>
            <w:r>
              <w:rPr>
                <w:b/>
                <w:spacing w:val="-2"/>
                <w:sz w:val="18"/>
              </w:rPr>
              <w:t>34,78</w:t>
            </w:r>
          </w:p>
        </w:tc>
        <w:tc>
          <w:tcPr>
            <w:tcW w:w="1300" w:type="dxa"/>
            <w:tcBorders>
              <w:top w:val="single" w:sz="8" w:space="0" w:color="000000"/>
              <w:bottom w:val="single" w:sz="8" w:space="0" w:color="000000"/>
            </w:tcBorders>
          </w:tcPr>
          <w:p>
            <w:pPr>
              <w:pStyle w:val="TableParagraph"/>
              <w:spacing w:line="201" w:lineRule="exact"/>
              <w:ind w:left="41"/>
              <w:jc w:val="center"/>
              <w:rPr>
                <w:b/>
                <w:sz w:val="18"/>
              </w:rPr>
            </w:pPr>
            <w:r>
              <w:rPr>
                <w:b/>
                <w:spacing w:val="-2"/>
                <w:sz w:val="18"/>
              </w:rPr>
              <w:t>794,03</w:t>
            </w:r>
          </w:p>
        </w:tc>
      </w:tr>
    </w:tbl>
    <w:p>
      <w:pPr>
        <w:pStyle w:val="BodyText"/>
        <w:spacing w:before="16"/>
        <w:rPr>
          <w:b/>
          <w:sz w:val="18"/>
        </w:rPr>
      </w:pPr>
    </w:p>
    <w:p>
      <w:pPr>
        <w:pStyle w:val="ListParagraph"/>
        <w:numPr>
          <w:ilvl w:val="1"/>
          <w:numId w:val="23"/>
        </w:numPr>
        <w:tabs>
          <w:tab w:pos="2573" w:val="left" w:leader="none"/>
        </w:tabs>
        <w:spacing w:line="240" w:lineRule="auto" w:before="0" w:after="0"/>
        <w:ind w:left="2049" w:right="1339" w:firstLine="0"/>
        <w:jc w:val="left"/>
        <w:rPr>
          <w:sz w:val="20"/>
        </w:rPr>
      </w:pPr>
      <w:r>
        <w:rPr>
          <w:sz w:val="20"/>
        </w:rPr>
        <mc:AlternateContent>
          <mc:Choice Requires="wps">
            <w:drawing>
              <wp:anchor distT="0" distB="0" distL="0" distR="0" allowOverlap="1" layoutInCell="1" locked="0" behindDoc="0" simplePos="0" relativeHeight="15772672">
                <wp:simplePos x="0" y="0"/>
                <wp:positionH relativeFrom="page">
                  <wp:posOffset>6966436</wp:posOffset>
                </wp:positionH>
                <wp:positionV relativeFrom="paragraph">
                  <wp:posOffset>-570703</wp:posOffset>
                </wp:positionV>
                <wp:extent cx="263525" cy="327596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64</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4.937305pt;width:20.75pt;height:257.95pt;mso-position-horizontal-relative:page;mso-position-vertical-relative:paragraph;z-index:15772672" type="#_x0000_t202" id="docshape13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64</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z w:val="20"/>
        </w:rPr>
        <w:t>La</w:t>
      </w:r>
      <w:r>
        <w:rPr>
          <w:spacing w:val="27"/>
          <w:sz w:val="20"/>
        </w:rPr>
        <w:t> </w:t>
      </w:r>
      <w:r>
        <w:rPr>
          <w:sz w:val="20"/>
        </w:rPr>
        <w:t>distribución</w:t>
      </w:r>
      <w:r>
        <w:rPr>
          <w:spacing w:val="27"/>
          <w:sz w:val="20"/>
        </w:rPr>
        <w:t> </w:t>
      </w:r>
      <w:r>
        <w:rPr>
          <w:sz w:val="20"/>
        </w:rPr>
        <w:t>por</w:t>
      </w:r>
      <w:r>
        <w:rPr>
          <w:spacing w:val="25"/>
          <w:sz w:val="20"/>
        </w:rPr>
        <w:t> </w:t>
      </w:r>
      <w:r>
        <w:rPr>
          <w:sz w:val="20"/>
        </w:rPr>
        <w:t>sexo, agrupación</w:t>
      </w:r>
      <w:r>
        <w:rPr>
          <w:spacing w:val="27"/>
          <w:sz w:val="20"/>
        </w:rPr>
        <w:t> </w:t>
      </w:r>
      <w:r>
        <w:rPr>
          <w:sz w:val="20"/>
        </w:rPr>
        <w:t>funcional</w:t>
      </w:r>
      <w:r>
        <w:rPr>
          <w:spacing w:val="28"/>
          <w:sz w:val="20"/>
        </w:rPr>
        <w:t> </w:t>
      </w:r>
      <w:r>
        <w:rPr>
          <w:sz w:val="20"/>
        </w:rPr>
        <w:t>y tipo</w:t>
      </w:r>
      <w:r>
        <w:rPr>
          <w:spacing w:val="27"/>
          <w:sz w:val="20"/>
        </w:rPr>
        <w:t> </w:t>
      </w:r>
      <w:r>
        <w:rPr>
          <w:sz w:val="20"/>
        </w:rPr>
        <w:t>de</w:t>
      </w:r>
      <w:r>
        <w:rPr>
          <w:spacing w:val="27"/>
          <w:sz w:val="20"/>
        </w:rPr>
        <w:t> </w:t>
      </w:r>
      <w:r>
        <w:rPr>
          <w:sz w:val="20"/>
        </w:rPr>
        <w:t>contrato</w:t>
      </w:r>
      <w:r>
        <w:rPr>
          <w:spacing w:val="28"/>
          <w:sz w:val="20"/>
        </w:rPr>
        <w:t> </w:t>
      </w:r>
      <w:r>
        <w:rPr>
          <w:sz w:val="20"/>
        </w:rPr>
        <w:t>al</w:t>
      </w:r>
      <w:r>
        <w:rPr>
          <w:spacing w:val="26"/>
          <w:sz w:val="20"/>
        </w:rPr>
        <w:t> </w:t>
      </w:r>
      <w:r>
        <w:rPr>
          <w:sz w:val="20"/>
        </w:rPr>
        <w:t>término del ejercicio 2024 es la siguiente:</w:t>
      </w:r>
    </w:p>
    <w:p>
      <w:pPr>
        <w:tabs>
          <w:tab w:pos="7173" w:val="left" w:leader="none"/>
        </w:tabs>
        <w:spacing w:before="32" w:after="48"/>
        <w:ind w:left="4840" w:right="0" w:firstLine="0"/>
        <w:jc w:val="left"/>
        <w:rPr>
          <w:b/>
          <w:sz w:val="18"/>
        </w:rPr>
      </w:pPr>
      <w:r>
        <w:rPr>
          <w:b/>
          <w:spacing w:val="-2"/>
          <w:sz w:val="18"/>
        </w:rPr>
        <w:t>Hombres</w:t>
      </w:r>
      <w:r>
        <w:rPr>
          <w:b/>
          <w:sz w:val="18"/>
        </w:rPr>
        <w:tab/>
      </w:r>
      <w:r>
        <w:rPr>
          <w:b/>
          <w:spacing w:val="-2"/>
          <w:sz w:val="18"/>
        </w:rPr>
        <w:t>Mujeres</w:t>
      </w: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3"/>
        <w:gridCol w:w="1177"/>
        <w:gridCol w:w="1115"/>
        <w:gridCol w:w="1166"/>
        <w:gridCol w:w="1072"/>
        <w:gridCol w:w="1300"/>
      </w:tblGrid>
      <w:tr>
        <w:trPr>
          <w:trHeight w:val="277" w:hRule="atLeast"/>
        </w:trPr>
        <w:tc>
          <w:tcPr>
            <w:tcW w:w="2793" w:type="dxa"/>
          </w:tcPr>
          <w:p>
            <w:pPr>
              <w:pStyle w:val="TableParagraph"/>
              <w:rPr>
                <w:rFonts w:ascii="Times New Roman"/>
                <w:sz w:val="16"/>
              </w:rPr>
            </w:pPr>
          </w:p>
        </w:tc>
        <w:tc>
          <w:tcPr>
            <w:tcW w:w="1177" w:type="dxa"/>
            <w:tcBorders>
              <w:top w:val="single" w:sz="8" w:space="0" w:color="000000"/>
              <w:bottom w:val="single" w:sz="8" w:space="0" w:color="000000"/>
            </w:tcBorders>
          </w:tcPr>
          <w:p>
            <w:pPr>
              <w:pStyle w:val="TableParagraph"/>
              <w:spacing w:before="30"/>
              <w:ind w:left="16"/>
              <w:jc w:val="center"/>
              <w:rPr>
                <w:b/>
                <w:sz w:val="18"/>
              </w:rPr>
            </w:pPr>
            <w:r>
              <w:rPr>
                <w:b/>
                <w:spacing w:val="-2"/>
                <w:sz w:val="18"/>
              </w:rPr>
              <w:t>Indefinido</w:t>
            </w:r>
          </w:p>
        </w:tc>
        <w:tc>
          <w:tcPr>
            <w:tcW w:w="1115" w:type="dxa"/>
            <w:tcBorders>
              <w:top w:val="single" w:sz="8" w:space="0" w:color="000000"/>
              <w:bottom w:val="single" w:sz="8" w:space="0" w:color="000000"/>
            </w:tcBorders>
          </w:tcPr>
          <w:p>
            <w:pPr>
              <w:pStyle w:val="TableParagraph"/>
              <w:spacing w:before="30"/>
              <w:ind w:left="1" w:right="2"/>
              <w:jc w:val="center"/>
              <w:rPr>
                <w:b/>
                <w:sz w:val="18"/>
              </w:rPr>
            </w:pPr>
            <w:r>
              <w:rPr>
                <w:b/>
                <w:spacing w:val="-2"/>
                <w:sz w:val="18"/>
              </w:rPr>
              <w:t>Temporal</w:t>
            </w:r>
          </w:p>
        </w:tc>
        <w:tc>
          <w:tcPr>
            <w:tcW w:w="1166" w:type="dxa"/>
            <w:tcBorders>
              <w:top w:val="single" w:sz="8" w:space="0" w:color="000000"/>
              <w:bottom w:val="single" w:sz="8" w:space="0" w:color="000000"/>
            </w:tcBorders>
          </w:tcPr>
          <w:p>
            <w:pPr>
              <w:pStyle w:val="TableParagraph"/>
              <w:spacing w:before="30"/>
              <w:ind w:left="12" w:right="9"/>
              <w:jc w:val="center"/>
              <w:rPr>
                <w:b/>
                <w:sz w:val="18"/>
              </w:rPr>
            </w:pPr>
            <w:r>
              <w:rPr>
                <w:b/>
                <w:spacing w:val="-2"/>
                <w:sz w:val="18"/>
              </w:rPr>
              <w:t>Indefinido</w:t>
            </w:r>
          </w:p>
        </w:tc>
        <w:tc>
          <w:tcPr>
            <w:tcW w:w="1072" w:type="dxa"/>
            <w:tcBorders>
              <w:top w:val="single" w:sz="8" w:space="0" w:color="000000"/>
              <w:bottom w:val="single" w:sz="8" w:space="0" w:color="000000"/>
            </w:tcBorders>
          </w:tcPr>
          <w:p>
            <w:pPr>
              <w:pStyle w:val="TableParagraph"/>
              <w:spacing w:before="30"/>
              <w:ind w:left="48" w:right="1"/>
              <w:jc w:val="center"/>
              <w:rPr>
                <w:b/>
                <w:sz w:val="18"/>
              </w:rPr>
            </w:pPr>
            <w:r>
              <w:rPr>
                <w:b/>
                <w:spacing w:val="-2"/>
                <w:sz w:val="18"/>
              </w:rPr>
              <w:t>Temporal</w:t>
            </w:r>
          </w:p>
        </w:tc>
        <w:tc>
          <w:tcPr>
            <w:tcW w:w="1300" w:type="dxa"/>
            <w:tcBorders>
              <w:top w:val="single" w:sz="8" w:space="0" w:color="000000"/>
              <w:bottom w:val="single" w:sz="8" w:space="0" w:color="000000"/>
            </w:tcBorders>
          </w:tcPr>
          <w:p>
            <w:pPr>
              <w:pStyle w:val="TableParagraph"/>
              <w:spacing w:before="30"/>
              <w:ind w:left="41" w:right="2"/>
              <w:jc w:val="center"/>
              <w:rPr>
                <w:b/>
                <w:sz w:val="18"/>
              </w:rPr>
            </w:pPr>
            <w:r>
              <w:rPr>
                <w:b/>
                <w:sz w:val="18"/>
              </w:rPr>
              <w:t>Total</w:t>
            </w:r>
            <w:r>
              <w:rPr>
                <w:b/>
                <w:spacing w:val="-2"/>
                <w:sz w:val="18"/>
              </w:rPr>
              <w:t> general</w:t>
            </w:r>
          </w:p>
        </w:tc>
      </w:tr>
      <w:tr>
        <w:trPr>
          <w:trHeight w:val="250" w:hRule="atLeast"/>
        </w:trPr>
        <w:tc>
          <w:tcPr>
            <w:tcW w:w="2793" w:type="dxa"/>
          </w:tcPr>
          <w:p>
            <w:pPr>
              <w:pStyle w:val="TableParagraph"/>
              <w:spacing w:line="203" w:lineRule="exact" w:before="27"/>
              <w:ind w:left="50"/>
              <w:rPr>
                <w:sz w:val="18"/>
              </w:rPr>
            </w:pPr>
            <w:r>
              <w:rPr>
                <w:sz w:val="18"/>
              </w:rPr>
              <w:t>ALTA</w:t>
            </w:r>
            <w:r>
              <w:rPr>
                <w:spacing w:val="-5"/>
                <w:sz w:val="18"/>
              </w:rPr>
              <w:t> </w:t>
            </w:r>
            <w:r>
              <w:rPr>
                <w:spacing w:val="-2"/>
                <w:sz w:val="18"/>
              </w:rPr>
              <w:t>DIRECCIÓN</w:t>
            </w:r>
          </w:p>
        </w:tc>
        <w:tc>
          <w:tcPr>
            <w:tcW w:w="1177" w:type="dxa"/>
            <w:tcBorders>
              <w:top w:val="single" w:sz="8" w:space="0" w:color="000000"/>
            </w:tcBorders>
          </w:tcPr>
          <w:p>
            <w:pPr>
              <w:pStyle w:val="TableParagraph"/>
              <w:rPr>
                <w:rFonts w:ascii="Times New Roman"/>
                <w:sz w:val="16"/>
              </w:rPr>
            </w:pPr>
          </w:p>
        </w:tc>
        <w:tc>
          <w:tcPr>
            <w:tcW w:w="1115" w:type="dxa"/>
            <w:tcBorders>
              <w:top w:val="single" w:sz="8" w:space="0" w:color="000000"/>
            </w:tcBorders>
          </w:tcPr>
          <w:p>
            <w:pPr>
              <w:pStyle w:val="TableParagraph"/>
              <w:spacing w:line="206" w:lineRule="exact"/>
              <w:ind w:left="1" w:right="2"/>
              <w:jc w:val="center"/>
              <w:rPr>
                <w:sz w:val="18"/>
              </w:rPr>
            </w:pPr>
            <w:r>
              <w:rPr>
                <w:spacing w:val="-10"/>
                <w:sz w:val="18"/>
              </w:rPr>
              <w:t>1</w:t>
            </w:r>
          </w:p>
        </w:tc>
        <w:tc>
          <w:tcPr>
            <w:tcW w:w="1166" w:type="dxa"/>
            <w:tcBorders>
              <w:top w:val="single" w:sz="8" w:space="0" w:color="000000"/>
            </w:tcBorders>
          </w:tcPr>
          <w:p>
            <w:pPr>
              <w:pStyle w:val="TableParagraph"/>
              <w:rPr>
                <w:rFonts w:ascii="Times New Roman"/>
                <w:sz w:val="16"/>
              </w:rPr>
            </w:pPr>
          </w:p>
        </w:tc>
        <w:tc>
          <w:tcPr>
            <w:tcW w:w="1072" w:type="dxa"/>
            <w:tcBorders>
              <w:top w:val="single" w:sz="8" w:space="0" w:color="000000"/>
            </w:tcBorders>
          </w:tcPr>
          <w:p>
            <w:pPr>
              <w:pStyle w:val="TableParagraph"/>
              <w:rPr>
                <w:rFonts w:ascii="Times New Roman"/>
                <w:sz w:val="16"/>
              </w:rPr>
            </w:pPr>
          </w:p>
        </w:tc>
        <w:tc>
          <w:tcPr>
            <w:tcW w:w="1300" w:type="dxa"/>
            <w:tcBorders>
              <w:top w:val="single" w:sz="8" w:space="0" w:color="000000"/>
            </w:tcBorders>
          </w:tcPr>
          <w:p>
            <w:pPr>
              <w:pStyle w:val="TableParagraph"/>
              <w:spacing w:line="206" w:lineRule="exact"/>
              <w:ind w:left="41" w:right="3"/>
              <w:jc w:val="center"/>
              <w:rPr>
                <w:sz w:val="18"/>
              </w:rPr>
            </w:pPr>
            <w:r>
              <w:rPr>
                <w:spacing w:val="-10"/>
                <w:sz w:val="18"/>
              </w:rPr>
              <w:t>1</w:t>
            </w:r>
          </w:p>
        </w:tc>
      </w:tr>
      <w:tr>
        <w:trPr>
          <w:trHeight w:val="262" w:hRule="atLeast"/>
        </w:trPr>
        <w:tc>
          <w:tcPr>
            <w:tcW w:w="2793" w:type="dxa"/>
          </w:tcPr>
          <w:p>
            <w:pPr>
              <w:pStyle w:val="TableParagraph"/>
              <w:spacing w:line="204" w:lineRule="exact" w:before="38"/>
              <w:ind w:left="50"/>
              <w:rPr>
                <w:sz w:val="18"/>
              </w:rPr>
            </w:pPr>
            <w:r>
              <w:rPr>
                <w:sz w:val="18"/>
              </w:rPr>
              <w:t>PERSONAL</w:t>
            </w:r>
            <w:r>
              <w:rPr>
                <w:spacing w:val="-4"/>
                <w:sz w:val="18"/>
              </w:rPr>
              <w:t> </w:t>
            </w:r>
            <w:r>
              <w:rPr>
                <w:spacing w:val="-2"/>
                <w:sz w:val="18"/>
              </w:rPr>
              <w:t>DIRECTIVO</w:t>
            </w:r>
          </w:p>
        </w:tc>
        <w:tc>
          <w:tcPr>
            <w:tcW w:w="1177" w:type="dxa"/>
          </w:tcPr>
          <w:p>
            <w:pPr>
              <w:pStyle w:val="TableParagraph"/>
              <w:spacing w:before="10"/>
              <w:ind w:left="16" w:right="4"/>
              <w:jc w:val="center"/>
              <w:rPr>
                <w:sz w:val="18"/>
              </w:rPr>
            </w:pPr>
            <w:r>
              <w:rPr>
                <w:spacing w:val="-5"/>
                <w:sz w:val="18"/>
              </w:rPr>
              <w:t>13</w:t>
            </w:r>
          </w:p>
        </w:tc>
        <w:tc>
          <w:tcPr>
            <w:tcW w:w="1115" w:type="dxa"/>
          </w:tcPr>
          <w:p>
            <w:pPr>
              <w:pStyle w:val="TableParagraph"/>
              <w:rPr>
                <w:rFonts w:ascii="Times New Roman"/>
                <w:sz w:val="16"/>
              </w:rPr>
            </w:pPr>
          </w:p>
        </w:tc>
        <w:tc>
          <w:tcPr>
            <w:tcW w:w="1166" w:type="dxa"/>
          </w:tcPr>
          <w:p>
            <w:pPr>
              <w:pStyle w:val="TableParagraph"/>
              <w:spacing w:before="10"/>
              <w:ind w:left="9" w:right="9"/>
              <w:jc w:val="center"/>
              <w:rPr>
                <w:sz w:val="18"/>
              </w:rPr>
            </w:pPr>
            <w:r>
              <w:rPr>
                <w:spacing w:val="-10"/>
                <w:sz w:val="18"/>
              </w:rPr>
              <w:t>8</w:t>
            </w:r>
          </w:p>
        </w:tc>
        <w:tc>
          <w:tcPr>
            <w:tcW w:w="1072" w:type="dxa"/>
          </w:tcPr>
          <w:p>
            <w:pPr>
              <w:pStyle w:val="TableParagraph"/>
              <w:rPr>
                <w:rFonts w:ascii="Times New Roman"/>
                <w:sz w:val="16"/>
              </w:rPr>
            </w:pPr>
          </w:p>
        </w:tc>
        <w:tc>
          <w:tcPr>
            <w:tcW w:w="1300" w:type="dxa"/>
          </w:tcPr>
          <w:p>
            <w:pPr>
              <w:pStyle w:val="TableParagraph"/>
              <w:spacing w:before="10"/>
              <w:ind w:left="41" w:right="2"/>
              <w:jc w:val="center"/>
              <w:rPr>
                <w:sz w:val="18"/>
              </w:rPr>
            </w:pPr>
            <w:r>
              <w:rPr>
                <w:spacing w:val="-5"/>
                <w:sz w:val="18"/>
              </w:rPr>
              <w:t>21</w:t>
            </w:r>
          </w:p>
        </w:tc>
      </w:tr>
      <w:tr>
        <w:trPr>
          <w:trHeight w:val="264" w:hRule="atLeast"/>
        </w:trPr>
        <w:tc>
          <w:tcPr>
            <w:tcW w:w="2793" w:type="dxa"/>
          </w:tcPr>
          <w:p>
            <w:pPr>
              <w:pStyle w:val="TableParagraph"/>
              <w:spacing w:line="204" w:lineRule="exact" w:before="40"/>
              <w:ind w:left="50"/>
              <w:rPr>
                <w:sz w:val="18"/>
              </w:rPr>
            </w:pPr>
            <w:r>
              <w:rPr>
                <w:sz w:val="18"/>
              </w:rPr>
              <w:t>PERSONAL</w:t>
            </w:r>
            <w:r>
              <w:rPr>
                <w:spacing w:val="-4"/>
                <w:sz w:val="18"/>
              </w:rPr>
              <w:t> </w:t>
            </w:r>
            <w:r>
              <w:rPr>
                <w:spacing w:val="-2"/>
                <w:sz w:val="18"/>
              </w:rPr>
              <w:t>TÉCNICO</w:t>
            </w:r>
          </w:p>
        </w:tc>
        <w:tc>
          <w:tcPr>
            <w:tcW w:w="1177" w:type="dxa"/>
          </w:tcPr>
          <w:p>
            <w:pPr>
              <w:pStyle w:val="TableParagraph"/>
              <w:spacing w:before="11"/>
              <w:ind w:left="16" w:right="4"/>
              <w:jc w:val="center"/>
              <w:rPr>
                <w:sz w:val="18"/>
              </w:rPr>
            </w:pPr>
            <w:r>
              <w:rPr>
                <w:spacing w:val="-5"/>
                <w:sz w:val="18"/>
              </w:rPr>
              <w:t>12</w:t>
            </w:r>
          </w:p>
        </w:tc>
        <w:tc>
          <w:tcPr>
            <w:tcW w:w="1115" w:type="dxa"/>
          </w:tcPr>
          <w:p>
            <w:pPr>
              <w:pStyle w:val="TableParagraph"/>
              <w:rPr>
                <w:rFonts w:ascii="Times New Roman"/>
                <w:sz w:val="16"/>
              </w:rPr>
            </w:pPr>
          </w:p>
        </w:tc>
        <w:tc>
          <w:tcPr>
            <w:tcW w:w="1166" w:type="dxa"/>
          </w:tcPr>
          <w:p>
            <w:pPr>
              <w:pStyle w:val="TableParagraph"/>
              <w:spacing w:before="11"/>
              <w:ind w:left="9" w:right="9"/>
              <w:jc w:val="center"/>
              <w:rPr>
                <w:sz w:val="18"/>
              </w:rPr>
            </w:pPr>
            <w:r>
              <w:rPr>
                <w:spacing w:val="-10"/>
                <w:sz w:val="18"/>
              </w:rPr>
              <w:t>3</w:t>
            </w:r>
          </w:p>
        </w:tc>
        <w:tc>
          <w:tcPr>
            <w:tcW w:w="1072" w:type="dxa"/>
          </w:tcPr>
          <w:p>
            <w:pPr>
              <w:pStyle w:val="TableParagraph"/>
              <w:rPr>
                <w:rFonts w:ascii="Times New Roman"/>
                <w:sz w:val="16"/>
              </w:rPr>
            </w:pPr>
          </w:p>
        </w:tc>
        <w:tc>
          <w:tcPr>
            <w:tcW w:w="1300" w:type="dxa"/>
          </w:tcPr>
          <w:p>
            <w:pPr>
              <w:pStyle w:val="TableParagraph"/>
              <w:spacing w:before="11"/>
              <w:ind w:left="41" w:right="2"/>
              <w:jc w:val="center"/>
              <w:rPr>
                <w:sz w:val="18"/>
              </w:rPr>
            </w:pPr>
            <w:r>
              <w:rPr>
                <w:spacing w:val="-5"/>
                <w:sz w:val="18"/>
              </w:rPr>
              <w:t>15</w:t>
            </w:r>
          </w:p>
        </w:tc>
      </w:tr>
      <w:tr>
        <w:trPr>
          <w:trHeight w:val="261" w:hRule="atLeast"/>
        </w:trPr>
        <w:tc>
          <w:tcPr>
            <w:tcW w:w="2793" w:type="dxa"/>
          </w:tcPr>
          <w:p>
            <w:pPr>
              <w:pStyle w:val="TableParagraph"/>
              <w:spacing w:line="204" w:lineRule="exact" w:before="37"/>
              <w:ind w:left="50"/>
              <w:rPr>
                <w:sz w:val="18"/>
              </w:rPr>
            </w:pPr>
            <w:r>
              <w:rPr>
                <w:sz w:val="18"/>
              </w:rPr>
              <w:t>MANDO</w:t>
            </w:r>
            <w:r>
              <w:rPr>
                <w:spacing w:val="-7"/>
                <w:sz w:val="18"/>
              </w:rPr>
              <w:t> </w:t>
            </w:r>
            <w:r>
              <w:rPr>
                <w:spacing w:val="-2"/>
                <w:sz w:val="18"/>
              </w:rPr>
              <w:t>ADMINISTRACIÓN</w:t>
            </w:r>
          </w:p>
        </w:tc>
        <w:tc>
          <w:tcPr>
            <w:tcW w:w="1177" w:type="dxa"/>
          </w:tcPr>
          <w:p>
            <w:pPr>
              <w:pStyle w:val="TableParagraph"/>
              <w:spacing w:before="11"/>
              <w:ind w:left="16" w:right="3"/>
              <w:jc w:val="center"/>
              <w:rPr>
                <w:sz w:val="18"/>
              </w:rPr>
            </w:pPr>
            <w:r>
              <w:rPr>
                <w:spacing w:val="-10"/>
                <w:sz w:val="18"/>
              </w:rPr>
              <w:t>5</w:t>
            </w:r>
          </w:p>
        </w:tc>
        <w:tc>
          <w:tcPr>
            <w:tcW w:w="1115" w:type="dxa"/>
          </w:tcPr>
          <w:p>
            <w:pPr>
              <w:pStyle w:val="TableParagraph"/>
              <w:rPr>
                <w:rFonts w:ascii="Times New Roman"/>
                <w:sz w:val="16"/>
              </w:rPr>
            </w:pPr>
          </w:p>
        </w:tc>
        <w:tc>
          <w:tcPr>
            <w:tcW w:w="1166" w:type="dxa"/>
          </w:tcPr>
          <w:p>
            <w:pPr>
              <w:pStyle w:val="TableParagraph"/>
              <w:spacing w:before="11"/>
              <w:ind w:left="9" w:right="9"/>
              <w:jc w:val="center"/>
              <w:rPr>
                <w:sz w:val="18"/>
              </w:rPr>
            </w:pPr>
            <w:r>
              <w:rPr>
                <w:spacing w:val="-10"/>
                <w:sz w:val="18"/>
              </w:rPr>
              <w:t>7</w:t>
            </w:r>
          </w:p>
        </w:tc>
        <w:tc>
          <w:tcPr>
            <w:tcW w:w="1072" w:type="dxa"/>
          </w:tcPr>
          <w:p>
            <w:pPr>
              <w:pStyle w:val="TableParagraph"/>
              <w:rPr>
                <w:rFonts w:ascii="Times New Roman"/>
                <w:sz w:val="16"/>
              </w:rPr>
            </w:pPr>
          </w:p>
        </w:tc>
        <w:tc>
          <w:tcPr>
            <w:tcW w:w="1300" w:type="dxa"/>
          </w:tcPr>
          <w:p>
            <w:pPr>
              <w:pStyle w:val="TableParagraph"/>
              <w:spacing w:before="11"/>
              <w:ind w:left="41" w:right="2"/>
              <w:jc w:val="center"/>
              <w:rPr>
                <w:sz w:val="18"/>
              </w:rPr>
            </w:pPr>
            <w:r>
              <w:rPr>
                <w:spacing w:val="-5"/>
                <w:sz w:val="18"/>
              </w:rPr>
              <w:t>12</w:t>
            </w:r>
          </w:p>
        </w:tc>
      </w:tr>
      <w:tr>
        <w:trPr>
          <w:trHeight w:val="264" w:hRule="atLeast"/>
        </w:trPr>
        <w:tc>
          <w:tcPr>
            <w:tcW w:w="2793" w:type="dxa"/>
          </w:tcPr>
          <w:p>
            <w:pPr>
              <w:pStyle w:val="TableParagraph"/>
              <w:spacing w:line="204" w:lineRule="exact" w:before="40"/>
              <w:ind w:left="50"/>
              <w:rPr>
                <w:sz w:val="18"/>
              </w:rPr>
            </w:pPr>
            <w:r>
              <w:rPr>
                <w:sz w:val="18"/>
              </w:rPr>
              <w:t>MANDO</w:t>
            </w:r>
            <w:r>
              <w:rPr>
                <w:spacing w:val="-5"/>
                <w:sz w:val="18"/>
              </w:rPr>
              <w:t> </w:t>
            </w:r>
            <w:r>
              <w:rPr>
                <w:spacing w:val="-2"/>
                <w:sz w:val="18"/>
              </w:rPr>
              <w:t>MOVIMIENTO</w:t>
            </w:r>
          </w:p>
        </w:tc>
        <w:tc>
          <w:tcPr>
            <w:tcW w:w="1177" w:type="dxa"/>
          </w:tcPr>
          <w:p>
            <w:pPr>
              <w:pStyle w:val="TableParagraph"/>
              <w:spacing w:before="11"/>
              <w:ind w:left="16" w:right="4"/>
              <w:jc w:val="center"/>
              <w:rPr>
                <w:sz w:val="18"/>
              </w:rPr>
            </w:pPr>
            <w:r>
              <w:rPr>
                <w:spacing w:val="-5"/>
                <w:sz w:val="18"/>
              </w:rPr>
              <w:t>23</w:t>
            </w:r>
          </w:p>
        </w:tc>
        <w:tc>
          <w:tcPr>
            <w:tcW w:w="1115" w:type="dxa"/>
          </w:tcPr>
          <w:p>
            <w:pPr>
              <w:pStyle w:val="TableParagraph"/>
              <w:spacing w:before="11"/>
              <w:ind w:left="1" w:right="3"/>
              <w:jc w:val="center"/>
              <w:rPr>
                <w:sz w:val="18"/>
              </w:rPr>
            </w:pPr>
            <w:r>
              <w:rPr>
                <w:spacing w:val="-10"/>
                <w:sz w:val="18"/>
              </w:rPr>
              <w:t>2</w:t>
            </w:r>
          </w:p>
        </w:tc>
        <w:tc>
          <w:tcPr>
            <w:tcW w:w="1166" w:type="dxa"/>
          </w:tcPr>
          <w:p>
            <w:pPr>
              <w:pStyle w:val="TableParagraph"/>
              <w:rPr>
                <w:rFonts w:ascii="Times New Roman"/>
                <w:sz w:val="16"/>
              </w:rPr>
            </w:pPr>
          </w:p>
        </w:tc>
        <w:tc>
          <w:tcPr>
            <w:tcW w:w="1072" w:type="dxa"/>
          </w:tcPr>
          <w:p>
            <w:pPr>
              <w:pStyle w:val="TableParagraph"/>
              <w:rPr>
                <w:rFonts w:ascii="Times New Roman"/>
                <w:sz w:val="16"/>
              </w:rPr>
            </w:pPr>
          </w:p>
        </w:tc>
        <w:tc>
          <w:tcPr>
            <w:tcW w:w="1300" w:type="dxa"/>
          </w:tcPr>
          <w:p>
            <w:pPr>
              <w:pStyle w:val="TableParagraph"/>
              <w:spacing w:before="11"/>
              <w:ind w:left="41" w:right="2"/>
              <w:jc w:val="center"/>
              <w:rPr>
                <w:sz w:val="18"/>
              </w:rPr>
            </w:pPr>
            <w:r>
              <w:rPr>
                <w:spacing w:val="-5"/>
                <w:sz w:val="18"/>
              </w:rPr>
              <w:t>25</w:t>
            </w:r>
          </w:p>
        </w:tc>
      </w:tr>
      <w:tr>
        <w:trPr>
          <w:trHeight w:val="261" w:hRule="atLeast"/>
        </w:trPr>
        <w:tc>
          <w:tcPr>
            <w:tcW w:w="2793" w:type="dxa"/>
          </w:tcPr>
          <w:p>
            <w:pPr>
              <w:pStyle w:val="TableParagraph"/>
              <w:spacing w:line="204" w:lineRule="exact" w:before="37"/>
              <w:ind w:left="50"/>
              <w:rPr>
                <w:sz w:val="18"/>
              </w:rPr>
            </w:pPr>
            <w:r>
              <w:rPr>
                <w:sz w:val="18"/>
              </w:rPr>
              <w:t>MANDO</w:t>
            </w:r>
            <w:r>
              <w:rPr>
                <w:spacing w:val="-7"/>
                <w:sz w:val="18"/>
              </w:rPr>
              <w:t> </w:t>
            </w:r>
            <w:r>
              <w:rPr>
                <w:spacing w:val="-2"/>
                <w:sz w:val="18"/>
              </w:rPr>
              <w:t>TALLER</w:t>
            </w:r>
          </w:p>
        </w:tc>
        <w:tc>
          <w:tcPr>
            <w:tcW w:w="1177" w:type="dxa"/>
          </w:tcPr>
          <w:p>
            <w:pPr>
              <w:pStyle w:val="TableParagraph"/>
              <w:spacing w:before="11"/>
              <w:ind w:left="16" w:right="3"/>
              <w:jc w:val="center"/>
              <w:rPr>
                <w:sz w:val="18"/>
              </w:rPr>
            </w:pPr>
            <w:r>
              <w:rPr>
                <w:spacing w:val="-10"/>
                <w:sz w:val="18"/>
              </w:rPr>
              <w:t>5</w:t>
            </w:r>
          </w:p>
        </w:tc>
        <w:tc>
          <w:tcPr>
            <w:tcW w:w="1115" w:type="dxa"/>
          </w:tcPr>
          <w:p>
            <w:pPr>
              <w:pStyle w:val="TableParagraph"/>
              <w:spacing w:before="11"/>
              <w:ind w:left="1" w:right="3"/>
              <w:jc w:val="center"/>
              <w:rPr>
                <w:sz w:val="18"/>
              </w:rPr>
            </w:pPr>
            <w:r>
              <w:rPr>
                <w:spacing w:val="-10"/>
                <w:sz w:val="18"/>
              </w:rPr>
              <w:t>2</w:t>
            </w:r>
          </w:p>
        </w:tc>
        <w:tc>
          <w:tcPr>
            <w:tcW w:w="1166" w:type="dxa"/>
          </w:tcPr>
          <w:p>
            <w:pPr>
              <w:pStyle w:val="TableParagraph"/>
              <w:rPr>
                <w:rFonts w:ascii="Times New Roman"/>
                <w:sz w:val="16"/>
              </w:rPr>
            </w:pPr>
          </w:p>
        </w:tc>
        <w:tc>
          <w:tcPr>
            <w:tcW w:w="1072" w:type="dxa"/>
          </w:tcPr>
          <w:p>
            <w:pPr>
              <w:pStyle w:val="TableParagraph"/>
              <w:rPr>
                <w:rFonts w:ascii="Times New Roman"/>
                <w:sz w:val="16"/>
              </w:rPr>
            </w:pPr>
          </w:p>
        </w:tc>
        <w:tc>
          <w:tcPr>
            <w:tcW w:w="1300" w:type="dxa"/>
          </w:tcPr>
          <w:p>
            <w:pPr>
              <w:pStyle w:val="TableParagraph"/>
              <w:spacing w:before="11"/>
              <w:ind w:left="41" w:right="5"/>
              <w:jc w:val="center"/>
              <w:rPr>
                <w:sz w:val="18"/>
              </w:rPr>
            </w:pPr>
            <w:r>
              <w:rPr>
                <w:spacing w:val="-10"/>
                <w:sz w:val="18"/>
              </w:rPr>
              <w:t>7</w:t>
            </w:r>
          </w:p>
        </w:tc>
      </w:tr>
      <w:tr>
        <w:trPr>
          <w:trHeight w:val="263" w:hRule="atLeast"/>
        </w:trPr>
        <w:tc>
          <w:tcPr>
            <w:tcW w:w="2793" w:type="dxa"/>
          </w:tcPr>
          <w:p>
            <w:pPr>
              <w:pStyle w:val="TableParagraph"/>
              <w:spacing w:line="204" w:lineRule="exact" w:before="40"/>
              <w:ind w:left="50"/>
              <w:rPr>
                <w:sz w:val="18"/>
              </w:rPr>
            </w:pPr>
            <w:r>
              <w:rPr>
                <w:sz w:val="18"/>
              </w:rPr>
              <w:t>CONDUCTOR/A</w:t>
            </w:r>
            <w:r>
              <w:rPr>
                <w:spacing w:val="-6"/>
                <w:sz w:val="18"/>
              </w:rPr>
              <w:t> </w:t>
            </w:r>
            <w:r>
              <w:rPr>
                <w:spacing w:val="-2"/>
                <w:sz w:val="18"/>
              </w:rPr>
              <w:t>PERCEPTOR/A</w:t>
            </w:r>
          </w:p>
        </w:tc>
        <w:tc>
          <w:tcPr>
            <w:tcW w:w="1177" w:type="dxa"/>
          </w:tcPr>
          <w:p>
            <w:pPr>
              <w:pStyle w:val="TableParagraph"/>
              <w:spacing w:before="11"/>
              <w:ind w:left="16" w:right="5"/>
              <w:jc w:val="center"/>
              <w:rPr>
                <w:sz w:val="18"/>
              </w:rPr>
            </w:pPr>
            <w:r>
              <w:rPr>
                <w:spacing w:val="-5"/>
                <w:sz w:val="18"/>
              </w:rPr>
              <w:t>404</w:t>
            </w:r>
          </w:p>
        </w:tc>
        <w:tc>
          <w:tcPr>
            <w:tcW w:w="1115" w:type="dxa"/>
          </w:tcPr>
          <w:p>
            <w:pPr>
              <w:pStyle w:val="TableParagraph"/>
              <w:spacing w:before="11"/>
              <w:ind w:left="2" w:right="2"/>
              <w:jc w:val="center"/>
              <w:rPr>
                <w:sz w:val="18"/>
              </w:rPr>
            </w:pPr>
            <w:r>
              <w:rPr>
                <w:spacing w:val="-5"/>
                <w:sz w:val="18"/>
              </w:rPr>
              <w:t>231</w:t>
            </w:r>
          </w:p>
        </w:tc>
        <w:tc>
          <w:tcPr>
            <w:tcW w:w="1166" w:type="dxa"/>
          </w:tcPr>
          <w:p>
            <w:pPr>
              <w:pStyle w:val="TableParagraph"/>
              <w:spacing w:before="11"/>
              <w:ind w:left="13" w:right="9"/>
              <w:jc w:val="center"/>
              <w:rPr>
                <w:sz w:val="18"/>
              </w:rPr>
            </w:pPr>
            <w:r>
              <w:rPr>
                <w:spacing w:val="-5"/>
                <w:sz w:val="18"/>
              </w:rPr>
              <w:t>16</w:t>
            </w:r>
          </w:p>
        </w:tc>
        <w:tc>
          <w:tcPr>
            <w:tcW w:w="1072" w:type="dxa"/>
          </w:tcPr>
          <w:p>
            <w:pPr>
              <w:pStyle w:val="TableParagraph"/>
              <w:spacing w:before="11"/>
              <w:ind w:left="48" w:right="1"/>
              <w:jc w:val="center"/>
              <w:rPr>
                <w:sz w:val="18"/>
              </w:rPr>
            </w:pPr>
            <w:r>
              <w:rPr>
                <w:spacing w:val="-5"/>
                <w:sz w:val="18"/>
              </w:rPr>
              <w:t>30</w:t>
            </w:r>
          </w:p>
        </w:tc>
        <w:tc>
          <w:tcPr>
            <w:tcW w:w="1300" w:type="dxa"/>
          </w:tcPr>
          <w:p>
            <w:pPr>
              <w:pStyle w:val="TableParagraph"/>
              <w:spacing w:before="11"/>
              <w:ind w:left="41"/>
              <w:jc w:val="center"/>
              <w:rPr>
                <w:sz w:val="18"/>
              </w:rPr>
            </w:pPr>
            <w:r>
              <w:rPr>
                <w:spacing w:val="-5"/>
                <w:sz w:val="18"/>
              </w:rPr>
              <w:t>681</w:t>
            </w:r>
          </w:p>
        </w:tc>
      </w:tr>
      <w:tr>
        <w:trPr>
          <w:trHeight w:val="264" w:hRule="atLeast"/>
        </w:trPr>
        <w:tc>
          <w:tcPr>
            <w:tcW w:w="2793" w:type="dxa"/>
          </w:tcPr>
          <w:p>
            <w:pPr>
              <w:pStyle w:val="TableParagraph"/>
              <w:spacing w:line="204" w:lineRule="exact" w:before="40"/>
              <w:ind w:left="50"/>
              <w:rPr>
                <w:sz w:val="18"/>
              </w:rPr>
            </w:pPr>
            <w:r>
              <w:rPr>
                <w:sz w:val="18"/>
              </w:rPr>
              <w:t>OFICIAL</w:t>
            </w:r>
            <w:r>
              <w:rPr>
                <w:spacing w:val="-3"/>
                <w:sz w:val="18"/>
              </w:rPr>
              <w:t> </w:t>
            </w:r>
            <w:r>
              <w:rPr>
                <w:spacing w:val="-2"/>
                <w:sz w:val="18"/>
              </w:rPr>
              <w:t>ADMINISTRACIÓN</w:t>
            </w:r>
          </w:p>
        </w:tc>
        <w:tc>
          <w:tcPr>
            <w:tcW w:w="1177" w:type="dxa"/>
          </w:tcPr>
          <w:p>
            <w:pPr>
              <w:pStyle w:val="TableParagraph"/>
              <w:spacing w:before="11"/>
              <w:ind w:left="16" w:right="3"/>
              <w:jc w:val="center"/>
              <w:rPr>
                <w:sz w:val="18"/>
              </w:rPr>
            </w:pPr>
            <w:r>
              <w:rPr>
                <w:spacing w:val="-10"/>
                <w:sz w:val="18"/>
              </w:rPr>
              <w:t>5</w:t>
            </w:r>
          </w:p>
        </w:tc>
        <w:tc>
          <w:tcPr>
            <w:tcW w:w="1115" w:type="dxa"/>
          </w:tcPr>
          <w:p>
            <w:pPr>
              <w:pStyle w:val="TableParagraph"/>
              <w:rPr>
                <w:rFonts w:ascii="Times New Roman"/>
                <w:sz w:val="16"/>
              </w:rPr>
            </w:pPr>
          </w:p>
        </w:tc>
        <w:tc>
          <w:tcPr>
            <w:tcW w:w="1166" w:type="dxa"/>
          </w:tcPr>
          <w:p>
            <w:pPr>
              <w:pStyle w:val="TableParagraph"/>
              <w:spacing w:before="11"/>
              <w:ind w:left="12" w:right="9"/>
              <w:jc w:val="center"/>
              <w:rPr>
                <w:sz w:val="18"/>
              </w:rPr>
            </w:pPr>
            <w:r>
              <w:rPr>
                <w:spacing w:val="-5"/>
                <w:sz w:val="18"/>
              </w:rPr>
              <w:t>13</w:t>
            </w:r>
          </w:p>
        </w:tc>
        <w:tc>
          <w:tcPr>
            <w:tcW w:w="1072" w:type="dxa"/>
          </w:tcPr>
          <w:p>
            <w:pPr>
              <w:pStyle w:val="TableParagraph"/>
              <w:rPr>
                <w:rFonts w:ascii="Times New Roman"/>
                <w:sz w:val="16"/>
              </w:rPr>
            </w:pPr>
          </w:p>
        </w:tc>
        <w:tc>
          <w:tcPr>
            <w:tcW w:w="1300" w:type="dxa"/>
          </w:tcPr>
          <w:p>
            <w:pPr>
              <w:pStyle w:val="TableParagraph"/>
              <w:spacing w:before="11"/>
              <w:ind w:left="41" w:right="2"/>
              <w:jc w:val="center"/>
              <w:rPr>
                <w:sz w:val="18"/>
              </w:rPr>
            </w:pPr>
            <w:r>
              <w:rPr>
                <w:spacing w:val="-5"/>
                <w:sz w:val="18"/>
              </w:rPr>
              <w:t>18</w:t>
            </w:r>
          </w:p>
        </w:tc>
      </w:tr>
      <w:tr>
        <w:trPr>
          <w:trHeight w:val="287" w:hRule="atLeast"/>
        </w:trPr>
        <w:tc>
          <w:tcPr>
            <w:tcW w:w="2793" w:type="dxa"/>
          </w:tcPr>
          <w:p>
            <w:pPr>
              <w:pStyle w:val="TableParagraph"/>
              <w:spacing w:before="44"/>
              <w:ind w:left="50"/>
              <w:rPr>
                <w:sz w:val="18"/>
              </w:rPr>
            </w:pPr>
            <w:r>
              <w:rPr>
                <w:sz w:val="18"/>
              </w:rPr>
              <w:t>OFICIAL</w:t>
            </w:r>
            <w:r>
              <w:rPr>
                <w:spacing w:val="-3"/>
                <w:sz w:val="18"/>
              </w:rPr>
              <w:t> </w:t>
            </w:r>
            <w:r>
              <w:rPr>
                <w:spacing w:val="-2"/>
                <w:sz w:val="18"/>
              </w:rPr>
              <w:t>TALLER</w:t>
            </w:r>
          </w:p>
        </w:tc>
        <w:tc>
          <w:tcPr>
            <w:tcW w:w="1177" w:type="dxa"/>
            <w:tcBorders>
              <w:bottom w:val="single" w:sz="8" w:space="0" w:color="000000"/>
            </w:tcBorders>
          </w:tcPr>
          <w:p>
            <w:pPr>
              <w:pStyle w:val="TableParagraph"/>
              <w:spacing w:before="11"/>
              <w:ind w:left="16" w:right="4"/>
              <w:jc w:val="center"/>
              <w:rPr>
                <w:sz w:val="18"/>
              </w:rPr>
            </w:pPr>
            <w:r>
              <w:rPr>
                <w:spacing w:val="-5"/>
                <w:sz w:val="18"/>
              </w:rPr>
              <w:t>33</w:t>
            </w:r>
          </w:p>
        </w:tc>
        <w:tc>
          <w:tcPr>
            <w:tcW w:w="1115" w:type="dxa"/>
            <w:tcBorders>
              <w:bottom w:val="single" w:sz="8" w:space="0" w:color="000000"/>
            </w:tcBorders>
          </w:tcPr>
          <w:p>
            <w:pPr>
              <w:pStyle w:val="TableParagraph"/>
              <w:spacing w:before="11"/>
              <w:ind w:left="1" w:right="3"/>
              <w:jc w:val="center"/>
              <w:rPr>
                <w:sz w:val="18"/>
              </w:rPr>
            </w:pPr>
            <w:r>
              <w:rPr>
                <w:spacing w:val="-10"/>
                <w:sz w:val="18"/>
              </w:rPr>
              <w:t>1</w:t>
            </w:r>
          </w:p>
        </w:tc>
        <w:tc>
          <w:tcPr>
            <w:tcW w:w="1166" w:type="dxa"/>
            <w:tcBorders>
              <w:bottom w:val="single" w:sz="8" w:space="0" w:color="000000"/>
            </w:tcBorders>
          </w:tcPr>
          <w:p>
            <w:pPr>
              <w:pStyle w:val="TableParagraph"/>
              <w:rPr>
                <w:rFonts w:ascii="Times New Roman"/>
                <w:sz w:val="16"/>
              </w:rPr>
            </w:pPr>
          </w:p>
        </w:tc>
        <w:tc>
          <w:tcPr>
            <w:tcW w:w="1072" w:type="dxa"/>
            <w:tcBorders>
              <w:bottom w:val="single" w:sz="8" w:space="0" w:color="000000"/>
            </w:tcBorders>
          </w:tcPr>
          <w:p>
            <w:pPr>
              <w:pStyle w:val="TableParagraph"/>
              <w:rPr>
                <w:rFonts w:ascii="Times New Roman"/>
                <w:sz w:val="16"/>
              </w:rPr>
            </w:pPr>
          </w:p>
        </w:tc>
        <w:tc>
          <w:tcPr>
            <w:tcW w:w="1300" w:type="dxa"/>
            <w:tcBorders>
              <w:bottom w:val="single" w:sz="8" w:space="0" w:color="000000"/>
            </w:tcBorders>
          </w:tcPr>
          <w:p>
            <w:pPr>
              <w:pStyle w:val="TableParagraph"/>
              <w:spacing w:before="11"/>
              <w:ind w:left="41" w:right="2"/>
              <w:jc w:val="center"/>
              <w:rPr>
                <w:sz w:val="18"/>
              </w:rPr>
            </w:pPr>
            <w:r>
              <w:rPr>
                <w:spacing w:val="-5"/>
                <w:sz w:val="18"/>
              </w:rPr>
              <w:t>34</w:t>
            </w:r>
          </w:p>
        </w:tc>
      </w:tr>
      <w:tr>
        <w:trPr>
          <w:trHeight w:val="275" w:hRule="atLeast"/>
        </w:trPr>
        <w:tc>
          <w:tcPr>
            <w:tcW w:w="2793" w:type="dxa"/>
          </w:tcPr>
          <w:p>
            <w:pPr>
              <w:pStyle w:val="TableParagraph"/>
              <w:spacing w:before="27"/>
              <w:ind w:left="50"/>
              <w:rPr>
                <w:b/>
                <w:sz w:val="18"/>
              </w:rPr>
            </w:pPr>
            <w:r>
              <w:rPr>
                <w:b/>
                <w:sz w:val="18"/>
              </w:rPr>
              <w:t>Total</w:t>
            </w:r>
            <w:r>
              <w:rPr>
                <w:b/>
                <w:spacing w:val="-3"/>
                <w:sz w:val="18"/>
              </w:rPr>
              <w:t> </w:t>
            </w:r>
            <w:r>
              <w:rPr>
                <w:b/>
                <w:sz w:val="18"/>
              </w:rPr>
              <w:t>empleados</w:t>
            </w:r>
            <w:r>
              <w:rPr>
                <w:b/>
                <w:spacing w:val="-4"/>
                <w:sz w:val="18"/>
              </w:rPr>
              <w:t> 31/12</w:t>
            </w:r>
          </w:p>
        </w:tc>
        <w:tc>
          <w:tcPr>
            <w:tcW w:w="1177" w:type="dxa"/>
            <w:tcBorders>
              <w:top w:val="single" w:sz="8" w:space="0" w:color="000000"/>
              <w:bottom w:val="single" w:sz="8" w:space="0" w:color="000000"/>
            </w:tcBorders>
          </w:tcPr>
          <w:p>
            <w:pPr>
              <w:pStyle w:val="TableParagraph"/>
              <w:spacing w:line="201" w:lineRule="exact"/>
              <w:ind w:left="16" w:right="5"/>
              <w:jc w:val="center"/>
              <w:rPr>
                <w:b/>
                <w:sz w:val="18"/>
              </w:rPr>
            </w:pPr>
            <w:r>
              <w:rPr>
                <w:b/>
                <w:spacing w:val="-5"/>
                <w:sz w:val="18"/>
              </w:rPr>
              <w:t>500</w:t>
            </w:r>
          </w:p>
        </w:tc>
        <w:tc>
          <w:tcPr>
            <w:tcW w:w="1115" w:type="dxa"/>
            <w:tcBorders>
              <w:top w:val="single" w:sz="8" w:space="0" w:color="000000"/>
              <w:bottom w:val="single" w:sz="8" w:space="0" w:color="000000"/>
            </w:tcBorders>
          </w:tcPr>
          <w:p>
            <w:pPr>
              <w:pStyle w:val="TableParagraph"/>
              <w:spacing w:line="201" w:lineRule="exact"/>
              <w:ind w:left="2" w:right="2"/>
              <w:jc w:val="center"/>
              <w:rPr>
                <w:b/>
                <w:sz w:val="18"/>
              </w:rPr>
            </w:pPr>
            <w:r>
              <w:rPr>
                <w:b/>
                <w:spacing w:val="-5"/>
                <w:sz w:val="18"/>
              </w:rPr>
              <w:t>237</w:t>
            </w:r>
          </w:p>
        </w:tc>
        <w:tc>
          <w:tcPr>
            <w:tcW w:w="1166" w:type="dxa"/>
            <w:tcBorders>
              <w:top w:val="single" w:sz="8" w:space="0" w:color="000000"/>
              <w:bottom w:val="single" w:sz="8" w:space="0" w:color="000000"/>
            </w:tcBorders>
          </w:tcPr>
          <w:p>
            <w:pPr>
              <w:pStyle w:val="TableParagraph"/>
              <w:spacing w:line="201" w:lineRule="exact"/>
              <w:ind w:left="13" w:right="9"/>
              <w:jc w:val="center"/>
              <w:rPr>
                <w:b/>
                <w:sz w:val="18"/>
              </w:rPr>
            </w:pPr>
            <w:r>
              <w:rPr>
                <w:b/>
                <w:spacing w:val="-5"/>
                <w:sz w:val="18"/>
              </w:rPr>
              <w:t>47</w:t>
            </w:r>
          </w:p>
        </w:tc>
        <w:tc>
          <w:tcPr>
            <w:tcW w:w="1072" w:type="dxa"/>
            <w:tcBorders>
              <w:top w:val="single" w:sz="8" w:space="0" w:color="000000"/>
              <w:bottom w:val="single" w:sz="8" w:space="0" w:color="000000"/>
            </w:tcBorders>
          </w:tcPr>
          <w:p>
            <w:pPr>
              <w:pStyle w:val="TableParagraph"/>
              <w:spacing w:line="201" w:lineRule="exact"/>
              <w:ind w:left="48" w:right="2"/>
              <w:jc w:val="center"/>
              <w:rPr>
                <w:b/>
                <w:sz w:val="18"/>
              </w:rPr>
            </w:pPr>
            <w:r>
              <w:rPr>
                <w:b/>
                <w:spacing w:val="-5"/>
                <w:sz w:val="18"/>
              </w:rPr>
              <w:t>30</w:t>
            </w:r>
          </w:p>
        </w:tc>
        <w:tc>
          <w:tcPr>
            <w:tcW w:w="1300" w:type="dxa"/>
            <w:tcBorders>
              <w:top w:val="single" w:sz="8" w:space="0" w:color="000000"/>
              <w:bottom w:val="single" w:sz="8" w:space="0" w:color="000000"/>
            </w:tcBorders>
          </w:tcPr>
          <w:p>
            <w:pPr>
              <w:pStyle w:val="TableParagraph"/>
              <w:spacing w:line="201" w:lineRule="exact"/>
              <w:ind w:left="41" w:right="2"/>
              <w:jc w:val="center"/>
              <w:rPr>
                <w:b/>
                <w:sz w:val="18"/>
              </w:rPr>
            </w:pPr>
            <w:r>
              <w:rPr>
                <w:b/>
                <w:spacing w:val="-5"/>
                <w:sz w:val="18"/>
              </w:rPr>
              <w:t>814</w:t>
            </w:r>
          </w:p>
        </w:tc>
      </w:tr>
    </w:tbl>
    <w:p>
      <w:pPr>
        <w:pStyle w:val="TableParagraph"/>
        <w:spacing w:after="0" w:line="201" w:lineRule="exact"/>
        <w:jc w:val="center"/>
        <w:rPr>
          <w:b/>
          <w:sz w:val="18"/>
        </w:rPr>
        <w:sectPr>
          <w:pgSz w:w="11910" w:h="16840"/>
          <w:pgMar w:header="286" w:footer="1060" w:top="1920" w:bottom="1260" w:left="360" w:right="360"/>
        </w:sectPr>
      </w:pPr>
    </w:p>
    <w:p>
      <w:pPr>
        <w:pStyle w:val="BodyText"/>
        <w:spacing w:before="201"/>
        <w:rPr>
          <w:b/>
        </w:rPr>
      </w:pPr>
    </w:p>
    <w:p>
      <w:pPr>
        <w:pStyle w:val="BodyText"/>
        <w:ind w:left="2020" w:right="1308"/>
      </w:pPr>
      <w:r>
        <w:rPr/>
        <w:t>La distribución por sexo, agrupación funcional y tipo de contrato al término del ejercicio 2025 es la siguiente:</w:t>
      </w:r>
    </w:p>
    <w:p>
      <w:pPr>
        <w:tabs>
          <w:tab w:pos="7175" w:val="left" w:leader="none"/>
        </w:tabs>
        <w:spacing w:before="49"/>
        <w:ind w:left="4843" w:right="0" w:firstLine="0"/>
        <w:jc w:val="both"/>
        <w:rPr>
          <w:b/>
          <w:sz w:val="18"/>
        </w:rPr>
      </w:pPr>
      <w:r>
        <w:rPr>
          <w:b/>
          <w:spacing w:val="-2"/>
          <w:sz w:val="18"/>
        </w:rPr>
        <w:t>Hombres</w:t>
      </w:r>
      <w:r>
        <w:rPr>
          <w:b/>
          <w:sz w:val="18"/>
        </w:rPr>
        <w:tab/>
      </w:r>
      <w:r>
        <w:rPr>
          <w:b/>
          <w:spacing w:val="-2"/>
          <w:sz w:val="18"/>
        </w:rPr>
        <w:t>Mujeres</w:t>
      </w:r>
    </w:p>
    <w:p>
      <w:pPr>
        <w:pStyle w:val="BodyText"/>
        <w:spacing w:before="9"/>
        <w:rPr>
          <w:b/>
          <w:sz w:val="5"/>
        </w:rPr>
      </w:pP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6"/>
        <w:gridCol w:w="1178"/>
        <w:gridCol w:w="1115"/>
        <w:gridCol w:w="1164"/>
        <w:gridCol w:w="1071"/>
        <w:gridCol w:w="1300"/>
      </w:tblGrid>
      <w:tr>
        <w:trPr>
          <w:trHeight w:val="311" w:hRule="atLeast"/>
        </w:trPr>
        <w:tc>
          <w:tcPr>
            <w:tcW w:w="2796" w:type="dxa"/>
          </w:tcPr>
          <w:p>
            <w:pPr>
              <w:pStyle w:val="TableParagraph"/>
              <w:rPr>
                <w:rFonts w:ascii="Times New Roman"/>
                <w:sz w:val="16"/>
              </w:rPr>
            </w:pPr>
          </w:p>
        </w:tc>
        <w:tc>
          <w:tcPr>
            <w:tcW w:w="1178" w:type="dxa"/>
            <w:tcBorders>
              <w:top w:val="single" w:sz="8" w:space="0" w:color="000000"/>
              <w:bottom w:val="single" w:sz="8" w:space="0" w:color="000000"/>
            </w:tcBorders>
          </w:tcPr>
          <w:p>
            <w:pPr>
              <w:pStyle w:val="TableParagraph"/>
              <w:spacing w:before="46"/>
              <w:ind w:left="15" w:right="2"/>
              <w:jc w:val="center"/>
              <w:rPr>
                <w:b/>
                <w:sz w:val="18"/>
              </w:rPr>
            </w:pPr>
            <w:r>
              <w:rPr>
                <w:b/>
                <w:spacing w:val="-2"/>
                <w:sz w:val="18"/>
              </w:rPr>
              <w:t>Indefinido</w:t>
            </w:r>
          </w:p>
        </w:tc>
        <w:tc>
          <w:tcPr>
            <w:tcW w:w="1115" w:type="dxa"/>
            <w:tcBorders>
              <w:top w:val="single" w:sz="8" w:space="0" w:color="000000"/>
              <w:bottom w:val="single" w:sz="8" w:space="0" w:color="000000"/>
            </w:tcBorders>
          </w:tcPr>
          <w:p>
            <w:pPr>
              <w:pStyle w:val="TableParagraph"/>
              <w:spacing w:before="46"/>
              <w:ind w:left="2" w:right="2"/>
              <w:jc w:val="center"/>
              <w:rPr>
                <w:b/>
                <w:sz w:val="18"/>
              </w:rPr>
            </w:pPr>
            <w:r>
              <w:rPr>
                <w:b/>
                <w:spacing w:val="-2"/>
                <w:sz w:val="18"/>
              </w:rPr>
              <w:t>Temporal</w:t>
            </w:r>
          </w:p>
        </w:tc>
        <w:tc>
          <w:tcPr>
            <w:tcW w:w="1164" w:type="dxa"/>
            <w:tcBorders>
              <w:top w:val="single" w:sz="8" w:space="0" w:color="000000"/>
              <w:bottom w:val="single" w:sz="8" w:space="0" w:color="000000"/>
            </w:tcBorders>
          </w:tcPr>
          <w:p>
            <w:pPr>
              <w:pStyle w:val="TableParagraph"/>
              <w:spacing w:before="46"/>
              <w:ind w:left="3" w:right="3"/>
              <w:jc w:val="center"/>
              <w:rPr>
                <w:b/>
                <w:sz w:val="18"/>
              </w:rPr>
            </w:pPr>
            <w:r>
              <w:rPr>
                <w:b/>
                <w:spacing w:val="-2"/>
                <w:sz w:val="18"/>
              </w:rPr>
              <w:t>Indefinido</w:t>
            </w:r>
          </w:p>
        </w:tc>
        <w:tc>
          <w:tcPr>
            <w:tcW w:w="1071" w:type="dxa"/>
            <w:tcBorders>
              <w:top w:val="single" w:sz="8" w:space="0" w:color="000000"/>
              <w:bottom w:val="single" w:sz="8" w:space="0" w:color="000000"/>
            </w:tcBorders>
          </w:tcPr>
          <w:p>
            <w:pPr>
              <w:pStyle w:val="TableParagraph"/>
              <w:spacing w:before="46"/>
              <w:ind w:left="48" w:right="4"/>
              <w:jc w:val="center"/>
              <w:rPr>
                <w:b/>
                <w:sz w:val="18"/>
              </w:rPr>
            </w:pPr>
            <w:r>
              <w:rPr>
                <w:b/>
                <w:spacing w:val="-2"/>
                <w:sz w:val="18"/>
              </w:rPr>
              <w:t>Temporal</w:t>
            </w:r>
          </w:p>
        </w:tc>
        <w:tc>
          <w:tcPr>
            <w:tcW w:w="1300" w:type="dxa"/>
            <w:tcBorders>
              <w:top w:val="single" w:sz="8" w:space="0" w:color="000000"/>
              <w:bottom w:val="single" w:sz="8" w:space="0" w:color="000000"/>
            </w:tcBorders>
          </w:tcPr>
          <w:p>
            <w:pPr>
              <w:pStyle w:val="TableParagraph"/>
              <w:spacing w:before="46"/>
              <w:ind w:left="41" w:right="4"/>
              <w:jc w:val="center"/>
              <w:rPr>
                <w:b/>
                <w:sz w:val="18"/>
              </w:rPr>
            </w:pPr>
            <w:r>
              <w:rPr>
                <w:b/>
                <w:sz w:val="18"/>
              </w:rPr>
              <w:t>Total</w:t>
            </w:r>
            <w:r>
              <w:rPr>
                <w:b/>
                <w:spacing w:val="-2"/>
                <w:sz w:val="18"/>
              </w:rPr>
              <w:t> general</w:t>
            </w:r>
          </w:p>
        </w:tc>
      </w:tr>
      <w:tr>
        <w:trPr>
          <w:trHeight w:val="276" w:hRule="atLeast"/>
        </w:trPr>
        <w:tc>
          <w:tcPr>
            <w:tcW w:w="2796" w:type="dxa"/>
          </w:tcPr>
          <w:p>
            <w:pPr>
              <w:pStyle w:val="TableParagraph"/>
              <w:spacing w:before="44"/>
              <w:ind w:left="50"/>
              <w:rPr>
                <w:sz w:val="18"/>
              </w:rPr>
            </w:pPr>
            <w:r>
              <w:rPr>
                <w:sz w:val="18"/>
              </w:rPr>
              <w:t>ALTA</w:t>
            </w:r>
            <w:r>
              <w:rPr>
                <w:spacing w:val="-5"/>
                <w:sz w:val="18"/>
              </w:rPr>
              <w:t> </w:t>
            </w:r>
            <w:r>
              <w:rPr>
                <w:spacing w:val="-2"/>
                <w:sz w:val="18"/>
              </w:rPr>
              <w:t>DIRECCIÓN</w:t>
            </w:r>
          </w:p>
        </w:tc>
        <w:tc>
          <w:tcPr>
            <w:tcW w:w="1178" w:type="dxa"/>
            <w:tcBorders>
              <w:top w:val="single" w:sz="8" w:space="0" w:color="000000"/>
            </w:tcBorders>
          </w:tcPr>
          <w:p>
            <w:pPr>
              <w:pStyle w:val="TableParagraph"/>
              <w:rPr>
                <w:rFonts w:ascii="Times New Roman"/>
                <w:sz w:val="16"/>
              </w:rPr>
            </w:pPr>
          </w:p>
        </w:tc>
        <w:tc>
          <w:tcPr>
            <w:tcW w:w="1115" w:type="dxa"/>
            <w:tcBorders>
              <w:top w:val="single" w:sz="8" w:space="0" w:color="000000"/>
            </w:tcBorders>
          </w:tcPr>
          <w:p>
            <w:pPr>
              <w:pStyle w:val="TableParagraph"/>
              <w:spacing w:line="206" w:lineRule="exact"/>
              <w:ind w:left="1" w:right="2"/>
              <w:jc w:val="center"/>
              <w:rPr>
                <w:sz w:val="18"/>
              </w:rPr>
            </w:pPr>
            <w:r>
              <w:rPr>
                <w:spacing w:val="-10"/>
                <w:sz w:val="18"/>
              </w:rPr>
              <w:t>1</w:t>
            </w:r>
          </w:p>
        </w:tc>
        <w:tc>
          <w:tcPr>
            <w:tcW w:w="1164" w:type="dxa"/>
            <w:tcBorders>
              <w:top w:val="single" w:sz="8" w:space="0" w:color="000000"/>
            </w:tcBorders>
          </w:tcPr>
          <w:p>
            <w:pPr>
              <w:pStyle w:val="TableParagraph"/>
              <w:rPr>
                <w:rFonts w:ascii="Times New Roman"/>
                <w:sz w:val="16"/>
              </w:rPr>
            </w:pPr>
          </w:p>
        </w:tc>
        <w:tc>
          <w:tcPr>
            <w:tcW w:w="1071" w:type="dxa"/>
            <w:tcBorders>
              <w:top w:val="single" w:sz="8" w:space="0" w:color="000000"/>
            </w:tcBorders>
          </w:tcPr>
          <w:p>
            <w:pPr>
              <w:pStyle w:val="TableParagraph"/>
              <w:rPr>
                <w:rFonts w:ascii="Times New Roman"/>
                <w:sz w:val="16"/>
              </w:rPr>
            </w:pPr>
          </w:p>
        </w:tc>
        <w:tc>
          <w:tcPr>
            <w:tcW w:w="1300" w:type="dxa"/>
            <w:tcBorders>
              <w:top w:val="single" w:sz="8" w:space="0" w:color="000000"/>
            </w:tcBorders>
          </w:tcPr>
          <w:p>
            <w:pPr>
              <w:pStyle w:val="TableParagraph"/>
              <w:spacing w:line="206" w:lineRule="exact"/>
              <w:ind w:left="41" w:right="8"/>
              <w:jc w:val="center"/>
              <w:rPr>
                <w:sz w:val="18"/>
              </w:rPr>
            </w:pPr>
            <w:r>
              <w:rPr>
                <w:spacing w:val="-10"/>
                <w:sz w:val="18"/>
              </w:rPr>
              <w:t>1</w:t>
            </w:r>
          </w:p>
        </w:tc>
      </w:tr>
      <w:tr>
        <w:trPr>
          <w:trHeight w:val="297" w:hRule="atLeast"/>
        </w:trPr>
        <w:tc>
          <w:tcPr>
            <w:tcW w:w="2796" w:type="dxa"/>
          </w:tcPr>
          <w:p>
            <w:pPr>
              <w:pStyle w:val="TableParagraph"/>
              <w:spacing w:before="65"/>
              <w:ind w:left="50"/>
              <w:rPr>
                <w:sz w:val="18"/>
              </w:rPr>
            </w:pPr>
            <w:r>
              <w:rPr>
                <w:sz w:val="18"/>
              </w:rPr>
              <w:t>PERSONAL</w:t>
            </w:r>
            <w:r>
              <w:rPr>
                <w:spacing w:val="-4"/>
                <w:sz w:val="18"/>
              </w:rPr>
              <w:t> </w:t>
            </w:r>
            <w:r>
              <w:rPr>
                <w:spacing w:val="-2"/>
                <w:sz w:val="18"/>
              </w:rPr>
              <w:t>DIRECTIVO</w:t>
            </w:r>
          </w:p>
        </w:tc>
        <w:tc>
          <w:tcPr>
            <w:tcW w:w="1178" w:type="dxa"/>
          </w:tcPr>
          <w:p>
            <w:pPr>
              <w:pStyle w:val="TableParagraph"/>
              <w:spacing w:before="19"/>
              <w:ind w:left="15"/>
              <w:jc w:val="center"/>
              <w:rPr>
                <w:sz w:val="18"/>
              </w:rPr>
            </w:pPr>
            <w:r>
              <w:rPr>
                <w:spacing w:val="-5"/>
                <w:sz w:val="18"/>
              </w:rPr>
              <w:t>12</w:t>
            </w:r>
          </w:p>
        </w:tc>
        <w:tc>
          <w:tcPr>
            <w:tcW w:w="1115" w:type="dxa"/>
          </w:tcPr>
          <w:p>
            <w:pPr>
              <w:pStyle w:val="TableParagraph"/>
              <w:rPr>
                <w:rFonts w:ascii="Times New Roman"/>
                <w:sz w:val="16"/>
              </w:rPr>
            </w:pPr>
          </w:p>
        </w:tc>
        <w:tc>
          <w:tcPr>
            <w:tcW w:w="1164" w:type="dxa"/>
          </w:tcPr>
          <w:p>
            <w:pPr>
              <w:pStyle w:val="TableParagraph"/>
              <w:spacing w:before="19"/>
              <w:ind w:left="3" w:right="3"/>
              <w:jc w:val="center"/>
              <w:rPr>
                <w:sz w:val="18"/>
              </w:rPr>
            </w:pPr>
            <w:r>
              <w:rPr>
                <w:spacing w:val="-10"/>
                <w:sz w:val="18"/>
              </w:rPr>
              <w:t>8</w:t>
            </w:r>
          </w:p>
        </w:tc>
        <w:tc>
          <w:tcPr>
            <w:tcW w:w="1071" w:type="dxa"/>
          </w:tcPr>
          <w:p>
            <w:pPr>
              <w:pStyle w:val="TableParagraph"/>
              <w:rPr>
                <w:rFonts w:ascii="Times New Roman"/>
                <w:sz w:val="16"/>
              </w:rPr>
            </w:pPr>
          </w:p>
        </w:tc>
        <w:tc>
          <w:tcPr>
            <w:tcW w:w="1300" w:type="dxa"/>
          </w:tcPr>
          <w:p>
            <w:pPr>
              <w:pStyle w:val="TableParagraph"/>
              <w:spacing w:before="19"/>
              <w:ind w:left="41" w:right="2"/>
              <w:jc w:val="center"/>
              <w:rPr>
                <w:sz w:val="18"/>
              </w:rPr>
            </w:pPr>
            <w:r>
              <w:rPr>
                <w:spacing w:val="-5"/>
                <w:sz w:val="18"/>
              </w:rPr>
              <w:t>20</w:t>
            </w:r>
          </w:p>
        </w:tc>
      </w:tr>
      <w:tr>
        <w:trPr>
          <w:trHeight w:val="295" w:hRule="atLeast"/>
        </w:trPr>
        <w:tc>
          <w:tcPr>
            <w:tcW w:w="2796" w:type="dxa"/>
          </w:tcPr>
          <w:p>
            <w:pPr>
              <w:pStyle w:val="TableParagraph"/>
              <w:spacing w:before="62"/>
              <w:ind w:left="50"/>
              <w:rPr>
                <w:sz w:val="18"/>
              </w:rPr>
            </w:pPr>
            <w:r>
              <w:rPr>
                <w:sz w:val="18"/>
              </w:rPr>
              <w:t>PERSONAL</w:t>
            </w:r>
            <w:r>
              <w:rPr>
                <w:spacing w:val="-4"/>
                <w:sz w:val="18"/>
              </w:rPr>
              <w:t> </w:t>
            </w:r>
            <w:r>
              <w:rPr>
                <w:spacing w:val="-2"/>
                <w:sz w:val="18"/>
              </w:rPr>
              <w:t>TÉCNICO</w:t>
            </w:r>
          </w:p>
        </w:tc>
        <w:tc>
          <w:tcPr>
            <w:tcW w:w="1178" w:type="dxa"/>
          </w:tcPr>
          <w:p>
            <w:pPr>
              <w:pStyle w:val="TableParagraph"/>
              <w:spacing w:before="19"/>
              <w:ind w:left="15"/>
              <w:jc w:val="center"/>
              <w:rPr>
                <w:sz w:val="18"/>
              </w:rPr>
            </w:pPr>
            <w:r>
              <w:rPr>
                <w:spacing w:val="-5"/>
                <w:sz w:val="18"/>
              </w:rPr>
              <w:t>12</w:t>
            </w:r>
          </w:p>
        </w:tc>
        <w:tc>
          <w:tcPr>
            <w:tcW w:w="1115" w:type="dxa"/>
          </w:tcPr>
          <w:p>
            <w:pPr>
              <w:pStyle w:val="TableParagraph"/>
              <w:rPr>
                <w:rFonts w:ascii="Times New Roman"/>
                <w:sz w:val="16"/>
              </w:rPr>
            </w:pPr>
          </w:p>
        </w:tc>
        <w:tc>
          <w:tcPr>
            <w:tcW w:w="1164" w:type="dxa"/>
          </w:tcPr>
          <w:p>
            <w:pPr>
              <w:pStyle w:val="TableParagraph"/>
              <w:spacing w:before="19"/>
              <w:ind w:left="3" w:right="3"/>
              <w:jc w:val="center"/>
              <w:rPr>
                <w:sz w:val="18"/>
              </w:rPr>
            </w:pPr>
            <w:r>
              <w:rPr>
                <w:spacing w:val="-10"/>
                <w:sz w:val="18"/>
              </w:rPr>
              <w:t>5</w:t>
            </w:r>
          </w:p>
        </w:tc>
        <w:tc>
          <w:tcPr>
            <w:tcW w:w="1071" w:type="dxa"/>
          </w:tcPr>
          <w:p>
            <w:pPr>
              <w:pStyle w:val="TableParagraph"/>
              <w:rPr>
                <w:rFonts w:ascii="Times New Roman"/>
                <w:sz w:val="16"/>
              </w:rPr>
            </w:pPr>
          </w:p>
        </w:tc>
        <w:tc>
          <w:tcPr>
            <w:tcW w:w="1300" w:type="dxa"/>
          </w:tcPr>
          <w:p>
            <w:pPr>
              <w:pStyle w:val="TableParagraph"/>
              <w:spacing w:before="19"/>
              <w:ind w:left="41" w:right="2"/>
              <w:jc w:val="center"/>
              <w:rPr>
                <w:sz w:val="18"/>
              </w:rPr>
            </w:pPr>
            <w:r>
              <w:rPr>
                <w:spacing w:val="-5"/>
                <w:sz w:val="18"/>
              </w:rPr>
              <w:t>17</w:t>
            </w:r>
          </w:p>
        </w:tc>
      </w:tr>
      <w:tr>
        <w:trPr>
          <w:trHeight w:val="297" w:hRule="atLeast"/>
        </w:trPr>
        <w:tc>
          <w:tcPr>
            <w:tcW w:w="2796" w:type="dxa"/>
          </w:tcPr>
          <w:p>
            <w:pPr>
              <w:pStyle w:val="TableParagraph"/>
              <w:spacing w:before="65"/>
              <w:ind w:left="50"/>
              <w:rPr>
                <w:sz w:val="18"/>
              </w:rPr>
            </w:pPr>
            <w:r>
              <w:rPr>
                <w:sz w:val="18"/>
              </w:rPr>
              <w:t>MANDO</w:t>
            </w:r>
            <w:r>
              <w:rPr>
                <w:spacing w:val="-7"/>
                <w:sz w:val="18"/>
              </w:rPr>
              <w:t> </w:t>
            </w:r>
            <w:r>
              <w:rPr>
                <w:spacing w:val="-2"/>
                <w:sz w:val="18"/>
              </w:rPr>
              <w:t>ADMINISTRACIÓN</w:t>
            </w:r>
          </w:p>
        </w:tc>
        <w:tc>
          <w:tcPr>
            <w:tcW w:w="1178" w:type="dxa"/>
          </w:tcPr>
          <w:p>
            <w:pPr>
              <w:pStyle w:val="TableParagraph"/>
              <w:spacing w:before="19"/>
              <w:ind w:left="15" w:right="5"/>
              <w:jc w:val="center"/>
              <w:rPr>
                <w:sz w:val="18"/>
              </w:rPr>
            </w:pPr>
            <w:r>
              <w:rPr>
                <w:spacing w:val="-10"/>
                <w:sz w:val="18"/>
              </w:rPr>
              <w:t>5</w:t>
            </w:r>
          </w:p>
        </w:tc>
        <w:tc>
          <w:tcPr>
            <w:tcW w:w="1115" w:type="dxa"/>
          </w:tcPr>
          <w:p>
            <w:pPr>
              <w:pStyle w:val="TableParagraph"/>
              <w:rPr>
                <w:rFonts w:ascii="Times New Roman"/>
                <w:sz w:val="16"/>
              </w:rPr>
            </w:pPr>
          </w:p>
        </w:tc>
        <w:tc>
          <w:tcPr>
            <w:tcW w:w="1164" w:type="dxa"/>
          </w:tcPr>
          <w:p>
            <w:pPr>
              <w:pStyle w:val="TableParagraph"/>
              <w:spacing w:before="19"/>
              <w:ind w:left="3" w:right="4"/>
              <w:jc w:val="center"/>
              <w:rPr>
                <w:sz w:val="18"/>
              </w:rPr>
            </w:pPr>
            <w:r>
              <w:rPr>
                <w:spacing w:val="-10"/>
                <w:sz w:val="18"/>
              </w:rPr>
              <w:t>7</w:t>
            </w:r>
          </w:p>
        </w:tc>
        <w:tc>
          <w:tcPr>
            <w:tcW w:w="1071" w:type="dxa"/>
          </w:tcPr>
          <w:p>
            <w:pPr>
              <w:pStyle w:val="TableParagraph"/>
              <w:rPr>
                <w:rFonts w:ascii="Times New Roman"/>
                <w:sz w:val="16"/>
              </w:rPr>
            </w:pPr>
          </w:p>
        </w:tc>
        <w:tc>
          <w:tcPr>
            <w:tcW w:w="1300" w:type="dxa"/>
          </w:tcPr>
          <w:p>
            <w:pPr>
              <w:pStyle w:val="TableParagraph"/>
              <w:spacing w:before="19"/>
              <w:ind w:left="41" w:right="3"/>
              <w:jc w:val="center"/>
              <w:rPr>
                <w:sz w:val="18"/>
              </w:rPr>
            </w:pPr>
            <w:r>
              <w:rPr>
                <w:spacing w:val="-5"/>
                <w:sz w:val="18"/>
              </w:rPr>
              <w:t>12</w:t>
            </w:r>
          </w:p>
        </w:tc>
      </w:tr>
      <w:tr>
        <w:trPr>
          <w:trHeight w:val="297" w:hRule="atLeast"/>
        </w:trPr>
        <w:tc>
          <w:tcPr>
            <w:tcW w:w="2796" w:type="dxa"/>
          </w:tcPr>
          <w:p>
            <w:pPr>
              <w:pStyle w:val="TableParagraph"/>
              <w:spacing w:before="65"/>
              <w:ind w:left="50"/>
              <w:rPr>
                <w:sz w:val="18"/>
              </w:rPr>
            </w:pPr>
            <w:r>
              <w:rPr>
                <w:sz w:val="18"/>
              </w:rPr>
              <w:t>MANDO</w:t>
            </w:r>
            <w:r>
              <w:rPr>
                <w:spacing w:val="-5"/>
                <w:sz w:val="18"/>
              </w:rPr>
              <w:t> </w:t>
            </w:r>
            <w:r>
              <w:rPr>
                <w:spacing w:val="-2"/>
                <w:sz w:val="18"/>
              </w:rPr>
              <w:t>MOVIMIENTO</w:t>
            </w:r>
          </w:p>
        </w:tc>
        <w:tc>
          <w:tcPr>
            <w:tcW w:w="1178" w:type="dxa"/>
          </w:tcPr>
          <w:p>
            <w:pPr>
              <w:pStyle w:val="TableParagraph"/>
              <w:spacing w:before="19"/>
              <w:ind w:left="15"/>
              <w:jc w:val="center"/>
              <w:rPr>
                <w:sz w:val="18"/>
              </w:rPr>
            </w:pPr>
            <w:r>
              <w:rPr>
                <w:spacing w:val="-5"/>
                <w:sz w:val="18"/>
              </w:rPr>
              <w:t>22</w:t>
            </w: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19"/>
              <w:ind w:left="41" w:right="4"/>
              <w:jc w:val="center"/>
              <w:rPr>
                <w:sz w:val="18"/>
              </w:rPr>
            </w:pPr>
            <w:r>
              <w:rPr>
                <w:spacing w:val="-5"/>
                <w:sz w:val="18"/>
              </w:rPr>
              <w:t>22</w:t>
            </w:r>
          </w:p>
        </w:tc>
      </w:tr>
      <w:tr>
        <w:trPr>
          <w:trHeight w:val="297" w:hRule="atLeast"/>
        </w:trPr>
        <w:tc>
          <w:tcPr>
            <w:tcW w:w="2796" w:type="dxa"/>
          </w:tcPr>
          <w:p>
            <w:pPr>
              <w:pStyle w:val="TableParagraph"/>
              <w:spacing w:before="65"/>
              <w:ind w:left="50"/>
              <w:rPr>
                <w:sz w:val="18"/>
              </w:rPr>
            </w:pPr>
            <w:r>
              <w:rPr>
                <w:sz w:val="18"/>
              </w:rPr>
              <w:t>MANDO</w:t>
            </w:r>
            <w:r>
              <w:rPr>
                <w:spacing w:val="-7"/>
                <w:sz w:val="18"/>
              </w:rPr>
              <w:t> </w:t>
            </w:r>
            <w:r>
              <w:rPr>
                <w:spacing w:val="-2"/>
                <w:sz w:val="18"/>
              </w:rPr>
              <w:t>TALLER</w:t>
            </w:r>
          </w:p>
        </w:tc>
        <w:tc>
          <w:tcPr>
            <w:tcW w:w="1178" w:type="dxa"/>
          </w:tcPr>
          <w:p>
            <w:pPr>
              <w:pStyle w:val="TableParagraph"/>
              <w:spacing w:before="19"/>
              <w:ind w:left="15" w:right="5"/>
              <w:jc w:val="center"/>
              <w:rPr>
                <w:sz w:val="18"/>
              </w:rPr>
            </w:pPr>
            <w:r>
              <w:rPr>
                <w:spacing w:val="-10"/>
                <w:sz w:val="18"/>
              </w:rPr>
              <w:t>5</w:t>
            </w: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19"/>
              <w:ind w:left="41" w:right="8"/>
              <w:jc w:val="center"/>
              <w:rPr>
                <w:sz w:val="18"/>
              </w:rPr>
            </w:pPr>
            <w:r>
              <w:rPr>
                <w:spacing w:val="-10"/>
                <w:sz w:val="18"/>
              </w:rPr>
              <w:t>5</w:t>
            </w:r>
          </w:p>
        </w:tc>
      </w:tr>
      <w:tr>
        <w:trPr>
          <w:trHeight w:val="295" w:hRule="atLeast"/>
        </w:trPr>
        <w:tc>
          <w:tcPr>
            <w:tcW w:w="2796" w:type="dxa"/>
          </w:tcPr>
          <w:p>
            <w:pPr>
              <w:pStyle w:val="TableParagraph"/>
              <w:spacing w:before="62"/>
              <w:ind w:left="50"/>
              <w:rPr>
                <w:sz w:val="18"/>
              </w:rPr>
            </w:pPr>
            <w:r>
              <w:rPr>
                <w:sz w:val="18"/>
              </w:rPr>
              <w:t>CONDUCTOR/A</w:t>
            </w:r>
            <w:r>
              <w:rPr>
                <w:spacing w:val="-6"/>
                <w:sz w:val="18"/>
              </w:rPr>
              <w:t> </w:t>
            </w:r>
            <w:r>
              <w:rPr>
                <w:spacing w:val="-2"/>
                <w:sz w:val="18"/>
              </w:rPr>
              <w:t>PERCEPTOR/A</w:t>
            </w:r>
          </w:p>
        </w:tc>
        <w:tc>
          <w:tcPr>
            <w:tcW w:w="1178" w:type="dxa"/>
          </w:tcPr>
          <w:p>
            <w:pPr>
              <w:pStyle w:val="TableParagraph"/>
              <w:spacing w:before="19"/>
              <w:ind w:left="15" w:right="1"/>
              <w:jc w:val="center"/>
              <w:rPr>
                <w:sz w:val="18"/>
              </w:rPr>
            </w:pPr>
            <w:r>
              <w:rPr>
                <w:spacing w:val="-5"/>
                <w:sz w:val="18"/>
              </w:rPr>
              <w:t>436</w:t>
            </w:r>
          </w:p>
        </w:tc>
        <w:tc>
          <w:tcPr>
            <w:tcW w:w="1115" w:type="dxa"/>
          </w:tcPr>
          <w:p>
            <w:pPr>
              <w:pStyle w:val="TableParagraph"/>
              <w:spacing w:before="19"/>
              <w:ind w:left="2" w:right="2"/>
              <w:jc w:val="center"/>
              <w:rPr>
                <w:sz w:val="18"/>
              </w:rPr>
            </w:pPr>
            <w:r>
              <w:rPr>
                <w:spacing w:val="-5"/>
                <w:sz w:val="18"/>
              </w:rPr>
              <w:t>205</w:t>
            </w:r>
          </w:p>
        </w:tc>
        <w:tc>
          <w:tcPr>
            <w:tcW w:w="1164" w:type="dxa"/>
          </w:tcPr>
          <w:p>
            <w:pPr>
              <w:pStyle w:val="TableParagraph"/>
              <w:spacing w:before="19"/>
              <w:ind w:left="3" w:right="1"/>
              <w:jc w:val="center"/>
              <w:rPr>
                <w:sz w:val="18"/>
              </w:rPr>
            </w:pPr>
            <w:r>
              <w:rPr>
                <w:spacing w:val="-5"/>
                <w:sz w:val="18"/>
              </w:rPr>
              <w:t>21</w:t>
            </w:r>
          </w:p>
        </w:tc>
        <w:tc>
          <w:tcPr>
            <w:tcW w:w="1071" w:type="dxa"/>
          </w:tcPr>
          <w:p>
            <w:pPr>
              <w:pStyle w:val="TableParagraph"/>
              <w:spacing w:before="19"/>
              <w:ind w:left="48"/>
              <w:jc w:val="center"/>
              <w:rPr>
                <w:sz w:val="18"/>
              </w:rPr>
            </w:pPr>
            <w:r>
              <w:rPr>
                <w:spacing w:val="-5"/>
                <w:sz w:val="18"/>
              </w:rPr>
              <w:t>43</w:t>
            </w:r>
          </w:p>
        </w:tc>
        <w:tc>
          <w:tcPr>
            <w:tcW w:w="1300" w:type="dxa"/>
          </w:tcPr>
          <w:p>
            <w:pPr>
              <w:pStyle w:val="TableParagraph"/>
              <w:spacing w:before="19"/>
              <w:ind w:left="41" w:right="2"/>
              <w:jc w:val="center"/>
              <w:rPr>
                <w:sz w:val="18"/>
              </w:rPr>
            </w:pPr>
            <w:r>
              <w:rPr>
                <w:spacing w:val="-5"/>
                <w:sz w:val="18"/>
              </w:rPr>
              <w:t>705</w:t>
            </w:r>
          </w:p>
        </w:tc>
      </w:tr>
      <w:tr>
        <w:trPr>
          <w:trHeight w:val="297" w:hRule="atLeast"/>
        </w:trPr>
        <w:tc>
          <w:tcPr>
            <w:tcW w:w="2796" w:type="dxa"/>
          </w:tcPr>
          <w:p>
            <w:pPr>
              <w:pStyle w:val="TableParagraph"/>
              <w:spacing w:before="65"/>
              <w:ind w:left="50"/>
              <w:rPr>
                <w:sz w:val="18"/>
              </w:rPr>
            </w:pPr>
            <w:r>
              <w:rPr>
                <w:sz w:val="18"/>
              </w:rPr>
              <w:t>OFICIAL</w:t>
            </w:r>
            <w:r>
              <w:rPr>
                <w:spacing w:val="-3"/>
                <w:sz w:val="18"/>
              </w:rPr>
              <w:t> </w:t>
            </w:r>
            <w:r>
              <w:rPr>
                <w:spacing w:val="-2"/>
                <w:sz w:val="18"/>
              </w:rPr>
              <w:t>ADMINISTRACIÓN</w:t>
            </w:r>
          </w:p>
        </w:tc>
        <w:tc>
          <w:tcPr>
            <w:tcW w:w="1178" w:type="dxa"/>
          </w:tcPr>
          <w:p>
            <w:pPr>
              <w:pStyle w:val="TableParagraph"/>
              <w:spacing w:before="19"/>
              <w:ind w:left="15" w:right="4"/>
              <w:jc w:val="center"/>
              <w:rPr>
                <w:sz w:val="18"/>
              </w:rPr>
            </w:pPr>
            <w:r>
              <w:rPr>
                <w:spacing w:val="-10"/>
                <w:sz w:val="18"/>
              </w:rPr>
              <w:t>5</w:t>
            </w:r>
          </w:p>
        </w:tc>
        <w:tc>
          <w:tcPr>
            <w:tcW w:w="1115" w:type="dxa"/>
          </w:tcPr>
          <w:p>
            <w:pPr>
              <w:pStyle w:val="TableParagraph"/>
              <w:rPr>
                <w:rFonts w:ascii="Times New Roman"/>
                <w:sz w:val="16"/>
              </w:rPr>
            </w:pPr>
          </w:p>
        </w:tc>
        <w:tc>
          <w:tcPr>
            <w:tcW w:w="1164" w:type="dxa"/>
          </w:tcPr>
          <w:p>
            <w:pPr>
              <w:pStyle w:val="TableParagraph"/>
              <w:spacing w:before="19"/>
              <w:ind w:left="3" w:right="2"/>
              <w:jc w:val="center"/>
              <w:rPr>
                <w:sz w:val="18"/>
              </w:rPr>
            </w:pPr>
            <w:r>
              <w:rPr>
                <w:spacing w:val="-5"/>
                <w:sz w:val="18"/>
              </w:rPr>
              <w:t>13</w:t>
            </w:r>
          </w:p>
        </w:tc>
        <w:tc>
          <w:tcPr>
            <w:tcW w:w="1071" w:type="dxa"/>
          </w:tcPr>
          <w:p>
            <w:pPr>
              <w:pStyle w:val="TableParagraph"/>
              <w:rPr>
                <w:rFonts w:ascii="Times New Roman"/>
                <w:sz w:val="16"/>
              </w:rPr>
            </w:pPr>
          </w:p>
        </w:tc>
        <w:tc>
          <w:tcPr>
            <w:tcW w:w="1300" w:type="dxa"/>
          </w:tcPr>
          <w:p>
            <w:pPr>
              <w:pStyle w:val="TableParagraph"/>
              <w:spacing w:before="19"/>
              <w:ind w:left="41" w:right="3"/>
              <w:jc w:val="center"/>
              <w:rPr>
                <w:sz w:val="18"/>
              </w:rPr>
            </w:pPr>
            <w:r>
              <w:rPr>
                <w:spacing w:val="-5"/>
                <w:sz w:val="18"/>
              </w:rPr>
              <w:t>18</w:t>
            </w:r>
          </w:p>
        </w:tc>
      </w:tr>
      <w:tr>
        <w:trPr>
          <w:trHeight w:val="332" w:hRule="atLeast"/>
        </w:trPr>
        <w:tc>
          <w:tcPr>
            <w:tcW w:w="2796" w:type="dxa"/>
          </w:tcPr>
          <w:p>
            <w:pPr>
              <w:pStyle w:val="TableParagraph"/>
              <w:spacing w:before="72"/>
              <w:ind w:left="50"/>
              <w:rPr>
                <w:sz w:val="18"/>
              </w:rPr>
            </w:pPr>
            <w:r>
              <w:rPr>
                <w:sz w:val="18"/>
              </w:rPr>
              <w:t>OFICIAL</w:t>
            </w:r>
            <w:r>
              <w:rPr>
                <w:spacing w:val="-3"/>
                <w:sz w:val="18"/>
              </w:rPr>
              <w:t> </w:t>
            </w:r>
            <w:r>
              <w:rPr>
                <w:spacing w:val="-2"/>
                <w:sz w:val="18"/>
              </w:rPr>
              <w:t>TALLER</w:t>
            </w:r>
          </w:p>
        </w:tc>
        <w:tc>
          <w:tcPr>
            <w:tcW w:w="1178" w:type="dxa"/>
            <w:tcBorders>
              <w:bottom w:val="single" w:sz="8" w:space="0" w:color="000000"/>
            </w:tcBorders>
          </w:tcPr>
          <w:p>
            <w:pPr>
              <w:pStyle w:val="TableParagraph"/>
              <w:spacing w:before="19"/>
              <w:ind w:left="15"/>
              <w:jc w:val="center"/>
              <w:rPr>
                <w:sz w:val="18"/>
              </w:rPr>
            </w:pPr>
            <w:r>
              <w:rPr>
                <w:spacing w:val="-5"/>
                <w:sz w:val="18"/>
              </w:rPr>
              <w:t>40</w:t>
            </w:r>
          </w:p>
        </w:tc>
        <w:tc>
          <w:tcPr>
            <w:tcW w:w="1115" w:type="dxa"/>
            <w:tcBorders>
              <w:bottom w:val="single" w:sz="8" w:space="0" w:color="000000"/>
            </w:tcBorders>
          </w:tcPr>
          <w:p>
            <w:pPr>
              <w:pStyle w:val="TableParagraph"/>
              <w:rPr>
                <w:rFonts w:ascii="Times New Roman"/>
                <w:sz w:val="16"/>
              </w:rPr>
            </w:pPr>
          </w:p>
        </w:tc>
        <w:tc>
          <w:tcPr>
            <w:tcW w:w="1164" w:type="dxa"/>
            <w:tcBorders>
              <w:bottom w:val="single" w:sz="8" w:space="0" w:color="000000"/>
            </w:tcBorders>
          </w:tcPr>
          <w:p>
            <w:pPr>
              <w:pStyle w:val="TableParagraph"/>
              <w:rPr>
                <w:rFonts w:ascii="Times New Roman"/>
                <w:sz w:val="16"/>
              </w:rPr>
            </w:pPr>
          </w:p>
        </w:tc>
        <w:tc>
          <w:tcPr>
            <w:tcW w:w="1071" w:type="dxa"/>
            <w:tcBorders>
              <w:bottom w:val="single" w:sz="8" w:space="0" w:color="000000"/>
            </w:tcBorders>
          </w:tcPr>
          <w:p>
            <w:pPr>
              <w:pStyle w:val="TableParagraph"/>
              <w:rPr>
                <w:rFonts w:ascii="Times New Roman"/>
                <w:sz w:val="16"/>
              </w:rPr>
            </w:pPr>
          </w:p>
        </w:tc>
        <w:tc>
          <w:tcPr>
            <w:tcW w:w="1300" w:type="dxa"/>
            <w:tcBorders>
              <w:bottom w:val="single" w:sz="8" w:space="0" w:color="000000"/>
            </w:tcBorders>
          </w:tcPr>
          <w:p>
            <w:pPr>
              <w:pStyle w:val="TableParagraph"/>
              <w:spacing w:before="19"/>
              <w:ind w:left="41" w:right="4"/>
              <w:jc w:val="center"/>
              <w:rPr>
                <w:sz w:val="18"/>
              </w:rPr>
            </w:pPr>
            <w:r>
              <w:rPr>
                <w:spacing w:val="-5"/>
                <w:sz w:val="18"/>
              </w:rPr>
              <w:t>40</w:t>
            </w:r>
          </w:p>
        </w:tc>
      </w:tr>
      <w:tr>
        <w:trPr>
          <w:trHeight w:val="311" w:hRule="atLeast"/>
        </w:trPr>
        <w:tc>
          <w:tcPr>
            <w:tcW w:w="2796" w:type="dxa"/>
          </w:tcPr>
          <w:p>
            <w:pPr>
              <w:pStyle w:val="TableParagraph"/>
              <w:spacing w:before="46"/>
              <w:ind w:left="50"/>
              <w:rPr>
                <w:b/>
                <w:sz w:val="18"/>
              </w:rPr>
            </w:pPr>
            <w:r>
              <w:rPr>
                <w:b/>
                <w:sz w:val="18"/>
              </w:rPr>
              <w:t>Total</w:t>
            </w:r>
            <w:r>
              <w:rPr>
                <w:b/>
                <w:spacing w:val="-3"/>
                <w:sz w:val="18"/>
              </w:rPr>
              <w:t> </w:t>
            </w:r>
            <w:r>
              <w:rPr>
                <w:b/>
                <w:sz w:val="18"/>
              </w:rPr>
              <w:t>empleados</w:t>
            </w:r>
            <w:r>
              <w:rPr>
                <w:b/>
                <w:spacing w:val="-4"/>
                <w:sz w:val="18"/>
              </w:rPr>
              <w:t> 31/12</w:t>
            </w:r>
          </w:p>
        </w:tc>
        <w:tc>
          <w:tcPr>
            <w:tcW w:w="1178" w:type="dxa"/>
            <w:tcBorders>
              <w:top w:val="single" w:sz="8" w:space="0" w:color="000000"/>
              <w:bottom w:val="single" w:sz="8" w:space="0" w:color="000000"/>
            </w:tcBorders>
          </w:tcPr>
          <w:p>
            <w:pPr>
              <w:pStyle w:val="TableParagraph"/>
              <w:spacing w:line="201" w:lineRule="exact"/>
              <w:ind w:left="15" w:right="1"/>
              <w:jc w:val="center"/>
              <w:rPr>
                <w:b/>
                <w:sz w:val="18"/>
              </w:rPr>
            </w:pPr>
            <w:r>
              <w:rPr>
                <w:b/>
                <w:spacing w:val="-5"/>
                <w:sz w:val="18"/>
              </w:rPr>
              <w:t>537</w:t>
            </w:r>
          </w:p>
        </w:tc>
        <w:tc>
          <w:tcPr>
            <w:tcW w:w="1115" w:type="dxa"/>
            <w:tcBorders>
              <w:top w:val="single" w:sz="8" w:space="0" w:color="000000"/>
              <w:bottom w:val="single" w:sz="8" w:space="0" w:color="000000"/>
            </w:tcBorders>
          </w:tcPr>
          <w:p>
            <w:pPr>
              <w:pStyle w:val="TableParagraph"/>
              <w:spacing w:line="201" w:lineRule="exact"/>
              <w:ind w:left="2" w:right="2"/>
              <w:jc w:val="center"/>
              <w:rPr>
                <w:b/>
                <w:sz w:val="18"/>
              </w:rPr>
            </w:pPr>
            <w:r>
              <w:rPr>
                <w:b/>
                <w:spacing w:val="-5"/>
                <w:sz w:val="18"/>
              </w:rPr>
              <w:t>206</w:t>
            </w:r>
          </w:p>
        </w:tc>
        <w:tc>
          <w:tcPr>
            <w:tcW w:w="1164" w:type="dxa"/>
            <w:tcBorders>
              <w:top w:val="single" w:sz="8" w:space="0" w:color="000000"/>
              <w:bottom w:val="single" w:sz="8" w:space="0" w:color="000000"/>
            </w:tcBorders>
          </w:tcPr>
          <w:p>
            <w:pPr>
              <w:pStyle w:val="TableParagraph"/>
              <w:spacing w:line="201" w:lineRule="exact"/>
              <w:ind w:left="4" w:right="1"/>
              <w:jc w:val="center"/>
              <w:rPr>
                <w:b/>
                <w:sz w:val="18"/>
              </w:rPr>
            </w:pPr>
            <w:r>
              <w:rPr>
                <w:b/>
                <w:spacing w:val="-5"/>
                <w:sz w:val="18"/>
              </w:rPr>
              <w:t>54</w:t>
            </w:r>
          </w:p>
        </w:tc>
        <w:tc>
          <w:tcPr>
            <w:tcW w:w="1071" w:type="dxa"/>
            <w:tcBorders>
              <w:top w:val="single" w:sz="8" w:space="0" w:color="000000"/>
              <w:bottom w:val="single" w:sz="8" w:space="0" w:color="000000"/>
            </w:tcBorders>
          </w:tcPr>
          <w:p>
            <w:pPr>
              <w:pStyle w:val="TableParagraph"/>
              <w:spacing w:line="201" w:lineRule="exact"/>
              <w:ind w:left="48"/>
              <w:jc w:val="center"/>
              <w:rPr>
                <w:b/>
                <w:sz w:val="18"/>
              </w:rPr>
            </w:pPr>
            <w:r>
              <w:rPr>
                <w:b/>
                <w:spacing w:val="-5"/>
                <w:sz w:val="18"/>
              </w:rPr>
              <w:t>43</w:t>
            </w:r>
          </w:p>
        </w:tc>
        <w:tc>
          <w:tcPr>
            <w:tcW w:w="1300" w:type="dxa"/>
            <w:tcBorders>
              <w:top w:val="single" w:sz="8" w:space="0" w:color="000000"/>
              <w:bottom w:val="single" w:sz="8" w:space="0" w:color="000000"/>
            </w:tcBorders>
          </w:tcPr>
          <w:p>
            <w:pPr>
              <w:pStyle w:val="TableParagraph"/>
              <w:spacing w:line="201" w:lineRule="exact"/>
              <w:ind w:left="41" w:right="3"/>
              <w:jc w:val="center"/>
              <w:rPr>
                <w:b/>
                <w:sz w:val="18"/>
              </w:rPr>
            </w:pPr>
            <w:r>
              <w:rPr>
                <w:b/>
                <w:spacing w:val="-5"/>
                <w:sz w:val="18"/>
              </w:rPr>
              <w:t>840</w:t>
            </w:r>
          </w:p>
        </w:tc>
      </w:tr>
    </w:tbl>
    <w:p>
      <w:pPr>
        <w:pStyle w:val="BodyText"/>
        <w:rPr>
          <w:b/>
          <w:sz w:val="18"/>
        </w:rPr>
      </w:pPr>
    </w:p>
    <w:p>
      <w:pPr>
        <w:pStyle w:val="BodyText"/>
        <w:spacing w:before="39"/>
        <w:rPr>
          <w:b/>
          <w:sz w:val="18"/>
        </w:rPr>
      </w:pPr>
    </w:p>
    <w:p>
      <w:pPr>
        <w:pStyle w:val="ListParagraph"/>
        <w:numPr>
          <w:ilvl w:val="1"/>
          <w:numId w:val="23"/>
        </w:numPr>
        <w:tabs>
          <w:tab w:pos="2549" w:val="left" w:leader="none"/>
        </w:tabs>
        <w:spacing w:line="240" w:lineRule="auto" w:before="0" w:after="0"/>
        <w:ind w:left="2049" w:right="1338" w:firstLine="0"/>
        <w:jc w:val="both"/>
        <w:rPr>
          <w:sz w:val="20"/>
        </w:rPr>
      </w:pPr>
      <w:r>
        <w:rPr>
          <w:sz w:val="20"/>
        </w:rPr>
        <w:t>El número medio de personas empleadas por la Sociedad con discapacidad igual superior al 33 por ciento durante el ejercicio 2024, distribuido por categorías profesionales, sexo y tipo de contrato, ha sido el siguiente:</w:t>
      </w:r>
    </w:p>
    <w:p>
      <w:pPr>
        <w:tabs>
          <w:tab w:pos="7175" w:val="left" w:leader="none"/>
        </w:tabs>
        <w:spacing w:before="39" w:after="56"/>
        <w:ind w:left="4843" w:right="0" w:firstLine="0"/>
        <w:jc w:val="both"/>
        <w:rPr>
          <w:b/>
          <w:sz w:val="18"/>
        </w:rPr>
      </w:pPr>
      <w:r>
        <w:rPr>
          <w:b/>
          <w:spacing w:val="-2"/>
          <w:sz w:val="18"/>
        </w:rPr>
        <w:t>Hombres</w:t>
      </w:r>
      <w:r>
        <w:rPr>
          <w:b/>
          <w:sz w:val="18"/>
        </w:rPr>
        <w:tab/>
      </w:r>
      <w:r>
        <w:rPr>
          <w:b/>
          <w:spacing w:val="-2"/>
          <w:sz w:val="18"/>
        </w:rPr>
        <w:t>Mujeres</w:t>
      </w: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6"/>
        <w:gridCol w:w="1178"/>
        <w:gridCol w:w="1115"/>
        <w:gridCol w:w="1164"/>
        <w:gridCol w:w="1071"/>
        <w:gridCol w:w="1300"/>
      </w:tblGrid>
      <w:tr>
        <w:trPr>
          <w:trHeight w:val="292" w:hRule="atLeast"/>
        </w:trPr>
        <w:tc>
          <w:tcPr>
            <w:tcW w:w="2796" w:type="dxa"/>
          </w:tcPr>
          <w:p>
            <w:pPr>
              <w:pStyle w:val="TableParagraph"/>
              <w:rPr>
                <w:rFonts w:ascii="Times New Roman"/>
                <w:sz w:val="16"/>
              </w:rPr>
            </w:pPr>
          </w:p>
        </w:tc>
        <w:tc>
          <w:tcPr>
            <w:tcW w:w="1178" w:type="dxa"/>
            <w:tcBorders>
              <w:top w:val="single" w:sz="8" w:space="0" w:color="000000"/>
              <w:bottom w:val="single" w:sz="8" w:space="0" w:color="000000"/>
            </w:tcBorders>
          </w:tcPr>
          <w:p>
            <w:pPr>
              <w:pStyle w:val="TableParagraph"/>
              <w:spacing w:before="37"/>
              <w:ind w:left="15" w:right="2"/>
              <w:jc w:val="center"/>
              <w:rPr>
                <w:b/>
                <w:sz w:val="18"/>
              </w:rPr>
            </w:pPr>
            <w:r>
              <w:rPr>
                <w:b/>
                <w:spacing w:val="-2"/>
                <w:sz w:val="18"/>
              </w:rPr>
              <w:t>Indefinido</w:t>
            </w:r>
          </w:p>
        </w:tc>
        <w:tc>
          <w:tcPr>
            <w:tcW w:w="1115" w:type="dxa"/>
            <w:tcBorders>
              <w:top w:val="single" w:sz="8" w:space="0" w:color="000000"/>
              <w:bottom w:val="single" w:sz="8" w:space="0" w:color="000000"/>
            </w:tcBorders>
          </w:tcPr>
          <w:p>
            <w:pPr>
              <w:pStyle w:val="TableParagraph"/>
              <w:spacing w:before="37"/>
              <w:ind w:left="2" w:right="2"/>
              <w:jc w:val="center"/>
              <w:rPr>
                <w:b/>
                <w:sz w:val="18"/>
              </w:rPr>
            </w:pPr>
            <w:r>
              <w:rPr>
                <w:b/>
                <w:spacing w:val="-2"/>
                <w:sz w:val="18"/>
              </w:rPr>
              <w:t>Temporal</w:t>
            </w:r>
          </w:p>
        </w:tc>
        <w:tc>
          <w:tcPr>
            <w:tcW w:w="1164" w:type="dxa"/>
            <w:tcBorders>
              <w:top w:val="single" w:sz="8" w:space="0" w:color="000000"/>
              <w:bottom w:val="single" w:sz="8" w:space="0" w:color="000000"/>
            </w:tcBorders>
          </w:tcPr>
          <w:p>
            <w:pPr>
              <w:pStyle w:val="TableParagraph"/>
              <w:spacing w:before="37"/>
              <w:ind w:left="151"/>
              <w:rPr>
                <w:b/>
                <w:sz w:val="18"/>
              </w:rPr>
            </w:pPr>
            <w:r>
              <w:rPr>
                <w:b/>
                <w:spacing w:val="-2"/>
                <w:sz w:val="18"/>
              </w:rPr>
              <w:t>Indefinido</w:t>
            </w:r>
          </w:p>
        </w:tc>
        <w:tc>
          <w:tcPr>
            <w:tcW w:w="1071" w:type="dxa"/>
            <w:tcBorders>
              <w:top w:val="single" w:sz="8" w:space="0" w:color="000000"/>
              <w:bottom w:val="single" w:sz="8" w:space="0" w:color="000000"/>
            </w:tcBorders>
          </w:tcPr>
          <w:p>
            <w:pPr>
              <w:pStyle w:val="TableParagraph"/>
              <w:spacing w:before="37"/>
              <w:ind w:left="151"/>
              <w:rPr>
                <w:b/>
                <w:sz w:val="18"/>
              </w:rPr>
            </w:pPr>
            <w:r>
              <w:rPr>
                <w:b/>
                <w:spacing w:val="-2"/>
                <w:sz w:val="18"/>
              </w:rPr>
              <w:t>Temporal</w:t>
            </w:r>
          </w:p>
        </w:tc>
        <w:tc>
          <w:tcPr>
            <w:tcW w:w="1300" w:type="dxa"/>
            <w:tcBorders>
              <w:top w:val="single" w:sz="8" w:space="0" w:color="000000"/>
              <w:bottom w:val="single" w:sz="8" w:space="0" w:color="000000"/>
            </w:tcBorders>
          </w:tcPr>
          <w:p>
            <w:pPr>
              <w:pStyle w:val="TableParagraph"/>
              <w:spacing w:before="37"/>
              <w:ind w:left="41" w:right="4"/>
              <w:jc w:val="center"/>
              <w:rPr>
                <w:b/>
                <w:sz w:val="18"/>
              </w:rPr>
            </w:pPr>
            <w:r>
              <w:rPr>
                <w:b/>
                <w:sz w:val="18"/>
              </w:rPr>
              <w:t>Total</w:t>
            </w:r>
            <w:r>
              <w:rPr>
                <w:b/>
                <w:spacing w:val="-2"/>
                <w:sz w:val="18"/>
              </w:rPr>
              <w:t> general</w:t>
            </w:r>
          </w:p>
        </w:tc>
      </w:tr>
      <w:tr>
        <w:trPr>
          <w:trHeight w:val="279" w:hRule="atLeast"/>
        </w:trPr>
        <w:tc>
          <w:tcPr>
            <w:tcW w:w="2796" w:type="dxa"/>
          </w:tcPr>
          <w:p>
            <w:pPr>
              <w:pStyle w:val="TableParagraph"/>
              <w:spacing w:before="34"/>
              <w:ind w:left="50"/>
              <w:rPr>
                <w:sz w:val="18"/>
              </w:rPr>
            </w:pPr>
            <w:r>
              <w:rPr>
                <w:sz w:val="18"/>
              </w:rPr>
              <w:t>ALTA</w:t>
            </w:r>
            <w:r>
              <w:rPr>
                <w:spacing w:val="-5"/>
                <w:sz w:val="18"/>
              </w:rPr>
              <w:t> </w:t>
            </w:r>
            <w:r>
              <w:rPr>
                <w:spacing w:val="-2"/>
                <w:sz w:val="18"/>
              </w:rPr>
              <w:t>DIRECCIÓN</w:t>
            </w:r>
          </w:p>
        </w:tc>
        <w:tc>
          <w:tcPr>
            <w:tcW w:w="1178" w:type="dxa"/>
            <w:tcBorders>
              <w:top w:val="single" w:sz="8" w:space="0" w:color="000000"/>
            </w:tcBorders>
          </w:tcPr>
          <w:p>
            <w:pPr>
              <w:pStyle w:val="TableParagraph"/>
              <w:rPr>
                <w:rFonts w:ascii="Times New Roman"/>
                <w:sz w:val="16"/>
              </w:rPr>
            </w:pPr>
          </w:p>
        </w:tc>
        <w:tc>
          <w:tcPr>
            <w:tcW w:w="1115" w:type="dxa"/>
            <w:tcBorders>
              <w:top w:val="single" w:sz="8" w:space="0" w:color="000000"/>
            </w:tcBorders>
          </w:tcPr>
          <w:p>
            <w:pPr>
              <w:pStyle w:val="TableParagraph"/>
              <w:rPr>
                <w:rFonts w:ascii="Times New Roman"/>
                <w:sz w:val="16"/>
              </w:rPr>
            </w:pPr>
          </w:p>
        </w:tc>
        <w:tc>
          <w:tcPr>
            <w:tcW w:w="1164" w:type="dxa"/>
            <w:tcBorders>
              <w:top w:val="single" w:sz="8" w:space="0" w:color="000000"/>
            </w:tcBorders>
          </w:tcPr>
          <w:p>
            <w:pPr>
              <w:pStyle w:val="TableParagraph"/>
              <w:rPr>
                <w:rFonts w:ascii="Times New Roman"/>
                <w:sz w:val="16"/>
              </w:rPr>
            </w:pPr>
          </w:p>
        </w:tc>
        <w:tc>
          <w:tcPr>
            <w:tcW w:w="1071" w:type="dxa"/>
            <w:tcBorders>
              <w:top w:val="single" w:sz="8" w:space="0" w:color="000000"/>
            </w:tcBorders>
          </w:tcPr>
          <w:p>
            <w:pPr>
              <w:pStyle w:val="TableParagraph"/>
              <w:rPr>
                <w:rFonts w:ascii="Times New Roman"/>
                <w:sz w:val="16"/>
              </w:rPr>
            </w:pPr>
          </w:p>
        </w:tc>
        <w:tc>
          <w:tcPr>
            <w:tcW w:w="1300" w:type="dxa"/>
            <w:tcBorders>
              <w:top w:val="single" w:sz="8" w:space="0" w:color="000000"/>
            </w:tcBorders>
          </w:tcPr>
          <w:p>
            <w:pPr>
              <w:pStyle w:val="TableParagraph"/>
              <w:rPr>
                <w:rFonts w:ascii="Times New Roman"/>
                <w:sz w:val="16"/>
              </w:rPr>
            </w:pPr>
          </w:p>
        </w:tc>
      </w:tr>
      <w:tr>
        <w:trPr>
          <w:trHeight w:val="277" w:hRule="atLeast"/>
        </w:trPr>
        <w:tc>
          <w:tcPr>
            <w:tcW w:w="2796" w:type="dxa"/>
          </w:tcPr>
          <w:p>
            <w:pPr>
              <w:pStyle w:val="TableParagraph"/>
              <w:spacing w:before="31"/>
              <w:ind w:left="50"/>
              <w:rPr>
                <w:sz w:val="18"/>
              </w:rPr>
            </w:pPr>
            <w:r>
              <w:rPr>
                <w:sz w:val="18"/>
              </w:rPr>
              <w:t>PERSONAL</w:t>
            </w:r>
            <w:r>
              <w:rPr>
                <w:spacing w:val="-4"/>
                <w:sz w:val="18"/>
              </w:rPr>
              <w:t> </w:t>
            </w:r>
            <w:r>
              <w:rPr>
                <w:spacing w:val="-2"/>
                <w:sz w:val="18"/>
              </w:rPr>
              <w:t>DIRECTIVO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7" w:hRule="atLeast"/>
        </w:trPr>
        <w:tc>
          <w:tcPr>
            <w:tcW w:w="2796" w:type="dxa"/>
          </w:tcPr>
          <w:p>
            <w:pPr>
              <w:pStyle w:val="TableParagraph"/>
              <w:spacing w:before="32"/>
              <w:ind w:left="50"/>
              <w:rPr>
                <w:sz w:val="18"/>
              </w:rPr>
            </w:pPr>
            <w:r>
              <w:rPr>
                <w:sz w:val="18"/>
              </w:rPr>
              <w:t>PERSONAL</w:t>
            </w:r>
            <w:r>
              <w:rPr>
                <w:spacing w:val="-4"/>
                <w:sz w:val="18"/>
              </w:rPr>
              <w:t> </w:t>
            </w:r>
            <w:r>
              <w:rPr>
                <w:spacing w:val="-2"/>
                <w:sz w:val="18"/>
              </w:rPr>
              <w:t>TÉCNICO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6" w:hRule="atLeast"/>
        </w:trPr>
        <w:tc>
          <w:tcPr>
            <w:tcW w:w="2796" w:type="dxa"/>
          </w:tcPr>
          <w:p>
            <w:pPr>
              <w:pStyle w:val="TableParagraph"/>
              <w:spacing w:before="31"/>
              <w:ind w:left="50"/>
              <w:rPr>
                <w:sz w:val="18"/>
              </w:rPr>
            </w:pPr>
            <w:r>
              <w:rPr>
                <w:sz w:val="18"/>
              </w:rPr>
              <w:t>MANDO</w:t>
            </w:r>
            <w:r>
              <w:rPr>
                <w:spacing w:val="-7"/>
                <w:sz w:val="18"/>
              </w:rPr>
              <w:t> </w:t>
            </w:r>
            <w:r>
              <w:rPr>
                <w:spacing w:val="-2"/>
                <w:sz w:val="18"/>
              </w:rPr>
              <w:t>ADMINISTRACIÓN</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7" w:hRule="atLeast"/>
        </w:trPr>
        <w:tc>
          <w:tcPr>
            <w:tcW w:w="2796" w:type="dxa"/>
          </w:tcPr>
          <w:p>
            <w:pPr>
              <w:pStyle w:val="TableParagraph"/>
              <w:spacing w:before="31"/>
              <w:ind w:left="50"/>
              <w:rPr>
                <w:sz w:val="18"/>
              </w:rPr>
            </w:pPr>
            <w:r>
              <w:rPr>
                <w:sz w:val="18"/>
              </w:rPr>
              <w:t>MANDO</w:t>
            </w:r>
            <w:r>
              <w:rPr>
                <w:spacing w:val="-5"/>
                <w:sz w:val="18"/>
              </w:rPr>
              <w:t> </w:t>
            </w:r>
            <w:r>
              <w:rPr>
                <w:spacing w:val="-2"/>
                <w:sz w:val="18"/>
              </w:rPr>
              <w:t>MOVIMIENTO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536" w:hRule="atLeast"/>
        </w:trPr>
        <w:tc>
          <w:tcPr>
            <w:tcW w:w="2796" w:type="dxa"/>
          </w:tcPr>
          <w:p>
            <w:pPr>
              <w:pStyle w:val="TableParagraph"/>
              <w:spacing w:before="32"/>
              <w:ind w:left="50"/>
              <w:rPr>
                <w:sz w:val="18"/>
              </w:rPr>
            </w:pPr>
            <w:r>
              <w:rPr>
                <w:sz w:val="18"/>
              </w:rPr>
              <w:t>MANDO</w:t>
            </w:r>
            <w:r>
              <w:rPr>
                <w:spacing w:val="-7"/>
                <w:sz w:val="18"/>
              </w:rPr>
              <w:t> </w:t>
            </w:r>
            <w:r>
              <w:rPr>
                <w:spacing w:val="-2"/>
                <w:sz w:val="18"/>
              </w:rPr>
              <w:t>TALLER</w:t>
            </w:r>
          </w:p>
          <w:p>
            <w:pPr>
              <w:pStyle w:val="TableParagraph"/>
              <w:spacing w:before="69"/>
              <w:ind w:left="50"/>
              <w:rPr>
                <w:sz w:val="18"/>
              </w:rPr>
            </w:pPr>
            <w:r>
              <w:rPr>
                <w:sz w:val="18"/>
              </w:rPr>
              <w:t>CONDUCTOR/A</w:t>
            </w:r>
            <w:r>
              <w:rPr>
                <w:spacing w:val="-6"/>
                <w:sz w:val="18"/>
              </w:rPr>
              <w:t> </w:t>
            </w:r>
            <w:r>
              <w:rPr>
                <w:spacing w:val="-2"/>
                <w:sz w:val="18"/>
              </w:rPr>
              <w:t>PERCEPTOR/A</w:t>
            </w:r>
          </w:p>
        </w:tc>
        <w:tc>
          <w:tcPr>
            <w:tcW w:w="1178" w:type="dxa"/>
          </w:tcPr>
          <w:p>
            <w:pPr>
              <w:pStyle w:val="TableParagraph"/>
              <w:spacing w:before="68"/>
              <w:rPr>
                <w:b/>
                <w:sz w:val="18"/>
              </w:rPr>
            </w:pPr>
          </w:p>
          <w:p>
            <w:pPr>
              <w:pStyle w:val="TableParagraph"/>
              <w:ind w:left="15" w:right="1"/>
              <w:jc w:val="center"/>
              <w:rPr>
                <w:sz w:val="18"/>
              </w:rPr>
            </w:pPr>
            <w:r>
              <w:rPr>
                <w:spacing w:val="-4"/>
                <w:sz w:val="18"/>
              </w:rPr>
              <w:t>0,99</w:t>
            </w:r>
          </w:p>
        </w:tc>
        <w:tc>
          <w:tcPr>
            <w:tcW w:w="1115" w:type="dxa"/>
          </w:tcPr>
          <w:p>
            <w:pPr>
              <w:pStyle w:val="TableParagraph"/>
              <w:spacing w:before="68"/>
              <w:rPr>
                <w:b/>
                <w:sz w:val="18"/>
              </w:rPr>
            </w:pPr>
          </w:p>
          <w:p>
            <w:pPr>
              <w:pStyle w:val="TableParagraph"/>
              <w:ind w:left="3" w:right="2"/>
              <w:jc w:val="center"/>
              <w:rPr>
                <w:sz w:val="18"/>
              </w:rPr>
            </w:pPr>
            <w:r>
              <w:rPr>
                <w:spacing w:val="-4"/>
                <w:sz w:val="18"/>
              </w:rPr>
              <w:t>0,25</w:t>
            </w: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68"/>
              <w:rPr>
                <w:b/>
                <w:sz w:val="18"/>
              </w:rPr>
            </w:pPr>
          </w:p>
          <w:p>
            <w:pPr>
              <w:pStyle w:val="TableParagraph"/>
              <w:ind w:left="41" w:right="4"/>
              <w:jc w:val="center"/>
              <w:rPr>
                <w:sz w:val="18"/>
              </w:rPr>
            </w:pPr>
            <w:r>
              <w:rPr>
                <w:spacing w:val="-4"/>
                <w:sz w:val="18"/>
              </w:rPr>
              <w:t>1,24</w:t>
            </w:r>
          </w:p>
        </w:tc>
      </w:tr>
      <w:tr>
        <w:trPr>
          <w:trHeight w:val="278" w:hRule="atLeast"/>
        </w:trPr>
        <w:tc>
          <w:tcPr>
            <w:tcW w:w="2796" w:type="dxa"/>
          </w:tcPr>
          <w:p>
            <w:pPr>
              <w:pStyle w:val="TableParagraph"/>
              <w:spacing w:before="50"/>
              <w:ind w:left="50"/>
              <w:rPr>
                <w:sz w:val="18"/>
              </w:rPr>
            </w:pPr>
            <w:r>
              <w:rPr>
                <w:sz w:val="18"/>
              </w:rPr>
              <w:t>OFICIAL</w:t>
            </w:r>
            <w:r>
              <w:rPr>
                <w:spacing w:val="-3"/>
                <w:sz w:val="18"/>
              </w:rPr>
              <w:t> </w:t>
            </w:r>
            <w:r>
              <w:rPr>
                <w:spacing w:val="-2"/>
                <w:sz w:val="18"/>
              </w:rPr>
              <w:t>ADMINISTRACIÓN</w:t>
            </w:r>
          </w:p>
        </w:tc>
        <w:tc>
          <w:tcPr>
            <w:tcW w:w="1178" w:type="dxa"/>
          </w:tcPr>
          <w:p>
            <w:pPr>
              <w:pStyle w:val="TableParagraph"/>
              <w:spacing w:before="14"/>
              <w:ind w:left="15" w:right="1"/>
              <w:jc w:val="center"/>
              <w:rPr>
                <w:sz w:val="18"/>
              </w:rPr>
            </w:pPr>
            <w:r>
              <w:rPr>
                <w:spacing w:val="-4"/>
                <w:sz w:val="18"/>
              </w:rPr>
              <w:t>1,00</w:t>
            </w: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14"/>
              <w:ind w:left="41" w:right="5"/>
              <w:jc w:val="center"/>
              <w:rPr>
                <w:sz w:val="18"/>
              </w:rPr>
            </w:pPr>
            <w:r>
              <w:rPr>
                <w:spacing w:val="-4"/>
                <w:sz w:val="18"/>
              </w:rPr>
              <w:t>1,00</w:t>
            </w:r>
          </w:p>
        </w:tc>
      </w:tr>
      <w:tr>
        <w:trPr>
          <w:trHeight w:val="305" w:hRule="atLeast"/>
        </w:trPr>
        <w:tc>
          <w:tcPr>
            <w:tcW w:w="2796" w:type="dxa"/>
          </w:tcPr>
          <w:p>
            <w:pPr>
              <w:pStyle w:val="TableParagraph"/>
              <w:spacing w:before="55"/>
              <w:ind w:left="50"/>
              <w:rPr>
                <w:sz w:val="18"/>
              </w:rPr>
            </w:pPr>
            <w:r>
              <w:rPr>
                <w:sz w:val="18"/>
              </w:rPr>
              <w:t>OFICIAL</w:t>
            </w:r>
            <w:r>
              <w:rPr>
                <w:spacing w:val="-3"/>
                <w:sz w:val="18"/>
              </w:rPr>
              <w:t> </w:t>
            </w:r>
            <w:r>
              <w:rPr>
                <w:spacing w:val="-2"/>
                <w:sz w:val="18"/>
              </w:rPr>
              <w:t>TALLER</w:t>
            </w:r>
          </w:p>
        </w:tc>
        <w:tc>
          <w:tcPr>
            <w:tcW w:w="1178" w:type="dxa"/>
            <w:tcBorders>
              <w:bottom w:val="single" w:sz="8" w:space="0" w:color="000000"/>
            </w:tcBorders>
          </w:tcPr>
          <w:p>
            <w:pPr>
              <w:pStyle w:val="TableParagraph"/>
              <w:spacing w:before="14"/>
              <w:ind w:left="15" w:right="2"/>
              <w:jc w:val="center"/>
              <w:rPr>
                <w:sz w:val="18"/>
              </w:rPr>
            </w:pPr>
            <w:r>
              <w:rPr>
                <w:spacing w:val="-4"/>
                <w:sz w:val="18"/>
              </w:rPr>
              <w:t>2,31</w:t>
            </w:r>
          </w:p>
        </w:tc>
        <w:tc>
          <w:tcPr>
            <w:tcW w:w="1115" w:type="dxa"/>
            <w:tcBorders>
              <w:bottom w:val="single" w:sz="8" w:space="0" w:color="000000"/>
            </w:tcBorders>
          </w:tcPr>
          <w:p>
            <w:pPr>
              <w:pStyle w:val="TableParagraph"/>
              <w:rPr>
                <w:rFonts w:ascii="Times New Roman"/>
                <w:sz w:val="16"/>
              </w:rPr>
            </w:pPr>
          </w:p>
        </w:tc>
        <w:tc>
          <w:tcPr>
            <w:tcW w:w="1164" w:type="dxa"/>
            <w:tcBorders>
              <w:bottom w:val="single" w:sz="8" w:space="0" w:color="000000"/>
            </w:tcBorders>
          </w:tcPr>
          <w:p>
            <w:pPr>
              <w:pStyle w:val="TableParagraph"/>
              <w:rPr>
                <w:rFonts w:ascii="Times New Roman"/>
                <w:sz w:val="16"/>
              </w:rPr>
            </w:pPr>
          </w:p>
        </w:tc>
        <w:tc>
          <w:tcPr>
            <w:tcW w:w="1071" w:type="dxa"/>
            <w:tcBorders>
              <w:bottom w:val="single" w:sz="8" w:space="0" w:color="000000"/>
            </w:tcBorders>
          </w:tcPr>
          <w:p>
            <w:pPr>
              <w:pStyle w:val="TableParagraph"/>
              <w:rPr>
                <w:rFonts w:ascii="Times New Roman"/>
                <w:sz w:val="16"/>
              </w:rPr>
            </w:pPr>
          </w:p>
        </w:tc>
        <w:tc>
          <w:tcPr>
            <w:tcW w:w="1300" w:type="dxa"/>
            <w:tcBorders>
              <w:bottom w:val="single" w:sz="8" w:space="0" w:color="000000"/>
            </w:tcBorders>
          </w:tcPr>
          <w:p>
            <w:pPr>
              <w:pStyle w:val="TableParagraph"/>
              <w:spacing w:before="14"/>
              <w:ind w:left="41" w:right="5"/>
              <w:jc w:val="center"/>
              <w:rPr>
                <w:sz w:val="18"/>
              </w:rPr>
            </w:pPr>
            <w:r>
              <w:rPr>
                <w:spacing w:val="-4"/>
                <w:sz w:val="18"/>
              </w:rPr>
              <w:t>2,31</w:t>
            </w:r>
          </w:p>
        </w:tc>
      </w:tr>
      <w:tr>
        <w:trPr>
          <w:trHeight w:val="292" w:hRule="atLeast"/>
        </w:trPr>
        <w:tc>
          <w:tcPr>
            <w:tcW w:w="2796" w:type="dxa"/>
          </w:tcPr>
          <w:p>
            <w:pPr>
              <w:pStyle w:val="TableParagraph"/>
              <w:spacing w:before="37"/>
              <w:ind w:left="50"/>
              <w:rPr>
                <w:b/>
                <w:sz w:val="18"/>
              </w:rPr>
            </w:pPr>
            <w:r>
              <w:rPr>
                <w:b/>
                <w:sz w:val="18"/>
              </w:rPr>
              <w:t>Totales</w:t>
            </w:r>
            <w:r>
              <w:rPr>
                <w:b/>
                <w:spacing w:val="-7"/>
                <w:sz w:val="18"/>
              </w:rPr>
              <w:t> </w:t>
            </w:r>
            <w:r>
              <w:rPr>
                <w:b/>
                <w:sz w:val="18"/>
              </w:rPr>
              <w:t>empleo</w:t>
            </w:r>
            <w:r>
              <w:rPr>
                <w:b/>
                <w:spacing w:val="-1"/>
                <w:sz w:val="18"/>
              </w:rPr>
              <w:t> </w:t>
            </w:r>
            <w:r>
              <w:rPr>
                <w:b/>
                <w:spacing w:val="-4"/>
                <w:sz w:val="18"/>
              </w:rPr>
              <w:t>medio</w:t>
            </w:r>
          </w:p>
        </w:tc>
        <w:tc>
          <w:tcPr>
            <w:tcW w:w="1178" w:type="dxa"/>
            <w:tcBorders>
              <w:top w:val="single" w:sz="8" w:space="0" w:color="000000"/>
              <w:bottom w:val="single" w:sz="8" w:space="0" w:color="000000"/>
            </w:tcBorders>
          </w:tcPr>
          <w:p>
            <w:pPr>
              <w:pStyle w:val="TableParagraph"/>
              <w:spacing w:line="201" w:lineRule="exact"/>
              <w:ind w:left="15" w:right="1"/>
              <w:jc w:val="center"/>
              <w:rPr>
                <w:b/>
                <w:sz w:val="18"/>
              </w:rPr>
            </w:pPr>
            <w:r>
              <w:rPr>
                <w:b/>
                <w:spacing w:val="-4"/>
                <w:sz w:val="18"/>
              </w:rPr>
              <w:t>4,30</w:t>
            </w:r>
          </w:p>
        </w:tc>
        <w:tc>
          <w:tcPr>
            <w:tcW w:w="1115" w:type="dxa"/>
            <w:tcBorders>
              <w:top w:val="single" w:sz="8" w:space="0" w:color="000000"/>
              <w:bottom w:val="single" w:sz="8" w:space="0" w:color="000000"/>
            </w:tcBorders>
          </w:tcPr>
          <w:p>
            <w:pPr>
              <w:pStyle w:val="TableParagraph"/>
              <w:spacing w:line="201" w:lineRule="exact"/>
              <w:ind w:left="3" w:right="2"/>
              <w:jc w:val="center"/>
              <w:rPr>
                <w:b/>
                <w:sz w:val="18"/>
              </w:rPr>
            </w:pPr>
            <w:r>
              <w:rPr>
                <w:b/>
                <w:spacing w:val="-4"/>
                <w:sz w:val="18"/>
              </w:rPr>
              <w:t>0,25</w:t>
            </w:r>
          </w:p>
        </w:tc>
        <w:tc>
          <w:tcPr>
            <w:tcW w:w="1164" w:type="dxa"/>
            <w:tcBorders>
              <w:top w:val="single" w:sz="8" w:space="0" w:color="000000"/>
              <w:bottom w:val="single" w:sz="8" w:space="0" w:color="000000"/>
            </w:tcBorders>
          </w:tcPr>
          <w:p>
            <w:pPr>
              <w:pStyle w:val="TableParagraph"/>
              <w:rPr>
                <w:rFonts w:ascii="Times New Roman"/>
                <w:sz w:val="16"/>
              </w:rPr>
            </w:pPr>
          </w:p>
        </w:tc>
        <w:tc>
          <w:tcPr>
            <w:tcW w:w="1071" w:type="dxa"/>
            <w:tcBorders>
              <w:top w:val="single" w:sz="8" w:space="0" w:color="000000"/>
              <w:bottom w:val="single" w:sz="8" w:space="0" w:color="000000"/>
            </w:tcBorders>
          </w:tcPr>
          <w:p>
            <w:pPr>
              <w:pStyle w:val="TableParagraph"/>
              <w:rPr>
                <w:rFonts w:ascii="Times New Roman"/>
                <w:sz w:val="16"/>
              </w:rPr>
            </w:pPr>
          </w:p>
        </w:tc>
        <w:tc>
          <w:tcPr>
            <w:tcW w:w="1300" w:type="dxa"/>
            <w:tcBorders>
              <w:top w:val="single" w:sz="8" w:space="0" w:color="000000"/>
              <w:bottom w:val="single" w:sz="8" w:space="0" w:color="000000"/>
            </w:tcBorders>
          </w:tcPr>
          <w:p>
            <w:pPr>
              <w:pStyle w:val="TableParagraph"/>
              <w:spacing w:line="201" w:lineRule="exact"/>
              <w:ind w:left="41" w:right="4"/>
              <w:jc w:val="center"/>
              <w:rPr>
                <w:b/>
                <w:sz w:val="18"/>
              </w:rPr>
            </w:pPr>
            <w:r>
              <w:rPr>
                <w:b/>
                <w:spacing w:val="-4"/>
                <w:sz w:val="18"/>
              </w:rPr>
              <w:t>4,55</w:t>
            </w:r>
          </w:p>
        </w:tc>
      </w:tr>
    </w:tbl>
    <w:p>
      <w:pPr>
        <w:pStyle w:val="BodyText"/>
        <w:spacing w:before="12"/>
        <w:rPr>
          <w:b/>
          <w:sz w:val="18"/>
        </w:rPr>
      </w:pPr>
    </w:p>
    <w:p>
      <w:pPr>
        <w:pStyle w:val="BodyText"/>
        <w:ind w:left="2016" w:right="1312"/>
        <w:jc w:val="both"/>
      </w:pPr>
      <w:r>
        <w:rPr/>
        <mc:AlternateContent>
          <mc:Choice Requires="wps">
            <w:drawing>
              <wp:anchor distT="0" distB="0" distL="0" distR="0" allowOverlap="1" layoutInCell="1" locked="0" behindDoc="0" simplePos="0" relativeHeight="15773184">
                <wp:simplePos x="0" y="0"/>
                <wp:positionH relativeFrom="page">
                  <wp:posOffset>6966436</wp:posOffset>
                </wp:positionH>
                <wp:positionV relativeFrom="paragraph">
                  <wp:posOffset>-654637</wp:posOffset>
                </wp:positionV>
                <wp:extent cx="263525" cy="327596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65</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546261pt;width:20.75pt;height:257.95pt;mso-position-horizontal-relative:page;mso-position-vertical-relative:paragraph;z-index:15773184" type="#_x0000_t202" id="docshape13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65</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t>El número medio de personas empleadas por la Sociedad con discapacidad igual superior al 33 por ciento durante el ejercicio 2025, distribuido por categorías profesionales, sexo y tipo de contrato, ha sido el siguiente:</w:t>
      </w:r>
    </w:p>
    <w:p>
      <w:pPr>
        <w:tabs>
          <w:tab w:pos="7175" w:val="left" w:leader="none"/>
        </w:tabs>
        <w:spacing w:before="39" w:after="56"/>
        <w:ind w:left="4843" w:right="0" w:firstLine="0"/>
        <w:jc w:val="both"/>
        <w:rPr>
          <w:b/>
          <w:sz w:val="18"/>
        </w:rPr>
      </w:pPr>
      <w:r>
        <w:rPr>
          <w:b/>
          <w:spacing w:val="-2"/>
          <w:sz w:val="18"/>
        </w:rPr>
        <w:t>Hombres</w:t>
      </w:r>
      <w:r>
        <w:rPr>
          <w:b/>
          <w:sz w:val="18"/>
        </w:rPr>
        <w:tab/>
      </w:r>
      <w:r>
        <w:rPr>
          <w:b/>
          <w:spacing w:val="-2"/>
          <w:sz w:val="18"/>
        </w:rPr>
        <w:t>Mujeres</w:t>
      </w: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6"/>
        <w:gridCol w:w="1178"/>
        <w:gridCol w:w="1115"/>
        <w:gridCol w:w="1164"/>
        <w:gridCol w:w="1071"/>
        <w:gridCol w:w="1300"/>
      </w:tblGrid>
      <w:tr>
        <w:trPr>
          <w:trHeight w:val="291" w:hRule="atLeast"/>
        </w:trPr>
        <w:tc>
          <w:tcPr>
            <w:tcW w:w="2796" w:type="dxa"/>
          </w:tcPr>
          <w:p>
            <w:pPr>
              <w:pStyle w:val="TableParagraph"/>
              <w:rPr>
                <w:rFonts w:ascii="Times New Roman"/>
                <w:sz w:val="16"/>
              </w:rPr>
            </w:pPr>
          </w:p>
        </w:tc>
        <w:tc>
          <w:tcPr>
            <w:tcW w:w="1178" w:type="dxa"/>
            <w:tcBorders>
              <w:top w:val="single" w:sz="8" w:space="0" w:color="000000"/>
              <w:bottom w:val="single" w:sz="8" w:space="0" w:color="000000"/>
            </w:tcBorders>
          </w:tcPr>
          <w:p>
            <w:pPr>
              <w:pStyle w:val="TableParagraph"/>
              <w:spacing w:before="37"/>
              <w:ind w:left="15" w:right="2"/>
              <w:jc w:val="center"/>
              <w:rPr>
                <w:b/>
                <w:sz w:val="18"/>
              </w:rPr>
            </w:pPr>
            <w:r>
              <w:rPr>
                <w:b/>
                <w:spacing w:val="-2"/>
                <w:sz w:val="18"/>
              </w:rPr>
              <w:t>Indefinido</w:t>
            </w:r>
          </w:p>
        </w:tc>
        <w:tc>
          <w:tcPr>
            <w:tcW w:w="1115" w:type="dxa"/>
            <w:tcBorders>
              <w:top w:val="single" w:sz="8" w:space="0" w:color="000000"/>
              <w:bottom w:val="single" w:sz="8" w:space="0" w:color="000000"/>
            </w:tcBorders>
          </w:tcPr>
          <w:p>
            <w:pPr>
              <w:pStyle w:val="TableParagraph"/>
              <w:spacing w:before="37"/>
              <w:ind w:left="150"/>
              <w:rPr>
                <w:b/>
                <w:sz w:val="18"/>
              </w:rPr>
            </w:pPr>
            <w:r>
              <w:rPr>
                <w:b/>
                <w:spacing w:val="-2"/>
                <w:sz w:val="18"/>
              </w:rPr>
              <w:t>Temporal</w:t>
            </w:r>
          </w:p>
        </w:tc>
        <w:tc>
          <w:tcPr>
            <w:tcW w:w="1164" w:type="dxa"/>
            <w:tcBorders>
              <w:top w:val="single" w:sz="8" w:space="0" w:color="000000"/>
              <w:bottom w:val="single" w:sz="8" w:space="0" w:color="000000"/>
            </w:tcBorders>
          </w:tcPr>
          <w:p>
            <w:pPr>
              <w:pStyle w:val="TableParagraph"/>
              <w:spacing w:before="37"/>
              <w:ind w:left="151"/>
              <w:rPr>
                <w:b/>
                <w:sz w:val="18"/>
              </w:rPr>
            </w:pPr>
            <w:r>
              <w:rPr>
                <w:b/>
                <w:spacing w:val="-2"/>
                <w:sz w:val="18"/>
              </w:rPr>
              <w:t>Indefinido</w:t>
            </w:r>
          </w:p>
        </w:tc>
        <w:tc>
          <w:tcPr>
            <w:tcW w:w="1071" w:type="dxa"/>
            <w:tcBorders>
              <w:top w:val="single" w:sz="8" w:space="0" w:color="000000"/>
              <w:bottom w:val="single" w:sz="8" w:space="0" w:color="000000"/>
            </w:tcBorders>
          </w:tcPr>
          <w:p>
            <w:pPr>
              <w:pStyle w:val="TableParagraph"/>
              <w:spacing w:before="37"/>
              <w:ind w:left="151"/>
              <w:rPr>
                <w:b/>
                <w:sz w:val="18"/>
              </w:rPr>
            </w:pPr>
            <w:r>
              <w:rPr>
                <w:b/>
                <w:spacing w:val="-2"/>
                <w:sz w:val="18"/>
              </w:rPr>
              <w:t>Temporal</w:t>
            </w:r>
          </w:p>
        </w:tc>
        <w:tc>
          <w:tcPr>
            <w:tcW w:w="1300" w:type="dxa"/>
            <w:tcBorders>
              <w:top w:val="single" w:sz="8" w:space="0" w:color="000000"/>
              <w:bottom w:val="single" w:sz="8" w:space="0" w:color="000000"/>
            </w:tcBorders>
          </w:tcPr>
          <w:p>
            <w:pPr>
              <w:pStyle w:val="TableParagraph"/>
              <w:spacing w:before="37"/>
              <w:ind w:left="41" w:right="4"/>
              <w:jc w:val="center"/>
              <w:rPr>
                <w:b/>
                <w:sz w:val="18"/>
              </w:rPr>
            </w:pPr>
            <w:r>
              <w:rPr>
                <w:b/>
                <w:sz w:val="18"/>
              </w:rPr>
              <w:t>Total</w:t>
            </w:r>
            <w:r>
              <w:rPr>
                <w:b/>
                <w:spacing w:val="-2"/>
                <w:sz w:val="18"/>
              </w:rPr>
              <w:t> general</w:t>
            </w:r>
          </w:p>
        </w:tc>
      </w:tr>
      <w:tr>
        <w:trPr>
          <w:trHeight w:val="279" w:hRule="atLeast"/>
        </w:trPr>
        <w:tc>
          <w:tcPr>
            <w:tcW w:w="2796" w:type="dxa"/>
          </w:tcPr>
          <w:p>
            <w:pPr>
              <w:pStyle w:val="TableParagraph"/>
              <w:spacing w:before="34"/>
              <w:ind w:left="50"/>
              <w:rPr>
                <w:sz w:val="18"/>
              </w:rPr>
            </w:pPr>
            <w:r>
              <w:rPr>
                <w:sz w:val="18"/>
              </w:rPr>
              <w:t>ALTA</w:t>
            </w:r>
            <w:r>
              <w:rPr>
                <w:spacing w:val="-5"/>
                <w:sz w:val="18"/>
              </w:rPr>
              <w:t> </w:t>
            </w:r>
            <w:r>
              <w:rPr>
                <w:spacing w:val="-2"/>
                <w:sz w:val="18"/>
              </w:rPr>
              <w:t>DIRECCIÓN</w:t>
            </w:r>
          </w:p>
        </w:tc>
        <w:tc>
          <w:tcPr>
            <w:tcW w:w="1178" w:type="dxa"/>
            <w:tcBorders>
              <w:top w:val="single" w:sz="8" w:space="0" w:color="000000"/>
            </w:tcBorders>
          </w:tcPr>
          <w:p>
            <w:pPr>
              <w:pStyle w:val="TableParagraph"/>
              <w:rPr>
                <w:rFonts w:ascii="Times New Roman"/>
                <w:sz w:val="16"/>
              </w:rPr>
            </w:pPr>
          </w:p>
        </w:tc>
        <w:tc>
          <w:tcPr>
            <w:tcW w:w="1115" w:type="dxa"/>
            <w:tcBorders>
              <w:top w:val="single" w:sz="8" w:space="0" w:color="000000"/>
            </w:tcBorders>
          </w:tcPr>
          <w:p>
            <w:pPr>
              <w:pStyle w:val="TableParagraph"/>
              <w:rPr>
                <w:rFonts w:ascii="Times New Roman"/>
                <w:sz w:val="16"/>
              </w:rPr>
            </w:pPr>
          </w:p>
        </w:tc>
        <w:tc>
          <w:tcPr>
            <w:tcW w:w="1164" w:type="dxa"/>
            <w:tcBorders>
              <w:top w:val="single" w:sz="8" w:space="0" w:color="000000"/>
            </w:tcBorders>
          </w:tcPr>
          <w:p>
            <w:pPr>
              <w:pStyle w:val="TableParagraph"/>
              <w:rPr>
                <w:rFonts w:ascii="Times New Roman"/>
                <w:sz w:val="16"/>
              </w:rPr>
            </w:pPr>
          </w:p>
        </w:tc>
        <w:tc>
          <w:tcPr>
            <w:tcW w:w="1071" w:type="dxa"/>
            <w:tcBorders>
              <w:top w:val="single" w:sz="8" w:space="0" w:color="000000"/>
            </w:tcBorders>
          </w:tcPr>
          <w:p>
            <w:pPr>
              <w:pStyle w:val="TableParagraph"/>
              <w:rPr>
                <w:rFonts w:ascii="Times New Roman"/>
                <w:sz w:val="16"/>
              </w:rPr>
            </w:pPr>
          </w:p>
        </w:tc>
        <w:tc>
          <w:tcPr>
            <w:tcW w:w="1300" w:type="dxa"/>
            <w:tcBorders>
              <w:top w:val="single" w:sz="8" w:space="0" w:color="000000"/>
            </w:tcBorders>
          </w:tcPr>
          <w:p>
            <w:pPr>
              <w:pStyle w:val="TableParagraph"/>
              <w:rPr>
                <w:rFonts w:ascii="Times New Roman"/>
                <w:sz w:val="16"/>
              </w:rPr>
            </w:pPr>
          </w:p>
        </w:tc>
      </w:tr>
      <w:tr>
        <w:trPr>
          <w:trHeight w:val="277" w:hRule="atLeast"/>
        </w:trPr>
        <w:tc>
          <w:tcPr>
            <w:tcW w:w="2796" w:type="dxa"/>
          </w:tcPr>
          <w:p>
            <w:pPr>
              <w:pStyle w:val="TableParagraph"/>
              <w:spacing w:before="31"/>
              <w:ind w:left="50"/>
              <w:rPr>
                <w:sz w:val="18"/>
              </w:rPr>
            </w:pPr>
            <w:r>
              <w:rPr>
                <w:sz w:val="18"/>
              </w:rPr>
              <w:t>PERSONAL</w:t>
            </w:r>
            <w:r>
              <w:rPr>
                <w:spacing w:val="-4"/>
                <w:sz w:val="18"/>
              </w:rPr>
              <w:t> </w:t>
            </w:r>
            <w:r>
              <w:rPr>
                <w:spacing w:val="-2"/>
                <w:sz w:val="18"/>
              </w:rPr>
              <w:t>DIRECTIVO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7" w:hRule="atLeast"/>
        </w:trPr>
        <w:tc>
          <w:tcPr>
            <w:tcW w:w="2796" w:type="dxa"/>
          </w:tcPr>
          <w:p>
            <w:pPr>
              <w:pStyle w:val="TableParagraph"/>
              <w:spacing w:before="32"/>
              <w:ind w:left="50"/>
              <w:rPr>
                <w:sz w:val="18"/>
              </w:rPr>
            </w:pPr>
            <w:r>
              <w:rPr>
                <w:sz w:val="18"/>
              </w:rPr>
              <w:t>PERSONAL</w:t>
            </w:r>
            <w:r>
              <w:rPr>
                <w:spacing w:val="-4"/>
                <w:sz w:val="18"/>
              </w:rPr>
              <w:t> </w:t>
            </w:r>
            <w:r>
              <w:rPr>
                <w:spacing w:val="-2"/>
                <w:sz w:val="18"/>
              </w:rPr>
              <w:t>TÉCNICO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5" w:hRule="atLeast"/>
        </w:trPr>
        <w:tc>
          <w:tcPr>
            <w:tcW w:w="2796" w:type="dxa"/>
          </w:tcPr>
          <w:p>
            <w:pPr>
              <w:pStyle w:val="TableParagraph"/>
              <w:spacing w:before="31"/>
              <w:ind w:left="50"/>
              <w:rPr>
                <w:sz w:val="18"/>
              </w:rPr>
            </w:pPr>
            <w:r>
              <w:rPr>
                <w:sz w:val="18"/>
              </w:rPr>
              <w:t>MANDO</w:t>
            </w:r>
            <w:r>
              <w:rPr>
                <w:spacing w:val="-7"/>
                <w:sz w:val="18"/>
              </w:rPr>
              <w:t> </w:t>
            </w:r>
            <w:r>
              <w:rPr>
                <w:spacing w:val="-2"/>
                <w:sz w:val="18"/>
              </w:rPr>
              <w:t>ADMINISTRACIÓN</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277" w:hRule="atLeast"/>
        </w:trPr>
        <w:tc>
          <w:tcPr>
            <w:tcW w:w="2796" w:type="dxa"/>
          </w:tcPr>
          <w:p>
            <w:pPr>
              <w:pStyle w:val="TableParagraph"/>
              <w:spacing w:before="31"/>
              <w:ind w:left="50"/>
              <w:rPr>
                <w:sz w:val="18"/>
              </w:rPr>
            </w:pPr>
            <w:r>
              <w:rPr>
                <w:sz w:val="18"/>
              </w:rPr>
              <w:t>MANDO</w:t>
            </w:r>
            <w:r>
              <w:rPr>
                <w:spacing w:val="-5"/>
                <w:sz w:val="18"/>
              </w:rPr>
              <w:t> </w:t>
            </w:r>
            <w:r>
              <w:rPr>
                <w:spacing w:val="-2"/>
                <w:sz w:val="18"/>
              </w:rPr>
              <w:t>MOVIMIENTO</w:t>
            </w:r>
          </w:p>
        </w:tc>
        <w:tc>
          <w:tcPr>
            <w:tcW w:w="1178" w:type="dxa"/>
          </w:tcPr>
          <w:p>
            <w:pPr>
              <w:pStyle w:val="TableParagraph"/>
              <w:rPr>
                <w:rFonts w:ascii="Times New Roman"/>
                <w:sz w:val="16"/>
              </w:rPr>
            </w:pP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rPr>
                <w:rFonts w:ascii="Times New Roman"/>
                <w:sz w:val="16"/>
              </w:rPr>
            </w:pPr>
          </w:p>
        </w:tc>
      </w:tr>
      <w:tr>
        <w:trPr>
          <w:trHeight w:val="536" w:hRule="atLeast"/>
        </w:trPr>
        <w:tc>
          <w:tcPr>
            <w:tcW w:w="2796" w:type="dxa"/>
          </w:tcPr>
          <w:p>
            <w:pPr>
              <w:pStyle w:val="TableParagraph"/>
              <w:spacing w:before="32"/>
              <w:ind w:left="50"/>
              <w:rPr>
                <w:sz w:val="18"/>
              </w:rPr>
            </w:pPr>
            <w:r>
              <w:rPr>
                <w:sz w:val="18"/>
              </w:rPr>
              <w:t>MANDO</w:t>
            </w:r>
            <w:r>
              <w:rPr>
                <w:spacing w:val="-7"/>
                <w:sz w:val="18"/>
              </w:rPr>
              <w:t> </w:t>
            </w:r>
            <w:r>
              <w:rPr>
                <w:spacing w:val="-2"/>
                <w:sz w:val="18"/>
              </w:rPr>
              <w:t>TALLER</w:t>
            </w:r>
          </w:p>
          <w:p>
            <w:pPr>
              <w:pStyle w:val="TableParagraph"/>
              <w:spacing w:before="69"/>
              <w:ind w:left="50"/>
              <w:rPr>
                <w:sz w:val="18"/>
              </w:rPr>
            </w:pPr>
            <w:r>
              <w:rPr>
                <w:sz w:val="18"/>
              </w:rPr>
              <w:t>CONDUCTOR/A</w:t>
            </w:r>
            <w:r>
              <w:rPr>
                <w:spacing w:val="-6"/>
                <w:sz w:val="18"/>
              </w:rPr>
              <w:t> </w:t>
            </w:r>
            <w:r>
              <w:rPr>
                <w:spacing w:val="-2"/>
                <w:sz w:val="18"/>
              </w:rPr>
              <w:t>PERCEPTOR/A</w:t>
            </w:r>
          </w:p>
        </w:tc>
        <w:tc>
          <w:tcPr>
            <w:tcW w:w="1178" w:type="dxa"/>
          </w:tcPr>
          <w:p>
            <w:pPr>
              <w:pStyle w:val="TableParagraph"/>
              <w:spacing w:before="68"/>
              <w:rPr>
                <w:b/>
                <w:sz w:val="18"/>
              </w:rPr>
            </w:pPr>
          </w:p>
          <w:p>
            <w:pPr>
              <w:pStyle w:val="TableParagraph"/>
              <w:ind w:left="15" w:right="1"/>
              <w:jc w:val="center"/>
              <w:rPr>
                <w:sz w:val="18"/>
              </w:rPr>
            </w:pPr>
            <w:r>
              <w:rPr>
                <w:spacing w:val="-4"/>
                <w:sz w:val="18"/>
              </w:rPr>
              <w:t>1,22</w:t>
            </w: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68"/>
              <w:rPr>
                <w:b/>
                <w:sz w:val="18"/>
              </w:rPr>
            </w:pPr>
          </w:p>
          <w:p>
            <w:pPr>
              <w:pStyle w:val="TableParagraph"/>
              <w:ind w:left="41" w:right="4"/>
              <w:jc w:val="center"/>
              <w:rPr>
                <w:sz w:val="18"/>
              </w:rPr>
            </w:pPr>
            <w:r>
              <w:rPr>
                <w:spacing w:val="-4"/>
                <w:sz w:val="18"/>
              </w:rPr>
              <w:t>1,22</w:t>
            </w:r>
          </w:p>
        </w:tc>
      </w:tr>
      <w:tr>
        <w:trPr>
          <w:trHeight w:val="278" w:hRule="atLeast"/>
        </w:trPr>
        <w:tc>
          <w:tcPr>
            <w:tcW w:w="2796" w:type="dxa"/>
          </w:tcPr>
          <w:p>
            <w:pPr>
              <w:pStyle w:val="TableParagraph"/>
              <w:spacing w:before="50"/>
              <w:ind w:left="50"/>
              <w:rPr>
                <w:sz w:val="18"/>
              </w:rPr>
            </w:pPr>
            <w:r>
              <w:rPr>
                <w:sz w:val="18"/>
              </w:rPr>
              <w:t>OFICIAL</w:t>
            </w:r>
            <w:r>
              <w:rPr>
                <w:spacing w:val="-3"/>
                <w:sz w:val="18"/>
              </w:rPr>
              <w:t> </w:t>
            </w:r>
            <w:r>
              <w:rPr>
                <w:spacing w:val="-2"/>
                <w:sz w:val="18"/>
              </w:rPr>
              <w:t>ADMINISTRACIÓN</w:t>
            </w:r>
          </w:p>
        </w:tc>
        <w:tc>
          <w:tcPr>
            <w:tcW w:w="1178" w:type="dxa"/>
          </w:tcPr>
          <w:p>
            <w:pPr>
              <w:pStyle w:val="TableParagraph"/>
              <w:spacing w:before="14"/>
              <w:ind w:left="15" w:right="1"/>
              <w:jc w:val="center"/>
              <w:rPr>
                <w:sz w:val="18"/>
              </w:rPr>
            </w:pPr>
            <w:r>
              <w:rPr>
                <w:spacing w:val="-4"/>
                <w:sz w:val="18"/>
              </w:rPr>
              <w:t>1,00</w:t>
            </w:r>
          </w:p>
        </w:tc>
        <w:tc>
          <w:tcPr>
            <w:tcW w:w="1115" w:type="dxa"/>
          </w:tcPr>
          <w:p>
            <w:pPr>
              <w:pStyle w:val="TableParagraph"/>
              <w:rPr>
                <w:rFonts w:ascii="Times New Roman"/>
                <w:sz w:val="16"/>
              </w:rPr>
            </w:pPr>
          </w:p>
        </w:tc>
        <w:tc>
          <w:tcPr>
            <w:tcW w:w="1164" w:type="dxa"/>
          </w:tcPr>
          <w:p>
            <w:pPr>
              <w:pStyle w:val="TableParagraph"/>
              <w:rPr>
                <w:rFonts w:ascii="Times New Roman"/>
                <w:sz w:val="16"/>
              </w:rPr>
            </w:pPr>
          </w:p>
        </w:tc>
        <w:tc>
          <w:tcPr>
            <w:tcW w:w="1071" w:type="dxa"/>
          </w:tcPr>
          <w:p>
            <w:pPr>
              <w:pStyle w:val="TableParagraph"/>
              <w:rPr>
                <w:rFonts w:ascii="Times New Roman"/>
                <w:sz w:val="16"/>
              </w:rPr>
            </w:pPr>
          </w:p>
        </w:tc>
        <w:tc>
          <w:tcPr>
            <w:tcW w:w="1300" w:type="dxa"/>
          </w:tcPr>
          <w:p>
            <w:pPr>
              <w:pStyle w:val="TableParagraph"/>
              <w:spacing w:before="14"/>
              <w:ind w:left="41" w:right="4"/>
              <w:jc w:val="center"/>
              <w:rPr>
                <w:sz w:val="18"/>
              </w:rPr>
            </w:pPr>
            <w:r>
              <w:rPr>
                <w:spacing w:val="-4"/>
                <w:sz w:val="18"/>
              </w:rPr>
              <w:t>1,00</w:t>
            </w:r>
          </w:p>
        </w:tc>
      </w:tr>
      <w:tr>
        <w:trPr>
          <w:trHeight w:val="305" w:hRule="atLeast"/>
        </w:trPr>
        <w:tc>
          <w:tcPr>
            <w:tcW w:w="2796" w:type="dxa"/>
          </w:tcPr>
          <w:p>
            <w:pPr>
              <w:pStyle w:val="TableParagraph"/>
              <w:spacing w:before="55"/>
              <w:ind w:left="50"/>
              <w:rPr>
                <w:sz w:val="18"/>
              </w:rPr>
            </w:pPr>
            <w:r>
              <w:rPr>
                <w:sz w:val="18"/>
              </w:rPr>
              <w:t>OFICIAL</w:t>
            </w:r>
            <w:r>
              <w:rPr>
                <w:spacing w:val="-3"/>
                <w:sz w:val="18"/>
              </w:rPr>
              <w:t> </w:t>
            </w:r>
            <w:r>
              <w:rPr>
                <w:spacing w:val="-2"/>
                <w:sz w:val="18"/>
              </w:rPr>
              <w:t>TALLER</w:t>
            </w:r>
          </w:p>
        </w:tc>
        <w:tc>
          <w:tcPr>
            <w:tcW w:w="1178" w:type="dxa"/>
            <w:tcBorders>
              <w:bottom w:val="single" w:sz="8" w:space="0" w:color="000000"/>
            </w:tcBorders>
          </w:tcPr>
          <w:p>
            <w:pPr>
              <w:pStyle w:val="TableParagraph"/>
              <w:spacing w:before="14"/>
              <w:ind w:left="15" w:right="1"/>
              <w:jc w:val="center"/>
              <w:rPr>
                <w:sz w:val="18"/>
              </w:rPr>
            </w:pPr>
            <w:r>
              <w:rPr>
                <w:spacing w:val="-4"/>
                <w:sz w:val="18"/>
              </w:rPr>
              <w:t>1,82</w:t>
            </w:r>
          </w:p>
        </w:tc>
        <w:tc>
          <w:tcPr>
            <w:tcW w:w="1115" w:type="dxa"/>
            <w:tcBorders>
              <w:bottom w:val="single" w:sz="8" w:space="0" w:color="000000"/>
            </w:tcBorders>
          </w:tcPr>
          <w:p>
            <w:pPr>
              <w:pStyle w:val="TableParagraph"/>
              <w:rPr>
                <w:rFonts w:ascii="Times New Roman"/>
                <w:sz w:val="16"/>
              </w:rPr>
            </w:pPr>
          </w:p>
        </w:tc>
        <w:tc>
          <w:tcPr>
            <w:tcW w:w="1164" w:type="dxa"/>
            <w:tcBorders>
              <w:bottom w:val="single" w:sz="8" w:space="0" w:color="000000"/>
            </w:tcBorders>
          </w:tcPr>
          <w:p>
            <w:pPr>
              <w:pStyle w:val="TableParagraph"/>
              <w:rPr>
                <w:rFonts w:ascii="Times New Roman"/>
                <w:sz w:val="16"/>
              </w:rPr>
            </w:pPr>
          </w:p>
        </w:tc>
        <w:tc>
          <w:tcPr>
            <w:tcW w:w="1071" w:type="dxa"/>
            <w:tcBorders>
              <w:bottom w:val="single" w:sz="8" w:space="0" w:color="000000"/>
            </w:tcBorders>
          </w:tcPr>
          <w:p>
            <w:pPr>
              <w:pStyle w:val="TableParagraph"/>
              <w:rPr>
                <w:rFonts w:ascii="Times New Roman"/>
                <w:sz w:val="16"/>
              </w:rPr>
            </w:pPr>
          </w:p>
        </w:tc>
        <w:tc>
          <w:tcPr>
            <w:tcW w:w="1300" w:type="dxa"/>
            <w:tcBorders>
              <w:bottom w:val="single" w:sz="8" w:space="0" w:color="000000"/>
            </w:tcBorders>
          </w:tcPr>
          <w:p>
            <w:pPr>
              <w:pStyle w:val="TableParagraph"/>
              <w:spacing w:before="14"/>
              <w:ind w:left="41" w:right="4"/>
              <w:jc w:val="center"/>
              <w:rPr>
                <w:sz w:val="18"/>
              </w:rPr>
            </w:pPr>
            <w:r>
              <w:rPr>
                <w:spacing w:val="-4"/>
                <w:sz w:val="18"/>
              </w:rPr>
              <w:t>1,82</w:t>
            </w:r>
          </w:p>
        </w:tc>
      </w:tr>
      <w:tr>
        <w:trPr>
          <w:trHeight w:val="207" w:hRule="atLeast"/>
        </w:trPr>
        <w:tc>
          <w:tcPr>
            <w:tcW w:w="2796" w:type="dxa"/>
          </w:tcPr>
          <w:p>
            <w:pPr>
              <w:pStyle w:val="TableParagraph"/>
              <w:spacing w:line="188" w:lineRule="exact"/>
              <w:ind w:left="50"/>
              <w:rPr>
                <w:b/>
                <w:sz w:val="18"/>
              </w:rPr>
            </w:pPr>
            <w:r>
              <w:rPr>
                <w:b/>
                <w:sz w:val="18"/>
              </w:rPr>
              <w:t>Totales</w:t>
            </w:r>
            <w:r>
              <w:rPr>
                <w:b/>
                <w:spacing w:val="-7"/>
                <w:sz w:val="18"/>
              </w:rPr>
              <w:t> </w:t>
            </w:r>
            <w:r>
              <w:rPr>
                <w:b/>
                <w:sz w:val="18"/>
              </w:rPr>
              <w:t>empleo</w:t>
            </w:r>
            <w:r>
              <w:rPr>
                <w:b/>
                <w:spacing w:val="-1"/>
                <w:sz w:val="18"/>
              </w:rPr>
              <w:t> </w:t>
            </w:r>
            <w:r>
              <w:rPr>
                <w:b/>
                <w:spacing w:val="-4"/>
                <w:sz w:val="18"/>
              </w:rPr>
              <w:t>medio</w:t>
            </w:r>
          </w:p>
        </w:tc>
        <w:tc>
          <w:tcPr>
            <w:tcW w:w="1178" w:type="dxa"/>
            <w:tcBorders>
              <w:top w:val="single" w:sz="8" w:space="0" w:color="000000"/>
              <w:bottom w:val="single" w:sz="8" w:space="0" w:color="000000"/>
            </w:tcBorders>
          </w:tcPr>
          <w:p>
            <w:pPr>
              <w:pStyle w:val="TableParagraph"/>
              <w:spacing w:line="188" w:lineRule="exact"/>
              <w:ind w:left="15" w:right="1"/>
              <w:jc w:val="center"/>
              <w:rPr>
                <w:b/>
                <w:sz w:val="18"/>
              </w:rPr>
            </w:pPr>
            <w:r>
              <w:rPr>
                <w:b/>
                <w:spacing w:val="-4"/>
                <w:sz w:val="18"/>
              </w:rPr>
              <w:t>4,04</w:t>
            </w:r>
          </w:p>
        </w:tc>
        <w:tc>
          <w:tcPr>
            <w:tcW w:w="1115" w:type="dxa"/>
            <w:tcBorders>
              <w:top w:val="single" w:sz="8" w:space="0" w:color="000000"/>
              <w:bottom w:val="single" w:sz="8" w:space="0" w:color="000000"/>
            </w:tcBorders>
          </w:tcPr>
          <w:p>
            <w:pPr>
              <w:pStyle w:val="TableParagraph"/>
              <w:rPr>
                <w:rFonts w:ascii="Times New Roman"/>
                <w:sz w:val="14"/>
              </w:rPr>
            </w:pPr>
          </w:p>
        </w:tc>
        <w:tc>
          <w:tcPr>
            <w:tcW w:w="1164" w:type="dxa"/>
            <w:tcBorders>
              <w:top w:val="single" w:sz="8" w:space="0" w:color="000000"/>
              <w:bottom w:val="single" w:sz="8" w:space="0" w:color="000000"/>
            </w:tcBorders>
          </w:tcPr>
          <w:p>
            <w:pPr>
              <w:pStyle w:val="TableParagraph"/>
              <w:rPr>
                <w:rFonts w:ascii="Times New Roman"/>
                <w:sz w:val="14"/>
              </w:rPr>
            </w:pPr>
          </w:p>
        </w:tc>
        <w:tc>
          <w:tcPr>
            <w:tcW w:w="1071" w:type="dxa"/>
            <w:tcBorders>
              <w:top w:val="single" w:sz="8" w:space="0" w:color="000000"/>
              <w:bottom w:val="single" w:sz="8" w:space="0" w:color="000000"/>
            </w:tcBorders>
          </w:tcPr>
          <w:p>
            <w:pPr>
              <w:pStyle w:val="TableParagraph"/>
              <w:rPr>
                <w:rFonts w:ascii="Times New Roman"/>
                <w:sz w:val="14"/>
              </w:rPr>
            </w:pPr>
          </w:p>
        </w:tc>
        <w:tc>
          <w:tcPr>
            <w:tcW w:w="1300" w:type="dxa"/>
            <w:tcBorders>
              <w:top w:val="single" w:sz="8" w:space="0" w:color="000000"/>
              <w:bottom w:val="single" w:sz="8" w:space="0" w:color="000000"/>
            </w:tcBorders>
          </w:tcPr>
          <w:p>
            <w:pPr>
              <w:pStyle w:val="TableParagraph"/>
              <w:spacing w:line="188" w:lineRule="exact"/>
              <w:ind w:left="41" w:right="4"/>
              <w:jc w:val="center"/>
              <w:rPr>
                <w:b/>
                <w:sz w:val="18"/>
              </w:rPr>
            </w:pPr>
            <w:r>
              <w:rPr>
                <w:b/>
                <w:spacing w:val="-4"/>
                <w:sz w:val="18"/>
              </w:rPr>
              <w:t>4,04</w:t>
            </w:r>
          </w:p>
        </w:tc>
      </w:tr>
    </w:tbl>
    <w:p>
      <w:pPr>
        <w:pStyle w:val="TableParagraph"/>
        <w:spacing w:after="0" w:line="188" w:lineRule="exact"/>
        <w:jc w:val="center"/>
        <w:rPr>
          <w:b/>
          <w:sz w:val="18"/>
        </w:rPr>
        <w:sectPr>
          <w:pgSz w:w="11910" w:h="16840"/>
          <w:pgMar w:header="286" w:footer="1060" w:top="1920" w:bottom="1260" w:left="360" w:right="360"/>
        </w:sectPr>
      </w:pPr>
    </w:p>
    <w:p>
      <w:pPr>
        <w:pStyle w:val="BodyText"/>
        <w:spacing w:before="201"/>
        <w:rPr>
          <w:b/>
        </w:rPr>
      </w:pPr>
      <w:r>
        <w:rPr>
          <w:b/>
        </w:rPr>
        <mc:AlternateContent>
          <mc:Choice Requires="wps">
            <w:drawing>
              <wp:anchor distT="0" distB="0" distL="0" distR="0" allowOverlap="1" layoutInCell="1" locked="0" behindDoc="0" simplePos="0" relativeHeight="15773696">
                <wp:simplePos x="0" y="0"/>
                <wp:positionH relativeFrom="page">
                  <wp:posOffset>6966436</wp:posOffset>
                </wp:positionH>
                <wp:positionV relativeFrom="page">
                  <wp:posOffset>6553363</wp:posOffset>
                </wp:positionV>
                <wp:extent cx="263525" cy="327596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66</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773696" type="#_x0000_t202" id="docshape13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66</w:t>
                      </w:r>
                      <w:r>
                        <w:rPr>
                          <w:spacing w:val="-6"/>
                          <w:sz w:val="12"/>
                        </w:rPr>
                        <w:t> </w:t>
                      </w:r>
                      <w:r>
                        <w:rPr>
                          <w:sz w:val="12"/>
                        </w:rPr>
                        <w:t>de</w:t>
                      </w:r>
                      <w:r>
                        <w:rPr>
                          <w:spacing w:val="-6"/>
                          <w:sz w:val="12"/>
                        </w:rPr>
                        <w:t> </w:t>
                      </w:r>
                      <w:r>
                        <w:rPr>
                          <w:spacing w:val="-5"/>
                          <w:sz w:val="12"/>
                        </w:rPr>
                        <w:t>68</w:t>
                      </w:r>
                    </w:p>
                  </w:txbxContent>
                </v:textbox>
                <w10:wrap type="none"/>
              </v:shape>
            </w:pict>
          </mc:Fallback>
        </mc:AlternateContent>
      </w:r>
    </w:p>
    <w:p>
      <w:pPr>
        <w:pStyle w:val="ListParagraph"/>
        <w:numPr>
          <w:ilvl w:val="1"/>
          <w:numId w:val="23"/>
        </w:numPr>
        <w:tabs>
          <w:tab w:pos="2605" w:val="left" w:leader="none"/>
        </w:tabs>
        <w:spacing w:line="240" w:lineRule="auto" w:before="0" w:after="0"/>
        <w:ind w:left="2049" w:right="1337" w:firstLine="0"/>
        <w:jc w:val="left"/>
        <w:rPr>
          <w:sz w:val="20"/>
        </w:rPr>
      </w:pPr>
      <w:r>
        <w:rPr>
          <w:sz w:val="20"/>
        </w:rPr>
        <w:t>Los</w:t>
      </w:r>
      <w:r>
        <w:rPr>
          <w:spacing w:val="40"/>
          <w:sz w:val="20"/>
        </w:rPr>
        <w:t> </w:t>
      </w:r>
      <w:r>
        <w:rPr>
          <w:sz w:val="20"/>
        </w:rPr>
        <w:t>honorarios</w:t>
      </w:r>
      <w:r>
        <w:rPr>
          <w:spacing w:val="40"/>
          <w:sz w:val="20"/>
        </w:rPr>
        <w:t> </w:t>
      </w:r>
      <w:r>
        <w:rPr>
          <w:sz w:val="20"/>
        </w:rPr>
        <w:t>relativos</w:t>
      </w:r>
      <w:r>
        <w:rPr>
          <w:spacing w:val="40"/>
          <w:sz w:val="20"/>
        </w:rPr>
        <w:t> </w:t>
      </w:r>
      <w:r>
        <w:rPr>
          <w:sz w:val="20"/>
        </w:rPr>
        <w:t>a</w:t>
      </w:r>
      <w:r>
        <w:rPr>
          <w:spacing w:val="40"/>
          <w:sz w:val="20"/>
        </w:rPr>
        <w:t> </w:t>
      </w:r>
      <w:r>
        <w:rPr>
          <w:sz w:val="20"/>
        </w:rPr>
        <w:t>servicios</w:t>
      </w:r>
      <w:r>
        <w:rPr>
          <w:spacing w:val="40"/>
          <w:sz w:val="20"/>
        </w:rPr>
        <w:t> </w:t>
      </w:r>
      <w:r>
        <w:rPr>
          <w:sz w:val="20"/>
        </w:rPr>
        <w:t>profesionales</w:t>
      </w:r>
      <w:r>
        <w:rPr>
          <w:spacing w:val="40"/>
          <w:sz w:val="20"/>
        </w:rPr>
        <w:t> </w:t>
      </w:r>
      <w:r>
        <w:rPr>
          <w:sz w:val="20"/>
        </w:rPr>
        <w:t>prestados</w:t>
      </w:r>
      <w:r>
        <w:rPr>
          <w:spacing w:val="40"/>
          <w:sz w:val="20"/>
        </w:rPr>
        <w:t> </w:t>
      </w:r>
      <w:r>
        <w:rPr>
          <w:sz w:val="20"/>
        </w:rPr>
        <w:t>por</w:t>
      </w:r>
      <w:r>
        <w:rPr>
          <w:spacing w:val="40"/>
          <w:sz w:val="20"/>
        </w:rPr>
        <w:t> </w:t>
      </w:r>
      <w:r>
        <w:rPr>
          <w:sz w:val="20"/>
        </w:rPr>
        <w:t>la</w:t>
      </w:r>
      <w:r>
        <w:rPr>
          <w:spacing w:val="40"/>
          <w:sz w:val="20"/>
        </w:rPr>
        <w:t> </w:t>
      </w:r>
      <w:r>
        <w:rPr>
          <w:sz w:val="20"/>
        </w:rPr>
        <w:t>firma</w:t>
      </w:r>
      <w:r>
        <w:rPr>
          <w:spacing w:val="40"/>
          <w:sz w:val="20"/>
        </w:rPr>
        <w:t> </w:t>
      </w:r>
      <w:r>
        <w:rPr>
          <w:sz w:val="20"/>
        </w:rPr>
        <w:t>de auditoría en relación con las presentes cuentas anuales y las anteriores, se desglosa:</w:t>
      </w:r>
    </w:p>
    <w:p>
      <w:pPr>
        <w:tabs>
          <w:tab w:pos="376" w:val="left" w:leader="none"/>
          <w:tab w:pos="1576" w:val="left" w:leader="none"/>
          <w:tab w:pos="2399" w:val="left" w:leader="none"/>
        </w:tabs>
        <w:spacing w:line="226" w:lineRule="exact" w:before="0"/>
        <w:ind w:left="0" w:right="2590" w:firstLine="0"/>
        <w:jc w:val="right"/>
        <w:rPr>
          <w:b/>
          <w:sz w:val="20"/>
        </w:rPr>
      </w:pPr>
      <w:r>
        <w:rPr>
          <w:rFonts w:ascii="Times New Roman"/>
          <w:sz w:val="20"/>
          <w:u w:val="single"/>
        </w:rPr>
        <w:tab/>
      </w:r>
      <w:r>
        <w:rPr>
          <w:b/>
          <w:spacing w:val="-4"/>
          <w:sz w:val="20"/>
          <w:u w:val="single"/>
        </w:rPr>
        <w:t>2025</w:t>
      </w:r>
      <w:r>
        <w:rPr>
          <w:b/>
          <w:sz w:val="20"/>
          <w:u w:val="single"/>
        </w:rPr>
        <w:tab/>
      </w:r>
      <w:r>
        <w:rPr>
          <w:b/>
          <w:spacing w:val="-4"/>
          <w:sz w:val="20"/>
          <w:u w:val="single"/>
        </w:rPr>
        <w:t>2024</w:t>
      </w:r>
      <w:r>
        <w:rPr>
          <w:b/>
          <w:sz w:val="20"/>
          <w:u w:val="single"/>
        </w:rPr>
        <w:tab/>
      </w:r>
    </w:p>
    <w:p>
      <w:pPr>
        <w:pStyle w:val="BodyText"/>
        <w:tabs>
          <w:tab w:pos="6194" w:val="left" w:leader="none"/>
          <w:tab w:pos="6434" w:val="left" w:leader="none"/>
          <w:tab w:pos="6546" w:val="left" w:leader="none"/>
          <w:tab w:pos="7634" w:val="left" w:leader="none"/>
          <w:tab w:pos="7747" w:val="left" w:leader="none"/>
        </w:tabs>
        <w:spacing w:before="82"/>
        <w:ind w:left="2664" w:right="2661"/>
        <w:jc w:val="right"/>
      </w:pPr>
      <w:r>
        <w:rPr/>
        <w:t>Honorarios auditoría de cuentas</w:t>
        <w:tab/>
        <w:tab/>
      </w:r>
      <w:r>
        <w:rPr>
          <w:spacing w:val="-2"/>
        </w:rPr>
        <w:t>14.135,00</w:t>
      </w:r>
      <w:r>
        <w:rPr/>
        <w:tab/>
      </w:r>
      <w:r>
        <w:rPr>
          <w:spacing w:val="-2"/>
        </w:rPr>
        <w:t>14.135,00 </w:t>
      </w:r>
      <w:r>
        <w:rPr/>
        <w:t>Honorarios</w:t>
      </w:r>
      <w:r>
        <w:rPr>
          <w:spacing w:val="-8"/>
        </w:rPr>
        <w:t> </w:t>
      </w:r>
      <w:r>
        <w:rPr/>
        <w:t>por</w:t>
      </w:r>
      <w:r>
        <w:rPr>
          <w:spacing w:val="-6"/>
        </w:rPr>
        <w:t> </w:t>
      </w:r>
      <w:r>
        <w:rPr/>
        <w:t>otros</w:t>
      </w:r>
      <w:r>
        <w:rPr>
          <w:spacing w:val="-8"/>
        </w:rPr>
        <w:t> </w:t>
      </w:r>
      <w:r>
        <w:rPr>
          <w:spacing w:val="-2"/>
        </w:rPr>
        <w:t>servicios</w:t>
      </w:r>
      <w:r>
        <w:rPr/>
        <w:tab/>
      </w:r>
      <w:r>
        <w:rPr>
          <w:rFonts w:ascii="Times New Roman" w:hAnsi="Times New Roman"/>
          <w:u w:val="single"/>
        </w:rPr>
        <w:tab/>
        <w:tab/>
      </w:r>
      <w:r>
        <w:rPr>
          <w:spacing w:val="-2"/>
          <w:u w:val="single"/>
        </w:rPr>
        <w:t>9.420,00</w:t>
      </w:r>
      <w:r>
        <w:rPr>
          <w:u w:val="single"/>
        </w:rPr>
        <w:tab/>
        <w:tab/>
      </w:r>
      <w:r>
        <w:rPr>
          <w:spacing w:val="-2"/>
          <w:u w:val="single"/>
        </w:rPr>
        <w:t>9.420,00</w:t>
      </w:r>
    </w:p>
    <w:p>
      <w:pPr>
        <w:pStyle w:val="Heading2"/>
        <w:tabs>
          <w:tab w:pos="976" w:val="left" w:leader="none"/>
          <w:tab w:pos="2176" w:val="left" w:leader="none"/>
        </w:tabs>
        <w:spacing w:before="8"/>
        <w:ind w:right="2661"/>
        <w:jc w:val="right"/>
        <w:rPr>
          <w:u w:val="none"/>
        </w:rPr>
      </w:pPr>
      <w:r>
        <w:rPr>
          <w:u w:val="none"/>
        </w:rPr>
        <w:t>TOTAL </w:t>
      </w:r>
      <w:r>
        <w:rPr>
          <w:u w:val="single"/>
        </w:rPr>
        <w:tab/>
      </w:r>
      <w:r>
        <w:rPr>
          <w:spacing w:val="-2"/>
          <w:u w:val="single"/>
        </w:rPr>
        <w:t>23.555,00</w:t>
      </w:r>
      <w:r>
        <w:rPr>
          <w:u w:val="single"/>
        </w:rPr>
        <w:tab/>
      </w:r>
      <w:r>
        <w:rPr>
          <w:spacing w:val="-2"/>
          <w:u w:val="single"/>
        </w:rPr>
        <w:t>23.555,00</w:t>
      </w:r>
    </w:p>
    <w:p>
      <w:pPr>
        <w:pStyle w:val="BodyText"/>
        <w:spacing w:before="13"/>
        <w:rPr>
          <w:b/>
        </w:rPr>
      </w:pPr>
    </w:p>
    <w:p>
      <w:pPr>
        <w:pStyle w:val="ListParagraph"/>
        <w:numPr>
          <w:ilvl w:val="1"/>
          <w:numId w:val="23"/>
        </w:numPr>
        <w:tabs>
          <w:tab w:pos="2563" w:val="left" w:leader="none"/>
        </w:tabs>
        <w:spacing w:line="240" w:lineRule="auto" w:before="0" w:after="41"/>
        <w:ind w:left="2049" w:right="1335" w:firstLine="0"/>
        <w:jc w:val="both"/>
        <w:rPr>
          <w:sz w:val="20"/>
        </w:rPr>
      </w:pPr>
      <w:r>
        <w:rPr>
          <w:sz w:val="20"/>
        </w:rPr>
        <w:t>Periodificaciones a corto plazo: Se corresponde con ventas de productos que al cierre del ejercicio no se han cancelado. El desglose al cierre de los ejercicios 2024 y 2025 es el siguiente:</w:t>
      </w: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7"/>
        <w:gridCol w:w="2186"/>
        <w:gridCol w:w="1307"/>
      </w:tblGrid>
      <w:tr>
        <w:trPr>
          <w:trHeight w:val="318" w:hRule="atLeast"/>
        </w:trPr>
        <w:tc>
          <w:tcPr>
            <w:tcW w:w="3957" w:type="dxa"/>
          </w:tcPr>
          <w:p>
            <w:pPr>
              <w:pStyle w:val="TableParagraph"/>
              <w:rPr>
                <w:rFonts w:ascii="Times New Roman"/>
                <w:sz w:val="18"/>
              </w:rPr>
            </w:pPr>
          </w:p>
        </w:tc>
        <w:tc>
          <w:tcPr>
            <w:tcW w:w="2186" w:type="dxa"/>
            <w:tcBorders>
              <w:bottom w:val="single" w:sz="8" w:space="0" w:color="000000"/>
            </w:tcBorders>
          </w:tcPr>
          <w:p>
            <w:pPr>
              <w:pStyle w:val="TableParagraph"/>
              <w:spacing w:before="42"/>
              <w:ind w:left="1308"/>
              <w:rPr>
                <w:b/>
                <w:sz w:val="20"/>
              </w:rPr>
            </w:pPr>
            <w:r>
              <w:rPr>
                <w:b/>
                <w:spacing w:val="-4"/>
                <w:sz w:val="20"/>
              </w:rPr>
              <w:t>2025</w:t>
            </w:r>
          </w:p>
        </w:tc>
        <w:tc>
          <w:tcPr>
            <w:tcW w:w="1307" w:type="dxa"/>
            <w:tcBorders>
              <w:bottom w:val="single" w:sz="8" w:space="0" w:color="000000"/>
            </w:tcBorders>
          </w:tcPr>
          <w:p>
            <w:pPr>
              <w:pStyle w:val="TableParagraph"/>
              <w:spacing w:before="42"/>
              <w:ind w:left="432"/>
              <w:rPr>
                <w:b/>
                <w:sz w:val="20"/>
              </w:rPr>
            </w:pPr>
            <w:r>
              <w:rPr>
                <w:b/>
                <w:spacing w:val="-4"/>
                <w:sz w:val="20"/>
              </w:rPr>
              <w:t>2024</w:t>
            </w:r>
          </w:p>
        </w:tc>
      </w:tr>
      <w:tr>
        <w:trPr>
          <w:trHeight w:val="304" w:hRule="atLeast"/>
        </w:trPr>
        <w:tc>
          <w:tcPr>
            <w:tcW w:w="3957" w:type="dxa"/>
          </w:tcPr>
          <w:p>
            <w:pPr>
              <w:pStyle w:val="TableParagraph"/>
              <w:spacing w:before="33"/>
              <w:ind w:left="1221"/>
              <w:rPr>
                <w:sz w:val="20"/>
              </w:rPr>
            </w:pPr>
            <w:r>
              <w:rPr>
                <w:sz w:val="20"/>
              </w:rPr>
              <w:t>Ingresos</w:t>
            </w:r>
            <w:r>
              <w:rPr>
                <w:spacing w:val="-7"/>
                <w:sz w:val="20"/>
              </w:rPr>
              <w:t> </w:t>
            </w:r>
            <w:r>
              <w:rPr>
                <w:sz w:val="20"/>
              </w:rPr>
              <w:t>bono</w:t>
            </w:r>
            <w:r>
              <w:rPr>
                <w:spacing w:val="-5"/>
                <w:sz w:val="20"/>
              </w:rPr>
              <w:t> </w:t>
            </w:r>
            <w:r>
              <w:rPr>
                <w:sz w:val="20"/>
              </w:rPr>
              <w:t>LPA</w:t>
            </w:r>
            <w:r>
              <w:rPr>
                <w:spacing w:val="-8"/>
                <w:sz w:val="20"/>
              </w:rPr>
              <w:t> </w:t>
            </w:r>
            <w:r>
              <w:rPr>
                <w:spacing w:val="-2"/>
                <w:sz w:val="20"/>
              </w:rPr>
              <w:t>Movilidad</w:t>
            </w:r>
          </w:p>
        </w:tc>
        <w:tc>
          <w:tcPr>
            <w:tcW w:w="2186" w:type="dxa"/>
            <w:tcBorders>
              <w:top w:val="single" w:sz="8" w:space="0" w:color="000000"/>
            </w:tcBorders>
          </w:tcPr>
          <w:p>
            <w:pPr>
              <w:pStyle w:val="TableParagraph"/>
              <w:spacing w:before="33"/>
              <w:ind w:right="68"/>
              <w:jc w:val="right"/>
              <w:rPr>
                <w:sz w:val="20"/>
              </w:rPr>
            </w:pPr>
            <w:r>
              <w:rPr>
                <w:spacing w:val="-2"/>
                <w:sz w:val="20"/>
              </w:rPr>
              <w:t>1.287.121,08</w:t>
            </w:r>
          </w:p>
        </w:tc>
        <w:tc>
          <w:tcPr>
            <w:tcW w:w="1307" w:type="dxa"/>
            <w:tcBorders>
              <w:top w:val="single" w:sz="8" w:space="0" w:color="000000"/>
            </w:tcBorders>
          </w:tcPr>
          <w:p>
            <w:pPr>
              <w:pStyle w:val="TableParagraph"/>
              <w:spacing w:before="33"/>
              <w:ind w:right="64"/>
              <w:jc w:val="right"/>
              <w:rPr>
                <w:sz w:val="20"/>
              </w:rPr>
            </w:pPr>
            <w:r>
              <w:rPr>
                <w:spacing w:val="-2"/>
                <w:sz w:val="20"/>
              </w:rPr>
              <w:t>1.354.614,08</w:t>
            </w:r>
          </w:p>
        </w:tc>
      </w:tr>
      <w:tr>
        <w:trPr>
          <w:trHeight w:val="311" w:hRule="atLeast"/>
        </w:trPr>
        <w:tc>
          <w:tcPr>
            <w:tcW w:w="3957" w:type="dxa"/>
          </w:tcPr>
          <w:p>
            <w:pPr>
              <w:pStyle w:val="TableParagraph"/>
              <w:spacing w:before="35"/>
              <w:ind w:left="1221"/>
              <w:rPr>
                <w:sz w:val="20"/>
              </w:rPr>
            </w:pPr>
            <w:r>
              <w:rPr>
                <w:sz w:val="20"/>
              </w:rPr>
              <w:t>Otros</w:t>
            </w:r>
            <w:r>
              <w:rPr>
                <w:spacing w:val="-4"/>
                <w:sz w:val="20"/>
              </w:rPr>
              <w:t> </w:t>
            </w:r>
            <w:r>
              <w:rPr>
                <w:spacing w:val="-2"/>
                <w:sz w:val="20"/>
              </w:rPr>
              <w:t>Productos</w:t>
            </w:r>
          </w:p>
        </w:tc>
        <w:tc>
          <w:tcPr>
            <w:tcW w:w="2186" w:type="dxa"/>
            <w:tcBorders>
              <w:bottom w:val="single" w:sz="8" w:space="0" w:color="000000"/>
            </w:tcBorders>
          </w:tcPr>
          <w:p>
            <w:pPr>
              <w:pStyle w:val="TableParagraph"/>
              <w:spacing w:before="35"/>
              <w:ind w:right="68"/>
              <w:jc w:val="right"/>
              <w:rPr>
                <w:sz w:val="20"/>
              </w:rPr>
            </w:pPr>
            <w:r>
              <w:rPr>
                <w:spacing w:val="-2"/>
                <w:sz w:val="20"/>
              </w:rPr>
              <w:t>2.690,91</w:t>
            </w:r>
          </w:p>
        </w:tc>
        <w:tc>
          <w:tcPr>
            <w:tcW w:w="1307" w:type="dxa"/>
            <w:tcBorders>
              <w:bottom w:val="single" w:sz="8" w:space="0" w:color="000000"/>
            </w:tcBorders>
          </w:tcPr>
          <w:p>
            <w:pPr>
              <w:pStyle w:val="TableParagraph"/>
              <w:spacing w:before="35"/>
              <w:ind w:right="65"/>
              <w:jc w:val="right"/>
              <w:rPr>
                <w:sz w:val="20"/>
              </w:rPr>
            </w:pPr>
            <w:r>
              <w:rPr>
                <w:spacing w:val="-2"/>
                <w:sz w:val="20"/>
              </w:rPr>
              <w:t>2.877,67</w:t>
            </w:r>
          </w:p>
        </w:tc>
      </w:tr>
      <w:tr>
        <w:trPr>
          <w:trHeight w:val="315" w:hRule="atLeast"/>
        </w:trPr>
        <w:tc>
          <w:tcPr>
            <w:tcW w:w="3957" w:type="dxa"/>
          </w:tcPr>
          <w:p>
            <w:pPr>
              <w:pStyle w:val="TableParagraph"/>
              <w:rPr>
                <w:rFonts w:ascii="Times New Roman"/>
                <w:sz w:val="18"/>
              </w:rPr>
            </w:pPr>
          </w:p>
        </w:tc>
        <w:tc>
          <w:tcPr>
            <w:tcW w:w="2186" w:type="dxa"/>
            <w:tcBorders>
              <w:top w:val="single" w:sz="8" w:space="0" w:color="000000"/>
              <w:bottom w:val="single" w:sz="8" w:space="0" w:color="000000"/>
            </w:tcBorders>
          </w:tcPr>
          <w:p>
            <w:pPr>
              <w:pStyle w:val="TableParagraph"/>
              <w:spacing w:before="37"/>
              <w:ind w:right="68"/>
              <w:jc w:val="right"/>
              <w:rPr>
                <w:b/>
                <w:sz w:val="20"/>
              </w:rPr>
            </w:pPr>
            <w:r>
              <w:rPr>
                <w:b/>
                <w:sz w:val="20"/>
              </w:rPr>
              <w:t>TOTAL</w:t>
            </w:r>
            <w:r>
              <w:rPr>
                <w:b/>
                <w:spacing w:val="53"/>
                <w:w w:val="150"/>
                <w:sz w:val="20"/>
              </w:rPr>
              <w:t> </w:t>
            </w:r>
            <w:r>
              <w:rPr>
                <w:b/>
                <w:spacing w:val="-2"/>
                <w:sz w:val="20"/>
              </w:rPr>
              <w:t>1.289.811,99</w:t>
            </w:r>
          </w:p>
        </w:tc>
        <w:tc>
          <w:tcPr>
            <w:tcW w:w="1307" w:type="dxa"/>
            <w:tcBorders>
              <w:top w:val="single" w:sz="8" w:space="0" w:color="000000"/>
              <w:bottom w:val="single" w:sz="8" w:space="0" w:color="000000"/>
            </w:tcBorders>
          </w:tcPr>
          <w:p>
            <w:pPr>
              <w:pStyle w:val="TableParagraph"/>
              <w:spacing w:before="37"/>
              <w:ind w:right="64"/>
              <w:jc w:val="right"/>
              <w:rPr>
                <w:b/>
                <w:sz w:val="20"/>
              </w:rPr>
            </w:pPr>
            <w:r>
              <w:rPr>
                <w:b/>
                <w:spacing w:val="-2"/>
                <w:sz w:val="20"/>
              </w:rPr>
              <w:t>1.357.491,75</w:t>
            </w:r>
          </w:p>
        </w:tc>
      </w:tr>
      <w:tr>
        <w:trPr>
          <w:trHeight w:val="305" w:hRule="atLeast"/>
        </w:trPr>
        <w:tc>
          <w:tcPr>
            <w:tcW w:w="3957" w:type="dxa"/>
          </w:tcPr>
          <w:p>
            <w:pPr>
              <w:pStyle w:val="TableParagraph"/>
              <w:spacing w:before="25"/>
              <w:ind w:left="50"/>
              <w:rPr>
                <w:b/>
                <w:sz w:val="20"/>
              </w:rPr>
            </w:pPr>
            <w:r>
              <w:rPr>
                <w:b/>
                <w:spacing w:val="-5"/>
                <w:sz w:val="20"/>
                <w:u w:val="single"/>
              </w:rPr>
              <w:t>20.INFORMACION</w:t>
            </w:r>
            <w:r>
              <w:rPr>
                <w:b/>
                <w:spacing w:val="7"/>
                <w:sz w:val="20"/>
                <w:u w:val="single"/>
              </w:rPr>
              <w:t> </w:t>
            </w:r>
            <w:r>
              <w:rPr>
                <w:b/>
                <w:spacing w:val="-2"/>
                <w:sz w:val="20"/>
                <w:u w:val="single"/>
              </w:rPr>
              <w:t>SEGMENTADA.</w:t>
            </w:r>
          </w:p>
        </w:tc>
        <w:tc>
          <w:tcPr>
            <w:tcW w:w="2186" w:type="dxa"/>
            <w:tcBorders>
              <w:top w:val="single" w:sz="8" w:space="0" w:color="000000"/>
            </w:tcBorders>
          </w:tcPr>
          <w:p>
            <w:pPr>
              <w:pStyle w:val="TableParagraph"/>
              <w:rPr>
                <w:rFonts w:ascii="Times New Roman"/>
                <w:sz w:val="18"/>
              </w:rPr>
            </w:pPr>
          </w:p>
        </w:tc>
        <w:tc>
          <w:tcPr>
            <w:tcW w:w="1307" w:type="dxa"/>
            <w:tcBorders>
              <w:top w:val="single" w:sz="8" w:space="0" w:color="000000"/>
            </w:tcBorders>
          </w:tcPr>
          <w:p>
            <w:pPr>
              <w:pStyle w:val="TableParagraph"/>
              <w:rPr>
                <w:rFonts w:ascii="Times New Roman"/>
                <w:sz w:val="18"/>
              </w:rPr>
            </w:pPr>
          </w:p>
        </w:tc>
      </w:tr>
    </w:tbl>
    <w:p>
      <w:pPr>
        <w:pStyle w:val="BodyText"/>
        <w:spacing w:before="186"/>
        <w:ind w:left="1341" w:right="1308"/>
      </w:pPr>
      <w:r>
        <w:rPr/>
        <w:t>La actividad de</w:t>
      </w:r>
      <w:r>
        <w:rPr>
          <w:spacing w:val="-2"/>
        </w:rPr>
        <w:t> </w:t>
      </w:r>
      <w:r>
        <w:rPr/>
        <w:t>la</w:t>
      </w:r>
      <w:r>
        <w:rPr>
          <w:spacing w:val="-2"/>
        </w:rPr>
        <w:t> </w:t>
      </w:r>
      <w:r>
        <w:rPr/>
        <w:t>Empresa</w:t>
      </w:r>
      <w:r>
        <w:rPr>
          <w:spacing w:val="-3"/>
        </w:rPr>
        <w:t> </w:t>
      </w:r>
      <w:r>
        <w:rPr/>
        <w:t>se</w:t>
      </w:r>
      <w:r>
        <w:rPr>
          <w:spacing w:val="-2"/>
        </w:rPr>
        <w:t> </w:t>
      </w:r>
      <w:r>
        <w:rPr/>
        <w:t>ha</w:t>
      </w:r>
      <w:r>
        <w:rPr>
          <w:spacing w:val="-3"/>
        </w:rPr>
        <w:t> </w:t>
      </w:r>
      <w:r>
        <w:rPr/>
        <w:t>desarrollado</w:t>
      </w:r>
      <w:r>
        <w:rPr>
          <w:spacing w:val="-2"/>
        </w:rPr>
        <w:t> </w:t>
      </w:r>
      <w:r>
        <w:rPr/>
        <w:t>dentro</w:t>
      </w:r>
      <w:r>
        <w:rPr>
          <w:spacing w:val="-3"/>
        </w:rPr>
        <w:t> </w:t>
      </w:r>
      <w:r>
        <w:rPr/>
        <w:t>del</w:t>
      </w:r>
      <w:r>
        <w:rPr>
          <w:spacing w:val="-1"/>
        </w:rPr>
        <w:t> </w:t>
      </w:r>
      <w:r>
        <w:rPr/>
        <w:t>ámbito geográfico</w:t>
      </w:r>
      <w:r>
        <w:rPr>
          <w:spacing w:val="-3"/>
        </w:rPr>
        <w:t> </w:t>
      </w:r>
      <w:r>
        <w:rPr/>
        <w:t>de la</w:t>
      </w:r>
      <w:r>
        <w:rPr>
          <w:spacing w:val="-3"/>
        </w:rPr>
        <w:t> </w:t>
      </w:r>
      <w:r>
        <w:rPr/>
        <w:t>ciudad</w:t>
      </w:r>
      <w:r>
        <w:rPr>
          <w:spacing w:val="-2"/>
        </w:rPr>
        <w:t> </w:t>
      </w:r>
      <w:r>
        <w:rPr/>
        <w:t>de Las Palmas</w:t>
      </w:r>
      <w:r>
        <w:rPr>
          <w:spacing w:val="-9"/>
        </w:rPr>
        <w:t> </w:t>
      </w:r>
      <w:r>
        <w:rPr/>
        <w:t>de</w:t>
      </w:r>
      <w:r>
        <w:rPr>
          <w:spacing w:val="-10"/>
        </w:rPr>
        <w:t> </w:t>
      </w:r>
      <w:r>
        <w:rPr/>
        <w:t>Gran</w:t>
      </w:r>
      <w:r>
        <w:rPr>
          <w:spacing w:val="-12"/>
        </w:rPr>
        <w:t> </w:t>
      </w:r>
      <w:r>
        <w:rPr/>
        <w:t>Canaria.</w:t>
      </w:r>
      <w:r>
        <w:rPr>
          <w:spacing w:val="-11"/>
        </w:rPr>
        <w:t> </w:t>
      </w:r>
      <w:r>
        <w:rPr/>
        <w:t>El</w:t>
      </w:r>
      <w:r>
        <w:rPr>
          <w:spacing w:val="-12"/>
        </w:rPr>
        <w:t> </w:t>
      </w:r>
      <w:r>
        <w:rPr/>
        <w:t>detalle</w:t>
      </w:r>
      <w:r>
        <w:rPr>
          <w:spacing w:val="-10"/>
        </w:rPr>
        <w:t> </w:t>
      </w:r>
      <w:r>
        <w:rPr/>
        <w:t>del</w:t>
      </w:r>
      <w:r>
        <w:rPr>
          <w:spacing w:val="-12"/>
        </w:rPr>
        <w:t> </w:t>
      </w:r>
      <w:r>
        <w:rPr/>
        <w:t>importe</w:t>
      </w:r>
      <w:r>
        <w:rPr>
          <w:spacing w:val="-10"/>
        </w:rPr>
        <w:t> </w:t>
      </w:r>
      <w:r>
        <w:rPr/>
        <w:t>neto</w:t>
      </w:r>
      <w:r>
        <w:rPr>
          <w:spacing w:val="-10"/>
        </w:rPr>
        <w:t> </w:t>
      </w:r>
      <w:r>
        <w:rPr/>
        <w:t>de</w:t>
      </w:r>
      <w:r>
        <w:rPr>
          <w:spacing w:val="-10"/>
        </w:rPr>
        <w:t> </w:t>
      </w:r>
      <w:r>
        <w:rPr/>
        <w:t>la</w:t>
      </w:r>
      <w:r>
        <w:rPr>
          <w:spacing w:val="-10"/>
        </w:rPr>
        <w:t> </w:t>
      </w:r>
      <w:r>
        <w:rPr/>
        <w:t>cifra</w:t>
      </w:r>
      <w:r>
        <w:rPr>
          <w:spacing w:val="-12"/>
        </w:rPr>
        <w:t> </w:t>
      </w:r>
      <w:r>
        <w:rPr/>
        <w:t>de</w:t>
      </w:r>
      <w:r>
        <w:rPr>
          <w:spacing w:val="-10"/>
        </w:rPr>
        <w:t> </w:t>
      </w:r>
      <w:r>
        <w:rPr/>
        <w:t>negocios</w:t>
      </w:r>
      <w:r>
        <w:rPr>
          <w:spacing w:val="-9"/>
        </w:rPr>
        <w:t> </w:t>
      </w:r>
      <w:r>
        <w:rPr/>
        <w:t>es</w:t>
      </w:r>
      <w:r>
        <w:rPr>
          <w:spacing w:val="-9"/>
        </w:rPr>
        <w:t> </w:t>
      </w:r>
      <w:r>
        <w:rPr/>
        <w:t>el</w:t>
      </w:r>
      <w:r>
        <w:rPr>
          <w:spacing w:val="-12"/>
        </w:rPr>
        <w:t> </w:t>
      </w:r>
      <w:r>
        <w:rPr/>
        <w:t>siguiente:</w:t>
      </w:r>
    </w:p>
    <w:p>
      <w:pPr>
        <w:pStyle w:val="BodyText"/>
        <w:spacing w:before="7"/>
      </w:pPr>
    </w:p>
    <w:tbl>
      <w:tblPr>
        <w:tblW w:w="0" w:type="auto"/>
        <w:jc w:val="left"/>
        <w:tblInd w:w="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2"/>
        <w:gridCol w:w="1339"/>
        <w:gridCol w:w="1317"/>
      </w:tblGrid>
      <w:tr>
        <w:trPr>
          <w:trHeight w:val="311" w:hRule="atLeast"/>
        </w:trPr>
        <w:tc>
          <w:tcPr>
            <w:tcW w:w="5512" w:type="dxa"/>
          </w:tcPr>
          <w:p>
            <w:pPr>
              <w:pStyle w:val="TableParagraph"/>
              <w:rPr>
                <w:rFonts w:ascii="Times New Roman"/>
                <w:sz w:val="18"/>
              </w:rPr>
            </w:pPr>
          </w:p>
        </w:tc>
        <w:tc>
          <w:tcPr>
            <w:tcW w:w="1339" w:type="dxa"/>
            <w:tcBorders>
              <w:bottom w:val="single" w:sz="4" w:space="0" w:color="000000"/>
            </w:tcBorders>
          </w:tcPr>
          <w:p>
            <w:pPr>
              <w:pStyle w:val="TableParagraph"/>
              <w:spacing w:before="44"/>
              <w:jc w:val="center"/>
              <w:rPr>
                <w:b/>
                <w:sz w:val="18"/>
              </w:rPr>
            </w:pPr>
            <w:r>
              <w:rPr>
                <w:b/>
                <w:spacing w:val="-4"/>
                <w:sz w:val="18"/>
              </w:rPr>
              <w:t>2025</w:t>
            </w:r>
          </w:p>
        </w:tc>
        <w:tc>
          <w:tcPr>
            <w:tcW w:w="1317" w:type="dxa"/>
            <w:tcBorders>
              <w:bottom w:val="single" w:sz="4" w:space="0" w:color="000000"/>
            </w:tcBorders>
          </w:tcPr>
          <w:p>
            <w:pPr>
              <w:pStyle w:val="TableParagraph"/>
              <w:spacing w:before="44"/>
              <w:ind w:right="3"/>
              <w:jc w:val="center"/>
              <w:rPr>
                <w:b/>
                <w:sz w:val="18"/>
              </w:rPr>
            </w:pPr>
            <w:r>
              <w:rPr>
                <w:b/>
                <w:spacing w:val="-4"/>
                <w:sz w:val="18"/>
              </w:rPr>
              <w:t>2024</w:t>
            </w:r>
          </w:p>
        </w:tc>
      </w:tr>
      <w:tr>
        <w:trPr>
          <w:trHeight w:val="317" w:hRule="atLeast"/>
        </w:trPr>
        <w:tc>
          <w:tcPr>
            <w:tcW w:w="5512" w:type="dxa"/>
          </w:tcPr>
          <w:p>
            <w:pPr>
              <w:pStyle w:val="TableParagraph"/>
              <w:spacing w:before="54"/>
              <w:ind w:left="50"/>
              <w:rPr>
                <w:sz w:val="18"/>
              </w:rPr>
            </w:pPr>
            <w:r>
              <w:rPr>
                <w:sz w:val="18"/>
              </w:rPr>
              <w:t>Ingresos</w:t>
            </w:r>
            <w:r>
              <w:rPr>
                <w:spacing w:val="-4"/>
                <w:sz w:val="18"/>
              </w:rPr>
              <w:t> </w:t>
            </w:r>
            <w:r>
              <w:rPr>
                <w:sz w:val="18"/>
              </w:rPr>
              <w:t>pago</w:t>
            </w:r>
            <w:r>
              <w:rPr>
                <w:spacing w:val="-3"/>
                <w:sz w:val="18"/>
              </w:rPr>
              <w:t> </w:t>
            </w:r>
            <w:r>
              <w:rPr>
                <w:spacing w:val="-2"/>
                <w:sz w:val="18"/>
              </w:rPr>
              <w:t>directo</w:t>
            </w:r>
          </w:p>
        </w:tc>
        <w:tc>
          <w:tcPr>
            <w:tcW w:w="1339" w:type="dxa"/>
            <w:tcBorders>
              <w:top w:val="single" w:sz="4" w:space="0" w:color="000000"/>
            </w:tcBorders>
          </w:tcPr>
          <w:p>
            <w:pPr>
              <w:pStyle w:val="TableParagraph"/>
              <w:spacing w:before="54"/>
              <w:ind w:right="76"/>
              <w:jc w:val="right"/>
              <w:rPr>
                <w:sz w:val="18"/>
              </w:rPr>
            </w:pPr>
            <w:r>
              <w:rPr>
                <w:spacing w:val="-2"/>
                <w:sz w:val="18"/>
              </w:rPr>
              <w:t>3.848.084,85</w:t>
            </w:r>
          </w:p>
        </w:tc>
        <w:tc>
          <w:tcPr>
            <w:tcW w:w="1317" w:type="dxa"/>
            <w:tcBorders>
              <w:top w:val="single" w:sz="4" w:space="0" w:color="000000"/>
            </w:tcBorders>
          </w:tcPr>
          <w:p>
            <w:pPr>
              <w:pStyle w:val="TableParagraph"/>
              <w:spacing w:before="54"/>
              <w:ind w:right="66"/>
              <w:jc w:val="right"/>
              <w:rPr>
                <w:sz w:val="18"/>
              </w:rPr>
            </w:pPr>
            <w:r>
              <w:rPr>
                <w:spacing w:val="-2"/>
                <w:sz w:val="18"/>
              </w:rPr>
              <w:t>3.521.539,61</w:t>
            </w:r>
          </w:p>
        </w:tc>
      </w:tr>
      <w:tr>
        <w:trPr>
          <w:trHeight w:val="314" w:hRule="atLeast"/>
        </w:trPr>
        <w:tc>
          <w:tcPr>
            <w:tcW w:w="5512" w:type="dxa"/>
          </w:tcPr>
          <w:p>
            <w:pPr>
              <w:pStyle w:val="TableParagraph"/>
              <w:spacing w:before="50"/>
              <w:ind w:left="50"/>
              <w:rPr>
                <w:sz w:val="18"/>
              </w:rPr>
            </w:pPr>
            <w:r>
              <w:rPr>
                <w:sz w:val="18"/>
              </w:rPr>
              <w:t>Guaguas</w:t>
            </w:r>
            <w:r>
              <w:rPr>
                <w:spacing w:val="-4"/>
                <w:sz w:val="18"/>
              </w:rPr>
              <w:t> </w:t>
            </w:r>
            <w:r>
              <w:rPr>
                <w:spacing w:val="-2"/>
                <w:sz w:val="18"/>
              </w:rPr>
              <w:t>amarillas</w:t>
            </w:r>
          </w:p>
        </w:tc>
        <w:tc>
          <w:tcPr>
            <w:tcW w:w="1339" w:type="dxa"/>
          </w:tcPr>
          <w:p>
            <w:pPr>
              <w:pStyle w:val="TableParagraph"/>
              <w:spacing w:before="50"/>
              <w:ind w:right="76"/>
              <w:jc w:val="right"/>
              <w:rPr>
                <w:sz w:val="18"/>
              </w:rPr>
            </w:pPr>
            <w:r>
              <w:rPr>
                <w:spacing w:val="-2"/>
                <w:sz w:val="18"/>
              </w:rPr>
              <w:t>21.538,84</w:t>
            </w:r>
          </w:p>
        </w:tc>
        <w:tc>
          <w:tcPr>
            <w:tcW w:w="1317" w:type="dxa"/>
          </w:tcPr>
          <w:p>
            <w:pPr>
              <w:pStyle w:val="TableParagraph"/>
              <w:spacing w:before="50"/>
              <w:ind w:right="66"/>
              <w:jc w:val="right"/>
              <w:rPr>
                <w:sz w:val="18"/>
              </w:rPr>
            </w:pPr>
            <w:r>
              <w:rPr>
                <w:spacing w:val="-2"/>
                <w:sz w:val="18"/>
              </w:rPr>
              <w:t>19.829,70</w:t>
            </w:r>
          </w:p>
        </w:tc>
      </w:tr>
      <w:tr>
        <w:trPr>
          <w:trHeight w:val="314" w:hRule="atLeast"/>
        </w:trPr>
        <w:tc>
          <w:tcPr>
            <w:tcW w:w="5512" w:type="dxa"/>
          </w:tcPr>
          <w:p>
            <w:pPr>
              <w:pStyle w:val="TableParagraph"/>
              <w:spacing w:before="50"/>
              <w:ind w:left="50"/>
              <w:rPr>
                <w:sz w:val="18"/>
              </w:rPr>
            </w:pPr>
            <w:r>
              <w:rPr>
                <w:sz w:val="18"/>
              </w:rPr>
              <w:t>Ingresos</w:t>
            </w:r>
            <w:r>
              <w:rPr>
                <w:spacing w:val="-4"/>
                <w:sz w:val="18"/>
              </w:rPr>
              <w:t> </w:t>
            </w:r>
            <w:r>
              <w:rPr>
                <w:sz w:val="18"/>
              </w:rPr>
              <w:t>bono</w:t>
            </w:r>
            <w:r>
              <w:rPr>
                <w:spacing w:val="-5"/>
                <w:sz w:val="18"/>
              </w:rPr>
              <w:t> </w:t>
            </w:r>
            <w:r>
              <w:rPr>
                <w:sz w:val="18"/>
              </w:rPr>
              <w:t>LPA</w:t>
            </w:r>
            <w:r>
              <w:rPr>
                <w:spacing w:val="-4"/>
                <w:sz w:val="18"/>
              </w:rPr>
              <w:t> </w:t>
            </w:r>
            <w:r>
              <w:rPr>
                <w:sz w:val="18"/>
              </w:rPr>
              <w:t>Movilidad</w:t>
            </w:r>
            <w:r>
              <w:rPr>
                <w:spacing w:val="-6"/>
                <w:sz w:val="18"/>
              </w:rPr>
              <w:t> </w:t>
            </w:r>
            <w:r>
              <w:rPr>
                <w:sz w:val="18"/>
              </w:rPr>
              <w:t>(Bono</w:t>
            </w:r>
            <w:r>
              <w:rPr>
                <w:spacing w:val="-5"/>
                <w:sz w:val="18"/>
              </w:rPr>
              <w:t> </w:t>
            </w:r>
            <w:r>
              <w:rPr>
                <w:sz w:val="18"/>
              </w:rPr>
              <w:t>10,</w:t>
            </w:r>
            <w:r>
              <w:rPr>
                <w:spacing w:val="-2"/>
                <w:sz w:val="18"/>
              </w:rPr>
              <w:t> </w:t>
            </w:r>
            <w:r>
              <w:rPr>
                <w:sz w:val="18"/>
              </w:rPr>
              <w:t>Bono</w:t>
            </w:r>
            <w:r>
              <w:rPr>
                <w:spacing w:val="-2"/>
                <w:sz w:val="18"/>
              </w:rPr>
              <w:t> </w:t>
            </w:r>
            <w:r>
              <w:rPr>
                <w:sz w:val="18"/>
              </w:rPr>
              <w:t>Global-</w:t>
            </w:r>
            <w:r>
              <w:rPr>
                <w:spacing w:val="-2"/>
                <w:sz w:val="18"/>
              </w:rPr>
              <w:t>Guaguas)</w:t>
            </w:r>
          </w:p>
        </w:tc>
        <w:tc>
          <w:tcPr>
            <w:tcW w:w="1339" w:type="dxa"/>
          </w:tcPr>
          <w:p>
            <w:pPr>
              <w:pStyle w:val="TableParagraph"/>
              <w:spacing w:before="50"/>
              <w:ind w:right="76"/>
              <w:jc w:val="right"/>
              <w:rPr>
                <w:sz w:val="18"/>
              </w:rPr>
            </w:pPr>
            <w:r>
              <w:rPr>
                <w:spacing w:val="-2"/>
                <w:sz w:val="18"/>
              </w:rPr>
              <w:t>2.348.129,29</w:t>
            </w:r>
          </w:p>
        </w:tc>
        <w:tc>
          <w:tcPr>
            <w:tcW w:w="1317" w:type="dxa"/>
          </w:tcPr>
          <w:p>
            <w:pPr>
              <w:pStyle w:val="TableParagraph"/>
              <w:spacing w:before="50"/>
              <w:ind w:right="66"/>
              <w:jc w:val="right"/>
              <w:rPr>
                <w:sz w:val="18"/>
              </w:rPr>
            </w:pPr>
            <w:r>
              <w:rPr>
                <w:spacing w:val="-2"/>
                <w:sz w:val="18"/>
              </w:rPr>
              <w:t>2.588.633,14</w:t>
            </w:r>
          </w:p>
        </w:tc>
      </w:tr>
      <w:tr>
        <w:trPr>
          <w:trHeight w:val="315" w:hRule="atLeast"/>
        </w:trPr>
        <w:tc>
          <w:tcPr>
            <w:tcW w:w="5512" w:type="dxa"/>
          </w:tcPr>
          <w:p>
            <w:pPr>
              <w:pStyle w:val="TableParagraph"/>
              <w:spacing w:before="50"/>
              <w:ind w:left="50"/>
              <w:rPr>
                <w:sz w:val="18"/>
              </w:rPr>
            </w:pPr>
            <w:r>
              <w:rPr>
                <w:sz w:val="18"/>
              </w:rPr>
              <w:t>Ingresos</w:t>
            </w:r>
            <w:r>
              <w:rPr>
                <w:spacing w:val="-2"/>
                <w:sz w:val="18"/>
              </w:rPr>
              <w:t> </w:t>
            </w:r>
            <w:r>
              <w:rPr>
                <w:sz w:val="18"/>
              </w:rPr>
              <w:t>bono</w:t>
            </w:r>
            <w:r>
              <w:rPr>
                <w:spacing w:val="-3"/>
                <w:sz w:val="18"/>
              </w:rPr>
              <w:t> </w:t>
            </w:r>
            <w:r>
              <w:rPr>
                <w:sz w:val="18"/>
              </w:rPr>
              <w:t>2 </w:t>
            </w:r>
            <w:r>
              <w:rPr>
                <w:spacing w:val="-2"/>
                <w:sz w:val="18"/>
              </w:rPr>
              <w:t>viajes</w:t>
            </w:r>
          </w:p>
        </w:tc>
        <w:tc>
          <w:tcPr>
            <w:tcW w:w="1339" w:type="dxa"/>
          </w:tcPr>
          <w:p>
            <w:pPr>
              <w:pStyle w:val="TableParagraph"/>
              <w:spacing w:before="50"/>
              <w:ind w:right="76"/>
              <w:jc w:val="right"/>
              <w:rPr>
                <w:sz w:val="18"/>
              </w:rPr>
            </w:pPr>
            <w:r>
              <w:rPr>
                <w:spacing w:val="-2"/>
                <w:sz w:val="18"/>
              </w:rPr>
              <w:t>8.846,92</w:t>
            </w:r>
          </w:p>
        </w:tc>
        <w:tc>
          <w:tcPr>
            <w:tcW w:w="1317" w:type="dxa"/>
          </w:tcPr>
          <w:p>
            <w:pPr>
              <w:pStyle w:val="TableParagraph"/>
              <w:spacing w:before="50"/>
              <w:ind w:right="66"/>
              <w:jc w:val="right"/>
              <w:rPr>
                <w:sz w:val="18"/>
              </w:rPr>
            </w:pPr>
            <w:r>
              <w:rPr>
                <w:spacing w:val="-2"/>
                <w:sz w:val="18"/>
              </w:rPr>
              <w:t>12.040,24</w:t>
            </w:r>
          </w:p>
        </w:tc>
      </w:tr>
      <w:tr>
        <w:trPr>
          <w:trHeight w:val="315" w:hRule="atLeast"/>
        </w:trPr>
        <w:tc>
          <w:tcPr>
            <w:tcW w:w="5512" w:type="dxa"/>
          </w:tcPr>
          <w:p>
            <w:pPr>
              <w:pStyle w:val="TableParagraph"/>
              <w:spacing w:before="52"/>
              <w:ind w:left="50"/>
              <w:rPr>
                <w:sz w:val="18"/>
              </w:rPr>
            </w:pPr>
            <w:r>
              <w:rPr>
                <w:sz w:val="18"/>
              </w:rPr>
              <w:t>Ingresos</w:t>
            </w:r>
            <w:r>
              <w:rPr>
                <w:spacing w:val="-3"/>
                <w:sz w:val="18"/>
              </w:rPr>
              <w:t> </w:t>
            </w:r>
            <w:r>
              <w:rPr>
                <w:sz w:val="18"/>
              </w:rPr>
              <w:t>tarjeta </w:t>
            </w:r>
            <w:r>
              <w:rPr>
                <w:spacing w:val="-2"/>
                <w:sz w:val="18"/>
              </w:rPr>
              <w:t>TransGC</w:t>
            </w:r>
          </w:p>
        </w:tc>
        <w:tc>
          <w:tcPr>
            <w:tcW w:w="1339" w:type="dxa"/>
          </w:tcPr>
          <w:p>
            <w:pPr>
              <w:pStyle w:val="TableParagraph"/>
              <w:spacing w:before="52"/>
              <w:ind w:right="76"/>
              <w:jc w:val="right"/>
              <w:rPr>
                <w:sz w:val="18"/>
              </w:rPr>
            </w:pPr>
            <w:r>
              <w:rPr>
                <w:spacing w:val="-2"/>
                <w:sz w:val="18"/>
              </w:rPr>
              <w:t>51.630,83</w:t>
            </w:r>
          </w:p>
        </w:tc>
        <w:tc>
          <w:tcPr>
            <w:tcW w:w="1317" w:type="dxa"/>
          </w:tcPr>
          <w:p>
            <w:pPr>
              <w:pStyle w:val="TableParagraph"/>
              <w:spacing w:before="52"/>
              <w:ind w:right="66"/>
              <w:jc w:val="right"/>
              <w:rPr>
                <w:sz w:val="18"/>
              </w:rPr>
            </w:pPr>
            <w:r>
              <w:rPr>
                <w:spacing w:val="-2"/>
                <w:sz w:val="18"/>
              </w:rPr>
              <w:t>80.439,45</w:t>
            </w:r>
          </w:p>
        </w:tc>
      </w:tr>
      <w:tr>
        <w:trPr>
          <w:trHeight w:val="314" w:hRule="atLeast"/>
        </w:trPr>
        <w:tc>
          <w:tcPr>
            <w:tcW w:w="5512" w:type="dxa"/>
          </w:tcPr>
          <w:p>
            <w:pPr>
              <w:pStyle w:val="TableParagraph"/>
              <w:spacing w:before="50"/>
              <w:ind w:left="50"/>
              <w:rPr>
                <w:sz w:val="18"/>
              </w:rPr>
            </w:pPr>
            <w:r>
              <w:rPr>
                <w:sz w:val="18"/>
              </w:rPr>
              <w:t>Ingresos</w:t>
            </w:r>
            <w:r>
              <w:rPr>
                <w:spacing w:val="-4"/>
                <w:sz w:val="18"/>
              </w:rPr>
              <w:t> </w:t>
            </w:r>
            <w:r>
              <w:rPr>
                <w:sz w:val="18"/>
              </w:rPr>
              <w:t>bono</w:t>
            </w:r>
            <w:r>
              <w:rPr>
                <w:spacing w:val="-3"/>
                <w:sz w:val="18"/>
              </w:rPr>
              <w:t> </w:t>
            </w:r>
            <w:r>
              <w:rPr>
                <w:spacing w:val="-2"/>
                <w:sz w:val="18"/>
              </w:rPr>
              <w:t>estudiantes</w:t>
            </w:r>
          </w:p>
        </w:tc>
        <w:tc>
          <w:tcPr>
            <w:tcW w:w="1339" w:type="dxa"/>
          </w:tcPr>
          <w:p>
            <w:pPr>
              <w:pStyle w:val="TableParagraph"/>
              <w:spacing w:before="50"/>
              <w:ind w:right="76"/>
              <w:jc w:val="right"/>
              <w:rPr>
                <w:sz w:val="18"/>
              </w:rPr>
            </w:pPr>
            <w:r>
              <w:rPr>
                <w:spacing w:val="-2"/>
                <w:sz w:val="18"/>
              </w:rPr>
              <w:t>30.689,34</w:t>
            </w:r>
          </w:p>
        </w:tc>
        <w:tc>
          <w:tcPr>
            <w:tcW w:w="1317" w:type="dxa"/>
          </w:tcPr>
          <w:p>
            <w:pPr>
              <w:pStyle w:val="TableParagraph"/>
              <w:spacing w:before="50"/>
              <w:ind w:right="66"/>
              <w:jc w:val="right"/>
              <w:rPr>
                <w:sz w:val="18"/>
              </w:rPr>
            </w:pPr>
            <w:r>
              <w:rPr>
                <w:spacing w:val="-2"/>
                <w:sz w:val="18"/>
              </w:rPr>
              <w:t>38.395,98</w:t>
            </w:r>
          </w:p>
        </w:tc>
      </w:tr>
      <w:tr>
        <w:trPr>
          <w:trHeight w:val="314" w:hRule="atLeast"/>
        </w:trPr>
        <w:tc>
          <w:tcPr>
            <w:tcW w:w="5512" w:type="dxa"/>
          </w:tcPr>
          <w:p>
            <w:pPr>
              <w:pStyle w:val="TableParagraph"/>
              <w:spacing w:before="50"/>
              <w:ind w:left="50"/>
              <w:rPr>
                <w:sz w:val="18"/>
              </w:rPr>
            </w:pPr>
            <w:r>
              <w:rPr>
                <w:sz w:val="18"/>
              </w:rPr>
              <w:t>Ingresos</w:t>
            </w:r>
            <w:r>
              <w:rPr>
                <w:spacing w:val="-4"/>
                <w:sz w:val="18"/>
              </w:rPr>
              <w:t> </w:t>
            </w:r>
            <w:r>
              <w:rPr>
                <w:sz w:val="18"/>
              </w:rPr>
              <w:t>familia</w:t>
            </w:r>
            <w:r>
              <w:rPr>
                <w:spacing w:val="-4"/>
                <w:sz w:val="18"/>
              </w:rPr>
              <w:t> </w:t>
            </w:r>
            <w:r>
              <w:rPr>
                <w:spacing w:val="-2"/>
                <w:sz w:val="18"/>
              </w:rPr>
              <w:t>numerosa</w:t>
            </w:r>
          </w:p>
        </w:tc>
        <w:tc>
          <w:tcPr>
            <w:tcW w:w="1339" w:type="dxa"/>
          </w:tcPr>
          <w:p>
            <w:pPr>
              <w:pStyle w:val="TableParagraph"/>
              <w:spacing w:before="50"/>
              <w:ind w:right="76"/>
              <w:jc w:val="right"/>
              <w:rPr>
                <w:sz w:val="18"/>
              </w:rPr>
            </w:pPr>
            <w:r>
              <w:rPr>
                <w:spacing w:val="-2"/>
                <w:sz w:val="18"/>
              </w:rPr>
              <w:t>6.903,18</w:t>
            </w:r>
          </w:p>
        </w:tc>
        <w:tc>
          <w:tcPr>
            <w:tcW w:w="1317" w:type="dxa"/>
          </w:tcPr>
          <w:p>
            <w:pPr>
              <w:pStyle w:val="TableParagraph"/>
              <w:spacing w:before="50"/>
              <w:ind w:right="66"/>
              <w:jc w:val="right"/>
              <w:rPr>
                <w:sz w:val="18"/>
              </w:rPr>
            </w:pPr>
            <w:r>
              <w:rPr>
                <w:spacing w:val="-2"/>
                <w:sz w:val="18"/>
              </w:rPr>
              <w:t>15.747,07</w:t>
            </w:r>
          </w:p>
        </w:tc>
      </w:tr>
      <w:tr>
        <w:trPr>
          <w:trHeight w:val="315" w:hRule="atLeast"/>
        </w:trPr>
        <w:tc>
          <w:tcPr>
            <w:tcW w:w="5512" w:type="dxa"/>
          </w:tcPr>
          <w:p>
            <w:pPr>
              <w:pStyle w:val="TableParagraph"/>
              <w:spacing w:before="50"/>
              <w:ind w:left="50"/>
              <w:rPr>
                <w:sz w:val="18"/>
              </w:rPr>
            </w:pPr>
            <w:r>
              <w:rPr>
                <w:sz w:val="18"/>
              </w:rPr>
              <w:t>Ingresos</w:t>
            </w:r>
            <w:r>
              <w:rPr>
                <w:spacing w:val="-4"/>
                <w:sz w:val="18"/>
              </w:rPr>
              <w:t> </w:t>
            </w:r>
            <w:r>
              <w:rPr>
                <w:sz w:val="18"/>
              </w:rPr>
              <w:t>bono</w:t>
            </w:r>
            <w:r>
              <w:rPr>
                <w:spacing w:val="-3"/>
                <w:sz w:val="18"/>
              </w:rPr>
              <w:t> </w:t>
            </w:r>
            <w:r>
              <w:rPr>
                <w:spacing w:val="-2"/>
                <w:sz w:val="18"/>
              </w:rPr>
              <w:t>solidario</w:t>
            </w:r>
          </w:p>
        </w:tc>
        <w:tc>
          <w:tcPr>
            <w:tcW w:w="1339" w:type="dxa"/>
          </w:tcPr>
          <w:p>
            <w:pPr>
              <w:pStyle w:val="TableParagraph"/>
              <w:spacing w:before="50"/>
              <w:ind w:right="76"/>
              <w:jc w:val="right"/>
              <w:rPr>
                <w:sz w:val="18"/>
              </w:rPr>
            </w:pPr>
            <w:r>
              <w:rPr>
                <w:spacing w:val="-2"/>
                <w:sz w:val="18"/>
              </w:rPr>
              <w:t>11.422,73</w:t>
            </w:r>
          </w:p>
        </w:tc>
        <w:tc>
          <w:tcPr>
            <w:tcW w:w="1317" w:type="dxa"/>
          </w:tcPr>
          <w:p>
            <w:pPr>
              <w:pStyle w:val="TableParagraph"/>
              <w:spacing w:before="50"/>
              <w:ind w:right="66"/>
              <w:jc w:val="right"/>
              <w:rPr>
                <w:sz w:val="18"/>
              </w:rPr>
            </w:pPr>
            <w:r>
              <w:rPr>
                <w:spacing w:val="-2"/>
                <w:sz w:val="18"/>
              </w:rPr>
              <w:t>21.367,35</w:t>
            </w:r>
          </w:p>
        </w:tc>
      </w:tr>
      <w:tr>
        <w:trPr>
          <w:trHeight w:val="315" w:hRule="atLeast"/>
        </w:trPr>
        <w:tc>
          <w:tcPr>
            <w:tcW w:w="5512" w:type="dxa"/>
          </w:tcPr>
          <w:p>
            <w:pPr>
              <w:pStyle w:val="TableParagraph"/>
              <w:spacing w:before="52"/>
              <w:ind w:left="50"/>
              <w:rPr>
                <w:sz w:val="18"/>
              </w:rPr>
            </w:pPr>
            <w:r>
              <w:rPr>
                <w:sz w:val="18"/>
              </w:rPr>
              <w:t>Ingresos</w:t>
            </w:r>
            <w:r>
              <w:rPr>
                <w:spacing w:val="-4"/>
                <w:sz w:val="18"/>
              </w:rPr>
              <w:t> </w:t>
            </w:r>
            <w:r>
              <w:rPr>
                <w:sz w:val="18"/>
              </w:rPr>
              <w:t>bono</w:t>
            </w:r>
            <w:r>
              <w:rPr>
                <w:spacing w:val="-5"/>
                <w:sz w:val="18"/>
              </w:rPr>
              <w:t> </w:t>
            </w:r>
            <w:r>
              <w:rPr>
                <w:sz w:val="18"/>
              </w:rPr>
              <w:t>residente</w:t>
            </w:r>
            <w:r>
              <w:rPr>
                <w:spacing w:val="-4"/>
                <w:sz w:val="18"/>
              </w:rPr>
              <w:t> </w:t>
            </w:r>
            <w:r>
              <w:rPr>
                <w:spacing w:val="-2"/>
                <w:sz w:val="18"/>
              </w:rPr>
              <w:t>canario</w:t>
            </w:r>
          </w:p>
        </w:tc>
        <w:tc>
          <w:tcPr>
            <w:tcW w:w="1339" w:type="dxa"/>
          </w:tcPr>
          <w:p>
            <w:pPr>
              <w:pStyle w:val="TableParagraph"/>
              <w:spacing w:before="52"/>
              <w:ind w:right="75"/>
              <w:jc w:val="right"/>
              <w:rPr>
                <w:sz w:val="18"/>
              </w:rPr>
            </w:pPr>
            <w:r>
              <w:rPr>
                <w:spacing w:val="-2"/>
                <w:sz w:val="18"/>
              </w:rPr>
              <w:t>514.971,93</w:t>
            </w:r>
          </w:p>
        </w:tc>
        <w:tc>
          <w:tcPr>
            <w:tcW w:w="1317" w:type="dxa"/>
          </w:tcPr>
          <w:p>
            <w:pPr>
              <w:pStyle w:val="TableParagraph"/>
              <w:spacing w:before="52"/>
              <w:ind w:right="65"/>
              <w:jc w:val="right"/>
              <w:rPr>
                <w:sz w:val="18"/>
              </w:rPr>
            </w:pPr>
            <w:r>
              <w:rPr>
                <w:spacing w:val="-2"/>
                <w:sz w:val="18"/>
              </w:rPr>
              <w:t>622.335,12</w:t>
            </w:r>
          </w:p>
        </w:tc>
      </w:tr>
      <w:tr>
        <w:trPr>
          <w:trHeight w:val="314" w:hRule="atLeast"/>
        </w:trPr>
        <w:tc>
          <w:tcPr>
            <w:tcW w:w="5512" w:type="dxa"/>
          </w:tcPr>
          <w:p>
            <w:pPr>
              <w:pStyle w:val="TableParagraph"/>
              <w:spacing w:before="50"/>
              <w:ind w:left="50"/>
              <w:rPr>
                <w:sz w:val="18"/>
              </w:rPr>
            </w:pPr>
            <w:r>
              <w:rPr>
                <w:sz w:val="18"/>
              </w:rPr>
              <w:t>Ingresos</w:t>
            </w:r>
            <w:r>
              <w:rPr>
                <w:spacing w:val="-1"/>
                <w:sz w:val="18"/>
              </w:rPr>
              <w:t> </w:t>
            </w:r>
            <w:r>
              <w:rPr>
                <w:sz w:val="18"/>
              </w:rPr>
              <w:t>bono</w:t>
            </w:r>
            <w:r>
              <w:rPr>
                <w:spacing w:val="-5"/>
                <w:sz w:val="18"/>
              </w:rPr>
              <w:t> </w:t>
            </w:r>
            <w:r>
              <w:rPr>
                <w:sz w:val="18"/>
              </w:rPr>
              <w:t>Wawa</w:t>
            </w:r>
            <w:r>
              <w:rPr>
                <w:spacing w:val="-3"/>
                <w:sz w:val="18"/>
              </w:rPr>
              <w:t> </w:t>
            </w:r>
            <w:r>
              <w:rPr>
                <w:spacing w:val="-2"/>
                <w:sz w:val="18"/>
              </w:rPr>
              <w:t>joven</w:t>
            </w:r>
          </w:p>
        </w:tc>
        <w:tc>
          <w:tcPr>
            <w:tcW w:w="1339" w:type="dxa"/>
          </w:tcPr>
          <w:p>
            <w:pPr>
              <w:pStyle w:val="TableParagraph"/>
              <w:spacing w:before="50"/>
              <w:ind w:right="75"/>
              <w:jc w:val="right"/>
              <w:rPr>
                <w:sz w:val="18"/>
              </w:rPr>
            </w:pPr>
            <w:r>
              <w:rPr>
                <w:spacing w:val="-2"/>
                <w:sz w:val="18"/>
              </w:rPr>
              <w:t>216.741,49</w:t>
            </w:r>
          </w:p>
        </w:tc>
        <w:tc>
          <w:tcPr>
            <w:tcW w:w="1317" w:type="dxa"/>
          </w:tcPr>
          <w:p>
            <w:pPr>
              <w:pStyle w:val="TableParagraph"/>
              <w:spacing w:before="50"/>
              <w:ind w:right="65"/>
              <w:jc w:val="right"/>
              <w:rPr>
                <w:sz w:val="18"/>
              </w:rPr>
            </w:pPr>
            <w:r>
              <w:rPr>
                <w:spacing w:val="-2"/>
                <w:sz w:val="18"/>
              </w:rPr>
              <w:t>285.049,21</w:t>
            </w:r>
          </w:p>
        </w:tc>
      </w:tr>
      <w:tr>
        <w:trPr>
          <w:trHeight w:val="314" w:hRule="atLeast"/>
        </w:trPr>
        <w:tc>
          <w:tcPr>
            <w:tcW w:w="5512" w:type="dxa"/>
          </w:tcPr>
          <w:p>
            <w:pPr>
              <w:pStyle w:val="TableParagraph"/>
              <w:spacing w:before="50"/>
              <w:ind w:left="50"/>
              <w:rPr>
                <w:sz w:val="18"/>
              </w:rPr>
            </w:pPr>
            <w:r>
              <w:rPr>
                <w:sz w:val="18"/>
              </w:rPr>
              <w:t>Ingresos</w:t>
            </w:r>
            <w:r>
              <w:rPr>
                <w:spacing w:val="-4"/>
                <w:sz w:val="18"/>
              </w:rPr>
              <w:t> </w:t>
            </w:r>
            <w:r>
              <w:rPr>
                <w:sz w:val="18"/>
              </w:rPr>
              <w:t>bono</w:t>
            </w:r>
            <w:r>
              <w:rPr>
                <w:spacing w:val="-3"/>
                <w:sz w:val="18"/>
              </w:rPr>
              <w:t> </w:t>
            </w:r>
            <w:r>
              <w:rPr>
                <w:spacing w:val="-5"/>
                <w:sz w:val="18"/>
              </w:rPr>
              <w:t>oro</w:t>
            </w:r>
          </w:p>
        </w:tc>
        <w:tc>
          <w:tcPr>
            <w:tcW w:w="1339" w:type="dxa"/>
          </w:tcPr>
          <w:p>
            <w:pPr>
              <w:pStyle w:val="TableParagraph"/>
              <w:spacing w:before="50"/>
              <w:ind w:right="76"/>
              <w:jc w:val="right"/>
              <w:rPr>
                <w:sz w:val="18"/>
              </w:rPr>
            </w:pPr>
            <w:r>
              <w:rPr>
                <w:spacing w:val="-2"/>
                <w:sz w:val="18"/>
              </w:rPr>
              <w:t>5.195,42</w:t>
            </w:r>
          </w:p>
        </w:tc>
        <w:tc>
          <w:tcPr>
            <w:tcW w:w="1317" w:type="dxa"/>
          </w:tcPr>
          <w:p>
            <w:pPr>
              <w:pStyle w:val="TableParagraph"/>
              <w:spacing w:before="50"/>
              <w:ind w:right="65"/>
              <w:jc w:val="right"/>
              <w:rPr>
                <w:sz w:val="18"/>
              </w:rPr>
            </w:pPr>
            <w:r>
              <w:rPr>
                <w:spacing w:val="-2"/>
                <w:sz w:val="18"/>
              </w:rPr>
              <w:t>6.411,32</w:t>
            </w:r>
          </w:p>
        </w:tc>
      </w:tr>
      <w:tr>
        <w:trPr>
          <w:trHeight w:val="315" w:hRule="atLeast"/>
        </w:trPr>
        <w:tc>
          <w:tcPr>
            <w:tcW w:w="5512" w:type="dxa"/>
          </w:tcPr>
          <w:p>
            <w:pPr>
              <w:pStyle w:val="TableParagraph"/>
              <w:spacing w:before="50"/>
              <w:ind w:left="50"/>
              <w:rPr>
                <w:sz w:val="18"/>
              </w:rPr>
            </w:pPr>
            <w:r>
              <w:rPr>
                <w:sz w:val="18"/>
              </w:rPr>
              <w:t>Subvención</w:t>
            </w:r>
            <w:r>
              <w:rPr>
                <w:spacing w:val="1"/>
                <w:sz w:val="18"/>
              </w:rPr>
              <w:t> </w:t>
            </w:r>
            <w:r>
              <w:rPr>
                <w:spacing w:val="-2"/>
                <w:sz w:val="18"/>
              </w:rPr>
              <w:t>estudiante</w:t>
            </w:r>
          </w:p>
        </w:tc>
        <w:tc>
          <w:tcPr>
            <w:tcW w:w="1339" w:type="dxa"/>
          </w:tcPr>
          <w:p>
            <w:pPr>
              <w:pStyle w:val="TableParagraph"/>
              <w:spacing w:before="50"/>
              <w:ind w:right="75"/>
              <w:jc w:val="right"/>
              <w:rPr>
                <w:sz w:val="18"/>
              </w:rPr>
            </w:pPr>
            <w:r>
              <w:rPr>
                <w:spacing w:val="-2"/>
                <w:sz w:val="18"/>
              </w:rPr>
              <w:t>613.558,43</w:t>
            </w:r>
          </w:p>
        </w:tc>
        <w:tc>
          <w:tcPr>
            <w:tcW w:w="1317" w:type="dxa"/>
          </w:tcPr>
          <w:p>
            <w:pPr>
              <w:pStyle w:val="TableParagraph"/>
              <w:spacing w:before="50"/>
              <w:ind w:right="65"/>
              <w:jc w:val="right"/>
              <w:rPr>
                <w:sz w:val="18"/>
              </w:rPr>
            </w:pPr>
            <w:r>
              <w:rPr>
                <w:spacing w:val="-2"/>
                <w:sz w:val="18"/>
              </w:rPr>
              <w:t>613.558,43</w:t>
            </w:r>
          </w:p>
        </w:tc>
      </w:tr>
      <w:tr>
        <w:trPr>
          <w:trHeight w:val="315" w:hRule="atLeast"/>
        </w:trPr>
        <w:tc>
          <w:tcPr>
            <w:tcW w:w="5512" w:type="dxa"/>
          </w:tcPr>
          <w:p>
            <w:pPr>
              <w:pStyle w:val="TableParagraph"/>
              <w:spacing w:before="52"/>
              <w:ind w:left="50"/>
              <w:rPr>
                <w:sz w:val="18"/>
              </w:rPr>
            </w:pPr>
            <w:r>
              <w:rPr>
                <w:sz w:val="18"/>
              </w:rPr>
              <w:t>Subvención</w:t>
            </w:r>
            <w:r>
              <w:rPr>
                <w:spacing w:val="-4"/>
                <w:sz w:val="18"/>
              </w:rPr>
              <w:t> </w:t>
            </w:r>
            <w:r>
              <w:rPr>
                <w:sz w:val="18"/>
              </w:rPr>
              <w:t>jubilados,</w:t>
            </w:r>
            <w:r>
              <w:rPr>
                <w:spacing w:val="-4"/>
                <w:sz w:val="18"/>
              </w:rPr>
              <w:t> </w:t>
            </w:r>
            <w:r>
              <w:rPr>
                <w:sz w:val="18"/>
              </w:rPr>
              <w:t>familia</w:t>
            </w:r>
            <w:r>
              <w:rPr>
                <w:spacing w:val="-4"/>
                <w:sz w:val="18"/>
              </w:rPr>
              <w:t> </w:t>
            </w:r>
            <w:r>
              <w:rPr>
                <w:sz w:val="18"/>
              </w:rPr>
              <w:t>numerosa</w:t>
            </w:r>
            <w:r>
              <w:rPr>
                <w:spacing w:val="-3"/>
                <w:sz w:val="18"/>
              </w:rPr>
              <w:t> </w:t>
            </w:r>
            <w:r>
              <w:rPr>
                <w:spacing w:val="-2"/>
                <w:sz w:val="18"/>
              </w:rPr>
              <w:t>general/especial</w:t>
            </w:r>
          </w:p>
        </w:tc>
        <w:tc>
          <w:tcPr>
            <w:tcW w:w="1339" w:type="dxa"/>
          </w:tcPr>
          <w:p>
            <w:pPr>
              <w:pStyle w:val="TableParagraph"/>
              <w:spacing w:before="52"/>
              <w:ind w:right="76"/>
              <w:jc w:val="right"/>
              <w:rPr>
                <w:sz w:val="18"/>
              </w:rPr>
            </w:pPr>
            <w:r>
              <w:rPr>
                <w:spacing w:val="-2"/>
                <w:sz w:val="18"/>
              </w:rPr>
              <w:t>1.272.975,02</w:t>
            </w:r>
          </w:p>
        </w:tc>
        <w:tc>
          <w:tcPr>
            <w:tcW w:w="1317" w:type="dxa"/>
          </w:tcPr>
          <w:p>
            <w:pPr>
              <w:pStyle w:val="TableParagraph"/>
              <w:spacing w:before="52"/>
              <w:ind w:right="66"/>
              <w:jc w:val="right"/>
              <w:rPr>
                <w:sz w:val="18"/>
              </w:rPr>
            </w:pPr>
            <w:r>
              <w:rPr>
                <w:spacing w:val="-2"/>
                <w:sz w:val="18"/>
              </w:rPr>
              <w:t>1.317.678,07</w:t>
            </w:r>
          </w:p>
        </w:tc>
      </w:tr>
      <w:tr>
        <w:trPr>
          <w:trHeight w:val="314" w:hRule="atLeast"/>
        </w:trPr>
        <w:tc>
          <w:tcPr>
            <w:tcW w:w="5512" w:type="dxa"/>
          </w:tcPr>
          <w:p>
            <w:pPr>
              <w:pStyle w:val="TableParagraph"/>
              <w:spacing w:before="50"/>
              <w:ind w:left="50"/>
              <w:rPr>
                <w:sz w:val="18"/>
              </w:rPr>
            </w:pPr>
            <w:r>
              <w:rPr>
                <w:sz w:val="18"/>
              </w:rPr>
              <w:t>Subvención</w:t>
            </w:r>
            <w:r>
              <w:rPr>
                <w:spacing w:val="1"/>
                <w:sz w:val="18"/>
              </w:rPr>
              <w:t> </w:t>
            </w:r>
            <w:r>
              <w:rPr>
                <w:spacing w:val="-2"/>
                <w:sz w:val="18"/>
              </w:rPr>
              <w:t>desempleado</w:t>
            </w:r>
          </w:p>
        </w:tc>
        <w:tc>
          <w:tcPr>
            <w:tcW w:w="1339" w:type="dxa"/>
          </w:tcPr>
          <w:p>
            <w:pPr>
              <w:pStyle w:val="TableParagraph"/>
              <w:spacing w:before="50"/>
              <w:ind w:right="76"/>
              <w:jc w:val="right"/>
              <w:rPr>
                <w:sz w:val="18"/>
              </w:rPr>
            </w:pPr>
            <w:r>
              <w:rPr>
                <w:spacing w:val="-2"/>
                <w:sz w:val="18"/>
              </w:rPr>
              <w:t>67.332,15</w:t>
            </w:r>
          </w:p>
        </w:tc>
        <w:tc>
          <w:tcPr>
            <w:tcW w:w="1317" w:type="dxa"/>
          </w:tcPr>
          <w:p>
            <w:pPr>
              <w:pStyle w:val="TableParagraph"/>
              <w:spacing w:before="50"/>
              <w:ind w:right="65"/>
              <w:jc w:val="right"/>
              <w:rPr>
                <w:sz w:val="18"/>
              </w:rPr>
            </w:pPr>
            <w:r>
              <w:rPr>
                <w:spacing w:val="-2"/>
                <w:sz w:val="18"/>
              </w:rPr>
              <w:t>131.965,23</w:t>
            </w:r>
          </w:p>
        </w:tc>
      </w:tr>
      <w:tr>
        <w:trPr>
          <w:trHeight w:val="314" w:hRule="atLeast"/>
        </w:trPr>
        <w:tc>
          <w:tcPr>
            <w:tcW w:w="5512" w:type="dxa"/>
          </w:tcPr>
          <w:p>
            <w:pPr>
              <w:pStyle w:val="TableParagraph"/>
              <w:spacing w:before="50"/>
              <w:ind w:left="50"/>
              <w:rPr>
                <w:sz w:val="18"/>
              </w:rPr>
            </w:pPr>
            <w:r>
              <w:rPr>
                <w:sz w:val="18"/>
              </w:rPr>
              <w:t>Subvención</w:t>
            </w:r>
            <w:r>
              <w:rPr>
                <w:spacing w:val="-3"/>
                <w:sz w:val="18"/>
              </w:rPr>
              <w:t> </w:t>
            </w:r>
            <w:r>
              <w:rPr>
                <w:sz w:val="18"/>
              </w:rPr>
              <w:t>bono</w:t>
            </w:r>
            <w:r>
              <w:rPr>
                <w:spacing w:val="-4"/>
                <w:sz w:val="18"/>
              </w:rPr>
              <w:t> </w:t>
            </w:r>
            <w:r>
              <w:rPr>
                <w:sz w:val="18"/>
              </w:rPr>
              <w:t>Global-</w:t>
            </w:r>
            <w:r>
              <w:rPr>
                <w:spacing w:val="-2"/>
                <w:sz w:val="18"/>
              </w:rPr>
              <w:t>Guaguas</w:t>
            </w:r>
          </w:p>
        </w:tc>
        <w:tc>
          <w:tcPr>
            <w:tcW w:w="1339" w:type="dxa"/>
          </w:tcPr>
          <w:p>
            <w:pPr>
              <w:pStyle w:val="TableParagraph"/>
              <w:spacing w:before="50"/>
              <w:ind w:right="76"/>
              <w:jc w:val="right"/>
              <w:rPr>
                <w:sz w:val="18"/>
              </w:rPr>
            </w:pPr>
            <w:r>
              <w:rPr>
                <w:spacing w:val="-2"/>
                <w:sz w:val="18"/>
              </w:rPr>
              <w:t>1.716.347,79</w:t>
            </w:r>
          </w:p>
        </w:tc>
        <w:tc>
          <w:tcPr>
            <w:tcW w:w="1317" w:type="dxa"/>
          </w:tcPr>
          <w:p>
            <w:pPr>
              <w:pStyle w:val="TableParagraph"/>
              <w:spacing w:before="50"/>
              <w:ind w:right="66"/>
              <w:jc w:val="right"/>
              <w:rPr>
                <w:sz w:val="18"/>
              </w:rPr>
            </w:pPr>
            <w:r>
              <w:rPr>
                <w:spacing w:val="-2"/>
                <w:sz w:val="18"/>
              </w:rPr>
              <w:t>1.716.347,79</w:t>
            </w:r>
          </w:p>
        </w:tc>
      </w:tr>
      <w:tr>
        <w:trPr>
          <w:trHeight w:val="315" w:hRule="atLeast"/>
        </w:trPr>
        <w:tc>
          <w:tcPr>
            <w:tcW w:w="5512" w:type="dxa"/>
          </w:tcPr>
          <w:p>
            <w:pPr>
              <w:pStyle w:val="TableParagraph"/>
              <w:spacing w:before="50"/>
              <w:ind w:left="50"/>
              <w:rPr>
                <w:sz w:val="18"/>
              </w:rPr>
            </w:pPr>
            <w:r>
              <w:rPr>
                <w:sz w:val="18"/>
              </w:rPr>
              <w:t>Subvención</w:t>
            </w:r>
            <w:r>
              <w:rPr>
                <w:spacing w:val="-2"/>
                <w:sz w:val="18"/>
              </w:rPr>
              <w:t> </w:t>
            </w:r>
            <w:r>
              <w:rPr>
                <w:sz w:val="18"/>
              </w:rPr>
              <w:t>bono</w:t>
            </w:r>
            <w:r>
              <w:rPr>
                <w:spacing w:val="-4"/>
                <w:sz w:val="18"/>
              </w:rPr>
              <w:t> </w:t>
            </w:r>
            <w:r>
              <w:rPr>
                <w:sz w:val="18"/>
              </w:rPr>
              <w:t>Residente,</w:t>
            </w:r>
            <w:r>
              <w:rPr>
                <w:spacing w:val="-5"/>
                <w:sz w:val="18"/>
              </w:rPr>
              <w:t> </w:t>
            </w:r>
            <w:r>
              <w:rPr>
                <w:sz w:val="18"/>
              </w:rPr>
              <w:t>Wawa</w:t>
            </w:r>
            <w:r>
              <w:rPr>
                <w:spacing w:val="-4"/>
                <w:sz w:val="18"/>
              </w:rPr>
              <w:t> </w:t>
            </w:r>
            <w:r>
              <w:rPr>
                <w:sz w:val="18"/>
              </w:rPr>
              <w:t>Joven,</w:t>
            </w:r>
            <w:r>
              <w:rPr>
                <w:spacing w:val="-1"/>
                <w:sz w:val="18"/>
              </w:rPr>
              <w:t> </w:t>
            </w:r>
            <w:r>
              <w:rPr>
                <w:sz w:val="18"/>
              </w:rPr>
              <w:t>Oro</w:t>
            </w:r>
            <w:r>
              <w:rPr>
                <w:spacing w:val="-5"/>
                <w:sz w:val="18"/>
              </w:rPr>
              <w:t> </w:t>
            </w:r>
            <w:r>
              <w:rPr>
                <w:sz w:val="18"/>
              </w:rPr>
              <w:t>+</w:t>
            </w:r>
            <w:r>
              <w:rPr>
                <w:spacing w:val="-2"/>
                <w:sz w:val="18"/>
              </w:rPr>
              <w:t> </w:t>
            </w:r>
            <w:r>
              <w:rPr>
                <w:sz w:val="18"/>
              </w:rPr>
              <w:t>Otros</w:t>
            </w:r>
            <w:r>
              <w:rPr>
                <w:spacing w:val="-2"/>
                <w:sz w:val="18"/>
              </w:rPr>
              <w:t> </w:t>
            </w:r>
            <w:r>
              <w:rPr>
                <w:sz w:val="18"/>
              </w:rPr>
              <w:t>(nota</w:t>
            </w:r>
            <w:r>
              <w:rPr>
                <w:spacing w:val="-1"/>
                <w:sz w:val="18"/>
              </w:rPr>
              <w:t> </w:t>
            </w:r>
            <w:r>
              <w:rPr>
                <w:spacing w:val="-2"/>
                <w:sz w:val="18"/>
              </w:rPr>
              <w:t>13.1.)</w:t>
            </w:r>
          </w:p>
        </w:tc>
        <w:tc>
          <w:tcPr>
            <w:tcW w:w="1339" w:type="dxa"/>
          </w:tcPr>
          <w:p>
            <w:pPr>
              <w:pStyle w:val="TableParagraph"/>
              <w:spacing w:before="50"/>
              <w:ind w:right="75"/>
              <w:jc w:val="right"/>
              <w:rPr>
                <w:sz w:val="18"/>
              </w:rPr>
            </w:pPr>
            <w:r>
              <w:rPr>
                <w:spacing w:val="-2"/>
                <w:sz w:val="18"/>
              </w:rPr>
              <w:t>35.535.997,20</w:t>
            </w:r>
          </w:p>
        </w:tc>
        <w:tc>
          <w:tcPr>
            <w:tcW w:w="1317" w:type="dxa"/>
          </w:tcPr>
          <w:p>
            <w:pPr>
              <w:pStyle w:val="TableParagraph"/>
              <w:spacing w:before="50"/>
              <w:ind w:right="65"/>
              <w:jc w:val="right"/>
              <w:rPr>
                <w:sz w:val="18"/>
              </w:rPr>
            </w:pPr>
            <w:r>
              <w:rPr>
                <w:spacing w:val="-2"/>
                <w:sz w:val="18"/>
              </w:rPr>
              <w:t>28.131.095,10</w:t>
            </w:r>
          </w:p>
        </w:tc>
      </w:tr>
      <w:tr>
        <w:trPr>
          <w:trHeight w:val="315" w:hRule="atLeast"/>
        </w:trPr>
        <w:tc>
          <w:tcPr>
            <w:tcW w:w="5512" w:type="dxa"/>
          </w:tcPr>
          <w:p>
            <w:pPr>
              <w:pStyle w:val="TableParagraph"/>
              <w:spacing w:before="52"/>
              <w:ind w:left="50"/>
              <w:rPr>
                <w:sz w:val="18"/>
              </w:rPr>
            </w:pPr>
            <w:r>
              <w:rPr>
                <w:sz w:val="18"/>
              </w:rPr>
              <w:t>Subvención</w:t>
            </w:r>
            <w:r>
              <w:rPr>
                <w:spacing w:val="-2"/>
                <w:sz w:val="18"/>
              </w:rPr>
              <w:t> </w:t>
            </w:r>
            <w:r>
              <w:rPr>
                <w:sz w:val="18"/>
              </w:rPr>
              <w:t>Gobierno</w:t>
            </w:r>
            <w:r>
              <w:rPr>
                <w:spacing w:val="-4"/>
                <w:sz w:val="18"/>
              </w:rPr>
              <w:t> </w:t>
            </w:r>
            <w:r>
              <w:rPr>
                <w:sz w:val="18"/>
              </w:rPr>
              <w:t>Estatal</w:t>
            </w:r>
            <w:r>
              <w:rPr>
                <w:spacing w:val="-8"/>
                <w:sz w:val="18"/>
              </w:rPr>
              <w:t> </w:t>
            </w:r>
            <w:r>
              <w:rPr>
                <w:sz w:val="18"/>
              </w:rPr>
              <w:t>Reducción</w:t>
            </w:r>
            <w:r>
              <w:rPr>
                <w:spacing w:val="-1"/>
                <w:sz w:val="18"/>
              </w:rPr>
              <w:t> </w:t>
            </w:r>
            <w:r>
              <w:rPr>
                <w:sz w:val="18"/>
              </w:rPr>
              <w:t>Precio</w:t>
            </w:r>
            <w:r>
              <w:rPr>
                <w:spacing w:val="-5"/>
                <w:sz w:val="18"/>
              </w:rPr>
              <w:t> 20%</w:t>
            </w:r>
          </w:p>
        </w:tc>
        <w:tc>
          <w:tcPr>
            <w:tcW w:w="1339" w:type="dxa"/>
          </w:tcPr>
          <w:p>
            <w:pPr>
              <w:pStyle w:val="TableParagraph"/>
              <w:spacing w:before="52"/>
              <w:ind w:right="74"/>
              <w:jc w:val="right"/>
              <w:rPr>
                <w:sz w:val="18"/>
              </w:rPr>
            </w:pPr>
            <w:r>
              <w:rPr>
                <w:spacing w:val="-4"/>
                <w:sz w:val="18"/>
              </w:rPr>
              <w:t>0,00</w:t>
            </w:r>
          </w:p>
        </w:tc>
        <w:tc>
          <w:tcPr>
            <w:tcW w:w="1317" w:type="dxa"/>
          </w:tcPr>
          <w:p>
            <w:pPr>
              <w:pStyle w:val="TableParagraph"/>
              <w:spacing w:before="52"/>
              <w:ind w:right="66"/>
              <w:jc w:val="right"/>
              <w:rPr>
                <w:sz w:val="18"/>
              </w:rPr>
            </w:pPr>
            <w:r>
              <w:rPr>
                <w:spacing w:val="-2"/>
                <w:sz w:val="18"/>
              </w:rPr>
              <w:t>1.557.911,76</w:t>
            </w:r>
          </w:p>
        </w:tc>
      </w:tr>
      <w:tr>
        <w:trPr>
          <w:trHeight w:val="313" w:hRule="atLeast"/>
        </w:trPr>
        <w:tc>
          <w:tcPr>
            <w:tcW w:w="5512" w:type="dxa"/>
          </w:tcPr>
          <w:p>
            <w:pPr>
              <w:pStyle w:val="TableParagraph"/>
              <w:spacing w:before="50"/>
              <w:ind w:left="50"/>
              <w:rPr>
                <w:sz w:val="18"/>
              </w:rPr>
            </w:pPr>
            <w:r>
              <w:rPr>
                <w:sz w:val="18"/>
              </w:rPr>
              <w:t>Ventas</w:t>
            </w:r>
            <w:r>
              <w:rPr>
                <w:spacing w:val="-7"/>
                <w:sz w:val="18"/>
              </w:rPr>
              <w:t> </w:t>
            </w:r>
            <w:r>
              <w:rPr>
                <w:sz w:val="18"/>
              </w:rPr>
              <w:t>de</w:t>
            </w:r>
            <w:r>
              <w:rPr>
                <w:spacing w:val="-4"/>
                <w:sz w:val="18"/>
              </w:rPr>
              <w:t> </w:t>
            </w:r>
            <w:r>
              <w:rPr>
                <w:sz w:val="18"/>
              </w:rPr>
              <w:t>carnet</w:t>
            </w:r>
            <w:r>
              <w:rPr>
                <w:spacing w:val="-2"/>
                <w:sz w:val="18"/>
              </w:rPr>
              <w:t> </w:t>
            </w:r>
            <w:r>
              <w:rPr>
                <w:sz w:val="18"/>
              </w:rPr>
              <w:t>y</w:t>
            </w:r>
            <w:r>
              <w:rPr>
                <w:spacing w:val="-2"/>
                <w:sz w:val="18"/>
              </w:rPr>
              <w:t> </w:t>
            </w:r>
            <w:r>
              <w:rPr>
                <w:sz w:val="18"/>
              </w:rPr>
              <w:t>tarjeta recarga, </w:t>
            </w:r>
            <w:r>
              <w:rPr>
                <w:spacing w:val="-4"/>
                <w:sz w:val="18"/>
              </w:rPr>
              <w:t>otros</w:t>
            </w:r>
          </w:p>
        </w:tc>
        <w:tc>
          <w:tcPr>
            <w:tcW w:w="1339" w:type="dxa"/>
            <w:tcBorders>
              <w:bottom w:val="single" w:sz="4" w:space="0" w:color="000000"/>
            </w:tcBorders>
          </w:tcPr>
          <w:p>
            <w:pPr>
              <w:pStyle w:val="TableParagraph"/>
              <w:spacing w:before="50"/>
              <w:ind w:right="75"/>
              <w:jc w:val="right"/>
              <w:rPr>
                <w:sz w:val="18"/>
              </w:rPr>
            </w:pPr>
            <w:r>
              <w:rPr>
                <w:spacing w:val="-2"/>
                <w:sz w:val="18"/>
              </w:rPr>
              <w:t>251.283,03</w:t>
            </w:r>
          </w:p>
        </w:tc>
        <w:tc>
          <w:tcPr>
            <w:tcW w:w="1317" w:type="dxa"/>
            <w:tcBorders>
              <w:bottom w:val="single" w:sz="4" w:space="0" w:color="000000"/>
            </w:tcBorders>
          </w:tcPr>
          <w:p>
            <w:pPr>
              <w:pStyle w:val="TableParagraph"/>
              <w:spacing w:before="50"/>
              <w:ind w:right="66"/>
              <w:jc w:val="right"/>
              <w:rPr>
                <w:sz w:val="18"/>
              </w:rPr>
            </w:pPr>
            <w:r>
              <w:rPr>
                <w:spacing w:val="-2"/>
                <w:sz w:val="18"/>
              </w:rPr>
              <w:t>89.004,16</w:t>
            </w:r>
          </w:p>
        </w:tc>
      </w:tr>
      <w:tr>
        <w:trPr>
          <w:trHeight w:val="314" w:hRule="atLeast"/>
        </w:trPr>
        <w:tc>
          <w:tcPr>
            <w:tcW w:w="5512" w:type="dxa"/>
          </w:tcPr>
          <w:p>
            <w:pPr>
              <w:pStyle w:val="TableParagraph"/>
              <w:spacing w:before="47"/>
              <w:ind w:right="62"/>
              <w:jc w:val="right"/>
              <w:rPr>
                <w:b/>
                <w:sz w:val="18"/>
              </w:rPr>
            </w:pPr>
            <w:r>
              <w:rPr>
                <w:b/>
                <w:spacing w:val="-2"/>
                <w:sz w:val="18"/>
              </w:rPr>
              <w:t>TOTAL</w:t>
            </w:r>
          </w:p>
        </w:tc>
        <w:tc>
          <w:tcPr>
            <w:tcW w:w="1339" w:type="dxa"/>
            <w:tcBorders>
              <w:top w:val="single" w:sz="4" w:space="0" w:color="000000"/>
              <w:bottom w:val="single" w:sz="4" w:space="0" w:color="000000"/>
            </w:tcBorders>
          </w:tcPr>
          <w:p>
            <w:pPr>
              <w:pStyle w:val="TableParagraph"/>
              <w:spacing w:before="47"/>
              <w:ind w:right="92"/>
              <w:jc w:val="right"/>
              <w:rPr>
                <w:b/>
                <w:sz w:val="18"/>
              </w:rPr>
            </w:pPr>
            <w:r>
              <w:rPr>
                <w:b/>
                <w:spacing w:val="-2"/>
                <w:sz w:val="18"/>
              </w:rPr>
              <w:t>46.521.648,44</w:t>
            </w:r>
          </w:p>
        </w:tc>
        <w:tc>
          <w:tcPr>
            <w:tcW w:w="1317" w:type="dxa"/>
            <w:tcBorders>
              <w:top w:val="single" w:sz="4" w:space="0" w:color="000000"/>
              <w:bottom w:val="single" w:sz="4" w:space="0" w:color="000000"/>
            </w:tcBorders>
          </w:tcPr>
          <w:p>
            <w:pPr>
              <w:pStyle w:val="TableParagraph"/>
              <w:spacing w:before="47"/>
              <w:ind w:right="84"/>
              <w:jc w:val="right"/>
              <w:rPr>
                <w:b/>
                <w:sz w:val="18"/>
              </w:rPr>
            </w:pPr>
            <w:r>
              <w:rPr>
                <w:b/>
                <w:spacing w:val="-2"/>
                <w:sz w:val="18"/>
              </w:rPr>
              <w:t>40.769.348,73</w:t>
            </w:r>
          </w:p>
        </w:tc>
      </w:tr>
    </w:tbl>
    <w:p>
      <w:pPr>
        <w:pStyle w:val="TableParagraph"/>
        <w:spacing w:after="0"/>
        <w:jc w:val="right"/>
        <w:rPr>
          <w:b/>
          <w:sz w:val="18"/>
        </w:rPr>
        <w:sectPr>
          <w:pgSz w:w="11910" w:h="16840"/>
          <w:pgMar w:header="286" w:footer="1060" w:top="1920" w:bottom="1260" w:left="360" w:right="360"/>
        </w:sectPr>
      </w:pPr>
    </w:p>
    <w:p>
      <w:pPr>
        <w:pStyle w:val="BodyText"/>
        <w:spacing w:before="199"/>
      </w:pPr>
    </w:p>
    <w:p>
      <w:pPr>
        <w:pStyle w:val="Heading2"/>
        <w:ind w:left="2020" w:right="1308" w:hanging="680"/>
        <w:rPr>
          <w:u w:val="none"/>
        </w:rPr>
      </w:pPr>
      <w:r>
        <w:rPr>
          <w:u w:val="single"/>
        </w:rPr>
        <w:t>21.</w:t>
      </w:r>
      <w:r>
        <w:rPr>
          <w:spacing w:val="40"/>
          <w:u w:val="single"/>
        </w:rPr>
        <w:t> </w:t>
      </w:r>
      <w:r>
        <w:rPr>
          <w:u w:val="single"/>
        </w:rPr>
        <w:t>INFORMACION</w:t>
      </w:r>
      <w:r>
        <w:rPr>
          <w:spacing w:val="-2"/>
          <w:u w:val="single"/>
        </w:rPr>
        <w:t> </w:t>
      </w:r>
      <w:r>
        <w:rPr>
          <w:u w:val="single"/>
        </w:rPr>
        <w:t>SOBRE</w:t>
      </w:r>
      <w:r>
        <w:rPr>
          <w:spacing w:val="-5"/>
          <w:u w:val="single"/>
        </w:rPr>
        <w:t> </w:t>
      </w:r>
      <w:r>
        <w:rPr>
          <w:u w:val="single"/>
        </w:rPr>
        <w:t>LOS</w:t>
      </w:r>
      <w:r>
        <w:rPr>
          <w:spacing w:val="-1"/>
          <w:u w:val="single"/>
        </w:rPr>
        <w:t> </w:t>
      </w:r>
      <w:r>
        <w:rPr>
          <w:u w:val="single"/>
        </w:rPr>
        <w:t>APLAZAMIENTOS</w:t>
      </w:r>
      <w:r>
        <w:rPr>
          <w:spacing w:val="-6"/>
          <w:u w:val="single"/>
        </w:rPr>
        <w:t> </w:t>
      </w:r>
      <w:r>
        <w:rPr>
          <w:u w:val="single"/>
        </w:rPr>
        <w:t>DE</w:t>
      </w:r>
      <w:r>
        <w:rPr>
          <w:spacing w:val="-4"/>
          <w:u w:val="single"/>
        </w:rPr>
        <w:t> </w:t>
      </w:r>
      <w:r>
        <w:rPr>
          <w:u w:val="single"/>
        </w:rPr>
        <w:t>PAGO</w:t>
      </w:r>
      <w:r>
        <w:rPr>
          <w:spacing w:val="-5"/>
          <w:u w:val="single"/>
        </w:rPr>
        <w:t> </w:t>
      </w:r>
      <w:r>
        <w:rPr>
          <w:u w:val="single"/>
        </w:rPr>
        <w:t>EFECTUADOS</w:t>
      </w:r>
      <w:r>
        <w:rPr>
          <w:spacing w:val="-4"/>
          <w:u w:val="single"/>
        </w:rPr>
        <w:t> </w:t>
      </w:r>
      <w:r>
        <w:rPr>
          <w:u w:val="single"/>
        </w:rPr>
        <w:t>A</w:t>
      </w:r>
      <w:r>
        <w:rPr>
          <w:u w:val="none"/>
        </w:rPr>
        <w:t> </w:t>
      </w:r>
      <w:r>
        <w:rPr>
          <w:u w:val="single"/>
        </w:rPr>
        <w:t>PROVEEDORES. DISPOSICION ADICIONAL TERCERA «DEBER DE</w:t>
      </w:r>
      <w:r>
        <w:rPr>
          <w:u w:val="none"/>
        </w:rPr>
        <w:t> </w:t>
      </w:r>
      <w:r>
        <w:rPr>
          <w:u w:val="single"/>
        </w:rPr>
        <w:t>INFORMACION» DE LA LEY 15/2010, DE 5 DE JULIO.</w:t>
      </w:r>
    </w:p>
    <w:p>
      <w:pPr>
        <w:pStyle w:val="BodyText"/>
        <w:spacing w:before="1"/>
        <w:rPr>
          <w:b/>
        </w:rPr>
      </w:pPr>
    </w:p>
    <w:p>
      <w:pPr>
        <w:pStyle w:val="BodyText"/>
        <w:spacing w:before="1"/>
        <w:ind w:left="1341" w:right="1308"/>
      </w:pPr>
      <w:r>
        <w:rPr/>
        <w:t>En</w:t>
      </w:r>
      <w:r>
        <w:rPr>
          <w:spacing w:val="-1"/>
        </w:rPr>
        <w:t> </w:t>
      </w:r>
      <w:r>
        <w:rPr/>
        <w:t>cumplimiento</w:t>
      </w:r>
      <w:r>
        <w:rPr>
          <w:spacing w:val="-3"/>
        </w:rPr>
        <w:t> </w:t>
      </w:r>
      <w:r>
        <w:rPr/>
        <w:t>de</w:t>
      </w:r>
      <w:r>
        <w:rPr>
          <w:spacing w:val="-3"/>
        </w:rPr>
        <w:t> </w:t>
      </w:r>
      <w:r>
        <w:rPr/>
        <w:t>lo</w:t>
      </w:r>
      <w:r>
        <w:rPr>
          <w:spacing w:val="-3"/>
        </w:rPr>
        <w:t> </w:t>
      </w:r>
      <w:r>
        <w:rPr/>
        <w:t>establecido</w:t>
      </w:r>
      <w:r>
        <w:rPr>
          <w:spacing w:val="-1"/>
        </w:rPr>
        <w:t> </w:t>
      </w:r>
      <w:r>
        <w:rPr/>
        <w:t>en</w:t>
      </w:r>
      <w:r>
        <w:rPr>
          <w:spacing w:val="-1"/>
        </w:rPr>
        <w:t> </w:t>
      </w:r>
      <w:r>
        <w:rPr/>
        <w:t>la</w:t>
      </w:r>
      <w:r>
        <w:rPr>
          <w:spacing w:val="-3"/>
        </w:rPr>
        <w:t> </w:t>
      </w:r>
      <w:r>
        <w:rPr/>
        <w:t>disposición</w:t>
      </w:r>
      <w:r>
        <w:rPr>
          <w:spacing w:val="-1"/>
        </w:rPr>
        <w:t> </w:t>
      </w:r>
      <w:r>
        <w:rPr/>
        <w:t>adicional</w:t>
      </w:r>
      <w:r>
        <w:rPr>
          <w:spacing w:val="-1"/>
        </w:rPr>
        <w:t> </w:t>
      </w:r>
      <w:r>
        <w:rPr/>
        <w:t>tercera</w:t>
      </w:r>
      <w:r>
        <w:rPr>
          <w:spacing w:val="-3"/>
        </w:rPr>
        <w:t> </w:t>
      </w:r>
      <w:r>
        <w:rPr/>
        <w:t>de</w:t>
      </w:r>
      <w:r>
        <w:rPr>
          <w:spacing w:val="-3"/>
        </w:rPr>
        <w:t> </w:t>
      </w:r>
      <w:r>
        <w:rPr/>
        <w:t>la</w:t>
      </w:r>
      <w:r>
        <w:rPr>
          <w:spacing w:val="-3"/>
        </w:rPr>
        <w:t> </w:t>
      </w:r>
      <w:r>
        <w:rPr/>
        <w:t>Ley</w:t>
      </w:r>
      <w:r>
        <w:rPr>
          <w:spacing w:val="-5"/>
        </w:rPr>
        <w:t> </w:t>
      </w:r>
      <w:r>
        <w:rPr/>
        <w:t>15/2010,</w:t>
      </w:r>
      <w:r>
        <w:rPr>
          <w:spacing w:val="-1"/>
        </w:rPr>
        <w:t> </w:t>
      </w:r>
      <w:r>
        <w:rPr/>
        <w:t>de</w:t>
      </w:r>
      <w:r>
        <w:rPr>
          <w:spacing w:val="-1"/>
        </w:rPr>
        <w:t> </w:t>
      </w:r>
      <w:r>
        <w:rPr/>
        <w:t>5</w:t>
      </w:r>
      <w:r>
        <w:rPr>
          <w:spacing w:val="-1"/>
        </w:rPr>
        <w:t> </w:t>
      </w:r>
      <w:r>
        <w:rPr/>
        <w:t>de julio, la Sociedad comunica la siguiente información:</w:t>
      </w:r>
    </w:p>
    <w:p>
      <w:pPr>
        <w:pStyle w:val="BodyText"/>
      </w:pPr>
    </w:p>
    <w:p>
      <w:pPr>
        <w:pStyle w:val="BodyText"/>
        <w:spacing w:before="1" w:after="1"/>
      </w:pPr>
    </w:p>
    <w:tbl>
      <w:tblPr>
        <w:tblW w:w="0" w:type="auto"/>
        <w:jc w:val="left"/>
        <w:tblInd w:w="2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1"/>
        <w:gridCol w:w="1380"/>
        <w:gridCol w:w="1582"/>
      </w:tblGrid>
      <w:tr>
        <w:trPr>
          <w:trHeight w:val="299" w:hRule="atLeast"/>
        </w:trPr>
        <w:tc>
          <w:tcPr>
            <w:tcW w:w="3761" w:type="dxa"/>
            <w:tcBorders>
              <w:top w:val="nil"/>
              <w:left w:val="nil"/>
            </w:tcBorders>
          </w:tcPr>
          <w:p>
            <w:pPr>
              <w:pStyle w:val="TableParagraph"/>
              <w:rPr>
                <w:rFonts w:ascii="Times New Roman"/>
                <w:sz w:val="16"/>
              </w:rPr>
            </w:pPr>
          </w:p>
        </w:tc>
        <w:tc>
          <w:tcPr>
            <w:tcW w:w="1380" w:type="dxa"/>
          </w:tcPr>
          <w:p>
            <w:pPr>
              <w:pStyle w:val="TableParagraph"/>
              <w:spacing w:before="42"/>
              <w:ind w:left="9" w:right="2"/>
              <w:jc w:val="center"/>
              <w:rPr>
                <w:b/>
                <w:sz w:val="18"/>
              </w:rPr>
            </w:pPr>
            <w:r>
              <w:rPr>
                <w:b/>
                <w:sz w:val="18"/>
              </w:rPr>
              <w:t>Ejercicio</w:t>
            </w:r>
            <w:r>
              <w:rPr>
                <w:b/>
                <w:spacing w:val="-6"/>
                <w:sz w:val="18"/>
              </w:rPr>
              <w:t> </w:t>
            </w:r>
            <w:r>
              <w:rPr>
                <w:b/>
                <w:spacing w:val="-4"/>
                <w:sz w:val="18"/>
              </w:rPr>
              <w:t>2025</w:t>
            </w:r>
          </w:p>
        </w:tc>
        <w:tc>
          <w:tcPr>
            <w:tcW w:w="1582" w:type="dxa"/>
          </w:tcPr>
          <w:p>
            <w:pPr>
              <w:pStyle w:val="TableParagraph"/>
              <w:spacing w:before="42"/>
              <w:ind w:left="8" w:right="2"/>
              <w:jc w:val="center"/>
              <w:rPr>
                <w:b/>
                <w:sz w:val="18"/>
              </w:rPr>
            </w:pPr>
            <w:r>
              <w:rPr>
                <w:b/>
                <w:sz w:val="18"/>
              </w:rPr>
              <w:t>Ejercicio</w:t>
            </w:r>
            <w:r>
              <w:rPr>
                <w:b/>
                <w:spacing w:val="-6"/>
                <w:sz w:val="18"/>
              </w:rPr>
              <w:t> </w:t>
            </w:r>
            <w:r>
              <w:rPr>
                <w:b/>
                <w:spacing w:val="-4"/>
                <w:sz w:val="18"/>
              </w:rPr>
              <w:t>2024</w:t>
            </w:r>
          </w:p>
        </w:tc>
      </w:tr>
      <w:tr>
        <w:trPr>
          <w:trHeight w:val="301" w:hRule="atLeast"/>
        </w:trPr>
        <w:tc>
          <w:tcPr>
            <w:tcW w:w="3761" w:type="dxa"/>
          </w:tcPr>
          <w:p>
            <w:pPr>
              <w:pStyle w:val="TableParagraph"/>
              <w:spacing w:before="42"/>
              <w:ind w:left="69"/>
              <w:rPr>
                <w:b/>
                <w:sz w:val="18"/>
              </w:rPr>
            </w:pPr>
            <w:r>
              <w:rPr>
                <w:b/>
                <w:spacing w:val="-2"/>
                <w:sz w:val="18"/>
              </w:rPr>
              <w:t>Descripción</w:t>
            </w:r>
          </w:p>
        </w:tc>
        <w:tc>
          <w:tcPr>
            <w:tcW w:w="1380" w:type="dxa"/>
          </w:tcPr>
          <w:p>
            <w:pPr>
              <w:pStyle w:val="TableParagraph"/>
              <w:spacing w:before="42"/>
              <w:ind w:left="9" w:right="2"/>
              <w:jc w:val="center"/>
              <w:rPr>
                <w:b/>
                <w:sz w:val="18"/>
              </w:rPr>
            </w:pPr>
            <w:r>
              <w:rPr>
                <w:b/>
                <w:spacing w:val="-4"/>
                <w:sz w:val="18"/>
              </w:rPr>
              <w:t>Días</w:t>
            </w:r>
          </w:p>
        </w:tc>
        <w:tc>
          <w:tcPr>
            <w:tcW w:w="1582" w:type="dxa"/>
          </w:tcPr>
          <w:p>
            <w:pPr>
              <w:pStyle w:val="TableParagraph"/>
              <w:spacing w:before="42"/>
              <w:ind w:left="8" w:right="1"/>
              <w:jc w:val="center"/>
              <w:rPr>
                <w:b/>
                <w:sz w:val="18"/>
              </w:rPr>
            </w:pPr>
            <w:r>
              <w:rPr>
                <w:b/>
                <w:spacing w:val="-4"/>
                <w:sz w:val="18"/>
              </w:rPr>
              <w:t>Días</w:t>
            </w:r>
          </w:p>
        </w:tc>
      </w:tr>
      <w:tr>
        <w:trPr>
          <w:trHeight w:val="299" w:hRule="atLeast"/>
        </w:trPr>
        <w:tc>
          <w:tcPr>
            <w:tcW w:w="3761" w:type="dxa"/>
          </w:tcPr>
          <w:p>
            <w:pPr>
              <w:pStyle w:val="TableParagraph"/>
              <w:spacing w:before="44"/>
              <w:ind w:left="69"/>
              <w:rPr>
                <w:sz w:val="18"/>
              </w:rPr>
            </w:pPr>
            <w:r>
              <w:rPr>
                <w:sz w:val="18"/>
              </w:rPr>
              <w:t>Ratio</w:t>
            </w:r>
            <w:r>
              <w:rPr>
                <w:spacing w:val="-5"/>
                <w:sz w:val="18"/>
              </w:rPr>
              <w:t> </w:t>
            </w:r>
            <w:r>
              <w:rPr>
                <w:sz w:val="18"/>
              </w:rPr>
              <w:t>operaciones</w:t>
            </w:r>
            <w:r>
              <w:rPr>
                <w:spacing w:val="-4"/>
                <w:sz w:val="18"/>
              </w:rPr>
              <w:t> </w:t>
            </w:r>
            <w:r>
              <w:rPr>
                <w:spacing w:val="-2"/>
                <w:sz w:val="18"/>
              </w:rPr>
              <w:t>pagadas</w:t>
            </w:r>
          </w:p>
        </w:tc>
        <w:tc>
          <w:tcPr>
            <w:tcW w:w="1380" w:type="dxa"/>
          </w:tcPr>
          <w:p>
            <w:pPr>
              <w:pStyle w:val="TableParagraph"/>
              <w:spacing w:before="44"/>
              <w:ind w:left="9" w:right="2"/>
              <w:jc w:val="center"/>
              <w:rPr>
                <w:sz w:val="18"/>
              </w:rPr>
            </w:pPr>
            <w:r>
              <w:rPr>
                <w:spacing w:val="-2"/>
                <w:sz w:val="18"/>
              </w:rPr>
              <w:t>21,53</w:t>
            </w:r>
          </w:p>
        </w:tc>
        <w:tc>
          <w:tcPr>
            <w:tcW w:w="1582" w:type="dxa"/>
          </w:tcPr>
          <w:p>
            <w:pPr>
              <w:pStyle w:val="TableParagraph"/>
              <w:spacing w:before="44"/>
              <w:ind w:left="8" w:right="1"/>
              <w:jc w:val="center"/>
              <w:rPr>
                <w:sz w:val="18"/>
              </w:rPr>
            </w:pPr>
            <w:r>
              <w:rPr>
                <w:spacing w:val="-2"/>
                <w:sz w:val="18"/>
              </w:rPr>
              <w:t>22,12</w:t>
            </w:r>
          </w:p>
        </w:tc>
      </w:tr>
      <w:tr>
        <w:trPr>
          <w:trHeight w:val="299" w:hRule="atLeast"/>
        </w:trPr>
        <w:tc>
          <w:tcPr>
            <w:tcW w:w="3761" w:type="dxa"/>
          </w:tcPr>
          <w:p>
            <w:pPr>
              <w:pStyle w:val="TableParagraph"/>
              <w:spacing w:before="44"/>
              <w:ind w:left="69"/>
              <w:rPr>
                <w:sz w:val="18"/>
              </w:rPr>
            </w:pPr>
            <w:r>
              <w:rPr>
                <w:sz w:val="18"/>
              </w:rPr>
              <w:t>Ratio</w:t>
            </w:r>
            <w:r>
              <w:rPr>
                <w:spacing w:val="-5"/>
                <w:sz w:val="18"/>
              </w:rPr>
              <w:t> </w:t>
            </w:r>
            <w:r>
              <w:rPr>
                <w:sz w:val="18"/>
              </w:rPr>
              <w:t>operaciones</w:t>
            </w:r>
            <w:r>
              <w:rPr>
                <w:spacing w:val="-5"/>
                <w:sz w:val="18"/>
              </w:rPr>
              <w:t> </w:t>
            </w:r>
            <w:r>
              <w:rPr>
                <w:sz w:val="18"/>
              </w:rPr>
              <w:t>pendientes</w:t>
            </w:r>
            <w:r>
              <w:rPr>
                <w:spacing w:val="-4"/>
                <w:sz w:val="18"/>
              </w:rPr>
              <w:t> </w:t>
            </w:r>
            <w:r>
              <w:rPr>
                <w:sz w:val="18"/>
              </w:rPr>
              <w:t>de</w:t>
            </w:r>
            <w:r>
              <w:rPr>
                <w:spacing w:val="-4"/>
                <w:sz w:val="18"/>
              </w:rPr>
              <w:t> pago</w:t>
            </w:r>
          </w:p>
        </w:tc>
        <w:tc>
          <w:tcPr>
            <w:tcW w:w="1380" w:type="dxa"/>
          </w:tcPr>
          <w:p>
            <w:pPr>
              <w:pStyle w:val="TableParagraph"/>
              <w:spacing w:before="44"/>
              <w:ind w:left="9"/>
              <w:jc w:val="center"/>
              <w:rPr>
                <w:sz w:val="18"/>
              </w:rPr>
            </w:pPr>
            <w:r>
              <w:rPr>
                <w:spacing w:val="-4"/>
                <w:sz w:val="18"/>
              </w:rPr>
              <w:t>6,62</w:t>
            </w:r>
          </w:p>
        </w:tc>
        <w:tc>
          <w:tcPr>
            <w:tcW w:w="1582" w:type="dxa"/>
          </w:tcPr>
          <w:p>
            <w:pPr>
              <w:pStyle w:val="TableParagraph"/>
              <w:spacing w:before="44"/>
              <w:ind w:left="8"/>
              <w:jc w:val="center"/>
              <w:rPr>
                <w:sz w:val="18"/>
              </w:rPr>
            </w:pPr>
            <w:r>
              <w:rPr>
                <w:spacing w:val="-4"/>
                <w:sz w:val="18"/>
              </w:rPr>
              <w:t>7,91</w:t>
            </w:r>
          </w:p>
        </w:tc>
      </w:tr>
      <w:tr>
        <w:trPr>
          <w:trHeight w:val="299" w:hRule="atLeast"/>
        </w:trPr>
        <w:tc>
          <w:tcPr>
            <w:tcW w:w="3761" w:type="dxa"/>
          </w:tcPr>
          <w:p>
            <w:pPr>
              <w:pStyle w:val="TableParagraph"/>
              <w:spacing w:before="44"/>
              <w:ind w:left="69"/>
              <w:rPr>
                <w:sz w:val="18"/>
              </w:rPr>
            </w:pPr>
            <w:r>
              <w:rPr>
                <w:sz w:val="18"/>
              </w:rPr>
              <w:t>Período</w:t>
            </w:r>
            <w:r>
              <w:rPr>
                <w:spacing w:val="-3"/>
                <w:sz w:val="18"/>
              </w:rPr>
              <w:t> </w:t>
            </w:r>
            <w:r>
              <w:rPr>
                <w:sz w:val="18"/>
              </w:rPr>
              <w:t>medio</w:t>
            </w:r>
            <w:r>
              <w:rPr>
                <w:spacing w:val="-3"/>
                <w:sz w:val="18"/>
              </w:rPr>
              <w:t> </w:t>
            </w:r>
            <w:r>
              <w:rPr>
                <w:sz w:val="18"/>
              </w:rPr>
              <w:t>de pago</w:t>
            </w:r>
            <w:r>
              <w:rPr>
                <w:spacing w:val="-3"/>
                <w:sz w:val="18"/>
              </w:rPr>
              <w:t> </w:t>
            </w:r>
            <w:r>
              <w:rPr>
                <w:sz w:val="18"/>
              </w:rPr>
              <w:t>a</w:t>
            </w:r>
            <w:r>
              <w:rPr>
                <w:spacing w:val="1"/>
                <w:sz w:val="18"/>
              </w:rPr>
              <w:t> </w:t>
            </w:r>
            <w:r>
              <w:rPr>
                <w:spacing w:val="-2"/>
                <w:sz w:val="18"/>
              </w:rPr>
              <w:t>proveedores</w:t>
            </w:r>
          </w:p>
        </w:tc>
        <w:tc>
          <w:tcPr>
            <w:tcW w:w="1380" w:type="dxa"/>
          </w:tcPr>
          <w:p>
            <w:pPr>
              <w:pStyle w:val="TableParagraph"/>
              <w:spacing w:before="44"/>
              <w:ind w:left="9" w:right="2"/>
              <w:jc w:val="center"/>
              <w:rPr>
                <w:sz w:val="18"/>
              </w:rPr>
            </w:pPr>
            <w:r>
              <w:rPr>
                <w:spacing w:val="-2"/>
                <w:sz w:val="18"/>
              </w:rPr>
              <w:t>20,55</w:t>
            </w:r>
          </w:p>
        </w:tc>
        <w:tc>
          <w:tcPr>
            <w:tcW w:w="1582" w:type="dxa"/>
          </w:tcPr>
          <w:p>
            <w:pPr>
              <w:pStyle w:val="TableParagraph"/>
              <w:spacing w:before="44"/>
              <w:ind w:left="8" w:right="1"/>
              <w:jc w:val="center"/>
              <w:rPr>
                <w:sz w:val="18"/>
              </w:rPr>
            </w:pPr>
            <w:r>
              <w:rPr>
                <w:spacing w:val="-2"/>
                <w:sz w:val="18"/>
              </w:rPr>
              <w:t>21,31</w:t>
            </w:r>
          </w:p>
        </w:tc>
      </w:tr>
      <w:tr>
        <w:trPr>
          <w:trHeight w:val="299" w:hRule="atLeast"/>
        </w:trPr>
        <w:tc>
          <w:tcPr>
            <w:tcW w:w="3761" w:type="dxa"/>
            <w:tcBorders>
              <w:left w:val="nil"/>
            </w:tcBorders>
          </w:tcPr>
          <w:p>
            <w:pPr>
              <w:pStyle w:val="TableParagraph"/>
              <w:rPr>
                <w:rFonts w:ascii="Times New Roman"/>
                <w:sz w:val="16"/>
              </w:rPr>
            </w:pPr>
          </w:p>
        </w:tc>
        <w:tc>
          <w:tcPr>
            <w:tcW w:w="1380" w:type="dxa"/>
          </w:tcPr>
          <w:p>
            <w:pPr>
              <w:pStyle w:val="TableParagraph"/>
              <w:rPr>
                <w:rFonts w:ascii="Times New Roman"/>
                <w:sz w:val="16"/>
              </w:rPr>
            </w:pPr>
          </w:p>
        </w:tc>
        <w:tc>
          <w:tcPr>
            <w:tcW w:w="1582" w:type="dxa"/>
          </w:tcPr>
          <w:p>
            <w:pPr>
              <w:pStyle w:val="TableParagraph"/>
              <w:spacing w:before="42"/>
              <w:ind w:left="8" w:right="3"/>
              <w:jc w:val="center"/>
              <w:rPr>
                <w:b/>
                <w:sz w:val="18"/>
              </w:rPr>
            </w:pPr>
            <w:r>
              <w:rPr>
                <w:b/>
                <w:spacing w:val="-2"/>
                <w:sz w:val="18"/>
              </w:rPr>
              <w:t>Importe</w:t>
            </w:r>
          </w:p>
        </w:tc>
      </w:tr>
      <w:tr>
        <w:trPr>
          <w:trHeight w:val="299" w:hRule="atLeast"/>
        </w:trPr>
        <w:tc>
          <w:tcPr>
            <w:tcW w:w="3761" w:type="dxa"/>
          </w:tcPr>
          <w:p>
            <w:pPr>
              <w:pStyle w:val="TableParagraph"/>
              <w:spacing w:before="47"/>
              <w:ind w:left="69"/>
              <w:rPr>
                <w:sz w:val="18"/>
              </w:rPr>
            </w:pPr>
            <w:r>
              <w:rPr>
                <w:sz w:val="18"/>
              </w:rPr>
              <w:t>Total</w:t>
            </w:r>
            <w:r>
              <w:rPr>
                <w:spacing w:val="-3"/>
                <w:sz w:val="18"/>
              </w:rPr>
              <w:t> </w:t>
            </w:r>
            <w:r>
              <w:rPr>
                <w:sz w:val="18"/>
              </w:rPr>
              <w:t>pagos </w:t>
            </w:r>
            <w:r>
              <w:rPr>
                <w:spacing w:val="-2"/>
                <w:sz w:val="18"/>
              </w:rPr>
              <w:t>realizados</w:t>
            </w:r>
          </w:p>
        </w:tc>
        <w:tc>
          <w:tcPr>
            <w:tcW w:w="1380" w:type="dxa"/>
          </w:tcPr>
          <w:p>
            <w:pPr>
              <w:pStyle w:val="TableParagraph"/>
              <w:spacing w:before="47"/>
              <w:ind w:left="9" w:right="2"/>
              <w:jc w:val="center"/>
              <w:rPr>
                <w:sz w:val="18"/>
              </w:rPr>
            </w:pPr>
            <w:r>
              <w:rPr>
                <w:spacing w:val="-2"/>
                <w:sz w:val="18"/>
              </w:rPr>
              <w:t>20.812.148,65</w:t>
            </w:r>
          </w:p>
        </w:tc>
        <w:tc>
          <w:tcPr>
            <w:tcW w:w="1582" w:type="dxa"/>
          </w:tcPr>
          <w:p>
            <w:pPr>
              <w:pStyle w:val="TableParagraph"/>
              <w:spacing w:before="47"/>
              <w:ind w:left="8" w:right="1"/>
              <w:jc w:val="center"/>
              <w:rPr>
                <w:sz w:val="18"/>
              </w:rPr>
            </w:pPr>
            <w:r>
              <w:rPr>
                <w:spacing w:val="-2"/>
                <w:sz w:val="18"/>
              </w:rPr>
              <w:t>20.565.739,14</w:t>
            </w:r>
          </w:p>
        </w:tc>
      </w:tr>
      <w:tr>
        <w:trPr>
          <w:trHeight w:val="301" w:hRule="atLeast"/>
        </w:trPr>
        <w:tc>
          <w:tcPr>
            <w:tcW w:w="3761" w:type="dxa"/>
          </w:tcPr>
          <w:p>
            <w:pPr>
              <w:pStyle w:val="TableParagraph"/>
              <w:spacing w:before="47"/>
              <w:ind w:left="69"/>
              <w:rPr>
                <w:sz w:val="18"/>
              </w:rPr>
            </w:pPr>
            <w:r>
              <w:rPr>
                <w:sz w:val="18"/>
              </w:rPr>
              <w:t>Total</w:t>
            </w:r>
            <w:r>
              <w:rPr>
                <w:spacing w:val="-6"/>
                <w:sz w:val="18"/>
              </w:rPr>
              <w:t> </w:t>
            </w:r>
            <w:r>
              <w:rPr>
                <w:sz w:val="18"/>
              </w:rPr>
              <w:t>pendiente</w:t>
            </w:r>
            <w:r>
              <w:rPr>
                <w:spacing w:val="-1"/>
                <w:sz w:val="18"/>
              </w:rPr>
              <w:t> </w:t>
            </w:r>
            <w:r>
              <w:rPr>
                <w:spacing w:val="-4"/>
                <w:sz w:val="18"/>
              </w:rPr>
              <w:t>pago</w:t>
            </w:r>
          </w:p>
        </w:tc>
        <w:tc>
          <w:tcPr>
            <w:tcW w:w="1380" w:type="dxa"/>
          </w:tcPr>
          <w:p>
            <w:pPr>
              <w:pStyle w:val="TableParagraph"/>
              <w:spacing w:before="47"/>
              <w:ind w:left="9" w:right="3"/>
              <w:jc w:val="center"/>
              <w:rPr>
                <w:sz w:val="18"/>
              </w:rPr>
            </w:pPr>
            <w:r>
              <w:rPr>
                <w:spacing w:val="-2"/>
                <w:sz w:val="18"/>
              </w:rPr>
              <w:t>1.467.076,10</w:t>
            </w:r>
          </w:p>
        </w:tc>
        <w:tc>
          <w:tcPr>
            <w:tcW w:w="1582" w:type="dxa"/>
          </w:tcPr>
          <w:p>
            <w:pPr>
              <w:pStyle w:val="TableParagraph"/>
              <w:spacing w:before="47"/>
              <w:ind w:left="8" w:right="2"/>
              <w:jc w:val="center"/>
              <w:rPr>
                <w:sz w:val="18"/>
              </w:rPr>
            </w:pPr>
            <w:r>
              <w:rPr>
                <w:spacing w:val="-2"/>
                <w:sz w:val="18"/>
              </w:rPr>
              <w:t>1.240.905,00</w:t>
            </w:r>
          </w:p>
        </w:tc>
      </w:tr>
    </w:tbl>
    <w:p>
      <w:pPr>
        <w:pStyle w:val="BodyText"/>
        <w:spacing w:before="5"/>
      </w:pPr>
    </w:p>
    <w:tbl>
      <w:tblPr>
        <w:tblW w:w="0" w:type="auto"/>
        <w:jc w:val="left"/>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2"/>
        <w:gridCol w:w="1767"/>
        <w:gridCol w:w="1402"/>
      </w:tblGrid>
      <w:tr>
        <w:trPr>
          <w:trHeight w:val="299" w:hRule="atLeast"/>
        </w:trPr>
        <w:tc>
          <w:tcPr>
            <w:tcW w:w="2722" w:type="dxa"/>
            <w:tcBorders>
              <w:top w:val="nil"/>
              <w:left w:val="nil"/>
            </w:tcBorders>
          </w:tcPr>
          <w:p>
            <w:pPr>
              <w:pStyle w:val="TableParagraph"/>
              <w:rPr>
                <w:rFonts w:ascii="Times New Roman"/>
                <w:sz w:val="16"/>
              </w:rPr>
            </w:pPr>
          </w:p>
        </w:tc>
        <w:tc>
          <w:tcPr>
            <w:tcW w:w="3169" w:type="dxa"/>
            <w:gridSpan w:val="2"/>
          </w:tcPr>
          <w:p>
            <w:pPr>
              <w:pStyle w:val="TableParagraph"/>
              <w:spacing w:line="189" w:lineRule="exact" w:before="90"/>
              <w:ind w:left="7"/>
              <w:jc w:val="center"/>
              <w:rPr>
                <w:sz w:val="18"/>
              </w:rPr>
            </w:pPr>
            <w:r>
              <w:rPr>
                <w:spacing w:val="-4"/>
                <w:sz w:val="18"/>
              </w:rPr>
              <w:t>2025</w:t>
            </w:r>
          </w:p>
        </w:tc>
      </w:tr>
      <w:tr>
        <w:trPr>
          <w:trHeight w:val="599" w:hRule="atLeast"/>
        </w:trPr>
        <w:tc>
          <w:tcPr>
            <w:tcW w:w="2722" w:type="dxa"/>
          </w:tcPr>
          <w:p>
            <w:pPr>
              <w:pStyle w:val="TableParagraph"/>
              <w:spacing w:before="195"/>
              <w:ind w:left="69"/>
              <w:rPr>
                <w:sz w:val="18"/>
              </w:rPr>
            </w:pPr>
            <w:r>
              <w:rPr>
                <w:sz w:val="18"/>
              </w:rPr>
              <w:t>Plazo de</w:t>
            </w:r>
            <w:r>
              <w:rPr>
                <w:spacing w:val="-4"/>
                <w:sz w:val="18"/>
              </w:rPr>
              <w:t> </w:t>
            </w:r>
            <w:r>
              <w:rPr>
                <w:sz w:val="18"/>
              </w:rPr>
              <w:t>pago</w:t>
            </w:r>
            <w:r>
              <w:rPr>
                <w:spacing w:val="-4"/>
                <w:sz w:val="18"/>
              </w:rPr>
              <w:t> </w:t>
            </w:r>
            <w:r>
              <w:rPr>
                <w:sz w:val="18"/>
              </w:rPr>
              <w:t>facturas </w:t>
            </w:r>
            <w:r>
              <w:rPr>
                <w:spacing w:val="-2"/>
                <w:sz w:val="18"/>
              </w:rPr>
              <w:t>pagadas</w:t>
            </w:r>
          </w:p>
        </w:tc>
        <w:tc>
          <w:tcPr>
            <w:tcW w:w="1767" w:type="dxa"/>
          </w:tcPr>
          <w:p>
            <w:pPr>
              <w:pStyle w:val="TableParagraph"/>
              <w:spacing w:before="195"/>
              <w:ind w:left="9"/>
              <w:jc w:val="center"/>
              <w:rPr>
                <w:sz w:val="18"/>
              </w:rPr>
            </w:pPr>
            <w:r>
              <w:rPr>
                <w:sz w:val="18"/>
              </w:rPr>
              <w:t>Nº</w:t>
            </w:r>
            <w:r>
              <w:rPr>
                <w:spacing w:val="-2"/>
                <w:sz w:val="18"/>
              </w:rPr>
              <w:t> </w:t>
            </w:r>
            <w:r>
              <w:rPr>
                <w:sz w:val="18"/>
              </w:rPr>
              <w:t>facturas</w:t>
            </w:r>
            <w:r>
              <w:rPr>
                <w:spacing w:val="1"/>
                <w:sz w:val="18"/>
              </w:rPr>
              <w:t> </w:t>
            </w:r>
            <w:r>
              <w:rPr>
                <w:spacing w:val="-2"/>
                <w:sz w:val="18"/>
              </w:rPr>
              <w:t>pagadas</w:t>
            </w:r>
          </w:p>
        </w:tc>
        <w:tc>
          <w:tcPr>
            <w:tcW w:w="1402" w:type="dxa"/>
          </w:tcPr>
          <w:p>
            <w:pPr>
              <w:pStyle w:val="TableParagraph"/>
              <w:spacing w:before="195"/>
              <w:ind w:left="6"/>
              <w:jc w:val="center"/>
              <w:rPr>
                <w:sz w:val="18"/>
              </w:rPr>
            </w:pPr>
            <w:r>
              <w:rPr>
                <w:sz w:val="18"/>
              </w:rPr>
              <w:t>Importe</w:t>
            </w:r>
            <w:r>
              <w:rPr>
                <w:spacing w:val="-3"/>
                <w:sz w:val="18"/>
              </w:rPr>
              <w:t> </w:t>
            </w:r>
            <w:r>
              <w:rPr>
                <w:spacing w:val="-2"/>
                <w:sz w:val="18"/>
              </w:rPr>
              <w:t>pagado</w:t>
            </w:r>
          </w:p>
        </w:tc>
      </w:tr>
      <w:tr>
        <w:trPr>
          <w:trHeight w:val="299" w:hRule="atLeast"/>
        </w:trPr>
        <w:tc>
          <w:tcPr>
            <w:tcW w:w="2722" w:type="dxa"/>
          </w:tcPr>
          <w:p>
            <w:pPr>
              <w:pStyle w:val="TableParagraph"/>
              <w:spacing w:line="187" w:lineRule="exact" w:before="92"/>
              <w:ind w:left="9"/>
              <w:jc w:val="center"/>
              <w:rPr>
                <w:sz w:val="18"/>
              </w:rPr>
            </w:pPr>
            <w:r>
              <w:rPr>
                <w:sz w:val="18"/>
              </w:rPr>
              <w:t>=&lt;</w:t>
            </w:r>
            <w:r>
              <w:rPr>
                <w:spacing w:val="-2"/>
                <w:sz w:val="18"/>
              </w:rPr>
              <w:t> </w:t>
            </w:r>
            <w:r>
              <w:rPr>
                <w:sz w:val="18"/>
              </w:rPr>
              <w:t>30</w:t>
            </w:r>
            <w:r>
              <w:rPr>
                <w:spacing w:val="-1"/>
                <w:sz w:val="18"/>
              </w:rPr>
              <w:t> </w:t>
            </w:r>
            <w:r>
              <w:rPr>
                <w:spacing w:val="-4"/>
                <w:sz w:val="18"/>
              </w:rPr>
              <w:t>días</w:t>
            </w:r>
          </w:p>
        </w:tc>
        <w:tc>
          <w:tcPr>
            <w:tcW w:w="1767" w:type="dxa"/>
          </w:tcPr>
          <w:p>
            <w:pPr>
              <w:pStyle w:val="TableParagraph"/>
              <w:spacing w:line="187" w:lineRule="exact" w:before="92"/>
              <w:ind w:left="9"/>
              <w:jc w:val="center"/>
              <w:rPr>
                <w:sz w:val="18"/>
              </w:rPr>
            </w:pPr>
            <w:r>
              <w:rPr>
                <w:spacing w:val="-2"/>
                <w:sz w:val="18"/>
              </w:rPr>
              <w:t>6.328</w:t>
            </w:r>
          </w:p>
        </w:tc>
        <w:tc>
          <w:tcPr>
            <w:tcW w:w="1402" w:type="dxa"/>
          </w:tcPr>
          <w:p>
            <w:pPr>
              <w:pStyle w:val="TableParagraph"/>
              <w:spacing w:line="187" w:lineRule="exact" w:before="92"/>
              <w:ind w:left="6" w:right="3"/>
              <w:jc w:val="center"/>
              <w:rPr>
                <w:sz w:val="18"/>
              </w:rPr>
            </w:pPr>
            <w:r>
              <w:rPr>
                <w:spacing w:val="-2"/>
                <w:sz w:val="18"/>
              </w:rPr>
              <w:t>19.097.366,22</w:t>
            </w:r>
          </w:p>
        </w:tc>
      </w:tr>
      <w:tr>
        <w:trPr>
          <w:trHeight w:val="299" w:hRule="atLeast"/>
        </w:trPr>
        <w:tc>
          <w:tcPr>
            <w:tcW w:w="2722" w:type="dxa"/>
          </w:tcPr>
          <w:p>
            <w:pPr>
              <w:pStyle w:val="TableParagraph"/>
              <w:spacing w:line="187" w:lineRule="exact" w:before="92"/>
              <w:ind w:left="9" w:right="1"/>
              <w:jc w:val="center"/>
              <w:rPr>
                <w:sz w:val="18"/>
              </w:rPr>
            </w:pPr>
            <w:r>
              <w:rPr>
                <w:sz w:val="18"/>
              </w:rPr>
              <w:t>+ 30</w:t>
            </w:r>
            <w:r>
              <w:rPr>
                <w:spacing w:val="2"/>
                <w:sz w:val="18"/>
              </w:rPr>
              <w:t> </w:t>
            </w:r>
            <w:r>
              <w:rPr>
                <w:spacing w:val="-4"/>
                <w:sz w:val="18"/>
              </w:rPr>
              <w:t>días</w:t>
            </w:r>
          </w:p>
        </w:tc>
        <w:tc>
          <w:tcPr>
            <w:tcW w:w="1767" w:type="dxa"/>
          </w:tcPr>
          <w:p>
            <w:pPr>
              <w:pStyle w:val="TableParagraph"/>
              <w:spacing w:line="187" w:lineRule="exact" w:before="92"/>
              <w:ind w:left="9" w:right="3"/>
              <w:jc w:val="center"/>
              <w:rPr>
                <w:sz w:val="18"/>
              </w:rPr>
            </w:pPr>
            <w:r>
              <w:rPr>
                <w:spacing w:val="-5"/>
                <w:sz w:val="18"/>
              </w:rPr>
              <w:t>676</w:t>
            </w:r>
          </w:p>
        </w:tc>
        <w:tc>
          <w:tcPr>
            <w:tcW w:w="1402" w:type="dxa"/>
          </w:tcPr>
          <w:p>
            <w:pPr>
              <w:pStyle w:val="TableParagraph"/>
              <w:spacing w:line="187" w:lineRule="exact" w:before="92"/>
              <w:ind w:left="6" w:right="4"/>
              <w:jc w:val="center"/>
              <w:rPr>
                <w:sz w:val="18"/>
              </w:rPr>
            </w:pPr>
            <w:r>
              <w:rPr>
                <w:spacing w:val="-2"/>
                <w:sz w:val="18"/>
              </w:rPr>
              <w:t>1.714.782,43</w:t>
            </w:r>
          </w:p>
        </w:tc>
      </w:tr>
      <w:tr>
        <w:trPr>
          <w:trHeight w:val="301" w:hRule="atLeast"/>
        </w:trPr>
        <w:tc>
          <w:tcPr>
            <w:tcW w:w="2722" w:type="dxa"/>
          </w:tcPr>
          <w:p>
            <w:pPr>
              <w:pStyle w:val="TableParagraph"/>
              <w:spacing w:line="194" w:lineRule="exact" w:before="87"/>
              <w:ind w:left="69"/>
              <w:rPr>
                <w:b/>
                <w:sz w:val="18"/>
              </w:rPr>
            </w:pPr>
            <w:r>
              <w:rPr>
                <w:b/>
                <w:sz w:val="18"/>
              </w:rPr>
              <w:t>Total</w:t>
            </w:r>
            <w:r>
              <w:rPr>
                <w:b/>
                <w:spacing w:val="-3"/>
                <w:sz w:val="18"/>
              </w:rPr>
              <w:t> </w:t>
            </w:r>
            <w:r>
              <w:rPr>
                <w:b/>
                <w:sz w:val="18"/>
              </w:rPr>
              <w:t>facturas</w:t>
            </w:r>
            <w:r>
              <w:rPr>
                <w:b/>
                <w:spacing w:val="-2"/>
                <w:sz w:val="18"/>
              </w:rPr>
              <w:t> pagadas</w:t>
            </w:r>
          </w:p>
        </w:tc>
        <w:tc>
          <w:tcPr>
            <w:tcW w:w="1767" w:type="dxa"/>
          </w:tcPr>
          <w:p>
            <w:pPr>
              <w:pStyle w:val="TableParagraph"/>
              <w:spacing w:line="194" w:lineRule="exact" w:before="87"/>
              <w:ind w:left="9"/>
              <w:jc w:val="center"/>
              <w:rPr>
                <w:b/>
                <w:sz w:val="18"/>
              </w:rPr>
            </w:pPr>
            <w:r>
              <w:rPr>
                <w:b/>
                <w:spacing w:val="-2"/>
                <w:sz w:val="18"/>
              </w:rPr>
              <w:t>7.004</w:t>
            </w:r>
          </w:p>
        </w:tc>
        <w:tc>
          <w:tcPr>
            <w:tcW w:w="1402" w:type="dxa"/>
          </w:tcPr>
          <w:p>
            <w:pPr>
              <w:pStyle w:val="TableParagraph"/>
              <w:spacing w:line="194" w:lineRule="exact" w:before="87"/>
              <w:ind w:left="6" w:right="3"/>
              <w:jc w:val="center"/>
              <w:rPr>
                <w:b/>
                <w:sz w:val="18"/>
              </w:rPr>
            </w:pPr>
            <w:r>
              <w:rPr>
                <w:b/>
                <w:spacing w:val="-2"/>
                <w:sz w:val="18"/>
              </w:rPr>
              <w:t>20.812.148,65</w:t>
            </w:r>
          </w:p>
        </w:tc>
      </w:tr>
    </w:tbl>
    <w:p>
      <w:pPr>
        <w:pStyle w:val="BodyText"/>
      </w:pPr>
    </w:p>
    <w:p>
      <w:pPr>
        <w:pStyle w:val="BodyText"/>
        <w:spacing w:before="1"/>
      </w:pPr>
    </w:p>
    <w:tbl>
      <w:tblPr>
        <w:tblW w:w="0" w:type="auto"/>
        <w:jc w:val="left"/>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5"/>
        <w:gridCol w:w="1841"/>
        <w:gridCol w:w="1419"/>
      </w:tblGrid>
      <w:tr>
        <w:trPr>
          <w:trHeight w:val="299" w:hRule="atLeast"/>
        </w:trPr>
        <w:tc>
          <w:tcPr>
            <w:tcW w:w="2695" w:type="dxa"/>
            <w:tcBorders>
              <w:top w:val="nil"/>
              <w:left w:val="nil"/>
            </w:tcBorders>
          </w:tcPr>
          <w:p>
            <w:pPr>
              <w:pStyle w:val="TableParagraph"/>
              <w:rPr>
                <w:rFonts w:ascii="Times New Roman"/>
                <w:sz w:val="16"/>
              </w:rPr>
            </w:pPr>
          </w:p>
        </w:tc>
        <w:tc>
          <w:tcPr>
            <w:tcW w:w="3260" w:type="dxa"/>
            <w:gridSpan w:val="2"/>
          </w:tcPr>
          <w:p>
            <w:pPr>
              <w:pStyle w:val="TableParagraph"/>
              <w:spacing w:line="187" w:lineRule="exact" w:before="92"/>
              <w:ind w:left="4"/>
              <w:jc w:val="center"/>
              <w:rPr>
                <w:sz w:val="18"/>
              </w:rPr>
            </w:pPr>
            <w:r>
              <w:rPr>
                <w:spacing w:val="-4"/>
                <w:sz w:val="18"/>
              </w:rPr>
              <w:t>2025</w:t>
            </w:r>
          </w:p>
        </w:tc>
      </w:tr>
      <w:tr>
        <w:trPr>
          <w:trHeight w:val="602" w:hRule="atLeast"/>
        </w:trPr>
        <w:tc>
          <w:tcPr>
            <w:tcW w:w="2695" w:type="dxa"/>
          </w:tcPr>
          <w:p>
            <w:pPr>
              <w:pStyle w:val="TableParagraph"/>
              <w:spacing w:line="206" w:lineRule="exact" w:before="170"/>
              <w:ind w:left="1000" w:right="417" w:hanging="576"/>
              <w:rPr>
                <w:sz w:val="18"/>
              </w:rPr>
            </w:pPr>
            <w:r>
              <w:rPr>
                <w:sz w:val="18"/>
              </w:rPr>
              <w:t>Plazo</w:t>
            </w:r>
            <w:r>
              <w:rPr>
                <w:spacing w:val="-13"/>
                <w:sz w:val="18"/>
              </w:rPr>
              <w:t> </w:t>
            </w:r>
            <w:r>
              <w:rPr>
                <w:sz w:val="18"/>
              </w:rPr>
              <w:t>de</w:t>
            </w:r>
            <w:r>
              <w:rPr>
                <w:spacing w:val="-12"/>
                <w:sz w:val="18"/>
              </w:rPr>
              <w:t> </w:t>
            </w:r>
            <w:r>
              <w:rPr>
                <w:sz w:val="18"/>
              </w:rPr>
              <w:t>pago</w:t>
            </w:r>
            <w:r>
              <w:rPr>
                <w:spacing w:val="-13"/>
                <w:sz w:val="18"/>
              </w:rPr>
              <w:t> </w:t>
            </w:r>
            <w:r>
              <w:rPr>
                <w:sz w:val="18"/>
              </w:rPr>
              <w:t>facturas </w:t>
            </w:r>
            <w:r>
              <w:rPr>
                <w:spacing w:val="-2"/>
                <w:sz w:val="18"/>
              </w:rPr>
              <w:t>pagadas</w:t>
            </w:r>
          </w:p>
        </w:tc>
        <w:tc>
          <w:tcPr>
            <w:tcW w:w="1841" w:type="dxa"/>
          </w:tcPr>
          <w:p>
            <w:pPr>
              <w:pStyle w:val="TableParagraph"/>
              <w:spacing w:before="92"/>
              <w:ind w:left="566" w:hanging="207"/>
              <w:rPr>
                <w:sz w:val="18"/>
              </w:rPr>
            </w:pPr>
            <w:r>
              <w:rPr>
                <w:sz w:val="18"/>
              </w:rPr>
              <w:t>%</w:t>
            </w:r>
            <w:r>
              <w:rPr>
                <w:spacing w:val="-15"/>
                <w:sz w:val="18"/>
              </w:rPr>
              <w:t> </w:t>
            </w:r>
            <w:r>
              <w:rPr>
                <w:sz w:val="18"/>
              </w:rPr>
              <w:t>sobre</w:t>
            </w:r>
            <w:r>
              <w:rPr>
                <w:spacing w:val="-12"/>
                <w:sz w:val="18"/>
              </w:rPr>
              <w:t> </w:t>
            </w:r>
            <w:r>
              <w:rPr>
                <w:sz w:val="18"/>
              </w:rPr>
              <w:t>Total </w:t>
            </w:r>
            <w:r>
              <w:rPr>
                <w:spacing w:val="-2"/>
                <w:sz w:val="18"/>
              </w:rPr>
              <w:t>Facturas</w:t>
            </w:r>
          </w:p>
        </w:tc>
        <w:tc>
          <w:tcPr>
            <w:tcW w:w="1419" w:type="dxa"/>
          </w:tcPr>
          <w:p>
            <w:pPr>
              <w:pStyle w:val="TableParagraph"/>
              <w:spacing w:before="92"/>
              <w:ind w:left="426" w:hanging="276"/>
              <w:rPr>
                <w:sz w:val="18"/>
              </w:rPr>
            </w:pPr>
            <w:r>
              <w:rPr>
                <w:sz w:val="18"/>
              </w:rPr>
              <w:t>%</w:t>
            </w:r>
            <w:r>
              <w:rPr>
                <w:spacing w:val="-15"/>
                <w:sz w:val="18"/>
              </w:rPr>
              <w:t> </w:t>
            </w:r>
            <w:r>
              <w:rPr>
                <w:sz w:val="18"/>
              </w:rPr>
              <w:t>sobre</w:t>
            </w:r>
            <w:r>
              <w:rPr>
                <w:spacing w:val="-12"/>
                <w:sz w:val="18"/>
              </w:rPr>
              <w:t> </w:t>
            </w:r>
            <w:r>
              <w:rPr>
                <w:sz w:val="18"/>
              </w:rPr>
              <w:t>Total </w:t>
            </w:r>
            <w:r>
              <w:rPr>
                <w:spacing w:val="-2"/>
                <w:sz w:val="18"/>
              </w:rPr>
              <w:t>Importe</w:t>
            </w:r>
          </w:p>
        </w:tc>
      </w:tr>
      <w:tr>
        <w:trPr>
          <w:trHeight w:val="299" w:hRule="atLeast"/>
        </w:trPr>
        <w:tc>
          <w:tcPr>
            <w:tcW w:w="2695" w:type="dxa"/>
          </w:tcPr>
          <w:p>
            <w:pPr>
              <w:pStyle w:val="TableParagraph"/>
              <w:spacing w:line="189" w:lineRule="exact" w:before="90"/>
              <w:ind w:left="8"/>
              <w:jc w:val="center"/>
              <w:rPr>
                <w:sz w:val="18"/>
              </w:rPr>
            </w:pPr>
            <w:r>
              <w:rPr>
                <w:sz w:val="18"/>
              </w:rPr>
              <w:t>=&lt;</w:t>
            </w:r>
            <w:r>
              <w:rPr>
                <w:spacing w:val="-2"/>
                <w:sz w:val="18"/>
              </w:rPr>
              <w:t> </w:t>
            </w:r>
            <w:r>
              <w:rPr>
                <w:sz w:val="18"/>
              </w:rPr>
              <w:t>30</w:t>
            </w:r>
            <w:r>
              <w:rPr>
                <w:spacing w:val="-1"/>
                <w:sz w:val="18"/>
              </w:rPr>
              <w:t> </w:t>
            </w:r>
            <w:r>
              <w:rPr>
                <w:spacing w:val="-4"/>
                <w:sz w:val="18"/>
              </w:rPr>
              <w:t>días</w:t>
            </w:r>
          </w:p>
        </w:tc>
        <w:tc>
          <w:tcPr>
            <w:tcW w:w="1841" w:type="dxa"/>
          </w:tcPr>
          <w:p>
            <w:pPr>
              <w:pStyle w:val="TableParagraph"/>
              <w:spacing w:line="189" w:lineRule="exact" w:before="90"/>
              <w:ind w:left="6" w:right="2"/>
              <w:jc w:val="center"/>
              <w:rPr>
                <w:sz w:val="18"/>
              </w:rPr>
            </w:pPr>
            <w:r>
              <w:rPr>
                <w:spacing w:val="-2"/>
                <w:sz w:val="18"/>
              </w:rPr>
              <w:t>85,31%</w:t>
            </w:r>
          </w:p>
        </w:tc>
        <w:tc>
          <w:tcPr>
            <w:tcW w:w="1419" w:type="dxa"/>
          </w:tcPr>
          <w:p>
            <w:pPr>
              <w:pStyle w:val="TableParagraph"/>
              <w:spacing w:line="189" w:lineRule="exact" w:before="90"/>
              <w:ind w:left="8"/>
              <w:jc w:val="center"/>
              <w:rPr>
                <w:sz w:val="18"/>
              </w:rPr>
            </w:pPr>
            <w:r>
              <w:rPr>
                <w:spacing w:val="-2"/>
                <w:sz w:val="18"/>
              </w:rPr>
              <w:t>85,72%</w:t>
            </w:r>
          </w:p>
        </w:tc>
      </w:tr>
      <w:tr>
        <w:trPr>
          <w:trHeight w:val="299" w:hRule="atLeast"/>
        </w:trPr>
        <w:tc>
          <w:tcPr>
            <w:tcW w:w="2695" w:type="dxa"/>
          </w:tcPr>
          <w:p>
            <w:pPr>
              <w:pStyle w:val="TableParagraph"/>
              <w:spacing w:line="187" w:lineRule="exact" w:before="92"/>
              <w:ind w:left="8" w:right="1"/>
              <w:jc w:val="center"/>
              <w:rPr>
                <w:sz w:val="18"/>
              </w:rPr>
            </w:pPr>
            <w:r>
              <w:rPr>
                <w:sz w:val="18"/>
              </w:rPr>
              <w:t>+ 30</w:t>
            </w:r>
            <w:r>
              <w:rPr>
                <w:spacing w:val="2"/>
                <w:sz w:val="18"/>
              </w:rPr>
              <w:t> </w:t>
            </w:r>
            <w:r>
              <w:rPr>
                <w:spacing w:val="-4"/>
                <w:sz w:val="18"/>
              </w:rPr>
              <w:t>días</w:t>
            </w:r>
          </w:p>
        </w:tc>
        <w:tc>
          <w:tcPr>
            <w:tcW w:w="1841" w:type="dxa"/>
          </w:tcPr>
          <w:p>
            <w:pPr>
              <w:pStyle w:val="TableParagraph"/>
              <w:spacing w:line="187" w:lineRule="exact" w:before="92"/>
              <w:ind w:left="6"/>
              <w:jc w:val="center"/>
              <w:rPr>
                <w:sz w:val="18"/>
              </w:rPr>
            </w:pPr>
            <w:r>
              <w:rPr>
                <w:spacing w:val="-2"/>
                <w:sz w:val="18"/>
              </w:rPr>
              <w:t>9,11%</w:t>
            </w:r>
          </w:p>
        </w:tc>
        <w:tc>
          <w:tcPr>
            <w:tcW w:w="1419" w:type="dxa"/>
          </w:tcPr>
          <w:p>
            <w:pPr>
              <w:pStyle w:val="TableParagraph"/>
              <w:spacing w:line="187" w:lineRule="exact" w:before="92"/>
              <w:ind w:left="8" w:right="3"/>
              <w:jc w:val="center"/>
              <w:rPr>
                <w:sz w:val="18"/>
              </w:rPr>
            </w:pPr>
            <w:r>
              <w:rPr>
                <w:spacing w:val="-2"/>
                <w:sz w:val="18"/>
              </w:rPr>
              <w:t>7,70%</w:t>
            </w:r>
          </w:p>
        </w:tc>
      </w:tr>
    </w:tbl>
    <w:p>
      <w:pPr>
        <w:pStyle w:val="BodyText"/>
        <w:spacing w:before="229"/>
      </w:pPr>
    </w:p>
    <w:p>
      <w:pPr>
        <w:pStyle w:val="BodyText"/>
        <w:ind w:right="320"/>
        <w:jc w:val="center"/>
      </w:pPr>
      <w:r>
        <w:rPr/>
        <mc:AlternateContent>
          <mc:Choice Requires="wps">
            <w:drawing>
              <wp:anchor distT="0" distB="0" distL="0" distR="0" allowOverlap="1" layoutInCell="1" locked="0" behindDoc="0" simplePos="0" relativeHeight="15774208">
                <wp:simplePos x="0" y="0"/>
                <wp:positionH relativeFrom="page">
                  <wp:posOffset>6966436</wp:posOffset>
                </wp:positionH>
                <wp:positionV relativeFrom="paragraph">
                  <wp:posOffset>-584532</wp:posOffset>
                </wp:positionV>
                <wp:extent cx="263525" cy="327596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67</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46.026161pt;width:20.75pt;height:257.95pt;mso-position-horizontal-relative:page;mso-position-vertical-relative:paragraph;z-index:15774208" type="#_x0000_t202" id="docshape14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67</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4"/>
        </w:rPr>
        <w:t>Del</w:t>
      </w:r>
      <w:r>
        <w:rPr>
          <w:spacing w:val="-6"/>
        </w:rPr>
        <w:t> </w:t>
      </w:r>
      <w:r>
        <w:rPr>
          <w:spacing w:val="-4"/>
        </w:rPr>
        <w:t>total</w:t>
      </w:r>
      <w:r>
        <w:rPr>
          <w:spacing w:val="-6"/>
        </w:rPr>
        <w:t> </w:t>
      </w:r>
      <w:r>
        <w:rPr>
          <w:spacing w:val="-4"/>
        </w:rPr>
        <w:t>de las</w:t>
      </w:r>
      <w:r>
        <w:rPr>
          <w:spacing w:val="-2"/>
        </w:rPr>
        <w:t> </w:t>
      </w:r>
      <w:r>
        <w:rPr>
          <w:spacing w:val="-4"/>
        </w:rPr>
        <w:t>facturas</w:t>
      </w:r>
      <w:r>
        <w:rPr>
          <w:spacing w:val="-3"/>
        </w:rPr>
        <w:t> </w:t>
      </w:r>
      <w:r>
        <w:rPr>
          <w:spacing w:val="-4"/>
        </w:rPr>
        <w:t>pagadas</w:t>
      </w:r>
      <w:r>
        <w:rPr>
          <w:spacing w:val="-3"/>
        </w:rPr>
        <w:t> </w:t>
      </w:r>
      <w:r>
        <w:rPr>
          <w:spacing w:val="-4"/>
        </w:rPr>
        <w:t>durante el</w:t>
      </w:r>
      <w:r>
        <w:rPr>
          <w:spacing w:val="-5"/>
        </w:rPr>
        <w:t> </w:t>
      </w:r>
      <w:r>
        <w:rPr>
          <w:spacing w:val="-4"/>
        </w:rPr>
        <w:t>ejercicio 2025,</w:t>
      </w:r>
      <w:r>
        <w:rPr>
          <w:spacing w:val="-3"/>
        </w:rPr>
        <w:t> </w:t>
      </w:r>
      <w:r>
        <w:rPr>
          <w:spacing w:val="-4"/>
        </w:rPr>
        <w:t>el</w:t>
      </w:r>
      <w:r>
        <w:rPr>
          <w:spacing w:val="-6"/>
        </w:rPr>
        <w:t> </w:t>
      </w:r>
      <w:r>
        <w:rPr>
          <w:spacing w:val="-4"/>
        </w:rPr>
        <w:t>90,35%</w:t>
      </w:r>
      <w:r>
        <w:rPr>
          <w:spacing w:val="-2"/>
        </w:rPr>
        <w:t> </w:t>
      </w:r>
      <w:r>
        <w:rPr>
          <w:spacing w:val="-4"/>
        </w:rPr>
        <w:t>fueron pagadas</w:t>
      </w:r>
      <w:r>
        <w:rPr>
          <w:spacing w:val="-3"/>
        </w:rPr>
        <w:t> </w:t>
      </w:r>
      <w:r>
        <w:rPr>
          <w:spacing w:val="-4"/>
        </w:rPr>
        <w:t>en</w:t>
      </w:r>
      <w:r>
        <w:rPr>
          <w:spacing w:val="-5"/>
        </w:rPr>
        <w:t> </w:t>
      </w:r>
      <w:r>
        <w:rPr>
          <w:spacing w:val="-4"/>
        </w:rPr>
        <w:t>plazo.</w:t>
      </w:r>
    </w:p>
    <w:p>
      <w:pPr>
        <w:pStyle w:val="BodyText"/>
      </w:pPr>
    </w:p>
    <w:p>
      <w:pPr>
        <w:pStyle w:val="BodyText"/>
        <w:spacing w:before="229"/>
      </w:pPr>
    </w:p>
    <w:p>
      <w:pPr>
        <w:pStyle w:val="BodyText"/>
        <w:ind w:left="5195"/>
      </w:pPr>
      <w:r>
        <w:rPr>
          <w:spacing w:val="-2"/>
        </w:rPr>
        <w:t>Las</w:t>
      </w:r>
      <w:r>
        <w:rPr>
          <w:spacing w:val="-11"/>
        </w:rPr>
        <w:t> </w:t>
      </w:r>
      <w:r>
        <w:rPr>
          <w:spacing w:val="-2"/>
        </w:rPr>
        <w:t>Palmas</w:t>
      </w:r>
      <w:r>
        <w:rPr>
          <w:spacing w:val="-9"/>
        </w:rPr>
        <w:t> </w:t>
      </w:r>
      <w:r>
        <w:rPr>
          <w:spacing w:val="-2"/>
        </w:rPr>
        <w:t>de</w:t>
      </w:r>
      <w:r>
        <w:rPr>
          <w:spacing w:val="-12"/>
        </w:rPr>
        <w:t> </w:t>
      </w:r>
      <w:r>
        <w:rPr>
          <w:spacing w:val="-2"/>
        </w:rPr>
        <w:t>Gran</w:t>
      </w:r>
      <w:r>
        <w:rPr>
          <w:spacing w:val="-11"/>
        </w:rPr>
        <w:t> </w:t>
      </w:r>
      <w:r>
        <w:rPr>
          <w:spacing w:val="-2"/>
        </w:rPr>
        <w:t>Canaria,</w:t>
      </w:r>
      <w:r>
        <w:rPr>
          <w:spacing w:val="-11"/>
        </w:rPr>
        <w:t> </w:t>
      </w:r>
      <w:r>
        <w:rPr>
          <w:spacing w:val="-2"/>
        </w:rPr>
        <w:t>a</w:t>
      </w:r>
      <w:r>
        <w:rPr>
          <w:spacing w:val="-10"/>
        </w:rPr>
        <w:t> </w:t>
      </w:r>
      <w:r>
        <w:rPr>
          <w:spacing w:val="-2"/>
        </w:rPr>
        <w:t>23</w:t>
      </w:r>
      <w:r>
        <w:rPr>
          <w:spacing w:val="-11"/>
        </w:rPr>
        <w:t> </w:t>
      </w:r>
      <w:r>
        <w:rPr>
          <w:spacing w:val="-2"/>
        </w:rPr>
        <w:t>de</w:t>
      </w:r>
      <w:r>
        <w:rPr>
          <w:spacing w:val="-12"/>
        </w:rPr>
        <w:t> </w:t>
      </w:r>
      <w:r>
        <w:rPr>
          <w:spacing w:val="-2"/>
        </w:rPr>
        <w:t>marzo</w:t>
      </w:r>
      <w:r>
        <w:rPr>
          <w:spacing w:val="-10"/>
        </w:rPr>
        <w:t> </w:t>
      </w:r>
      <w:r>
        <w:rPr>
          <w:spacing w:val="-2"/>
        </w:rPr>
        <w:t>de</w:t>
      </w:r>
      <w:r>
        <w:rPr>
          <w:spacing w:val="-10"/>
        </w:rPr>
        <w:t> </w:t>
      </w:r>
      <w:r>
        <w:rPr>
          <w:spacing w:val="-4"/>
        </w:rPr>
        <w:t>2026.</w:t>
      </w:r>
    </w:p>
    <w:p>
      <w:pPr>
        <w:pStyle w:val="BodyText"/>
        <w:spacing w:after="0"/>
        <w:sectPr>
          <w:pgSz w:w="11910" w:h="16840"/>
          <w:pgMar w:header="286" w:footer="1060" w:top="1920" w:bottom="1260" w:left="360" w:right="360"/>
        </w:sectPr>
      </w:pPr>
    </w:p>
    <w:p>
      <w:pPr>
        <w:pStyle w:val="BodyText"/>
      </w:pPr>
    </w:p>
    <w:p>
      <w:pPr>
        <w:pStyle w:val="BodyText"/>
      </w:pPr>
    </w:p>
    <w:p>
      <w:pPr>
        <w:pStyle w:val="BodyText"/>
        <w:spacing w:before="17"/>
      </w:pPr>
    </w:p>
    <w:p>
      <w:pPr>
        <w:pStyle w:val="BodyText"/>
        <w:ind w:left="1341" w:right="1308"/>
      </w:pPr>
      <w:r>
        <w:rPr/>
        <w:t>Las</w:t>
      </w:r>
      <w:r>
        <w:rPr>
          <w:spacing w:val="80"/>
        </w:rPr>
        <w:t> </w:t>
      </w:r>
      <w:r>
        <w:rPr/>
        <w:t>presentes</w:t>
      </w:r>
      <w:r>
        <w:rPr>
          <w:spacing w:val="80"/>
        </w:rPr>
        <w:t> </w:t>
      </w:r>
      <w:r>
        <w:rPr/>
        <w:t>cuentas</w:t>
      </w:r>
      <w:r>
        <w:rPr>
          <w:spacing w:val="80"/>
        </w:rPr>
        <w:t> </w:t>
      </w:r>
      <w:r>
        <w:rPr/>
        <w:t>anuales</w:t>
      </w:r>
      <w:r>
        <w:rPr>
          <w:spacing w:val="80"/>
        </w:rPr>
        <w:t> </w:t>
      </w:r>
      <w:r>
        <w:rPr/>
        <w:t>han</w:t>
      </w:r>
      <w:r>
        <w:rPr>
          <w:spacing w:val="80"/>
        </w:rPr>
        <w:t> </w:t>
      </w:r>
      <w:r>
        <w:rPr/>
        <w:t>sido</w:t>
      </w:r>
      <w:r>
        <w:rPr>
          <w:spacing w:val="80"/>
        </w:rPr>
        <w:t> </w:t>
      </w:r>
      <w:r>
        <w:rPr/>
        <w:t>debidamente</w:t>
      </w:r>
      <w:r>
        <w:rPr>
          <w:spacing w:val="80"/>
        </w:rPr>
        <w:t> </w:t>
      </w:r>
      <w:r>
        <w:rPr/>
        <w:t>formuladas</w:t>
      </w:r>
      <w:r>
        <w:rPr>
          <w:spacing w:val="80"/>
        </w:rPr>
        <w:t> </w:t>
      </w:r>
      <w:r>
        <w:rPr/>
        <w:t>por</w:t>
      </w:r>
      <w:r>
        <w:rPr>
          <w:spacing w:val="80"/>
        </w:rPr>
        <w:t> </w:t>
      </w:r>
      <w:r>
        <w:rPr/>
        <w:t>el</w:t>
      </w:r>
      <w:r>
        <w:rPr>
          <w:spacing w:val="80"/>
        </w:rPr>
        <w:t> </w:t>
      </w:r>
      <w:r>
        <w:rPr/>
        <w:t>consejo</w:t>
      </w:r>
      <w:r>
        <w:rPr>
          <w:spacing w:val="80"/>
        </w:rPr>
        <w:t> </w:t>
      </w:r>
      <w:r>
        <w:rPr/>
        <w:t>de administración reunido para tal efecto con fecha 23 de marzo de 2026.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after="1"/>
      </w:pPr>
    </w:p>
    <w:p>
      <w:pPr>
        <w:tabs>
          <w:tab w:pos="5865" w:val="left" w:leader="none"/>
        </w:tabs>
        <w:spacing w:line="20" w:lineRule="exact"/>
        <w:ind w:left="1233" w:right="0" w:firstLine="0"/>
        <w:rPr>
          <w:sz w:val="2"/>
        </w:rPr>
      </w:pPr>
      <w:r>
        <w:rPr>
          <w:sz w:val="2"/>
        </w:rPr>
        <mc:AlternateContent>
          <mc:Choice Requires="wps">
            <w:drawing>
              <wp:inline distT="0" distB="0" distL="0" distR="0">
                <wp:extent cx="2597150" cy="6350"/>
                <wp:effectExtent l="0" t="0" r="0" b="0"/>
                <wp:docPr id="192" name="Group 192"/>
                <wp:cNvGraphicFramePr>
                  <a:graphicFrameLocks/>
                </wp:cNvGraphicFramePr>
                <a:graphic>
                  <a:graphicData uri="http://schemas.microsoft.com/office/word/2010/wordprocessingGroup">
                    <wpg:wgp>
                      <wpg:cNvPr id="192" name="Group 192"/>
                      <wpg:cNvGrpSpPr/>
                      <wpg:grpSpPr>
                        <a:xfrm>
                          <a:off x="0" y="0"/>
                          <a:ext cx="2597150" cy="6350"/>
                          <a:chExt cx="2597150" cy="6350"/>
                        </a:xfrm>
                      </wpg:grpSpPr>
                      <wps:wsp>
                        <wps:cNvPr id="193" name="Graphic 193"/>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41" coordorigin="0,0" coordsize="4090,10">
                <v:rect style="position:absolute;left:0;top:0;width:4090;height:10" id="docshape142" filled="true" fillcolor="#000000" stroked="false">
                  <v:fill type="solid"/>
                </v:rect>
              </v:group>
            </w:pict>
          </mc:Fallback>
        </mc:AlternateContent>
      </w:r>
      <w:r>
        <w:rPr>
          <w:sz w:val="2"/>
        </w:rPr>
      </w:r>
      <w:r>
        <w:rPr>
          <w:sz w:val="2"/>
        </w:rPr>
        <w:tab/>
      </w:r>
      <w:r>
        <w:rPr>
          <w:sz w:val="2"/>
        </w:rPr>
        <mc:AlternateContent>
          <mc:Choice Requires="wps">
            <w:drawing>
              <wp:inline distT="0" distB="0" distL="0" distR="0">
                <wp:extent cx="2597150" cy="6350"/>
                <wp:effectExtent l="0" t="0" r="0" b="0"/>
                <wp:docPr id="194" name="Group 194"/>
                <wp:cNvGraphicFramePr>
                  <a:graphicFrameLocks/>
                </wp:cNvGraphicFramePr>
                <a:graphic>
                  <a:graphicData uri="http://schemas.microsoft.com/office/word/2010/wordprocessingGroup">
                    <wpg:wgp>
                      <wpg:cNvPr id="194" name="Group 194"/>
                      <wpg:cNvGrpSpPr/>
                      <wpg:grpSpPr>
                        <a:xfrm>
                          <a:off x="0" y="0"/>
                          <a:ext cx="2597150" cy="6350"/>
                          <a:chExt cx="2597150" cy="6350"/>
                        </a:xfrm>
                      </wpg:grpSpPr>
                      <wps:wsp>
                        <wps:cNvPr id="195" name="Graphic 195"/>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43" coordorigin="0,0" coordsize="4090,10">
                <v:rect style="position:absolute;left:0;top:0;width:4090;height:10" id="docshape144" filled="true" fillcolor="#000000" stroked="false">
                  <v:fill type="solid"/>
                </v:rect>
              </v:group>
            </w:pict>
          </mc:Fallback>
        </mc:AlternateContent>
      </w:r>
      <w:r>
        <w:rPr>
          <w:sz w:val="2"/>
        </w:rPr>
      </w:r>
    </w:p>
    <w:p>
      <w:pPr>
        <w:spacing w:after="0" w:line="20" w:lineRule="exact"/>
        <w:rPr>
          <w:sz w:val="2"/>
        </w:rPr>
        <w:sectPr>
          <w:pgSz w:w="11910" w:h="16840"/>
          <w:pgMar w:header="286" w:footer="1060" w:top="1920" w:bottom="1260" w:left="360" w:right="360"/>
        </w:sectPr>
      </w:pPr>
    </w:p>
    <w:p>
      <w:pPr>
        <w:spacing w:line="195" w:lineRule="exact" w:before="0"/>
        <w:ind w:left="1787" w:right="0" w:firstLine="0"/>
        <w:jc w:val="center"/>
        <w:rPr>
          <w:sz w:val="18"/>
        </w:rPr>
      </w:pPr>
      <w:r>
        <w:rPr>
          <w:spacing w:val="-4"/>
          <w:sz w:val="18"/>
        </w:rPr>
        <w:t>Fdo.:</w:t>
      </w:r>
      <w:r>
        <w:rPr>
          <w:spacing w:val="-1"/>
          <w:sz w:val="18"/>
        </w:rPr>
        <w:t> </w:t>
      </w:r>
      <w:r>
        <w:rPr>
          <w:spacing w:val="-4"/>
          <w:sz w:val="18"/>
        </w:rPr>
        <w:t>José</w:t>
      </w:r>
      <w:r>
        <w:rPr>
          <w:spacing w:val="-1"/>
          <w:sz w:val="18"/>
        </w:rPr>
        <w:t> </w:t>
      </w:r>
      <w:r>
        <w:rPr>
          <w:spacing w:val="-4"/>
          <w:sz w:val="18"/>
        </w:rPr>
        <w:t>Eduardo</w:t>
      </w:r>
      <w:r>
        <w:rPr>
          <w:spacing w:val="3"/>
          <w:sz w:val="18"/>
        </w:rPr>
        <w:t> </w:t>
      </w:r>
      <w:r>
        <w:rPr>
          <w:spacing w:val="-4"/>
          <w:sz w:val="18"/>
        </w:rPr>
        <w:t>Ramírez</w:t>
      </w:r>
      <w:r>
        <w:rPr>
          <w:sz w:val="18"/>
        </w:rPr>
        <w:t> </w:t>
      </w:r>
      <w:r>
        <w:rPr>
          <w:spacing w:val="-4"/>
          <w:sz w:val="18"/>
        </w:rPr>
        <w:t>Hermoso</w:t>
      </w:r>
    </w:p>
    <w:p>
      <w:pPr>
        <w:spacing w:line="207" w:lineRule="exact" w:before="0"/>
        <w:ind w:left="1789" w:right="0" w:firstLine="0"/>
        <w:jc w:val="center"/>
        <w:rPr>
          <w:sz w:val="18"/>
        </w:rPr>
      </w:pPr>
      <w:r>
        <w:rPr>
          <w:spacing w:val="-2"/>
          <w:sz w:val="18"/>
        </w:rPr>
        <w:t>(Presidente)</w:t>
      </w:r>
    </w:p>
    <w:p>
      <w:pPr>
        <w:spacing w:line="195" w:lineRule="exact" w:before="0"/>
        <w:ind w:left="5" w:right="177" w:firstLine="0"/>
        <w:jc w:val="center"/>
        <w:rPr>
          <w:sz w:val="18"/>
        </w:rPr>
      </w:pPr>
      <w:r>
        <w:rPr/>
        <w:br w:type="column"/>
      </w:r>
      <w:r>
        <w:rPr>
          <w:spacing w:val="-4"/>
          <w:sz w:val="18"/>
        </w:rPr>
        <w:t>Fdo.:</w:t>
      </w:r>
      <w:r>
        <w:rPr>
          <w:spacing w:val="-2"/>
          <w:sz w:val="18"/>
        </w:rPr>
        <w:t> </w:t>
      </w:r>
      <w:r>
        <w:rPr>
          <w:spacing w:val="-4"/>
          <w:sz w:val="18"/>
        </w:rPr>
        <w:t>Mauricio</w:t>
      </w:r>
      <w:r>
        <w:rPr>
          <w:spacing w:val="-1"/>
          <w:sz w:val="18"/>
        </w:rPr>
        <w:t> </w:t>
      </w:r>
      <w:r>
        <w:rPr>
          <w:spacing w:val="-4"/>
          <w:sz w:val="18"/>
        </w:rPr>
        <w:t>Aurelio</w:t>
      </w:r>
      <w:r>
        <w:rPr>
          <w:spacing w:val="3"/>
          <w:sz w:val="18"/>
        </w:rPr>
        <w:t> </w:t>
      </w:r>
      <w:r>
        <w:rPr>
          <w:spacing w:val="-4"/>
          <w:sz w:val="18"/>
        </w:rPr>
        <w:t>Roque</w:t>
      </w:r>
      <w:r>
        <w:rPr>
          <w:spacing w:val="4"/>
          <w:sz w:val="18"/>
        </w:rPr>
        <w:t> </w:t>
      </w:r>
      <w:r>
        <w:rPr>
          <w:spacing w:val="-4"/>
          <w:sz w:val="18"/>
        </w:rPr>
        <w:t>González</w:t>
      </w:r>
    </w:p>
    <w:p>
      <w:pPr>
        <w:spacing w:line="207" w:lineRule="exact" w:before="0"/>
        <w:ind w:left="0" w:right="177" w:firstLine="0"/>
        <w:jc w:val="center"/>
        <w:rPr>
          <w:sz w:val="18"/>
        </w:rPr>
      </w:pPr>
      <w:r>
        <w:rPr>
          <w:spacing w:val="-2"/>
          <w:sz w:val="18"/>
        </w:rPr>
        <w:t>(Consejero)</w:t>
      </w:r>
    </w:p>
    <w:p>
      <w:pPr>
        <w:spacing w:after="0" w:line="207" w:lineRule="exact"/>
        <w:jc w:val="center"/>
        <w:rPr>
          <w:sz w:val="18"/>
        </w:rPr>
        <w:sectPr>
          <w:type w:val="continuous"/>
          <w:pgSz w:w="11910" w:h="16840"/>
          <w:pgMar w:header="286" w:footer="1060" w:top="1700" w:bottom="1040" w:left="360" w:right="360"/>
          <w:cols w:num="2" w:equalWidth="0">
            <w:col w:w="4773" w:space="40"/>
            <w:col w:w="6377"/>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spacing w:before="0"/>
        <w:ind w:left="1341" w:right="0" w:firstLine="0"/>
        <w:jc w:val="left"/>
        <w:rPr>
          <w:b/>
          <w:i/>
          <w:sz w:val="18"/>
        </w:rPr>
      </w:pPr>
      <w:r>
        <w:rPr>
          <w:b/>
          <w:i/>
          <w:spacing w:val="-2"/>
          <w:sz w:val="18"/>
        </w:rPr>
        <w:t>Ausente.</w:t>
      </w:r>
    </w:p>
    <w:p>
      <w:pPr>
        <w:pStyle w:val="BodyText"/>
        <w:spacing w:before="95"/>
        <w:rPr>
          <w:b/>
          <w:i/>
        </w:rPr>
      </w:pPr>
    </w:p>
    <w:p>
      <w:pPr>
        <w:tabs>
          <w:tab w:pos="5865" w:val="left" w:leader="none"/>
        </w:tabs>
        <w:spacing w:line="20" w:lineRule="exact"/>
        <w:ind w:left="1233" w:right="0" w:firstLine="0"/>
        <w:rPr>
          <w:sz w:val="2"/>
        </w:rPr>
      </w:pPr>
      <w:r>
        <w:rPr>
          <w:sz w:val="2"/>
        </w:rPr>
        <mc:AlternateContent>
          <mc:Choice Requires="wps">
            <w:drawing>
              <wp:inline distT="0" distB="0" distL="0" distR="0">
                <wp:extent cx="2597150" cy="6350"/>
                <wp:effectExtent l="0" t="0" r="0" b="0"/>
                <wp:docPr id="196" name="Group 196"/>
                <wp:cNvGraphicFramePr>
                  <a:graphicFrameLocks/>
                </wp:cNvGraphicFramePr>
                <a:graphic>
                  <a:graphicData uri="http://schemas.microsoft.com/office/word/2010/wordprocessingGroup">
                    <wpg:wgp>
                      <wpg:cNvPr id="196" name="Group 196"/>
                      <wpg:cNvGrpSpPr/>
                      <wpg:grpSpPr>
                        <a:xfrm>
                          <a:off x="0" y="0"/>
                          <a:ext cx="2597150" cy="6350"/>
                          <a:chExt cx="2597150" cy="6350"/>
                        </a:xfrm>
                      </wpg:grpSpPr>
                      <wps:wsp>
                        <wps:cNvPr id="197" name="Graphic 197"/>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45" coordorigin="0,0" coordsize="4090,10">
                <v:rect style="position:absolute;left:0;top:0;width:4090;height:10" id="docshape146" filled="true" fillcolor="#000000" stroked="false">
                  <v:fill type="solid"/>
                </v:rect>
              </v:group>
            </w:pict>
          </mc:Fallback>
        </mc:AlternateContent>
      </w:r>
      <w:r>
        <w:rPr>
          <w:sz w:val="2"/>
        </w:rPr>
      </w:r>
      <w:r>
        <w:rPr>
          <w:sz w:val="2"/>
        </w:rPr>
        <w:tab/>
      </w:r>
      <w:r>
        <w:rPr>
          <w:sz w:val="2"/>
        </w:rPr>
        <mc:AlternateContent>
          <mc:Choice Requires="wps">
            <w:drawing>
              <wp:inline distT="0" distB="0" distL="0" distR="0">
                <wp:extent cx="2597150" cy="6350"/>
                <wp:effectExtent l="0" t="0" r="0" b="0"/>
                <wp:docPr id="198" name="Group 198"/>
                <wp:cNvGraphicFramePr>
                  <a:graphicFrameLocks/>
                </wp:cNvGraphicFramePr>
                <a:graphic>
                  <a:graphicData uri="http://schemas.microsoft.com/office/word/2010/wordprocessingGroup">
                    <wpg:wgp>
                      <wpg:cNvPr id="198" name="Group 198"/>
                      <wpg:cNvGrpSpPr/>
                      <wpg:grpSpPr>
                        <a:xfrm>
                          <a:off x="0" y="0"/>
                          <a:ext cx="2597150" cy="6350"/>
                          <a:chExt cx="2597150" cy="6350"/>
                        </a:xfrm>
                      </wpg:grpSpPr>
                      <wps:wsp>
                        <wps:cNvPr id="199" name="Graphic 199"/>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47" coordorigin="0,0" coordsize="4090,10">
                <v:rect style="position:absolute;left:0;top:0;width:4090;height:10" id="docshape148" filled="true" fillcolor="#000000" stroked="false">
                  <v:fill type="solid"/>
                </v:rect>
              </v:group>
            </w:pict>
          </mc:Fallback>
        </mc:AlternateContent>
      </w:r>
      <w:r>
        <w:rPr>
          <w:sz w:val="2"/>
        </w:rPr>
      </w:r>
    </w:p>
    <w:p>
      <w:pPr>
        <w:spacing w:after="0" w:line="20" w:lineRule="exact"/>
        <w:rPr>
          <w:sz w:val="2"/>
        </w:rPr>
        <w:sectPr>
          <w:type w:val="continuous"/>
          <w:pgSz w:w="11910" w:h="16840"/>
          <w:pgMar w:header="286" w:footer="1060" w:top="1700" w:bottom="1040" w:left="360" w:right="360"/>
        </w:sectPr>
      </w:pPr>
    </w:p>
    <w:p>
      <w:pPr>
        <w:spacing w:line="195" w:lineRule="exact" w:before="0"/>
        <w:ind w:left="1643" w:right="0" w:firstLine="0"/>
        <w:jc w:val="center"/>
        <w:rPr>
          <w:sz w:val="18"/>
        </w:rPr>
      </w:pPr>
      <w:r>
        <w:rPr>
          <w:spacing w:val="-2"/>
          <w:sz w:val="18"/>
        </w:rPr>
        <w:t>Fdo.:</w:t>
      </w:r>
      <w:r>
        <w:rPr>
          <w:spacing w:val="-10"/>
          <w:sz w:val="18"/>
        </w:rPr>
        <w:t> </w:t>
      </w:r>
      <w:r>
        <w:rPr>
          <w:spacing w:val="-2"/>
          <w:sz w:val="18"/>
        </w:rPr>
        <w:t>María</w:t>
      </w:r>
      <w:r>
        <w:rPr>
          <w:spacing w:val="-10"/>
          <w:sz w:val="18"/>
        </w:rPr>
        <w:t> </w:t>
      </w:r>
      <w:r>
        <w:rPr>
          <w:spacing w:val="-2"/>
          <w:sz w:val="18"/>
        </w:rPr>
        <w:t>del</w:t>
      </w:r>
      <w:r>
        <w:rPr>
          <w:spacing w:val="-9"/>
          <w:sz w:val="18"/>
        </w:rPr>
        <w:t> </w:t>
      </w:r>
      <w:r>
        <w:rPr>
          <w:spacing w:val="-2"/>
          <w:sz w:val="18"/>
        </w:rPr>
        <w:t>Mar</w:t>
      </w:r>
      <w:r>
        <w:rPr>
          <w:spacing w:val="-7"/>
          <w:sz w:val="18"/>
        </w:rPr>
        <w:t> </w:t>
      </w:r>
      <w:r>
        <w:rPr>
          <w:spacing w:val="-2"/>
          <w:sz w:val="18"/>
        </w:rPr>
        <w:t>Amador</w:t>
      </w:r>
      <w:r>
        <w:rPr>
          <w:spacing w:val="-8"/>
          <w:sz w:val="18"/>
        </w:rPr>
        <w:t> </w:t>
      </w:r>
      <w:r>
        <w:rPr>
          <w:spacing w:val="-4"/>
          <w:sz w:val="18"/>
        </w:rPr>
        <w:t>Montesdeoca</w:t>
      </w:r>
    </w:p>
    <w:p>
      <w:pPr>
        <w:spacing w:line="207" w:lineRule="exact" w:before="0"/>
        <w:ind w:left="1646" w:right="0" w:firstLine="0"/>
        <w:jc w:val="center"/>
        <w:rPr>
          <w:sz w:val="18"/>
        </w:rPr>
      </w:pPr>
      <w:r>
        <w:rPr>
          <w:spacing w:val="-2"/>
          <w:sz w:val="18"/>
        </w:rPr>
        <w:t>(Consejera)</w:t>
      </w:r>
    </w:p>
    <w:p>
      <w:pPr>
        <w:spacing w:line="195" w:lineRule="exact" w:before="0"/>
        <w:ind w:left="3" w:right="318" w:firstLine="0"/>
        <w:jc w:val="center"/>
        <w:rPr>
          <w:sz w:val="18"/>
        </w:rPr>
      </w:pPr>
      <w:r>
        <w:rPr/>
        <w:br w:type="column"/>
      </w:r>
      <w:r>
        <w:rPr>
          <w:spacing w:val="-4"/>
          <w:sz w:val="18"/>
        </w:rPr>
        <w:t>Fdo.:</w:t>
      </w:r>
      <w:r>
        <w:rPr>
          <w:sz w:val="18"/>
        </w:rPr>
        <w:t> </w:t>
      </w:r>
      <w:r>
        <w:rPr>
          <w:spacing w:val="-4"/>
          <w:sz w:val="18"/>
        </w:rPr>
        <w:t>José</w:t>
      </w:r>
      <w:r>
        <w:rPr>
          <w:sz w:val="18"/>
        </w:rPr>
        <w:t> </w:t>
      </w:r>
      <w:r>
        <w:rPr>
          <w:spacing w:val="-4"/>
          <w:sz w:val="18"/>
        </w:rPr>
        <w:t>Ángel</w:t>
      </w:r>
      <w:r>
        <w:rPr>
          <w:sz w:val="18"/>
        </w:rPr>
        <w:t> </w:t>
      </w:r>
      <w:r>
        <w:rPr>
          <w:spacing w:val="-4"/>
          <w:sz w:val="18"/>
        </w:rPr>
        <w:t>Hernández</w:t>
      </w:r>
      <w:r>
        <w:rPr>
          <w:spacing w:val="3"/>
          <w:sz w:val="18"/>
        </w:rPr>
        <w:t> </w:t>
      </w:r>
      <w:r>
        <w:rPr>
          <w:spacing w:val="-4"/>
          <w:sz w:val="18"/>
        </w:rPr>
        <w:t>Ponce</w:t>
      </w:r>
    </w:p>
    <w:p>
      <w:pPr>
        <w:spacing w:line="207" w:lineRule="exact" w:before="0"/>
        <w:ind w:left="0" w:right="318" w:firstLine="0"/>
        <w:jc w:val="center"/>
        <w:rPr>
          <w:sz w:val="18"/>
        </w:rPr>
      </w:pPr>
      <w:r>
        <w:rPr>
          <w:spacing w:val="-2"/>
          <w:sz w:val="18"/>
        </w:rPr>
        <w:t>(Consejero)</w:t>
      </w:r>
    </w:p>
    <w:p>
      <w:pPr>
        <w:spacing w:after="0" w:line="207" w:lineRule="exact"/>
        <w:jc w:val="center"/>
        <w:rPr>
          <w:sz w:val="18"/>
        </w:rPr>
        <w:sectPr>
          <w:type w:val="continuous"/>
          <w:pgSz w:w="11910" w:h="16840"/>
          <w:pgMar w:header="286" w:footer="1060" w:top="1700" w:bottom="1040" w:left="360" w:right="360"/>
          <w:cols w:num="2" w:equalWidth="0">
            <w:col w:w="4915" w:space="40"/>
            <w:col w:w="62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tabs>
          <w:tab w:pos="5865" w:val="left" w:leader="none"/>
        </w:tabs>
        <w:spacing w:line="20" w:lineRule="exact"/>
        <w:ind w:left="1233" w:right="0" w:firstLine="0"/>
        <w:rPr>
          <w:sz w:val="2"/>
        </w:rPr>
      </w:pPr>
      <w:r>
        <w:rPr>
          <w:sz w:val="2"/>
        </w:rPr>
        <mc:AlternateContent>
          <mc:Choice Requires="wps">
            <w:drawing>
              <wp:inline distT="0" distB="0" distL="0" distR="0">
                <wp:extent cx="2597150" cy="6350"/>
                <wp:effectExtent l="0" t="0" r="0" b="0"/>
                <wp:docPr id="200" name="Group 200"/>
                <wp:cNvGraphicFramePr>
                  <a:graphicFrameLocks/>
                </wp:cNvGraphicFramePr>
                <a:graphic>
                  <a:graphicData uri="http://schemas.microsoft.com/office/word/2010/wordprocessingGroup">
                    <wpg:wgp>
                      <wpg:cNvPr id="200" name="Group 200"/>
                      <wpg:cNvGrpSpPr/>
                      <wpg:grpSpPr>
                        <a:xfrm>
                          <a:off x="0" y="0"/>
                          <a:ext cx="2597150" cy="6350"/>
                          <a:chExt cx="2597150" cy="6350"/>
                        </a:xfrm>
                      </wpg:grpSpPr>
                      <wps:wsp>
                        <wps:cNvPr id="201" name="Graphic 201"/>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49" coordorigin="0,0" coordsize="4090,10">
                <v:rect style="position:absolute;left:0;top:0;width:4090;height:10" id="docshape150" filled="true" fillcolor="#000000" stroked="false">
                  <v:fill type="solid"/>
                </v:rect>
              </v:group>
            </w:pict>
          </mc:Fallback>
        </mc:AlternateContent>
      </w:r>
      <w:r>
        <w:rPr>
          <w:sz w:val="2"/>
        </w:rPr>
      </w:r>
      <w:r>
        <w:rPr>
          <w:sz w:val="2"/>
        </w:rPr>
        <w:tab/>
      </w:r>
      <w:r>
        <w:rPr>
          <w:sz w:val="2"/>
        </w:rPr>
        <mc:AlternateContent>
          <mc:Choice Requires="wps">
            <w:drawing>
              <wp:inline distT="0" distB="0" distL="0" distR="0">
                <wp:extent cx="2597150" cy="6350"/>
                <wp:effectExtent l="0" t="0" r="0" b="0"/>
                <wp:docPr id="202" name="Group 202"/>
                <wp:cNvGraphicFramePr>
                  <a:graphicFrameLocks/>
                </wp:cNvGraphicFramePr>
                <a:graphic>
                  <a:graphicData uri="http://schemas.microsoft.com/office/word/2010/wordprocessingGroup">
                    <wpg:wgp>
                      <wpg:cNvPr id="202" name="Group 202"/>
                      <wpg:cNvGrpSpPr/>
                      <wpg:grpSpPr>
                        <a:xfrm>
                          <a:off x="0" y="0"/>
                          <a:ext cx="2597150" cy="6350"/>
                          <a:chExt cx="2597150" cy="6350"/>
                        </a:xfrm>
                      </wpg:grpSpPr>
                      <wps:wsp>
                        <wps:cNvPr id="203" name="Graphic 203"/>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51" coordorigin="0,0" coordsize="4090,10">
                <v:rect style="position:absolute;left:0;top:0;width:4090;height:10" id="docshape152" filled="true" fillcolor="#000000" stroked="false">
                  <v:fill type="solid"/>
                </v:rect>
              </v:group>
            </w:pict>
          </mc:Fallback>
        </mc:AlternateContent>
      </w:r>
      <w:r>
        <w:rPr>
          <w:sz w:val="2"/>
        </w:rPr>
      </w:r>
    </w:p>
    <w:p>
      <w:pPr>
        <w:spacing w:after="0" w:line="20" w:lineRule="exact"/>
        <w:rPr>
          <w:sz w:val="2"/>
        </w:rPr>
        <w:sectPr>
          <w:type w:val="continuous"/>
          <w:pgSz w:w="11910" w:h="16840"/>
          <w:pgMar w:header="286" w:footer="1060" w:top="1700" w:bottom="1040" w:left="360" w:right="360"/>
        </w:sectPr>
      </w:pPr>
    </w:p>
    <w:p>
      <w:pPr>
        <w:spacing w:line="196" w:lineRule="exact" w:before="0"/>
        <w:ind w:left="2002" w:right="2" w:firstLine="0"/>
        <w:jc w:val="center"/>
        <w:rPr>
          <w:sz w:val="18"/>
        </w:rPr>
      </w:pPr>
      <w:r>
        <w:rPr>
          <w:spacing w:val="-2"/>
          <w:sz w:val="18"/>
        </w:rPr>
        <w:t>Fdo.:</w:t>
      </w:r>
      <w:r>
        <w:rPr>
          <w:spacing w:val="-11"/>
          <w:sz w:val="18"/>
        </w:rPr>
        <w:t> </w:t>
      </w:r>
      <w:r>
        <w:rPr>
          <w:spacing w:val="-2"/>
          <w:sz w:val="18"/>
        </w:rPr>
        <w:t>Rafael</w:t>
      </w:r>
      <w:r>
        <w:rPr>
          <w:spacing w:val="-10"/>
          <w:sz w:val="18"/>
        </w:rPr>
        <w:t> </w:t>
      </w:r>
      <w:r>
        <w:rPr>
          <w:spacing w:val="-2"/>
          <w:sz w:val="18"/>
        </w:rPr>
        <w:t>Pedrero</w:t>
      </w:r>
      <w:r>
        <w:rPr>
          <w:spacing w:val="-10"/>
          <w:sz w:val="18"/>
        </w:rPr>
        <w:t> </w:t>
      </w:r>
      <w:r>
        <w:rPr>
          <w:spacing w:val="-2"/>
          <w:sz w:val="18"/>
        </w:rPr>
        <w:t>Manchado</w:t>
      </w:r>
    </w:p>
    <w:p>
      <w:pPr>
        <w:spacing w:before="2"/>
        <w:ind w:left="2002" w:right="0" w:firstLine="0"/>
        <w:jc w:val="center"/>
        <w:rPr>
          <w:sz w:val="18"/>
        </w:rPr>
      </w:pPr>
      <w:r>
        <w:rPr>
          <w:spacing w:val="-2"/>
          <w:sz w:val="18"/>
        </w:rPr>
        <w:t>(Consejero)</w:t>
      </w:r>
    </w:p>
    <w:p>
      <w:pPr>
        <w:spacing w:line="196" w:lineRule="exact" w:before="0"/>
        <w:ind w:left="0" w:right="44" w:firstLine="0"/>
        <w:jc w:val="center"/>
        <w:rPr>
          <w:sz w:val="18"/>
        </w:rPr>
      </w:pPr>
      <w:r>
        <w:rPr/>
        <w:br w:type="column"/>
      </w:r>
      <w:r>
        <w:rPr>
          <w:spacing w:val="-4"/>
          <w:sz w:val="18"/>
        </w:rPr>
        <w:t>Fdo.:</w:t>
      </w:r>
      <w:r>
        <w:rPr>
          <w:spacing w:val="-2"/>
          <w:sz w:val="18"/>
        </w:rPr>
        <w:t> </w:t>
      </w:r>
      <w:r>
        <w:rPr>
          <w:spacing w:val="-4"/>
          <w:sz w:val="18"/>
        </w:rPr>
        <w:t>Carlos</w:t>
      </w:r>
      <w:r>
        <w:rPr>
          <w:spacing w:val="2"/>
          <w:sz w:val="18"/>
        </w:rPr>
        <w:t> </w:t>
      </w:r>
      <w:r>
        <w:rPr>
          <w:spacing w:val="-4"/>
          <w:sz w:val="18"/>
        </w:rPr>
        <w:t>Rodríguez</w:t>
      </w:r>
      <w:r>
        <w:rPr>
          <w:spacing w:val="3"/>
          <w:sz w:val="18"/>
        </w:rPr>
        <w:t> </w:t>
      </w:r>
      <w:r>
        <w:rPr>
          <w:spacing w:val="-4"/>
          <w:sz w:val="18"/>
        </w:rPr>
        <w:t>Ortega</w:t>
      </w:r>
    </w:p>
    <w:p>
      <w:pPr>
        <w:spacing w:before="2"/>
        <w:ind w:left="0" w:right="47" w:firstLine="0"/>
        <w:jc w:val="center"/>
        <w:rPr>
          <w:sz w:val="18"/>
        </w:rPr>
      </w:pPr>
      <w:r>
        <w:rPr>
          <w:sz w:val="18"/>
        </w:rPr>
        <mc:AlternateContent>
          <mc:Choice Requires="wps">
            <w:drawing>
              <wp:anchor distT="0" distB="0" distL="0" distR="0" allowOverlap="1" layoutInCell="1" locked="0" behindDoc="0" simplePos="0" relativeHeight="15778816">
                <wp:simplePos x="0" y="0"/>
                <wp:positionH relativeFrom="page">
                  <wp:posOffset>6966436</wp:posOffset>
                </wp:positionH>
                <wp:positionV relativeFrom="paragraph">
                  <wp:posOffset>-11865</wp:posOffset>
                </wp:positionV>
                <wp:extent cx="263525" cy="327596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68</w:t>
                            </w:r>
                            <w:r>
                              <w:rPr>
                                <w:spacing w:val="-6"/>
                                <w:sz w:val="12"/>
                              </w:rPr>
                              <w:t> </w:t>
                            </w:r>
                            <w:r>
                              <w:rPr>
                                <w:sz w:val="12"/>
                              </w:rPr>
                              <w:t>de</w:t>
                            </w:r>
                            <w:r>
                              <w:rPr>
                                <w:spacing w:val="-6"/>
                                <w:sz w:val="12"/>
                              </w:rPr>
                              <w:t> </w:t>
                            </w:r>
                            <w:r>
                              <w:rPr>
                                <w:spacing w:val="-5"/>
                                <w:sz w:val="12"/>
                              </w:rPr>
                              <w:t>68</w:t>
                            </w:r>
                          </w:p>
                        </w:txbxContent>
                      </wps:txbx>
                      <wps:bodyPr wrap="square" lIns="0" tIns="0" rIns="0" bIns="0" rtlCol="0" vert="vert270">
                        <a:noAutofit/>
                      </wps:bodyPr>
                    </wps:wsp>
                  </a:graphicData>
                </a:graphic>
              </wp:anchor>
            </w:drawing>
          </mc:Choice>
          <mc:Fallback>
            <w:pict>
              <v:shape style="position:absolute;margin-left:548.53833pt;margin-top:-.934313pt;width:20.75pt;height:257.95pt;mso-position-horizontal-relative:page;mso-position-vertical-relative:paragraph;z-index:15778816" type="#_x0000_t202" id="docshape15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6SJS9AEK2F4CQJA3KEZHLK5QD</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68</w:t>
                      </w:r>
                      <w:r>
                        <w:rPr>
                          <w:spacing w:val="-6"/>
                          <w:sz w:val="12"/>
                        </w:rPr>
                        <w:t> </w:t>
                      </w:r>
                      <w:r>
                        <w:rPr>
                          <w:sz w:val="12"/>
                        </w:rPr>
                        <w:t>de</w:t>
                      </w:r>
                      <w:r>
                        <w:rPr>
                          <w:spacing w:val="-6"/>
                          <w:sz w:val="12"/>
                        </w:rPr>
                        <w:t> </w:t>
                      </w:r>
                      <w:r>
                        <w:rPr>
                          <w:spacing w:val="-5"/>
                          <w:sz w:val="12"/>
                        </w:rPr>
                        <w:t>68</w:t>
                      </w:r>
                    </w:p>
                  </w:txbxContent>
                </v:textbox>
                <w10:wrap type="none"/>
              </v:shape>
            </w:pict>
          </mc:Fallback>
        </mc:AlternateContent>
      </w:r>
      <w:r>
        <w:rPr>
          <w:spacing w:val="-2"/>
          <w:sz w:val="18"/>
        </w:rPr>
        <w:t>(Consejero)</w:t>
      </w:r>
    </w:p>
    <w:p>
      <w:pPr>
        <w:spacing w:after="0"/>
        <w:jc w:val="center"/>
        <w:rPr>
          <w:sz w:val="18"/>
        </w:rPr>
        <w:sectPr>
          <w:type w:val="continuous"/>
          <w:pgSz w:w="11910" w:h="16840"/>
          <w:pgMar w:header="286" w:footer="1060" w:top="1700" w:bottom="1040" w:left="360" w:right="360"/>
          <w:cols w:num="2" w:equalWidth="0">
            <w:col w:w="4559" w:space="124"/>
            <w:col w:w="650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tabs>
          <w:tab w:pos="5865" w:val="left" w:leader="none"/>
        </w:tabs>
        <w:spacing w:line="20" w:lineRule="exact"/>
        <w:ind w:left="1233" w:right="0" w:firstLine="0"/>
        <w:rPr>
          <w:sz w:val="2"/>
        </w:rPr>
      </w:pPr>
      <w:r>
        <w:rPr>
          <w:sz w:val="2"/>
        </w:rPr>
        <mc:AlternateContent>
          <mc:Choice Requires="wps">
            <w:drawing>
              <wp:inline distT="0" distB="0" distL="0" distR="0">
                <wp:extent cx="2597150" cy="6350"/>
                <wp:effectExtent l="0" t="0" r="0" b="0"/>
                <wp:docPr id="205" name="Group 205"/>
                <wp:cNvGraphicFramePr>
                  <a:graphicFrameLocks/>
                </wp:cNvGraphicFramePr>
                <a:graphic>
                  <a:graphicData uri="http://schemas.microsoft.com/office/word/2010/wordprocessingGroup">
                    <wpg:wgp>
                      <wpg:cNvPr id="205" name="Group 205"/>
                      <wpg:cNvGrpSpPr/>
                      <wpg:grpSpPr>
                        <a:xfrm>
                          <a:off x="0" y="0"/>
                          <a:ext cx="2597150" cy="6350"/>
                          <a:chExt cx="2597150" cy="6350"/>
                        </a:xfrm>
                      </wpg:grpSpPr>
                      <wps:wsp>
                        <wps:cNvPr id="206" name="Graphic 206"/>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54" coordorigin="0,0" coordsize="4090,10">
                <v:rect style="position:absolute;left:0;top:0;width:4090;height:10" id="docshape155" filled="true" fillcolor="#000000" stroked="false">
                  <v:fill type="solid"/>
                </v:rect>
              </v:group>
            </w:pict>
          </mc:Fallback>
        </mc:AlternateContent>
      </w:r>
      <w:r>
        <w:rPr>
          <w:sz w:val="2"/>
        </w:rPr>
      </w:r>
      <w:r>
        <w:rPr>
          <w:sz w:val="2"/>
        </w:rPr>
        <w:tab/>
      </w:r>
      <w:r>
        <w:rPr>
          <w:sz w:val="2"/>
        </w:rPr>
        <mc:AlternateContent>
          <mc:Choice Requires="wps">
            <w:drawing>
              <wp:inline distT="0" distB="0" distL="0" distR="0">
                <wp:extent cx="2597150" cy="6350"/>
                <wp:effectExtent l="0" t="0" r="0" b="0"/>
                <wp:docPr id="207" name="Group 207"/>
                <wp:cNvGraphicFramePr>
                  <a:graphicFrameLocks/>
                </wp:cNvGraphicFramePr>
                <a:graphic>
                  <a:graphicData uri="http://schemas.microsoft.com/office/word/2010/wordprocessingGroup">
                    <wpg:wgp>
                      <wpg:cNvPr id="207" name="Group 207"/>
                      <wpg:cNvGrpSpPr/>
                      <wpg:grpSpPr>
                        <a:xfrm>
                          <a:off x="0" y="0"/>
                          <a:ext cx="2597150" cy="6350"/>
                          <a:chExt cx="2597150" cy="6350"/>
                        </a:xfrm>
                      </wpg:grpSpPr>
                      <wps:wsp>
                        <wps:cNvPr id="208" name="Graphic 208"/>
                        <wps:cNvSpPr/>
                        <wps:spPr>
                          <a:xfrm>
                            <a:off x="0" y="0"/>
                            <a:ext cx="2597150" cy="6350"/>
                          </a:xfrm>
                          <a:custGeom>
                            <a:avLst/>
                            <a:gdLst/>
                            <a:ahLst/>
                            <a:cxnLst/>
                            <a:rect l="l" t="t" r="r" b="b"/>
                            <a:pathLst>
                              <a:path w="2597150" h="6350">
                                <a:moveTo>
                                  <a:pt x="2596896" y="6096"/>
                                </a:moveTo>
                                <a:lnTo>
                                  <a:pt x="0" y="6096"/>
                                </a:lnTo>
                                <a:lnTo>
                                  <a:pt x="0" y="0"/>
                                </a:lnTo>
                                <a:lnTo>
                                  <a:pt x="2596896" y="0"/>
                                </a:lnTo>
                                <a:lnTo>
                                  <a:pt x="25968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4.5pt;height:.5pt;mso-position-horizontal-relative:char;mso-position-vertical-relative:line" id="docshapegroup156" coordorigin="0,0" coordsize="4090,10">
                <v:rect style="position:absolute;left:0;top:0;width:4090;height:10" id="docshape157" filled="true" fillcolor="#000000" stroked="false">
                  <v:fill type="solid"/>
                </v:rect>
              </v:group>
            </w:pict>
          </mc:Fallback>
        </mc:AlternateContent>
      </w:r>
      <w:r>
        <w:rPr>
          <w:sz w:val="2"/>
        </w:rPr>
      </w:r>
    </w:p>
    <w:p>
      <w:pPr>
        <w:spacing w:after="0" w:line="20" w:lineRule="exact"/>
        <w:rPr>
          <w:sz w:val="2"/>
        </w:rPr>
        <w:sectPr>
          <w:type w:val="continuous"/>
          <w:pgSz w:w="11910" w:h="16840"/>
          <w:pgMar w:header="286" w:footer="1060" w:top="1700" w:bottom="1040" w:left="360" w:right="360"/>
        </w:sectPr>
      </w:pPr>
    </w:p>
    <w:p>
      <w:pPr>
        <w:spacing w:line="196" w:lineRule="exact" w:before="0"/>
        <w:ind w:left="2164" w:right="0" w:firstLine="0"/>
        <w:jc w:val="center"/>
        <w:rPr>
          <w:sz w:val="18"/>
        </w:rPr>
      </w:pPr>
      <w:r>
        <w:rPr>
          <w:spacing w:val="-4"/>
          <w:sz w:val="18"/>
        </w:rPr>
        <w:t>Fdo.:</w:t>
      </w:r>
      <w:r>
        <w:rPr>
          <w:spacing w:val="-3"/>
          <w:sz w:val="18"/>
        </w:rPr>
        <w:t> </w:t>
      </w:r>
      <w:r>
        <w:rPr>
          <w:spacing w:val="-4"/>
          <w:sz w:val="18"/>
        </w:rPr>
        <w:t>Valerio</w:t>
      </w:r>
      <w:r>
        <w:rPr>
          <w:spacing w:val="2"/>
          <w:sz w:val="18"/>
        </w:rPr>
        <w:t> </w:t>
      </w:r>
      <w:r>
        <w:rPr>
          <w:spacing w:val="-4"/>
          <w:sz w:val="18"/>
        </w:rPr>
        <w:t>Medina</w:t>
      </w:r>
      <w:r>
        <w:rPr>
          <w:sz w:val="18"/>
        </w:rPr>
        <w:t> </w:t>
      </w:r>
      <w:r>
        <w:rPr>
          <w:spacing w:val="-4"/>
          <w:sz w:val="18"/>
        </w:rPr>
        <w:t>Álvarez</w:t>
      </w:r>
    </w:p>
    <w:p>
      <w:pPr>
        <w:spacing w:before="2"/>
        <w:ind w:left="2163" w:right="0" w:firstLine="0"/>
        <w:jc w:val="center"/>
        <w:rPr>
          <w:sz w:val="18"/>
        </w:rPr>
      </w:pPr>
      <w:r>
        <w:rPr>
          <w:spacing w:val="-2"/>
          <w:sz w:val="18"/>
        </w:rPr>
        <w:t>(Consejero)</w:t>
      </w:r>
    </w:p>
    <w:p>
      <w:pPr>
        <w:spacing w:line="196" w:lineRule="exact" w:before="0"/>
        <w:ind w:left="197" w:right="0" w:firstLine="0"/>
        <w:jc w:val="center"/>
        <w:rPr>
          <w:sz w:val="18"/>
        </w:rPr>
      </w:pPr>
      <w:r>
        <w:rPr/>
        <w:br w:type="column"/>
      </w:r>
      <w:r>
        <w:rPr>
          <w:spacing w:val="-2"/>
          <w:sz w:val="18"/>
        </w:rPr>
        <w:t>Fdo.:</w:t>
      </w:r>
      <w:r>
        <w:rPr>
          <w:spacing w:val="-11"/>
          <w:sz w:val="18"/>
        </w:rPr>
        <w:t> </w:t>
      </w:r>
      <w:r>
        <w:rPr>
          <w:spacing w:val="-2"/>
          <w:sz w:val="18"/>
        </w:rPr>
        <w:t>Miguel</w:t>
      </w:r>
      <w:r>
        <w:rPr>
          <w:spacing w:val="-10"/>
          <w:sz w:val="18"/>
        </w:rPr>
        <w:t> </w:t>
      </w:r>
      <w:r>
        <w:rPr>
          <w:spacing w:val="-2"/>
          <w:sz w:val="18"/>
        </w:rPr>
        <w:t>Ángel</w:t>
      </w:r>
      <w:r>
        <w:rPr>
          <w:spacing w:val="-10"/>
          <w:sz w:val="18"/>
        </w:rPr>
        <w:t> </w:t>
      </w:r>
      <w:r>
        <w:rPr>
          <w:spacing w:val="-2"/>
          <w:sz w:val="18"/>
        </w:rPr>
        <w:t>Medina</w:t>
      </w:r>
      <w:r>
        <w:rPr>
          <w:spacing w:val="-9"/>
          <w:sz w:val="18"/>
        </w:rPr>
        <w:t> </w:t>
      </w:r>
      <w:r>
        <w:rPr>
          <w:spacing w:val="-2"/>
          <w:sz w:val="18"/>
        </w:rPr>
        <w:t>Hernández</w:t>
      </w:r>
    </w:p>
    <w:p>
      <w:pPr>
        <w:spacing w:before="2"/>
        <w:ind w:left="196" w:right="0" w:firstLine="0"/>
        <w:jc w:val="center"/>
        <w:rPr>
          <w:sz w:val="18"/>
        </w:rPr>
      </w:pPr>
      <w:r>
        <w:rPr>
          <w:spacing w:val="-2"/>
          <w:sz w:val="18"/>
        </w:rPr>
        <w:t>(Consejero)</w:t>
      </w:r>
    </w:p>
    <w:p>
      <w:pPr>
        <w:spacing w:after="0"/>
        <w:jc w:val="center"/>
        <w:rPr>
          <w:sz w:val="18"/>
        </w:rPr>
        <w:sectPr>
          <w:type w:val="continuous"/>
          <w:pgSz w:w="11910" w:h="16840"/>
          <w:pgMar w:header="286" w:footer="1060" w:top="1700" w:bottom="1040" w:left="360" w:right="360"/>
          <w:cols w:num="2" w:equalWidth="0">
            <w:col w:w="4398" w:space="40"/>
            <w:col w:w="6752"/>
          </w:cols>
        </w:sectPr>
      </w:pPr>
    </w:p>
    <w:p>
      <w:pPr>
        <w:pStyle w:val="BodyText"/>
        <w:spacing w:before="1"/>
      </w:pPr>
    </w:p>
    <w:p>
      <w:pPr>
        <w:pStyle w:val="Heading2"/>
        <w:spacing w:line="340" w:lineRule="auto" w:before="1"/>
        <w:ind w:left="1341" w:right="1347"/>
        <w:jc w:val="both"/>
        <w:rPr>
          <w:rFonts w:ascii="Tahoma" w:hAnsi="Tahoma"/>
          <w:u w:val="none"/>
        </w:rPr>
      </w:pPr>
      <w:r>
        <w:rPr>
          <w:rFonts w:ascii="Tahoma" w:hAnsi="Tahoma"/>
        </w:rPr>
        <mc:AlternateContent>
          <mc:Choice Requires="wps">
            <w:drawing>
              <wp:anchor distT="0" distB="0" distL="0" distR="0" allowOverlap="1" layoutInCell="1" locked="0" behindDoc="0" simplePos="0" relativeHeight="15779840">
                <wp:simplePos x="0" y="0"/>
                <wp:positionH relativeFrom="page">
                  <wp:posOffset>254000</wp:posOffset>
                </wp:positionH>
                <wp:positionV relativeFrom="paragraph">
                  <wp:posOffset>288683</wp:posOffset>
                </wp:positionV>
                <wp:extent cx="368300" cy="292925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22.731022pt;width:29pt;height:230.64pt;mso-position-horizontal-relative:page;mso-position-vertical-relative:paragraph;z-index:15779840" id="docshape159" filled="false" stroked="true" strokeweight=".5pt" strokecolor="#808080">
                <v:stroke dashstyle="solid"/>
                <w10:wrap type="none"/>
              </v:rect>
            </w:pict>
          </mc:Fallback>
        </mc:AlternateContent>
      </w:r>
      <w:bookmarkStart w:name="20260323 Informe de gestión y EINF CCAA " w:id="5"/>
      <w:bookmarkEnd w:id="5"/>
      <w:r>
        <w:rPr>
          <w:b w:val="0"/>
          <w:u w:val="none"/>
        </w:rPr>
      </w:r>
      <w:bookmarkStart w:name="3 Informe de Gestión Consejo Administrac" w:id="6"/>
      <w:bookmarkEnd w:id="6"/>
      <w:r>
        <w:rPr>
          <w:b w:val="0"/>
          <w:u w:val="none"/>
        </w:rPr>
      </w:r>
      <w:r>
        <w:rPr>
          <w:rFonts w:ascii="Tahoma" w:hAnsi="Tahoma"/>
          <w:u w:val="none"/>
        </w:rPr>
        <w:t>INFORME DE GESTIÓN DE LA ENTIDAD MERCANTIL GUAGUAS MUNICIPALES, S. A. CORRESPONDIENTE AL EJERCICIO CERRADO DE 2025.</w:t>
      </w:r>
    </w:p>
    <w:p>
      <w:pPr>
        <w:pStyle w:val="BodyText"/>
        <w:spacing w:before="122"/>
        <w:rPr>
          <w:rFonts w:ascii="Tahoma"/>
          <w:b/>
        </w:rPr>
      </w:pPr>
    </w:p>
    <w:p>
      <w:pPr>
        <w:pStyle w:val="BodyText"/>
        <w:spacing w:line="360" w:lineRule="auto"/>
        <w:ind w:left="1341" w:right="1346"/>
        <w:jc w:val="both"/>
      </w:pPr>
      <w:r>
        <w:rPr/>
        <w:t>Los Administradores de Guaguas Municipales, S.A., en cumplimiento de sus obligaciones legales, elaboran el presente informe cuyo contenido pretende resumir nuestra evolución en el pasado ejercicio 2025.</w:t>
      </w:r>
    </w:p>
    <w:p>
      <w:pPr>
        <w:pStyle w:val="BodyText"/>
        <w:spacing w:before="115"/>
      </w:pPr>
    </w:p>
    <w:p>
      <w:pPr>
        <w:pStyle w:val="BodyText"/>
        <w:ind w:left="1341"/>
        <w:jc w:val="both"/>
      </w:pPr>
      <w:r>
        <w:rPr/>
        <w:t>EVOLUCION</w:t>
      </w:r>
      <w:r>
        <w:rPr>
          <w:spacing w:val="-8"/>
        </w:rPr>
        <w:t> </w:t>
      </w:r>
      <w:r>
        <w:rPr/>
        <w:t>DE</w:t>
      </w:r>
      <w:r>
        <w:rPr>
          <w:spacing w:val="-7"/>
        </w:rPr>
        <w:t> </w:t>
      </w:r>
      <w:r>
        <w:rPr/>
        <w:t>LA</w:t>
      </w:r>
      <w:r>
        <w:rPr>
          <w:spacing w:val="-4"/>
        </w:rPr>
        <w:t> </w:t>
      </w:r>
      <w:r>
        <w:rPr>
          <w:spacing w:val="-2"/>
        </w:rPr>
        <w:t>ACTIVIDAD.</w:t>
      </w:r>
    </w:p>
    <w:p>
      <w:pPr>
        <w:pStyle w:val="BodyText"/>
        <w:spacing w:before="229"/>
      </w:pPr>
    </w:p>
    <w:p>
      <w:pPr>
        <w:pStyle w:val="BodyText"/>
        <w:spacing w:line="360" w:lineRule="auto"/>
        <w:ind w:left="1341" w:right="1343"/>
        <w:jc w:val="both"/>
      </w:pPr>
      <w:r>
        <w:rPr/>
        <w:t>El principal indicador de nuestra evolución anual se refleja básicamente en la variación producida en nuestro número de viajeros, y en este sentido hemos sobrepasado los datos del ejercicio 2024, habiendo pasado a 56.589.875 viajeros, lo que supone 1.757.370 millones de viajeros</w:t>
      </w:r>
      <w:r>
        <w:rPr>
          <w:spacing w:val="44"/>
        </w:rPr>
        <w:t> </w:t>
      </w:r>
      <w:r>
        <w:rPr/>
        <w:t>adicionales</w:t>
      </w:r>
      <w:r>
        <w:rPr>
          <w:spacing w:val="45"/>
        </w:rPr>
        <w:t> </w:t>
      </w:r>
      <w:r>
        <w:rPr/>
        <w:t>con</w:t>
      </w:r>
      <w:r>
        <w:rPr>
          <w:spacing w:val="42"/>
        </w:rPr>
        <w:t> </w:t>
      </w:r>
      <w:r>
        <w:rPr/>
        <w:t>un</w:t>
      </w:r>
      <w:r>
        <w:rPr>
          <w:spacing w:val="42"/>
        </w:rPr>
        <w:t> </w:t>
      </w:r>
      <w:r>
        <w:rPr/>
        <w:t>incremento</w:t>
      </w:r>
      <w:r>
        <w:rPr>
          <w:spacing w:val="43"/>
        </w:rPr>
        <w:t> </w:t>
      </w:r>
      <w:r>
        <w:rPr/>
        <w:t>del</w:t>
      </w:r>
      <w:r>
        <w:rPr>
          <w:spacing w:val="41"/>
        </w:rPr>
        <w:t> </w:t>
      </w:r>
      <w:r>
        <w:rPr/>
        <w:t>3,20%,</w:t>
      </w:r>
      <w:r>
        <w:rPr>
          <w:spacing w:val="46"/>
        </w:rPr>
        <w:t> </w:t>
      </w:r>
      <w:r>
        <w:rPr/>
        <w:t>y</w:t>
      </w:r>
      <w:r>
        <w:rPr>
          <w:spacing w:val="41"/>
        </w:rPr>
        <w:t> </w:t>
      </w:r>
      <w:r>
        <w:rPr/>
        <w:t>un</w:t>
      </w:r>
      <w:r>
        <w:rPr>
          <w:spacing w:val="45"/>
        </w:rPr>
        <w:t> </w:t>
      </w:r>
      <w:r>
        <w:rPr/>
        <w:t>incremento</w:t>
      </w:r>
      <w:r>
        <w:rPr>
          <w:spacing w:val="42"/>
        </w:rPr>
        <w:t> </w:t>
      </w:r>
      <w:r>
        <w:rPr/>
        <w:t>del</w:t>
      </w:r>
      <w:r>
        <w:rPr>
          <w:spacing w:val="41"/>
        </w:rPr>
        <w:t> </w:t>
      </w:r>
      <w:r>
        <w:rPr/>
        <w:t>60,65%</w:t>
      </w:r>
      <w:r>
        <w:rPr>
          <w:spacing w:val="45"/>
        </w:rPr>
        <w:t> </w:t>
      </w:r>
      <w:r>
        <w:rPr/>
        <w:t>sobre</w:t>
      </w:r>
      <w:r>
        <w:rPr>
          <w:spacing w:val="42"/>
        </w:rPr>
        <w:t> </w:t>
      </w:r>
      <w:r>
        <w:rPr>
          <w:spacing w:val="-5"/>
        </w:rPr>
        <w:t>los</w:t>
      </w:r>
    </w:p>
    <w:p>
      <w:pPr>
        <w:pStyle w:val="BodyText"/>
        <w:ind w:left="1341"/>
        <w:jc w:val="both"/>
      </w:pPr>
      <w:r>
        <w:rPr/>
        <w:t>35.225.423</w:t>
      </w:r>
      <w:r>
        <w:rPr>
          <w:spacing w:val="32"/>
        </w:rPr>
        <w:t> </w:t>
      </w:r>
      <w:r>
        <w:rPr/>
        <w:t>viajeros</w:t>
      </w:r>
      <w:r>
        <w:rPr>
          <w:spacing w:val="31"/>
        </w:rPr>
        <w:t> </w:t>
      </w:r>
      <w:r>
        <w:rPr/>
        <w:t>transportados</w:t>
      </w:r>
      <w:r>
        <w:rPr>
          <w:spacing w:val="29"/>
        </w:rPr>
        <w:t> </w:t>
      </w:r>
      <w:r>
        <w:rPr/>
        <w:t>en</w:t>
      </w:r>
      <w:r>
        <w:rPr>
          <w:spacing w:val="29"/>
        </w:rPr>
        <w:t> </w:t>
      </w:r>
      <w:r>
        <w:rPr/>
        <w:t>2022,</w:t>
      </w:r>
      <w:r>
        <w:rPr>
          <w:spacing w:val="31"/>
        </w:rPr>
        <w:t> </w:t>
      </w:r>
      <w:r>
        <w:rPr/>
        <w:t>lo</w:t>
      </w:r>
      <w:r>
        <w:rPr>
          <w:spacing w:val="29"/>
        </w:rPr>
        <w:t> </w:t>
      </w:r>
      <w:r>
        <w:rPr/>
        <w:t>que</w:t>
      </w:r>
      <w:r>
        <w:rPr>
          <w:spacing w:val="28"/>
        </w:rPr>
        <w:t> </w:t>
      </w:r>
      <w:r>
        <w:rPr/>
        <w:t>implica</w:t>
      </w:r>
      <w:r>
        <w:rPr>
          <w:spacing w:val="28"/>
        </w:rPr>
        <w:t> </w:t>
      </w:r>
      <w:r>
        <w:rPr/>
        <w:t>un</w:t>
      </w:r>
      <w:r>
        <w:rPr>
          <w:spacing w:val="29"/>
        </w:rPr>
        <w:t> </w:t>
      </w:r>
      <w:r>
        <w:rPr/>
        <w:t>impresionante</w:t>
      </w:r>
      <w:r>
        <w:rPr>
          <w:spacing w:val="29"/>
        </w:rPr>
        <w:t> </w:t>
      </w:r>
      <w:r>
        <w:rPr/>
        <w:t>crecimiento</w:t>
      </w:r>
      <w:r>
        <w:rPr>
          <w:spacing w:val="29"/>
        </w:rPr>
        <w:t> </w:t>
      </w:r>
      <w:r>
        <w:rPr>
          <w:spacing w:val="-5"/>
        </w:rPr>
        <w:t>de</w:t>
      </w:r>
    </w:p>
    <w:p>
      <w:pPr>
        <w:pStyle w:val="BodyText"/>
        <w:spacing w:line="360" w:lineRule="auto" w:before="116"/>
        <w:ind w:left="1341" w:right="1343"/>
        <w:jc w:val="both"/>
      </w:pPr>
      <w:r>
        <w:rPr/>
        <mc:AlternateContent>
          <mc:Choice Requires="wps">
            <w:drawing>
              <wp:anchor distT="0" distB="0" distL="0" distR="0" allowOverlap="1" layoutInCell="1" locked="0" behindDoc="0" simplePos="0" relativeHeight="15780352">
                <wp:simplePos x="0" y="0"/>
                <wp:positionH relativeFrom="page">
                  <wp:posOffset>254000</wp:posOffset>
                </wp:positionH>
                <wp:positionV relativeFrom="paragraph">
                  <wp:posOffset>278576</wp:posOffset>
                </wp:positionV>
                <wp:extent cx="368300" cy="292925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21.935181pt;width:29pt;height:230.64pt;mso-position-horizontal-relative:page;mso-position-vertical-relative:paragraph;z-index:15780352" id="docshape160" filled="false" stroked="true" strokeweight=".5pt" strokecolor="#808080">
                <v:stroke dashstyle="solid"/>
                <w10:wrap type="none"/>
              </v:rect>
            </w:pict>
          </mc:Fallback>
        </mc:AlternateContent>
      </w:r>
      <w:r>
        <w:rPr/>
        <w:t>21.364.452 viajeros adicionales desde dicho año. Estos datos obviamente vienen impulsados por el efecto que la gratuidad en los bonos residentes ha ocasionado en el comportamiento de nuestros viajeros, lo que ciertamente ha desbordado todas nuestras previsiones y nos ha ocasionado fuertes tensiones durante todo el año en el cumplimiento de nuestro objetivo de prestar un adecuado servicio a nuestros clientes. Un incremento tan descomunal es imposible afrontarlo</w:t>
      </w:r>
      <w:r>
        <w:rPr>
          <w:spacing w:val="-3"/>
        </w:rPr>
        <w:t> </w:t>
      </w:r>
      <w:r>
        <w:rPr/>
        <w:t>sin</w:t>
      </w:r>
      <w:r>
        <w:rPr>
          <w:spacing w:val="-2"/>
        </w:rPr>
        <w:t> </w:t>
      </w:r>
      <w:r>
        <w:rPr/>
        <w:t>poner</w:t>
      </w:r>
      <w:r>
        <w:rPr>
          <w:spacing w:val="-1"/>
        </w:rPr>
        <w:t> </w:t>
      </w:r>
      <w:r>
        <w:rPr/>
        <w:t>en</w:t>
      </w:r>
      <w:r>
        <w:rPr>
          <w:spacing w:val="-2"/>
        </w:rPr>
        <w:t> </w:t>
      </w:r>
      <w:r>
        <w:rPr/>
        <w:t>juego</w:t>
      </w:r>
      <w:r>
        <w:rPr>
          <w:spacing w:val="-4"/>
        </w:rPr>
        <w:t> </w:t>
      </w:r>
      <w:r>
        <w:rPr/>
        <w:t>un número</w:t>
      </w:r>
      <w:r>
        <w:rPr>
          <w:spacing w:val="-4"/>
        </w:rPr>
        <w:t> </w:t>
      </w:r>
      <w:r>
        <w:rPr/>
        <w:t>de</w:t>
      </w:r>
      <w:r>
        <w:rPr>
          <w:spacing w:val="-2"/>
        </w:rPr>
        <w:t> </w:t>
      </w:r>
      <w:r>
        <w:rPr/>
        <w:t>recursos,</w:t>
      </w:r>
      <w:r>
        <w:rPr>
          <w:spacing w:val="-4"/>
        </w:rPr>
        <w:t> </w:t>
      </w:r>
      <w:r>
        <w:rPr/>
        <w:t>tanto humanos</w:t>
      </w:r>
      <w:r>
        <w:rPr>
          <w:spacing w:val="-1"/>
        </w:rPr>
        <w:t> </w:t>
      </w:r>
      <w:r>
        <w:rPr/>
        <w:t>como</w:t>
      </w:r>
      <w:r>
        <w:rPr>
          <w:spacing w:val="-5"/>
        </w:rPr>
        <w:t> </w:t>
      </w:r>
      <w:r>
        <w:rPr/>
        <w:t>materiales,</w:t>
      </w:r>
      <w:r>
        <w:rPr>
          <w:spacing w:val="-2"/>
        </w:rPr>
        <w:t> </w:t>
      </w:r>
      <w:r>
        <w:rPr/>
        <w:t>bastante superior al que teníamos previsto, y en la gestión de esta novedosa circunstancia hemos centrado gran parte de nuestros esfuerzos durante estos últimos años, habiéndose incrementado el número de conductores promedio de 605 en 2024 a 655 en 2025.</w:t>
      </w:r>
    </w:p>
    <w:p>
      <w:pPr>
        <w:pStyle w:val="BodyText"/>
        <w:spacing w:before="113"/>
      </w:pPr>
    </w:p>
    <w:p>
      <w:pPr>
        <w:pStyle w:val="BodyText"/>
        <w:spacing w:line="360" w:lineRule="auto" w:before="1"/>
        <w:ind w:left="1341" w:right="1344"/>
        <w:jc w:val="both"/>
      </w:pPr>
      <w:r>
        <w:rPr/>
        <mc:AlternateContent>
          <mc:Choice Requires="wps">
            <w:drawing>
              <wp:anchor distT="0" distB="0" distL="0" distR="0" allowOverlap="1" layoutInCell="1" locked="0" behindDoc="0" simplePos="0" relativeHeight="15780864">
                <wp:simplePos x="0" y="0"/>
                <wp:positionH relativeFrom="page">
                  <wp:posOffset>254000</wp:posOffset>
                </wp:positionH>
                <wp:positionV relativeFrom="paragraph">
                  <wp:posOffset>1008244</wp:posOffset>
                </wp:positionV>
                <wp:extent cx="368300" cy="292925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79.389343pt;width:29pt;height:230.64pt;mso-position-horizontal-relative:page;mso-position-vertical-relative:paragraph;z-index:15780864" id="docshape161" filled="false" stroked="true" strokeweight=".5pt" strokecolor="#808080">
                <v:stroke dashstyle="solid"/>
                <w10:wrap type="none"/>
              </v:rect>
            </w:pict>
          </mc:Fallback>
        </mc:AlternateContent>
      </w:r>
      <w:r>
        <w:rPr/>
        <mc:AlternateContent>
          <mc:Choice Requires="wps">
            <w:drawing>
              <wp:anchor distT="0" distB="0" distL="0" distR="0" allowOverlap="1" layoutInCell="1" locked="0" behindDoc="0" simplePos="0" relativeHeight="15781376">
                <wp:simplePos x="0" y="0"/>
                <wp:positionH relativeFrom="page">
                  <wp:posOffset>6966436</wp:posOffset>
                </wp:positionH>
                <wp:positionV relativeFrom="paragraph">
                  <wp:posOffset>221718</wp:posOffset>
                </wp:positionV>
                <wp:extent cx="263525" cy="323342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458158pt;width:20.75pt;height:254.6pt;mso-position-horizontal-relative:page;mso-position-vertical-relative:paragraph;z-index:15781376" type="#_x0000_t202" id="docshape16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1</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Otro hecho destacable en este año ha sido la continuación en la senda de renovación de flota con la adquisición de 26 vehículos, 6 de 18 metros, 10 eléctricos de 9,5 metros, y 10 de 12 metros,</w:t>
      </w:r>
      <w:r>
        <w:rPr>
          <w:spacing w:val="-3"/>
        </w:rPr>
        <w:t> </w:t>
      </w:r>
      <w:r>
        <w:rPr/>
        <w:t>para</w:t>
      </w:r>
      <w:r>
        <w:rPr>
          <w:spacing w:val="-1"/>
        </w:rPr>
        <w:t> </w:t>
      </w:r>
      <w:r>
        <w:rPr/>
        <w:t>poder afrontar de</w:t>
      </w:r>
      <w:r>
        <w:rPr>
          <w:spacing w:val="-4"/>
        </w:rPr>
        <w:t> </w:t>
      </w:r>
      <w:r>
        <w:rPr/>
        <w:t>manera</w:t>
      </w:r>
      <w:r>
        <w:rPr>
          <w:spacing w:val="-1"/>
        </w:rPr>
        <w:t> </w:t>
      </w:r>
      <w:r>
        <w:rPr/>
        <w:t>más</w:t>
      </w:r>
      <w:r>
        <w:rPr>
          <w:spacing w:val="-1"/>
        </w:rPr>
        <w:t> </w:t>
      </w:r>
      <w:r>
        <w:rPr/>
        <w:t>adecuada</w:t>
      </w:r>
      <w:r>
        <w:rPr>
          <w:spacing w:val="-3"/>
        </w:rPr>
        <w:t> </w:t>
      </w:r>
      <w:r>
        <w:rPr/>
        <w:t>el</w:t>
      </w:r>
      <w:r>
        <w:rPr>
          <w:spacing w:val="-1"/>
        </w:rPr>
        <w:t> </w:t>
      </w:r>
      <w:r>
        <w:rPr/>
        <w:t>importante</w:t>
      </w:r>
      <w:r>
        <w:rPr>
          <w:spacing w:val="-3"/>
        </w:rPr>
        <w:t> </w:t>
      </w:r>
      <w:r>
        <w:rPr/>
        <w:t>incremento</w:t>
      </w:r>
      <w:r>
        <w:rPr>
          <w:spacing w:val="-3"/>
        </w:rPr>
        <w:t> </w:t>
      </w:r>
      <w:r>
        <w:rPr/>
        <w:t>de</w:t>
      </w:r>
      <w:r>
        <w:rPr>
          <w:spacing w:val="-1"/>
        </w:rPr>
        <w:t> </w:t>
      </w:r>
      <w:r>
        <w:rPr/>
        <w:t>viajeros que como ya indicamos está generando la gratuidad en el transporte, y que como todos conocerán va a seguir aplicándose durante el año 2026.</w:t>
      </w:r>
    </w:p>
    <w:p>
      <w:pPr>
        <w:pStyle w:val="BodyText"/>
        <w:spacing w:before="116"/>
      </w:pPr>
    </w:p>
    <w:p>
      <w:pPr>
        <w:pStyle w:val="BodyText"/>
        <w:spacing w:line="360" w:lineRule="auto"/>
        <w:ind w:left="1341" w:right="1343"/>
        <w:jc w:val="both"/>
      </w:pPr>
      <w:r>
        <w:rPr/>
        <w:t>También en el marco de los proyectos Next Generation, y como ya resaltamos el año pasado, finalizamos en el ejercicio 2024 la ejecución de las inversiones comprometidas en el proyecto INNOBUS-TUR, proyecto conformado por un grupo de 4 ciudades españolas en el que nos integramos con las ciudades de San Sebastián, Palma de Mallorca y Málaga, y a través del</w:t>
      </w:r>
      <w:r>
        <w:rPr>
          <w:spacing w:val="40"/>
        </w:rPr>
        <w:t> </w:t>
      </w:r>
      <w:r>
        <w:rPr/>
        <w:t>cual se nos ha concedido una financiación de 20.956.500 € en conjunto, que implican el 90%</w:t>
      </w:r>
      <w:r>
        <w:rPr>
          <w:spacing w:val="40"/>
        </w:rPr>
        <w:t> </w:t>
      </w:r>
      <w:r>
        <w:rPr/>
        <w:t>de la inversión de un total de 23.285.000 €. Durante el ejercicio 2025 hemos contabilizado el ingreso patrimonial de 5.823.731,33 € después de que el Ayuntamiento tramitara el reconocimiento de la subvención correspondiente a los 18 proyectos que han conformado las</w:t>
      </w:r>
    </w:p>
    <w:p>
      <w:pPr>
        <w:pStyle w:val="BodyText"/>
      </w:pPr>
    </w:p>
    <w:p>
      <w:pPr>
        <w:pStyle w:val="BodyText"/>
        <w:spacing w:before="225"/>
      </w:pPr>
      <w:r>
        <w:rPr/>
        <w:drawing>
          <wp:anchor distT="0" distB="0" distL="0" distR="0" allowOverlap="1" layoutInCell="1" locked="0" behindDoc="1" simplePos="0" relativeHeight="487638528">
            <wp:simplePos x="0" y="0"/>
            <wp:positionH relativeFrom="page">
              <wp:posOffset>6781418</wp:posOffset>
            </wp:positionH>
            <wp:positionV relativeFrom="paragraph">
              <wp:posOffset>304169</wp:posOffset>
            </wp:positionV>
            <wp:extent cx="418052" cy="418052"/>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20" cstate="print"/>
                    <a:stretch>
                      <a:fillRect/>
                    </a:stretch>
                  </pic:blipFill>
                  <pic:spPr>
                    <a:xfrm>
                      <a:off x="0" y="0"/>
                      <a:ext cx="418052" cy="418052"/>
                    </a:xfrm>
                    <a:prstGeom prst="rect">
                      <a:avLst/>
                    </a:prstGeom>
                  </pic:spPr>
                </pic:pic>
              </a:graphicData>
            </a:graphic>
          </wp:anchor>
        </w:drawing>
      </w:r>
    </w:p>
    <w:p>
      <w:pPr>
        <w:pStyle w:val="BodyText"/>
        <w:spacing w:after="0"/>
        <w:sectPr>
          <w:headerReference w:type="default" r:id="rId18"/>
          <w:footerReference w:type="default" r:id="rId19"/>
          <w:pgSz w:w="11910" w:h="16840"/>
          <w:pgMar w:header="598" w:footer="315" w:top="1500" w:bottom="500" w:left="360" w:right="360"/>
        </w:sectPr>
      </w:pPr>
    </w:p>
    <w:p>
      <w:pPr>
        <w:pStyle w:val="BodyText"/>
        <w:spacing w:before="16"/>
      </w:pPr>
    </w:p>
    <w:p>
      <w:pPr>
        <w:pStyle w:val="BodyText"/>
        <w:spacing w:line="357" w:lineRule="auto" w:before="1"/>
        <w:ind w:left="1341" w:right="1345"/>
        <w:jc w:val="both"/>
      </w:pPr>
      <w:r>
        <w:rPr/>
        <mc:AlternateContent>
          <mc:Choice Requires="wps">
            <w:drawing>
              <wp:anchor distT="0" distB="0" distL="0" distR="0" allowOverlap="1" layoutInCell="1" locked="0" behindDoc="0" simplePos="0" relativeHeight="15782400">
                <wp:simplePos x="0" y="0"/>
                <wp:positionH relativeFrom="page">
                  <wp:posOffset>254000</wp:posOffset>
                </wp:positionH>
                <wp:positionV relativeFrom="paragraph">
                  <wp:posOffset>279158</wp:posOffset>
                </wp:positionV>
                <wp:extent cx="368300" cy="292925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21.981022pt;width:29pt;height:230.64pt;mso-position-horizontal-relative:page;mso-position-vertical-relative:paragraph;z-index:15782400" id="docshape163" filled="false" stroked="true" strokeweight=".5pt" strokecolor="#808080">
                <v:stroke dashstyle="solid"/>
                <w10:wrap type="none"/>
              </v:rect>
            </w:pict>
          </mc:Fallback>
        </mc:AlternateContent>
      </w:r>
      <w:r>
        <w:rPr/>
        <w:t>actuaciones subvencionables,</w:t>
      </w:r>
      <w:r>
        <w:rPr>
          <w:spacing w:val="-3"/>
        </w:rPr>
        <w:t> </w:t>
      </w:r>
      <w:r>
        <w:rPr/>
        <w:t>proyectos todos ellos relacionados con</w:t>
      </w:r>
      <w:r>
        <w:rPr>
          <w:spacing w:val="-1"/>
        </w:rPr>
        <w:t> </w:t>
      </w:r>
      <w:r>
        <w:rPr/>
        <w:t>la</w:t>
      </w:r>
      <w:r>
        <w:rPr>
          <w:spacing w:val="-1"/>
        </w:rPr>
        <w:t> </w:t>
      </w:r>
      <w:r>
        <w:rPr/>
        <w:t>innovación</w:t>
      </w:r>
      <w:r>
        <w:rPr>
          <w:spacing w:val="-1"/>
        </w:rPr>
        <w:t> </w:t>
      </w:r>
      <w:r>
        <w:rPr/>
        <w:t>tecnológica y la mayor accesibilidad de nuestro servicio, estando ya todos implementados.</w:t>
      </w:r>
    </w:p>
    <w:p>
      <w:pPr>
        <w:pStyle w:val="BodyText"/>
        <w:spacing w:before="118"/>
      </w:pPr>
    </w:p>
    <w:p>
      <w:pPr>
        <w:pStyle w:val="BodyText"/>
        <w:spacing w:line="360" w:lineRule="auto" w:before="1"/>
        <w:ind w:left="1341" w:right="1343"/>
        <w:jc w:val="both"/>
      </w:pPr>
      <w:r>
        <w:rPr/>
        <w:t>Seguimos igualmente con el proyecto Europeo “Spine”, cuyo objetivo es el fomento de la coordinación de diferentes modos de transporte a través de la creación de nudos de intercambio entre los mismos (hubs) y en el que participamos con otras 10 ciudades europeas. El planteamiento en este proyecto en el que también se ha integrado a Sagulpa es mejorar los nudos de interconexión de nuestra red, y ya estamos elaborando los proyectos de mejora del Auditorio, La Ballena y 7 Palmas, que contaran adicionalmente con una estación de Sitycleta</w:t>
      </w:r>
      <w:r>
        <w:rPr>
          <w:spacing w:val="80"/>
        </w:rPr>
        <w:t> </w:t>
      </w:r>
      <w:r>
        <w:rPr/>
        <w:t>en cada uno de ellos además de permitir mejorar nuestra operativa diaria en los mismos y por tanto facilitar su uso a nuestros clientes.</w:t>
      </w:r>
    </w:p>
    <w:p>
      <w:pPr>
        <w:pStyle w:val="BodyText"/>
        <w:spacing w:before="113"/>
      </w:pPr>
    </w:p>
    <w:p>
      <w:pPr>
        <w:pStyle w:val="BodyText"/>
        <w:spacing w:line="360" w:lineRule="auto"/>
        <w:ind w:left="1341" w:right="1343"/>
        <w:jc w:val="both"/>
      </w:pPr>
      <w:r>
        <w:rPr/>
        <mc:AlternateContent>
          <mc:Choice Requires="wps">
            <w:drawing>
              <wp:anchor distT="0" distB="0" distL="0" distR="0" allowOverlap="1" layoutInCell="1" locked="0" behindDoc="0" simplePos="0" relativeHeight="15782912">
                <wp:simplePos x="0" y="0"/>
                <wp:positionH relativeFrom="page">
                  <wp:posOffset>254000</wp:posOffset>
                </wp:positionH>
                <wp:positionV relativeFrom="paragraph">
                  <wp:posOffset>644113</wp:posOffset>
                </wp:positionV>
                <wp:extent cx="368300" cy="292925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50.717602pt;width:29pt;height:230.64pt;mso-position-horizontal-relative:page;mso-position-vertical-relative:paragraph;z-index:15782912" id="docshape164" filled="false" stroked="true" strokeweight=".5pt" strokecolor="#808080">
                <v:stroke dashstyle="solid"/>
                <w10:wrap type="none"/>
              </v:rect>
            </w:pict>
          </mc:Fallback>
        </mc:AlternateContent>
      </w:r>
      <w:r>
        <w:rPr/>
        <mc:AlternateContent>
          <mc:Choice Requires="wps">
            <w:drawing>
              <wp:anchor distT="0" distB="0" distL="0" distR="0" allowOverlap="1" layoutInCell="1" locked="0" behindDoc="0" simplePos="0" relativeHeight="15783936">
                <wp:simplePos x="0" y="0"/>
                <wp:positionH relativeFrom="page">
                  <wp:posOffset>6966436</wp:posOffset>
                </wp:positionH>
                <wp:positionV relativeFrom="paragraph">
                  <wp:posOffset>2850215</wp:posOffset>
                </wp:positionV>
                <wp:extent cx="263525" cy="323342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24.426422pt;width:20.75pt;height:254.6pt;mso-position-horizontal-relative:page;mso-position-vertical-relative:paragraph;z-index:15783936" type="#_x0000_t202" id="docshape16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Por otro lado, y como ya adelantamos el año pasado, seguimos viviendo una situación de incertidumbre en cuanto al entorno económico que está ocasionando continuos retrasos en la entrega</w:t>
      </w:r>
      <w:r>
        <w:rPr>
          <w:spacing w:val="-1"/>
        </w:rPr>
        <w:t> </w:t>
      </w:r>
      <w:r>
        <w:rPr/>
        <w:t>de suministros,</w:t>
      </w:r>
      <w:r>
        <w:rPr>
          <w:spacing w:val="-1"/>
        </w:rPr>
        <w:t> </w:t>
      </w:r>
      <w:r>
        <w:rPr/>
        <w:t>sobre</w:t>
      </w:r>
      <w:r>
        <w:rPr>
          <w:spacing w:val="-1"/>
        </w:rPr>
        <w:t> </w:t>
      </w:r>
      <w:r>
        <w:rPr/>
        <w:t>todo de los vehículos,</w:t>
      </w:r>
      <w:r>
        <w:rPr>
          <w:spacing w:val="-3"/>
        </w:rPr>
        <w:t> </w:t>
      </w:r>
      <w:r>
        <w:rPr/>
        <w:t>con un incremento</w:t>
      </w:r>
      <w:r>
        <w:rPr>
          <w:spacing w:val="-3"/>
        </w:rPr>
        <w:t> </w:t>
      </w:r>
      <w:r>
        <w:rPr/>
        <w:t>excesivo de los precios de los mismos y de los diferentes componentes que necesitamos para su adecuado mantenimiento, lo que ha tenido como consecuencia un incremento del IPC que sigue afectando de forma importante a nuestras compras durante el año 2025. En relación a los costes de combustibles, tras mantenerse su precio moderado en los primeros meses de 2025, ha vuelto a incrementarse, circunstancia a la que hay que sumar la disminución del apoyo institucional a nivel autonómico con el final de la bonificación del 99% del impuesto específico sobre los combustibles en el ejercicio 2023, bonificación que el conjunto de empresas canarias estamos reclamando pueda sostenerse a través de la Federación Canaria de Transportes con objeto de garantizar el apoyo autonómico a esta política, que en todo caso parece que va a seguir teniendo cambios este año que no sabemos aun el efecto que podrá tener en nuestras cuentas futuras.</w:t>
      </w:r>
    </w:p>
    <w:p>
      <w:pPr>
        <w:pStyle w:val="BodyText"/>
        <w:spacing w:before="115"/>
      </w:pPr>
    </w:p>
    <w:p>
      <w:pPr>
        <w:pStyle w:val="BodyText"/>
        <w:spacing w:line="360" w:lineRule="auto"/>
        <w:ind w:left="1341" w:right="1343"/>
        <w:jc w:val="both"/>
      </w:pPr>
      <w:r>
        <w:rPr/>
        <mc:AlternateContent>
          <mc:Choice Requires="wps">
            <w:drawing>
              <wp:anchor distT="0" distB="0" distL="0" distR="0" allowOverlap="1" layoutInCell="1" locked="0" behindDoc="0" simplePos="0" relativeHeight="15783424">
                <wp:simplePos x="0" y="0"/>
                <wp:positionH relativeFrom="page">
                  <wp:posOffset>254000</wp:posOffset>
                </wp:positionH>
                <wp:positionV relativeFrom="paragraph">
                  <wp:posOffset>350889</wp:posOffset>
                </wp:positionV>
                <wp:extent cx="368300" cy="2929255"/>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27.629087pt;width:29pt;height:230.64pt;mso-position-horizontal-relative:page;mso-position-vertical-relative:paragraph;z-index:15783424" id="docshape166" filled="false" stroked="true" strokeweight=".5pt" strokecolor="#808080">
                <v:stroke dashstyle="solid"/>
                <w10:wrap type="none"/>
              </v:rect>
            </w:pict>
          </mc:Fallback>
        </mc:AlternateContent>
      </w:r>
      <w:r>
        <w:rPr/>
        <w:t>Por otro lado seguimos afrontando el pago de intereses del crédito concedido por el BEI, dispuesto en su totalidad en 2023 por la finalización de los plazos establecidos, para la implantación del proyecto Metroguagua. Este hecho lo hemos podido compensar en parte por las retribuciones de</w:t>
      </w:r>
      <w:r>
        <w:rPr>
          <w:spacing w:val="-2"/>
        </w:rPr>
        <w:t> </w:t>
      </w:r>
      <w:r>
        <w:rPr/>
        <w:t>nuestros activos</w:t>
      </w:r>
      <w:r>
        <w:rPr>
          <w:spacing w:val="-1"/>
        </w:rPr>
        <w:t> </w:t>
      </w:r>
      <w:r>
        <w:rPr/>
        <w:t>líquidos, si bien se está</w:t>
      </w:r>
      <w:r>
        <w:rPr>
          <w:spacing w:val="-2"/>
        </w:rPr>
        <w:t> </w:t>
      </w:r>
      <w:r>
        <w:rPr/>
        <w:t>confirmando la</w:t>
      </w:r>
      <w:r>
        <w:rPr>
          <w:spacing w:val="-2"/>
        </w:rPr>
        <w:t> </w:t>
      </w:r>
      <w:r>
        <w:rPr/>
        <w:t>tendencia</w:t>
      </w:r>
      <w:r>
        <w:rPr>
          <w:spacing w:val="-2"/>
        </w:rPr>
        <w:t> </w:t>
      </w:r>
      <w:r>
        <w:rPr/>
        <w:t>a la</w:t>
      </w:r>
      <w:r>
        <w:rPr>
          <w:spacing w:val="-2"/>
        </w:rPr>
        <w:t> </w:t>
      </w:r>
      <w:r>
        <w:rPr/>
        <w:t>baja para los tipos de interés, por lo que los ingresos financieros que obtenemos son cada vez </w:t>
      </w:r>
      <w:r>
        <w:rPr>
          <w:spacing w:val="-2"/>
        </w:rPr>
        <w:t>menores.</w:t>
      </w:r>
    </w:p>
    <w:p>
      <w:pPr>
        <w:pStyle w:val="BodyText"/>
        <w:spacing w:before="117"/>
      </w:pPr>
    </w:p>
    <w:p>
      <w:pPr>
        <w:pStyle w:val="BodyText"/>
        <w:spacing w:line="360" w:lineRule="auto"/>
        <w:ind w:left="1341" w:right="1343"/>
        <w:jc w:val="both"/>
      </w:pPr>
      <w:r>
        <w:rPr/>
        <w:t>En relación al proyecto de la “Metroguagua” y visto el retraso que por diversas y</w:t>
      </w:r>
      <w:r>
        <w:rPr>
          <w:spacing w:val="40"/>
        </w:rPr>
        <w:t> </w:t>
      </w:r>
      <w:r>
        <w:rPr/>
        <w:t>desafortunadas circunstancias que escapan a nuestro control se está desarrollando seguimos con el plan del año pasado</w:t>
      </w:r>
      <w:r>
        <w:rPr>
          <w:spacing w:val="19"/>
        </w:rPr>
        <w:t> </w:t>
      </w:r>
      <w:r>
        <w:rPr/>
        <w:t>por el que habíamos optado por ir haciendo mejoras graduales en</w:t>
      </w:r>
      <w:r>
        <w:rPr>
          <w:spacing w:val="40"/>
        </w:rPr>
        <w:t> </w:t>
      </w:r>
      <w:r>
        <w:rPr/>
        <w:t>la red hasta llegar a la remodelación definitiva de la misma cuando dicho proyecto se ponga en marcha, para ello hemos diseñado siete etapas previas de mejora que iremos implementando</w:t>
      </w:r>
    </w:p>
    <w:p>
      <w:pPr>
        <w:pStyle w:val="BodyText"/>
        <w:rPr>
          <w:sz w:val="18"/>
        </w:rPr>
      </w:pPr>
    </w:p>
    <w:p>
      <w:pPr>
        <w:pStyle w:val="BodyText"/>
        <w:rPr>
          <w:sz w:val="18"/>
        </w:rPr>
      </w:pPr>
    </w:p>
    <w:p>
      <w:pPr>
        <w:pStyle w:val="BodyText"/>
        <w:rPr>
          <w:sz w:val="18"/>
        </w:rPr>
      </w:pPr>
    </w:p>
    <w:p>
      <w:pPr>
        <w:pStyle w:val="BodyText"/>
        <w:spacing w:before="31"/>
        <w:rPr>
          <w:sz w:val="18"/>
        </w:rPr>
      </w:pPr>
    </w:p>
    <w:p>
      <w:pPr>
        <w:spacing w:before="0"/>
        <w:ind w:left="0" w:right="2" w:firstLine="0"/>
        <w:jc w:val="center"/>
        <w:rPr>
          <w:sz w:val="18"/>
        </w:rPr>
      </w:pPr>
      <w:r>
        <w:rPr>
          <w:sz w:val="18"/>
        </w:rPr>
        <w:drawing>
          <wp:anchor distT="0" distB="0" distL="0" distR="0" allowOverlap="1" layoutInCell="1" locked="0" behindDoc="0" simplePos="0" relativeHeight="15781888">
            <wp:simplePos x="0" y="0"/>
            <wp:positionH relativeFrom="page">
              <wp:posOffset>6781418</wp:posOffset>
            </wp:positionH>
            <wp:positionV relativeFrom="paragraph">
              <wp:posOffset>-314455</wp:posOffset>
            </wp:positionV>
            <wp:extent cx="419100" cy="41910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20" cstate="print"/>
                    <a:stretch>
                      <a:fillRect/>
                    </a:stretch>
                  </pic:blipFill>
                  <pic:spPr>
                    <a:xfrm>
                      <a:off x="0" y="0"/>
                      <a:ext cx="419100" cy="419100"/>
                    </a:xfrm>
                    <a:prstGeom prst="rect">
                      <a:avLst/>
                    </a:prstGeom>
                  </pic:spPr>
                </pic:pic>
              </a:graphicData>
            </a:graphic>
          </wp:anchor>
        </w:drawing>
      </w:r>
      <w:r>
        <w:rPr>
          <w:spacing w:val="-10"/>
          <w:sz w:val="18"/>
        </w:rPr>
        <w:t>2</w:t>
      </w:r>
    </w:p>
    <w:p>
      <w:pPr>
        <w:spacing w:after="0"/>
        <w:jc w:val="center"/>
        <w:rPr>
          <w:sz w:val="18"/>
        </w:rPr>
        <w:sectPr>
          <w:headerReference w:type="default" r:id="rId21"/>
          <w:footerReference w:type="default" r:id="rId22"/>
          <w:pgSz w:w="11910" w:h="16840"/>
          <w:pgMar w:header="598" w:footer="0" w:top="1500" w:bottom="280" w:left="360" w:right="360"/>
        </w:sectPr>
      </w:pPr>
    </w:p>
    <w:p>
      <w:pPr>
        <w:pStyle w:val="BodyText"/>
        <w:spacing w:before="16"/>
      </w:pPr>
    </w:p>
    <w:p>
      <w:pPr>
        <w:pStyle w:val="BodyText"/>
        <w:spacing w:line="360" w:lineRule="auto" w:before="1"/>
        <w:ind w:left="1341" w:right="1343"/>
        <w:jc w:val="both"/>
      </w:pPr>
      <w:r>
        <w:rPr/>
        <mc:AlternateContent>
          <mc:Choice Requires="wps">
            <w:drawing>
              <wp:anchor distT="0" distB="0" distL="0" distR="0" allowOverlap="1" layoutInCell="1" locked="0" behindDoc="0" simplePos="0" relativeHeight="15784448">
                <wp:simplePos x="0" y="0"/>
                <wp:positionH relativeFrom="page">
                  <wp:posOffset>254000</wp:posOffset>
                </wp:positionH>
                <wp:positionV relativeFrom="paragraph">
                  <wp:posOffset>279158</wp:posOffset>
                </wp:positionV>
                <wp:extent cx="368300" cy="292925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68300" cy="2929255"/>
                        </a:xfrm>
                        <a:custGeom>
                          <a:avLst/>
                          <a:gdLst/>
                          <a:ahLst/>
                          <a:cxnLst/>
                          <a:rect l="l" t="t" r="r" b="b"/>
                          <a:pathLst>
                            <a:path w="368300" h="2929255">
                              <a:moveTo>
                                <a:pt x="0" y="2929128"/>
                              </a:moveTo>
                              <a:lnTo>
                                <a:pt x="368300" y="2929128"/>
                              </a:lnTo>
                              <a:lnTo>
                                <a:pt x="368300" y="0"/>
                              </a:lnTo>
                              <a:lnTo>
                                <a:pt x="0" y="0"/>
                              </a:lnTo>
                              <a:lnTo>
                                <a:pt x="0" y="2929128"/>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rect style="position:absolute;margin-left:20pt;margin-top:21.981022pt;width:29pt;height:230.64pt;mso-position-horizontal-relative:page;mso-position-vertical-relative:paragraph;z-index:15784448" id="docshape168" filled="false" stroked="true" strokeweight=".5pt" strokecolor="#808080">
                <v:stroke dashstyle="solid"/>
                <w10:wrap type="none"/>
              </v:rect>
            </w:pict>
          </mc:Fallback>
        </mc:AlternateContent>
      </w:r>
      <w:r>
        <w:rPr/>
        <w:t>en los próximos años cuando vayamos disponiendo de los medios materiales y humanos necesarios, de esta forma nuestros viajeros podrán ir notando mejoras graduales del servicio sin tener que esperar a la finalización de este importante proyecto, y</w:t>
      </w:r>
      <w:r>
        <w:rPr>
          <w:spacing w:val="-2"/>
        </w:rPr>
        <w:t> </w:t>
      </w:r>
      <w:r>
        <w:rPr/>
        <w:t>en este sentido durante el 2025 hemos implantado la reordenación de las líneas del Auditorio, alineándolo también con el proyecto</w:t>
      </w:r>
      <w:r>
        <w:rPr>
          <w:spacing w:val="-3"/>
        </w:rPr>
        <w:t> </w:t>
      </w:r>
      <w:r>
        <w:rPr/>
        <w:t>Spine ya</w:t>
      </w:r>
      <w:r>
        <w:rPr>
          <w:spacing w:val="-3"/>
        </w:rPr>
        <w:t> </w:t>
      </w:r>
      <w:r>
        <w:rPr/>
        <w:t>comentado,</w:t>
      </w:r>
      <w:r>
        <w:rPr>
          <w:spacing w:val="-1"/>
        </w:rPr>
        <w:t> </w:t>
      </w:r>
      <w:r>
        <w:rPr/>
        <w:t>habiendo</w:t>
      </w:r>
      <w:r>
        <w:rPr>
          <w:spacing w:val="-1"/>
        </w:rPr>
        <w:t> </w:t>
      </w:r>
      <w:r>
        <w:rPr/>
        <w:t>sido</w:t>
      </w:r>
      <w:r>
        <w:rPr>
          <w:spacing w:val="-1"/>
        </w:rPr>
        <w:t> </w:t>
      </w:r>
      <w:r>
        <w:rPr/>
        <w:t>el</w:t>
      </w:r>
      <w:r>
        <w:rPr>
          <w:spacing w:val="-1"/>
        </w:rPr>
        <w:t> </w:t>
      </w:r>
      <w:r>
        <w:rPr/>
        <w:t>resultado</w:t>
      </w:r>
      <w:r>
        <w:rPr>
          <w:spacing w:val="-3"/>
        </w:rPr>
        <w:t> </w:t>
      </w:r>
      <w:r>
        <w:rPr/>
        <w:t>satisfactorio</w:t>
      </w:r>
      <w:r>
        <w:rPr>
          <w:spacing w:val="-3"/>
        </w:rPr>
        <w:t> </w:t>
      </w:r>
      <w:r>
        <w:rPr/>
        <w:t>al</w:t>
      </w:r>
      <w:r>
        <w:rPr>
          <w:spacing w:val="-1"/>
        </w:rPr>
        <w:t> </w:t>
      </w:r>
      <w:r>
        <w:rPr/>
        <w:t>haberse</w:t>
      </w:r>
      <w:r>
        <w:rPr>
          <w:spacing w:val="-1"/>
        </w:rPr>
        <w:t> </w:t>
      </w:r>
      <w:r>
        <w:rPr/>
        <w:t>incrementado el número de viajeros en las líneas que tienen correspondencia en esta nueva zona mejorada de intercambio. También resulta necesario destacar que tras resolver en el ejercicio 2024 el contrato de obra del Paso Inferior de Santa Catalina, nos encontramos a la espera de que</w:t>
      </w:r>
      <w:r>
        <w:rPr>
          <w:spacing w:val="80"/>
        </w:rPr>
        <w:t> </w:t>
      </w:r>
      <w:r>
        <w:rPr/>
        <w:t>dicha obra, así como la terminal de Hoya de la Plata, sea licitada por el Ayuntamiento, estando previsto licitar durante el 2026 el proyecto de Hoya de La Plata quedando pendiente algunas modificaciones en el proyecto constructivo del Paso Inferior de Santa Catalina para que igualmente puede ser sacado a licitación.</w:t>
      </w:r>
    </w:p>
    <w:p>
      <w:pPr>
        <w:pStyle w:val="BodyText"/>
        <w:spacing w:before="113"/>
      </w:pPr>
    </w:p>
    <w:p>
      <w:pPr>
        <w:pStyle w:val="BodyText"/>
        <w:spacing w:line="360" w:lineRule="auto"/>
        <w:ind w:left="1341" w:right="1344"/>
        <w:jc w:val="both"/>
      </w:pPr>
      <w:r>
        <w:rPr/>
        <w:t>Como necesario complemento a lo mencionado, hemos de hacer referencia a nuestra</w:t>
      </w:r>
      <w:r>
        <w:rPr>
          <w:spacing w:val="-1"/>
        </w:rPr>
        <w:t> </w:t>
      </w:r>
      <w:r>
        <w:rPr/>
        <w:t>continua senda de mejora de nuestro nivel patrimonial, que se ha traducido en las cuentas que presentamos en una mejora de los Fondos Propios de 6.269.808 euros, situándose en el presente ejercicio en 36.128.454 euros. En esta línea, nuestro Patrimonio Neto ha experimentado un incremento de</w:t>
      </w:r>
      <w:r>
        <w:rPr>
          <w:spacing w:val="-1"/>
        </w:rPr>
        <w:t> </w:t>
      </w:r>
      <w:r>
        <w:rPr/>
        <w:t>9.037.590</w:t>
      </w:r>
      <w:r>
        <w:rPr>
          <w:spacing w:val="-1"/>
        </w:rPr>
        <w:t> </w:t>
      </w:r>
      <w:r>
        <w:rPr/>
        <w:t>euros, situándose en un total de 58.745.432 euros. Esta</w:t>
      </w:r>
      <w:r>
        <w:rPr>
          <w:spacing w:val="-2"/>
        </w:rPr>
        <w:t> </w:t>
      </w:r>
      <w:r>
        <w:rPr/>
        <w:t>variación,</w:t>
      </w:r>
      <w:r>
        <w:rPr>
          <w:spacing w:val="-3"/>
        </w:rPr>
        <w:t> </w:t>
      </w:r>
      <w:r>
        <w:rPr/>
        <w:t>resumidamente, se</w:t>
      </w:r>
      <w:r>
        <w:rPr>
          <w:spacing w:val="-4"/>
        </w:rPr>
        <w:t> </w:t>
      </w:r>
      <w:r>
        <w:rPr/>
        <w:t>debe al</w:t>
      </w:r>
      <w:r>
        <w:rPr>
          <w:spacing w:val="-5"/>
        </w:rPr>
        <w:t> </w:t>
      </w:r>
      <w:r>
        <w:rPr/>
        <w:t>efecto</w:t>
      </w:r>
      <w:r>
        <w:rPr>
          <w:spacing w:val="-2"/>
        </w:rPr>
        <w:t> </w:t>
      </w:r>
      <w:r>
        <w:rPr/>
        <w:t>del resultado</w:t>
      </w:r>
      <w:r>
        <w:rPr>
          <w:spacing w:val="-2"/>
        </w:rPr>
        <w:t> </w:t>
      </w:r>
      <w:r>
        <w:rPr/>
        <w:t>positivo</w:t>
      </w:r>
      <w:r>
        <w:rPr>
          <w:spacing w:val="-4"/>
        </w:rPr>
        <w:t> </w:t>
      </w:r>
      <w:r>
        <w:rPr/>
        <w:t>generado</w:t>
      </w:r>
      <w:r>
        <w:rPr>
          <w:spacing w:val="-4"/>
        </w:rPr>
        <w:t> </w:t>
      </w:r>
      <w:r>
        <w:rPr/>
        <w:t>en el</w:t>
      </w:r>
      <w:r>
        <w:rPr>
          <w:spacing w:val="-5"/>
        </w:rPr>
        <w:t> </w:t>
      </w:r>
      <w:r>
        <w:rPr/>
        <w:t>ejercicio 2025 de 6.269.808 euros, por la</w:t>
      </w:r>
      <w:r>
        <w:rPr>
          <w:spacing w:val="-1"/>
        </w:rPr>
        <w:t> </w:t>
      </w:r>
      <w:r>
        <w:rPr/>
        <w:t>concesión</w:t>
      </w:r>
      <w:r>
        <w:rPr>
          <w:spacing w:val="-1"/>
        </w:rPr>
        <w:t> </w:t>
      </w:r>
      <w:r>
        <w:rPr/>
        <w:t>de</w:t>
      </w:r>
      <w:r>
        <w:rPr>
          <w:spacing w:val="-1"/>
        </w:rPr>
        <w:t> </w:t>
      </w:r>
      <w:r>
        <w:rPr/>
        <w:t>una</w:t>
      </w:r>
      <w:r>
        <w:rPr>
          <w:spacing w:val="-1"/>
        </w:rPr>
        <w:t> </w:t>
      </w:r>
      <w:r>
        <w:rPr/>
        <w:t>subvención de</w:t>
      </w:r>
      <w:r>
        <w:rPr>
          <w:spacing w:val="-1"/>
        </w:rPr>
        <w:t> </w:t>
      </w:r>
      <w:r>
        <w:rPr/>
        <w:t>capital para la adquisición de flota del ayuntamiento por valor de 992.400 euros, y por la materialización de la subvención Next Generation correspondiente al proyecto INNOBUSTUR por valor de 5.823.731 Euros, minoradas por la aplicación al resultado del ejercicio de subvenciones de capital otorgadas en ejercicios anteriores por valor de 4.048.350 euros.</w:t>
      </w:r>
    </w:p>
    <w:p>
      <w:pPr>
        <w:pStyle w:val="BodyText"/>
      </w:pPr>
    </w:p>
    <w:p>
      <w:pPr>
        <w:pStyle w:val="BodyText"/>
      </w:pPr>
    </w:p>
    <w:p>
      <w:pPr>
        <w:pStyle w:val="BodyText"/>
        <w:spacing w:before="1"/>
      </w:pPr>
    </w:p>
    <w:p>
      <w:pPr>
        <w:pStyle w:val="BodyText"/>
        <w:spacing w:line="360" w:lineRule="auto"/>
        <w:ind w:left="1341" w:right="1343"/>
        <w:jc w:val="both"/>
      </w:pPr>
      <w:r>
        <w:rPr/>
        <mc:AlternateContent>
          <mc:Choice Requires="wps">
            <w:drawing>
              <wp:anchor distT="0" distB="0" distL="0" distR="0" allowOverlap="1" layoutInCell="1" locked="0" behindDoc="0" simplePos="0" relativeHeight="15784960">
                <wp:simplePos x="0" y="0"/>
                <wp:positionH relativeFrom="page">
                  <wp:posOffset>6966436</wp:posOffset>
                </wp:positionH>
                <wp:positionV relativeFrom="paragraph">
                  <wp:posOffset>-217583</wp:posOffset>
                </wp:positionV>
                <wp:extent cx="263525" cy="323342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132565pt;width:20.75pt;height:254.6pt;mso-position-horizontal-relative:page;mso-position-vertical-relative:paragraph;z-index:15784960" type="#_x0000_t202" id="docshape16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Enlazando esta reflexión con la anterior, en relación al proyecto Metroguagua, y derivado del préstamo firmado con el Banco Europeo de Inversiones (BEI) en febrero del 2017, y que paralelamente a su concesión nos impone el cumplimiento de unos determinados ratios de solvencia financiera, pasamos a exponer a continuación los mínimos exigidos por el BEI que debemos cumplir cada ejercicio con los obtenidos durante el año 2025, y que pueden resultar ilustrativos sobre nuestra actual situación patrimonial. En primer lugar, expondremos los mínimos exigidos por el BEI y posteriormente los resultantes de nuestras cuentas anuales del </w:t>
      </w:r>
      <w:r>
        <w:rPr>
          <w:spacing w:val="-2"/>
        </w:rPr>
        <w:t>2025.</w:t>
      </w:r>
    </w:p>
    <w:p>
      <w:pPr>
        <w:pStyle w:val="BodyText"/>
        <w:spacing w:after="0" w:line="360" w:lineRule="auto"/>
        <w:jc w:val="both"/>
        <w:sectPr>
          <w:headerReference w:type="default" r:id="rId23"/>
          <w:footerReference w:type="default" r:id="rId24"/>
          <w:pgSz w:w="11910" w:h="16840"/>
          <w:pgMar w:header="598" w:footer="1060" w:top="1500" w:bottom="1260" w:left="360" w:right="360"/>
          <w:pgNumType w:start="3"/>
        </w:sectPr>
      </w:pPr>
    </w:p>
    <w:p>
      <w:pPr>
        <w:pStyle w:val="BodyText"/>
        <w:spacing w:before="16"/>
      </w:pPr>
    </w:p>
    <w:p>
      <w:pPr>
        <w:pStyle w:val="BodyText"/>
        <w:spacing w:before="1"/>
        <w:ind w:left="1341"/>
      </w:pPr>
      <w:r>
        <w:rPr/>
        <w:t>Mínimos</w:t>
      </w:r>
      <w:r>
        <w:rPr>
          <w:spacing w:val="-6"/>
        </w:rPr>
        <w:t> </w:t>
      </w:r>
      <w:r>
        <w:rPr/>
        <w:t>exigidos</w:t>
      </w:r>
      <w:r>
        <w:rPr>
          <w:spacing w:val="-6"/>
        </w:rPr>
        <w:t> </w:t>
      </w:r>
      <w:r>
        <w:rPr/>
        <w:t>por</w:t>
      </w:r>
      <w:r>
        <w:rPr>
          <w:spacing w:val="-5"/>
        </w:rPr>
        <w:t> </w:t>
      </w:r>
      <w:r>
        <w:rPr/>
        <w:t>el</w:t>
      </w:r>
      <w:r>
        <w:rPr>
          <w:spacing w:val="-5"/>
        </w:rPr>
        <w:t> </w:t>
      </w:r>
      <w:r>
        <w:rPr>
          <w:spacing w:val="-4"/>
        </w:rPr>
        <w:t>BEI:</w:t>
      </w:r>
    </w:p>
    <w:p>
      <w:pPr>
        <w:pStyle w:val="BodyText"/>
        <w:spacing w:before="228"/>
      </w:pPr>
    </w:p>
    <w:p>
      <w:pPr>
        <w:pStyle w:val="BodyText"/>
        <w:ind w:left="1341"/>
      </w:pPr>
      <w:r>
        <w:rPr/>
        <w:t>Patrimonio</w:t>
      </w:r>
      <w:r>
        <w:rPr>
          <w:spacing w:val="-7"/>
        </w:rPr>
        <w:t> </w:t>
      </w:r>
      <w:r>
        <w:rPr/>
        <w:t>Neto</w:t>
      </w:r>
      <w:r>
        <w:rPr>
          <w:spacing w:val="-6"/>
        </w:rPr>
        <w:t> </w:t>
      </w:r>
      <w:r>
        <w:rPr/>
        <w:t>superior</w:t>
      </w:r>
      <w:r>
        <w:rPr>
          <w:spacing w:val="-6"/>
        </w:rPr>
        <w:t> </w:t>
      </w:r>
      <w:r>
        <w:rPr/>
        <w:t>a</w:t>
      </w:r>
      <w:r>
        <w:rPr>
          <w:spacing w:val="-4"/>
        </w:rPr>
        <w:t> </w:t>
      </w:r>
      <w:r>
        <w:rPr/>
        <w:t>23</w:t>
      </w:r>
      <w:r>
        <w:rPr>
          <w:spacing w:val="-7"/>
        </w:rPr>
        <w:t> </w:t>
      </w:r>
      <w:r>
        <w:rPr/>
        <w:t>M</w:t>
      </w:r>
      <w:r>
        <w:rPr>
          <w:spacing w:val="-4"/>
        </w:rPr>
        <w:t> </w:t>
      </w:r>
      <w:r>
        <w:rPr>
          <w:spacing w:val="-2"/>
        </w:rPr>
        <w:t>Euros.</w:t>
      </w:r>
    </w:p>
    <w:p>
      <w:pPr>
        <w:pStyle w:val="BodyText"/>
      </w:pPr>
    </w:p>
    <w:p>
      <w:pPr>
        <w:pStyle w:val="BodyText"/>
        <w:spacing w:before="1"/>
      </w:pPr>
    </w:p>
    <w:p>
      <w:pPr>
        <w:pStyle w:val="BodyText"/>
        <w:spacing w:line="357" w:lineRule="auto" w:before="1"/>
        <w:ind w:left="2048" w:right="1308"/>
      </w:pPr>
      <w:r>
        <w:rPr/>
        <w:t>BDIT</w:t>
      </w:r>
      <w:r>
        <w:rPr>
          <w:spacing w:val="-1"/>
        </w:rPr>
        <w:t> </w:t>
      </w:r>
      <w:r>
        <w:rPr/>
        <w:t>(Beneficio</w:t>
      </w:r>
      <w:r>
        <w:rPr>
          <w:spacing w:val="-4"/>
        </w:rPr>
        <w:t> </w:t>
      </w:r>
      <w:r>
        <w:rPr/>
        <w:t>Neto</w:t>
      </w:r>
      <w:r>
        <w:rPr>
          <w:spacing w:val="-4"/>
        </w:rPr>
        <w:t> </w:t>
      </w:r>
      <w:r>
        <w:rPr/>
        <w:t>después</w:t>
      </w:r>
      <w:r>
        <w:rPr>
          <w:spacing w:val="-2"/>
        </w:rPr>
        <w:t> </w:t>
      </w:r>
      <w:r>
        <w:rPr/>
        <w:t>de</w:t>
      </w:r>
      <w:r>
        <w:rPr>
          <w:spacing w:val="-1"/>
        </w:rPr>
        <w:t> </w:t>
      </w:r>
      <w:r>
        <w:rPr/>
        <w:t>intereses</w:t>
      </w:r>
      <w:r>
        <w:rPr>
          <w:spacing w:val="-2"/>
        </w:rPr>
        <w:t> </w:t>
      </w:r>
      <w:r>
        <w:rPr/>
        <w:t>e</w:t>
      </w:r>
      <w:r>
        <w:rPr>
          <w:spacing w:val="-3"/>
        </w:rPr>
        <w:t> </w:t>
      </w:r>
      <w:r>
        <w:rPr/>
        <w:t>impuestos)</w:t>
      </w:r>
      <w:r>
        <w:rPr>
          <w:spacing w:val="-4"/>
        </w:rPr>
        <w:t> </w:t>
      </w:r>
      <w:r>
        <w:rPr/>
        <w:t>igual</w:t>
      </w:r>
      <w:r>
        <w:rPr>
          <w:spacing w:val="-4"/>
        </w:rPr>
        <w:t> </w:t>
      </w:r>
      <w:r>
        <w:rPr/>
        <w:t>o</w:t>
      </w:r>
      <w:r>
        <w:rPr>
          <w:spacing w:val="-4"/>
        </w:rPr>
        <w:t> </w:t>
      </w:r>
      <w:r>
        <w:rPr/>
        <w:t>superior</w:t>
      </w:r>
      <w:r>
        <w:rPr>
          <w:spacing w:val="-2"/>
        </w:rPr>
        <w:t> </w:t>
      </w:r>
      <w:r>
        <w:rPr/>
        <w:t>a</w:t>
      </w:r>
      <w:r>
        <w:rPr>
          <w:spacing w:val="-3"/>
        </w:rPr>
        <w:t> </w:t>
      </w:r>
      <w:r>
        <w:rPr/>
        <w:t>1</w:t>
      </w:r>
      <w:r>
        <w:rPr>
          <w:spacing w:val="-5"/>
        </w:rPr>
        <w:t> </w:t>
      </w:r>
      <w:r>
        <w:rPr/>
        <w:t>M</w:t>
      </w:r>
      <w:r>
        <w:rPr>
          <w:spacing w:val="-2"/>
        </w:rPr>
        <w:t> </w:t>
      </w:r>
      <w:r>
        <w:rPr/>
        <w:t>Euros. DFN/PN (Deuda Financiera Neta dividida por Patrimonio Neto) inferior a 4,6.</w:t>
      </w:r>
    </w:p>
    <w:p>
      <w:pPr>
        <w:pStyle w:val="BodyText"/>
        <w:spacing w:line="360" w:lineRule="auto" w:before="3"/>
        <w:ind w:left="2049" w:right="1308"/>
      </w:pPr>
      <w:r>
        <w:rPr/>
        <w:t>DFN/EBITDA</w:t>
      </w:r>
      <w:r>
        <w:rPr>
          <w:spacing w:val="40"/>
        </w:rPr>
        <w:t> </w:t>
      </w:r>
      <w:r>
        <w:rPr/>
        <w:t>(Deuda</w:t>
      </w:r>
      <w:r>
        <w:rPr>
          <w:spacing w:val="40"/>
        </w:rPr>
        <w:t> </w:t>
      </w:r>
      <w:r>
        <w:rPr/>
        <w:t>Financiera</w:t>
      </w:r>
      <w:r>
        <w:rPr>
          <w:spacing w:val="40"/>
        </w:rPr>
        <w:t> </w:t>
      </w:r>
      <w:r>
        <w:rPr/>
        <w:t>Neta</w:t>
      </w:r>
      <w:r>
        <w:rPr>
          <w:spacing w:val="40"/>
        </w:rPr>
        <w:t> </w:t>
      </w:r>
      <w:r>
        <w:rPr/>
        <w:t>dividida</w:t>
      </w:r>
      <w:r>
        <w:rPr>
          <w:spacing w:val="40"/>
        </w:rPr>
        <w:t> </w:t>
      </w:r>
      <w:r>
        <w:rPr/>
        <w:t>entre</w:t>
      </w:r>
      <w:r>
        <w:rPr>
          <w:spacing w:val="40"/>
        </w:rPr>
        <w:t> </w:t>
      </w:r>
      <w:r>
        <w:rPr/>
        <w:t>Beneficio</w:t>
      </w:r>
      <w:r>
        <w:rPr>
          <w:spacing w:val="40"/>
        </w:rPr>
        <w:t> </w:t>
      </w:r>
      <w:r>
        <w:rPr/>
        <w:t>bruto</w:t>
      </w:r>
      <w:r>
        <w:rPr>
          <w:spacing w:val="40"/>
        </w:rPr>
        <w:t> </w:t>
      </w:r>
      <w:r>
        <w:rPr/>
        <w:t>de</w:t>
      </w:r>
      <w:r>
        <w:rPr>
          <w:spacing w:val="40"/>
        </w:rPr>
        <w:t> </w:t>
      </w:r>
      <w:r>
        <w:rPr/>
        <w:t>explotación antes de intereses, impuestos, depreciaciones y amortizaciones) inferior a 15.</w:t>
      </w:r>
    </w:p>
    <w:p>
      <w:pPr>
        <w:pStyle w:val="BodyText"/>
        <w:spacing w:before="114"/>
      </w:pPr>
    </w:p>
    <w:p>
      <w:pPr>
        <w:pStyle w:val="BodyText"/>
        <w:spacing w:before="1"/>
        <w:ind w:left="1341"/>
      </w:pPr>
      <w:r>
        <w:rPr/>
        <w:t>Ratios</w:t>
      </w:r>
      <w:r>
        <w:rPr>
          <w:spacing w:val="-7"/>
        </w:rPr>
        <w:t> </w:t>
      </w:r>
      <w:r>
        <w:rPr/>
        <w:t>de</w:t>
      </w:r>
      <w:r>
        <w:rPr>
          <w:spacing w:val="-8"/>
        </w:rPr>
        <w:t> </w:t>
      </w:r>
      <w:r>
        <w:rPr/>
        <w:t>Guaguas</w:t>
      </w:r>
      <w:r>
        <w:rPr>
          <w:spacing w:val="-6"/>
        </w:rPr>
        <w:t> </w:t>
      </w:r>
      <w:r>
        <w:rPr/>
        <w:t>Municipales</w:t>
      </w:r>
      <w:r>
        <w:rPr>
          <w:spacing w:val="-7"/>
        </w:rPr>
        <w:t> </w:t>
      </w:r>
      <w:r>
        <w:rPr/>
        <w:t>durante</w:t>
      </w:r>
      <w:r>
        <w:rPr>
          <w:spacing w:val="-5"/>
        </w:rPr>
        <w:t> </w:t>
      </w:r>
      <w:r>
        <w:rPr/>
        <w:t>el</w:t>
      </w:r>
      <w:r>
        <w:rPr>
          <w:spacing w:val="-7"/>
        </w:rPr>
        <w:t> </w:t>
      </w:r>
      <w:r>
        <w:rPr>
          <w:spacing w:val="-4"/>
        </w:rPr>
        <w:t>2025</w:t>
      </w:r>
    </w:p>
    <w:p>
      <w:pPr>
        <w:pStyle w:val="BodyText"/>
      </w:pPr>
    </w:p>
    <w:p>
      <w:pPr>
        <w:pStyle w:val="BodyText"/>
        <w:spacing w:before="1"/>
      </w:pPr>
    </w:p>
    <w:p>
      <w:pPr>
        <w:pStyle w:val="BodyText"/>
        <w:spacing w:line="357" w:lineRule="auto"/>
        <w:ind w:left="2048" w:right="5505"/>
      </w:pPr>
      <w:r>
        <w:rPr/>
        <w:t>Patrimonio</w:t>
      </w:r>
      <w:r>
        <w:rPr>
          <w:spacing w:val="-11"/>
        </w:rPr>
        <w:t> </w:t>
      </w:r>
      <w:r>
        <w:rPr/>
        <w:t>Neto:</w:t>
      </w:r>
      <w:r>
        <w:rPr>
          <w:spacing w:val="-11"/>
        </w:rPr>
        <w:t> </w:t>
      </w:r>
      <w:r>
        <w:rPr/>
        <w:t>58.745.432</w:t>
      </w:r>
      <w:r>
        <w:rPr>
          <w:spacing w:val="-12"/>
        </w:rPr>
        <w:t> </w:t>
      </w:r>
      <w:r>
        <w:rPr/>
        <w:t>Euros. BDIT: 6.269.808 Euros.</w:t>
      </w:r>
    </w:p>
    <w:p>
      <w:pPr>
        <w:pStyle w:val="BodyText"/>
        <w:spacing w:before="3"/>
        <w:ind w:left="2048"/>
      </w:pPr>
      <w:r>
        <w:rPr/>
        <w:t>DFN/PN:</w:t>
      </w:r>
      <w:r>
        <w:rPr>
          <w:spacing w:val="-11"/>
        </w:rPr>
        <w:t> </w:t>
      </w:r>
      <w:r>
        <w:rPr>
          <w:spacing w:val="-4"/>
        </w:rPr>
        <w:t>0,79</w:t>
      </w:r>
    </w:p>
    <w:p>
      <w:pPr>
        <w:pStyle w:val="BodyText"/>
        <w:spacing w:before="116"/>
        <w:ind w:left="2048"/>
      </w:pPr>
      <w:r>
        <w:rPr>
          <w:spacing w:val="-2"/>
        </w:rPr>
        <w:t>DFN/EBITDA:</w:t>
      </w:r>
      <w:r>
        <w:rPr>
          <w:spacing w:val="6"/>
        </w:rPr>
        <w:t> </w:t>
      </w:r>
      <w:r>
        <w:rPr>
          <w:spacing w:val="-4"/>
        </w:rPr>
        <w:t>5,16</w:t>
      </w:r>
    </w:p>
    <w:p>
      <w:pPr>
        <w:pStyle w:val="BodyText"/>
        <w:spacing w:before="229"/>
      </w:pPr>
    </w:p>
    <w:p>
      <w:pPr>
        <w:pStyle w:val="BodyText"/>
        <w:spacing w:line="722" w:lineRule="auto"/>
        <w:ind w:left="1341" w:right="2207"/>
      </w:pPr>
      <w:r>
        <w:rPr/>
        <w:t>De</w:t>
      </w:r>
      <w:r>
        <w:rPr>
          <w:spacing w:val="-5"/>
        </w:rPr>
        <w:t> </w:t>
      </w:r>
      <w:r>
        <w:rPr/>
        <w:t>esta</w:t>
      </w:r>
      <w:r>
        <w:rPr>
          <w:spacing w:val="-5"/>
        </w:rPr>
        <w:t> </w:t>
      </w:r>
      <w:r>
        <w:rPr/>
        <w:t>manera</w:t>
      </w:r>
      <w:r>
        <w:rPr>
          <w:spacing w:val="-5"/>
        </w:rPr>
        <w:t> </w:t>
      </w:r>
      <w:r>
        <w:rPr/>
        <w:t>cumplimos</w:t>
      </w:r>
      <w:r>
        <w:rPr>
          <w:spacing w:val="-5"/>
        </w:rPr>
        <w:t> </w:t>
      </w:r>
      <w:r>
        <w:rPr/>
        <w:t>todos los</w:t>
      </w:r>
      <w:r>
        <w:rPr>
          <w:spacing w:val="-4"/>
        </w:rPr>
        <w:t> </w:t>
      </w:r>
      <w:r>
        <w:rPr/>
        <w:t>ratios</w:t>
      </w:r>
      <w:r>
        <w:rPr>
          <w:spacing w:val="-2"/>
        </w:rPr>
        <w:t> </w:t>
      </w:r>
      <w:r>
        <w:rPr/>
        <w:t>establecidos</w:t>
      </w:r>
      <w:r>
        <w:rPr>
          <w:spacing w:val="-3"/>
        </w:rPr>
        <w:t> </w:t>
      </w:r>
      <w:r>
        <w:rPr/>
        <w:t>durante</w:t>
      </w:r>
      <w:r>
        <w:rPr>
          <w:spacing w:val="-4"/>
        </w:rPr>
        <w:t> </w:t>
      </w:r>
      <w:r>
        <w:rPr/>
        <w:t>el</w:t>
      </w:r>
      <w:r>
        <w:rPr>
          <w:spacing w:val="-6"/>
        </w:rPr>
        <w:t> </w:t>
      </w:r>
      <w:r>
        <w:rPr/>
        <w:t>ejercicio</w:t>
      </w:r>
      <w:r>
        <w:rPr>
          <w:spacing w:val="-5"/>
        </w:rPr>
        <w:t> </w:t>
      </w:r>
      <w:r>
        <w:rPr/>
        <w:t>2025. INGRESOS Y GASTOS.</w:t>
      </w:r>
    </w:p>
    <w:p>
      <w:pPr>
        <w:pStyle w:val="BodyText"/>
        <w:spacing w:line="360" w:lineRule="auto"/>
        <w:ind w:left="1341" w:right="1344"/>
        <w:jc w:val="both"/>
      </w:pPr>
      <w:r>
        <w:rPr/>
        <w:t>Los gastos totales fueron de 73.061 579 Euros, y los ingresos totales de 79.331.387 Euros, lo que da como resultado un beneficio del ejercicio después de impuestos de 6.269.808 Euros, que se obtiene del análisis de las diferentes partidas expuestas a continuación.</w:t>
      </w:r>
    </w:p>
    <w:p>
      <w:pPr>
        <w:pStyle w:val="BodyText"/>
        <w:spacing w:before="110"/>
      </w:pPr>
    </w:p>
    <w:p>
      <w:pPr>
        <w:pStyle w:val="BodyText"/>
        <w:spacing w:line="360" w:lineRule="auto"/>
        <w:ind w:left="1341" w:right="1340"/>
        <w:jc w:val="both"/>
      </w:pPr>
      <w:r>
        <w:rPr/>
        <mc:AlternateContent>
          <mc:Choice Requires="wps">
            <w:drawing>
              <wp:anchor distT="0" distB="0" distL="0" distR="0" allowOverlap="1" layoutInCell="1" locked="0" behindDoc="0" simplePos="0" relativeHeight="15785472">
                <wp:simplePos x="0" y="0"/>
                <wp:positionH relativeFrom="page">
                  <wp:posOffset>6966436</wp:posOffset>
                </wp:positionH>
                <wp:positionV relativeFrom="paragraph">
                  <wp:posOffset>221507</wp:posOffset>
                </wp:positionV>
                <wp:extent cx="263525" cy="323342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441557pt;width:20.75pt;height:254.6pt;mso-position-horizontal-relative:page;mso-position-vertical-relative:paragraph;z-index:15785472" type="#_x0000_t202" id="docshape17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Respecto a los ingresos, la cifra de negocios fue de 46.517.687 Euros, lo que supuso un incremento de 5.753.678 Euros (un incremento del 14,11%) sobre los registrados en el 2024 derivado del incremento en los fondos a la gratuidad, que se incrementaron en 7.027.001 Euros, impacto minorado por el hecho de que en 2024 se imputó una aportación estatal 1.557.912 Euros.</w:t>
      </w:r>
    </w:p>
    <w:p>
      <w:pPr>
        <w:pStyle w:val="BodyText"/>
        <w:spacing w:before="117"/>
      </w:pPr>
    </w:p>
    <w:p>
      <w:pPr>
        <w:pStyle w:val="BodyText"/>
        <w:spacing w:line="360" w:lineRule="auto"/>
        <w:ind w:left="1341" w:right="1344"/>
        <w:jc w:val="both"/>
      </w:pPr>
      <w:r>
        <w:rPr/>
        <w:t>Respecto a los gastos de explotación, tuvimos un incremento en prácticamente todas las partidas debido al aumento de actividad respecto al año 2024. Los gastos de personal se</w:t>
      </w:r>
      <w:r>
        <w:rPr>
          <w:spacing w:val="40"/>
        </w:rPr>
        <w:t> </w:t>
      </w:r>
      <w:r>
        <w:rPr/>
        <w:t>vieron incrementados en 5.107.359 Euros (un 12,59%), en parte por el incremento experimentado de la plantilla para poder atender las crecientes necesidades del servicio, el incremento de masa salarial anual autorizado y adicionalmente y sobre todo por el impacto de una provisión contable que pretende</w:t>
      </w:r>
      <w:r>
        <w:rPr>
          <w:spacing w:val="-1"/>
        </w:rPr>
        <w:t> </w:t>
      </w:r>
      <w:r>
        <w:rPr/>
        <w:t>recoger el</w:t>
      </w:r>
      <w:r>
        <w:rPr>
          <w:spacing w:val="-2"/>
        </w:rPr>
        <w:t> </w:t>
      </w:r>
      <w:r>
        <w:rPr/>
        <w:t>riesgo por el impacto de los litigios laborales en curso, los cuales se han multiplicado con multitud de reclamaciones por el precio abonado en los descansos y festivos trabajados en los últimos años, habiéndose producido una sentencia parcial a finales del ejercicio 2025 que nos ha recomendado activar esta importante provisión.</w:t>
      </w:r>
    </w:p>
    <w:p>
      <w:pPr>
        <w:pStyle w:val="BodyText"/>
        <w:spacing w:after="0" w:line="360" w:lineRule="auto"/>
        <w:jc w:val="both"/>
        <w:sectPr>
          <w:pgSz w:w="11910" w:h="16840"/>
          <w:pgMar w:header="598" w:footer="1060" w:top="1500" w:bottom="1260" w:left="360" w:right="360"/>
        </w:sectPr>
      </w:pPr>
    </w:p>
    <w:p>
      <w:pPr>
        <w:pStyle w:val="BodyText"/>
        <w:spacing w:before="16"/>
      </w:pPr>
    </w:p>
    <w:p>
      <w:pPr>
        <w:pStyle w:val="BodyText"/>
        <w:spacing w:line="360" w:lineRule="auto" w:before="1"/>
        <w:ind w:left="1341" w:right="1345"/>
        <w:jc w:val="both"/>
      </w:pPr>
      <w:r>
        <w:rPr/>
        <w:t>Otro</w:t>
      </w:r>
      <w:r>
        <w:rPr>
          <w:spacing w:val="-2"/>
        </w:rPr>
        <w:t> </w:t>
      </w:r>
      <w:r>
        <w:rPr/>
        <w:t>elemento</w:t>
      </w:r>
      <w:r>
        <w:rPr>
          <w:spacing w:val="-4"/>
        </w:rPr>
        <w:t> </w:t>
      </w:r>
      <w:r>
        <w:rPr/>
        <w:t>importante</w:t>
      </w:r>
      <w:r>
        <w:rPr>
          <w:spacing w:val="-2"/>
        </w:rPr>
        <w:t> </w:t>
      </w:r>
      <w:r>
        <w:rPr/>
        <w:t>del</w:t>
      </w:r>
      <w:r>
        <w:rPr>
          <w:spacing w:val="-5"/>
        </w:rPr>
        <w:t> </w:t>
      </w:r>
      <w:r>
        <w:rPr/>
        <w:t>incremento</w:t>
      </w:r>
      <w:r>
        <w:rPr>
          <w:spacing w:val="-2"/>
        </w:rPr>
        <w:t> </w:t>
      </w:r>
      <w:r>
        <w:rPr/>
        <w:t>de</w:t>
      </w:r>
      <w:r>
        <w:rPr>
          <w:spacing w:val="-2"/>
        </w:rPr>
        <w:t> </w:t>
      </w:r>
      <w:r>
        <w:rPr/>
        <w:t>costes fueron</w:t>
      </w:r>
      <w:r>
        <w:rPr>
          <w:spacing w:val="-4"/>
        </w:rPr>
        <w:t> </w:t>
      </w:r>
      <w:r>
        <w:rPr/>
        <w:t>los otros gastos de</w:t>
      </w:r>
      <w:r>
        <w:rPr>
          <w:spacing w:val="-2"/>
        </w:rPr>
        <w:t> </w:t>
      </w:r>
      <w:r>
        <w:rPr/>
        <w:t>amortización</w:t>
      </w:r>
      <w:r>
        <w:rPr>
          <w:spacing w:val="-4"/>
        </w:rPr>
        <w:t> </w:t>
      </w:r>
      <w:r>
        <w:rPr/>
        <w:t>que incrementaron, como en años anteriores, en 596.896 Euros por la continua renovación de flota necesaria para atender la creciente demanda, mientras se sigue observando un trasvase entre los gastos de talleres externos (Otros gastos de explotación) y los repuestos (Aprovisionamientos) por la apuesta por incrementar la flota mantenida en nuestros talleres.</w:t>
      </w:r>
    </w:p>
    <w:p>
      <w:pPr>
        <w:pStyle w:val="BodyText"/>
        <w:spacing w:before="113"/>
      </w:pPr>
    </w:p>
    <w:p>
      <w:pPr>
        <w:pStyle w:val="BodyText"/>
        <w:spacing w:line="360" w:lineRule="auto"/>
        <w:ind w:left="1341" w:right="1344"/>
        <w:jc w:val="both"/>
      </w:pPr>
      <w:r>
        <w:rPr/>
        <w:t>En este punto merece destacar la incertidumbre que experimentamos año a año respecto a los fondos a percibir por la gratuidad de los bonos Residente, la cual dificulta una planificación de servicios y financiera que persiga simultáneamente la mejor calidad del servicio ofrecido a los ciudadanos y</w:t>
      </w:r>
      <w:r>
        <w:rPr>
          <w:spacing w:val="-3"/>
        </w:rPr>
        <w:t> </w:t>
      </w:r>
      <w:r>
        <w:rPr/>
        <w:t>el</w:t>
      </w:r>
      <w:r>
        <w:rPr>
          <w:spacing w:val="-4"/>
        </w:rPr>
        <w:t> </w:t>
      </w:r>
      <w:r>
        <w:rPr/>
        <w:t>mantenimiento del necesario</w:t>
      </w:r>
      <w:r>
        <w:rPr>
          <w:spacing w:val="-1"/>
        </w:rPr>
        <w:t> </w:t>
      </w:r>
      <w:r>
        <w:rPr/>
        <w:t>equilibrio</w:t>
      </w:r>
      <w:r>
        <w:rPr>
          <w:spacing w:val="-3"/>
        </w:rPr>
        <w:t> </w:t>
      </w:r>
      <w:r>
        <w:rPr/>
        <w:t>financiero. Dichos</w:t>
      </w:r>
      <w:r>
        <w:rPr>
          <w:spacing w:val="-2"/>
        </w:rPr>
        <w:t> </w:t>
      </w:r>
      <w:r>
        <w:rPr/>
        <w:t>fondos han sido</w:t>
      </w:r>
      <w:r>
        <w:rPr>
          <w:spacing w:val="-1"/>
        </w:rPr>
        <w:t> </w:t>
      </w:r>
      <w:r>
        <w:rPr/>
        <w:t>en el ejercicio 2025 finalmente superiores a lo esperado, con la consecuencia del resultado económico tan positivo, que será completamente reinvertido para la necesaria renovación de flota y que a estos momentos ya tenemos comprometido. Sin embargo, mantenemos en el ejercicio 2026 la misma incertidumbre al desconocerse la cifra que percibiremos en el nuevo </w:t>
      </w:r>
      <w:r>
        <w:rPr>
          <w:spacing w:val="-2"/>
        </w:rPr>
        <w:t>ejercicio.</w:t>
      </w:r>
    </w:p>
    <w:p>
      <w:pPr>
        <w:pStyle w:val="BodyText"/>
        <w:spacing w:before="114"/>
      </w:pPr>
    </w:p>
    <w:p>
      <w:pPr>
        <w:pStyle w:val="BodyText"/>
        <w:spacing w:before="1"/>
        <w:ind w:left="1341"/>
        <w:jc w:val="both"/>
      </w:pPr>
      <w:r>
        <w:rPr/>
        <w:t>OTROS</w:t>
      </w:r>
      <w:r>
        <w:rPr>
          <w:spacing w:val="-10"/>
        </w:rPr>
        <w:t> </w:t>
      </w:r>
      <w:r>
        <w:rPr/>
        <w:t>HECHOS</w:t>
      </w:r>
      <w:r>
        <w:rPr>
          <w:spacing w:val="-9"/>
        </w:rPr>
        <w:t> </w:t>
      </w:r>
      <w:r>
        <w:rPr>
          <w:spacing w:val="-2"/>
        </w:rPr>
        <w:t>RELEVANTES.</w:t>
      </w:r>
    </w:p>
    <w:p>
      <w:pPr>
        <w:pStyle w:val="BodyText"/>
      </w:pPr>
    </w:p>
    <w:p>
      <w:pPr>
        <w:pStyle w:val="BodyText"/>
        <w:spacing w:before="1"/>
      </w:pPr>
    </w:p>
    <w:p>
      <w:pPr>
        <w:pStyle w:val="BodyText"/>
        <w:spacing w:line="360" w:lineRule="auto"/>
        <w:ind w:left="1341" w:right="1342"/>
        <w:jc w:val="both"/>
      </w:pPr>
      <w:r>
        <w:rPr/>
        <mc:AlternateContent>
          <mc:Choice Requires="wps">
            <w:drawing>
              <wp:anchor distT="0" distB="0" distL="0" distR="0" allowOverlap="1" layoutInCell="1" locked="0" behindDoc="0" simplePos="0" relativeHeight="15785984">
                <wp:simplePos x="0" y="0"/>
                <wp:positionH relativeFrom="page">
                  <wp:posOffset>6966436</wp:posOffset>
                </wp:positionH>
                <wp:positionV relativeFrom="paragraph">
                  <wp:posOffset>1534861</wp:posOffset>
                </wp:positionV>
                <wp:extent cx="263525" cy="323342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20.855232pt;width:20.75pt;height:254.6pt;mso-position-horizontal-relative:page;mso-position-vertical-relative:paragraph;z-index:15785984" type="#_x0000_t202" id="docshape17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Seguimos teniendo como hecho más importante a destacar la necesidad de reestablecer unas relaciones fluidas con la AUTGC, y habiendo iniciado una buena</w:t>
      </w:r>
      <w:r>
        <w:rPr>
          <w:spacing w:val="40"/>
        </w:rPr>
        <w:t> </w:t>
      </w:r>
      <w:r>
        <w:rPr/>
        <w:t>senda tras el nombramiento de un nuevo gerente en el ejercicio 2024, esperábamos comenzar a resolver los asuntos pendientes con mayor prontitud</w:t>
      </w:r>
      <w:r>
        <w:rPr>
          <w:spacing w:val="-1"/>
        </w:rPr>
        <w:t> </w:t>
      </w:r>
      <w:r>
        <w:rPr/>
        <w:t>pero el tiempo va pasando y</w:t>
      </w:r>
      <w:r>
        <w:rPr>
          <w:spacing w:val="-3"/>
        </w:rPr>
        <w:t> </w:t>
      </w:r>
      <w:r>
        <w:rPr/>
        <w:t>los asuntos siguen pendientes, ya que aún tenemos que realizar la liquidación de los últimos Contratos Programa (2013-2016 y 2017-2021) y de la firma de los pendientes y del que teóricamente nos debería ser de</w:t>
      </w:r>
      <w:r>
        <w:rPr>
          <w:spacing w:val="40"/>
        </w:rPr>
        <w:t> </w:t>
      </w:r>
      <w:r>
        <w:rPr/>
        <w:t>aplicación en los actuales momentos, por lo que en los actuales momentos una de nuestras prioridades para el año que comienza es poder resolver definitivamente</w:t>
      </w:r>
      <w:r>
        <w:rPr>
          <w:spacing w:val="-2"/>
        </w:rPr>
        <w:t> </w:t>
      </w:r>
      <w:r>
        <w:rPr/>
        <w:t>esta</w:t>
      </w:r>
      <w:r>
        <w:rPr>
          <w:spacing w:val="-2"/>
        </w:rPr>
        <w:t> </w:t>
      </w:r>
      <w:r>
        <w:rPr/>
        <w:t>situación antes de que esta legislatura quede finalizada.</w:t>
      </w:r>
    </w:p>
    <w:p>
      <w:pPr>
        <w:pStyle w:val="BodyText"/>
        <w:spacing w:before="114"/>
      </w:pPr>
    </w:p>
    <w:p>
      <w:pPr>
        <w:pStyle w:val="BodyText"/>
        <w:spacing w:line="360" w:lineRule="auto"/>
        <w:ind w:left="1341" w:right="1342"/>
        <w:jc w:val="both"/>
      </w:pPr>
      <w:r>
        <w:rPr/>
        <w:t>Por otro lado, tras la licitación y adjudicación por parte de la AUTGC de un nuevo sistema de Ticketing</w:t>
      </w:r>
      <w:r>
        <w:rPr>
          <w:spacing w:val="-1"/>
        </w:rPr>
        <w:t> </w:t>
      </w:r>
      <w:r>
        <w:rPr/>
        <w:t>a implementar en las empresas operadoras de la isla, entre las que</w:t>
      </w:r>
      <w:r>
        <w:rPr>
          <w:spacing w:val="-1"/>
        </w:rPr>
        <w:t> </w:t>
      </w:r>
      <w:r>
        <w:rPr/>
        <w:t>nos encontramos y adicionalmente un nuevo Sistema de Ayuda a la Explotación que también deberemos implementar en nuestra empresa, hemos estado reuniéndonos para conocer más detalles</w:t>
      </w:r>
      <w:r>
        <w:rPr>
          <w:spacing w:val="40"/>
        </w:rPr>
        <w:t> </w:t>
      </w:r>
      <w:r>
        <w:rPr/>
        <w:t>sobre estos sistemas y de las implicaciones que los mismos puedan llegar a tener en nuestro funcionamiento diario, para evitar que la implementación de estos nuevos sistemas pueda ser un gran problema para todos,</w:t>
      </w:r>
      <w:r>
        <w:rPr>
          <w:spacing w:val="-2"/>
        </w:rPr>
        <w:t> </w:t>
      </w:r>
      <w:r>
        <w:rPr/>
        <w:t>en vez</w:t>
      </w:r>
      <w:r>
        <w:rPr>
          <w:spacing w:val="-2"/>
        </w:rPr>
        <w:t> </w:t>
      </w:r>
      <w:r>
        <w:rPr/>
        <w:t>de</w:t>
      </w:r>
      <w:r>
        <w:rPr>
          <w:spacing w:val="-2"/>
        </w:rPr>
        <w:t> </w:t>
      </w:r>
      <w:r>
        <w:rPr/>
        <w:t>ser una adecuada solución a las actuales</w:t>
      </w:r>
      <w:r>
        <w:rPr>
          <w:spacing w:val="-1"/>
        </w:rPr>
        <w:t> </w:t>
      </w:r>
      <w:r>
        <w:rPr/>
        <w:t>necesidades de nuestra empresa. Esta implementación está teniendo algunos problemas y se está retrasando mucho más de lo que pensábamos por lo que en breve deberemos tomar una decisión a este respecto, ya que nuestros actuales equipos están teniendo problemas por</w:t>
      </w:r>
      <w:r>
        <w:rPr>
          <w:spacing w:val="40"/>
        </w:rPr>
        <w:t> </w:t>
      </w:r>
      <w:r>
        <w:rPr/>
        <w:t>haber superado</w:t>
      </w:r>
      <w:r>
        <w:rPr>
          <w:spacing w:val="-1"/>
        </w:rPr>
        <w:t> </w:t>
      </w:r>
      <w:r>
        <w:rPr/>
        <w:t>con creces su</w:t>
      </w:r>
      <w:r>
        <w:rPr>
          <w:spacing w:val="-2"/>
        </w:rPr>
        <w:t> </w:t>
      </w:r>
      <w:r>
        <w:rPr/>
        <w:t>edad</w:t>
      </w:r>
      <w:r>
        <w:rPr>
          <w:spacing w:val="-1"/>
        </w:rPr>
        <w:t> </w:t>
      </w:r>
      <w:r>
        <w:rPr/>
        <w:t>recomendable de utilización y</w:t>
      </w:r>
      <w:r>
        <w:rPr>
          <w:spacing w:val="-5"/>
        </w:rPr>
        <w:t> </w:t>
      </w:r>
      <w:r>
        <w:rPr/>
        <w:t>si este</w:t>
      </w:r>
      <w:r>
        <w:rPr>
          <w:spacing w:val="-1"/>
        </w:rPr>
        <w:t> </w:t>
      </w:r>
      <w:r>
        <w:rPr/>
        <w:t>proyecto</w:t>
      </w:r>
      <w:r>
        <w:rPr>
          <w:spacing w:val="-2"/>
        </w:rPr>
        <w:t> </w:t>
      </w:r>
      <w:r>
        <w:rPr/>
        <w:t>no</w:t>
      </w:r>
      <w:r>
        <w:rPr>
          <w:spacing w:val="-1"/>
        </w:rPr>
        <w:t> </w:t>
      </w:r>
      <w:r>
        <w:rPr/>
        <w:t>se activa</w:t>
      </w:r>
    </w:p>
    <w:p>
      <w:pPr>
        <w:pStyle w:val="BodyText"/>
        <w:spacing w:after="0" w:line="360" w:lineRule="auto"/>
        <w:jc w:val="both"/>
        <w:sectPr>
          <w:pgSz w:w="11910" w:h="16840"/>
          <w:pgMar w:header="598" w:footer="1060" w:top="1500" w:bottom="1260" w:left="360" w:right="360"/>
        </w:sectPr>
      </w:pPr>
    </w:p>
    <w:p>
      <w:pPr>
        <w:pStyle w:val="BodyText"/>
        <w:spacing w:before="16"/>
      </w:pPr>
      <w:r>
        <w:rPr/>
        <mc:AlternateContent>
          <mc:Choice Requires="wps">
            <w:drawing>
              <wp:anchor distT="0" distB="0" distL="0" distR="0" allowOverlap="1" layoutInCell="1" locked="0" behindDoc="0" simplePos="0" relativeHeight="15786496">
                <wp:simplePos x="0" y="0"/>
                <wp:positionH relativeFrom="page">
                  <wp:posOffset>6966436</wp:posOffset>
                </wp:positionH>
                <wp:positionV relativeFrom="page">
                  <wp:posOffset>6595730</wp:posOffset>
                </wp:positionV>
                <wp:extent cx="263525" cy="323342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86496" type="#_x0000_t202" id="docshape17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6</w:t>
                      </w:r>
                      <w:r>
                        <w:rPr>
                          <w:spacing w:val="-6"/>
                          <w:sz w:val="12"/>
                        </w:rPr>
                        <w:t> </w:t>
                      </w:r>
                      <w:r>
                        <w:rPr>
                          <w:sz w:val="12"/>
                        </w:rPr>
                        <w:t>de</w:t>
                      </w:r>
                      <w:r>
                        <w:rPr>
                          <w:spacing w:val="-6"/>
                          <w:sz w:val="12"/>
                        </w:rPr>
                        <w:t> </w:t>
                      </w:r>
                      <w:r>
                        <w:rPr>
                          <w:spacing w:val="-5"/>
                          <w:sz w:val="12"/>
                        </w:rPr>
                        <w:t>69</w:t>
                      </w:r>
                    </w:p>
                  </w:txbxContent>
                </v:textbox>
                <w10:wrap type="none"/>
              </v:shape>
            </w:pict>
          </mc:Fallback>
        </mc:AlternateContent>
      </w:r>
    </w:p>
    <w:p>
      <w:pPr>
        <w:pStyle w:val="BodyText"/>
        <w:spacing w:line="360" w:lineRule="auto" w:before="1"/>
        <w:ind w:left="1341" w:right="1343"/>
        <w:jc w:val="both"/>
      </w:pPr>
      <w:r>
        <w:rPr/>
        <w:t>no nos quedará más remedio que buscar una solución puente hasta que finalmente podamos implementar con seguridad para nuestra operación los nuevos equipos adquiridos por la </w:t>
      </w:r>
      <w:r>
        <w:rPr>
          <w:spacing w:val="-2"/>
        </w:rPr>
        <w:t>AUTGC.</w:t>
      </w:r>
    </w:p>
    <w:p>
      <w:pPr>
        <w:pStyle w:val="BodyText"/>
        <w:spacing w:before="114"/>
      </w:pPr>
    </w:p>
    <w:p>
      <w:pPr>
        <w:pStyle w:val="BodyText"/>
        <w:spacing w:line="357" w:lineRule="auto" w:before="1"/>
        <w:ind w:left="1341" w:right="1347"/>
        <w:jc w:val="both"/>
      </w:pPr>
      <w:r>
        <w:rPr/>
        <w:t>Durante el ejercicio 2025 la empresa ha tenido un periodo medio de pago de 21 días, en línea con el ratio de 21 días del ejercicio 2024.</w:t>
      </w:r>
    </w:p>
    <w:p>
      <w:pPr>
        <w:pStyle w:val="BodyText"/>
        <w:spacing w:before="119"/>
      </w:pPr>
    </w:p>
    <w:p>
      <w:pPr>
        <w:pStyle w:val="BodyText"/>
        <w:ind w:left="1341"/>
        <w:jc w:val="both"/>
      </w:pPr>
      <w:r>
        <w:rPr/>
        <w:t>La</w:t>
      </w:r>
      <w:r>
        <w:rPr>
          <w:spacing w:val="-8"/>
        </w:rPr>
        <w:t> </w:t>
      </w:r>
      <w:r>
        <w:rPr/>
        <w:t>sociedad</w:t>
      </w:r>
      <w:r>
        <w:rPr>
          <w:spacing w:val="-4"/>
        </w:rPr>
        <w:t> </w:t>
      </w:r>
      <w:r>
        <w:rPr/>
        <w:t>no</w:t>
      </w:r>
      <w:r>
        <w:rPr>
          <w:spacing w:val="-4"/>
        </w:rPr>
        <w:t> </w:t>
      </w:r>
      <w:r>
        <w:rPr/>
        <w:t>tiene</w:t>
      </w:r>
      <w:r>
        <w:rPr>
          <w:spacing w:val="-5"/>
        </w:rPr>
        <w:t> </w:t>
      </w:r>
      <w:r>
        <w:rPr/>
        <w:t>acciones</w:t>
      </w:r>
      <w:r>
        <w:rPr>
          <w:spacing w:val="-6"/>
        </w:rPr>
        <w:t> </w:t>
      </w:r>
      <w:r>
        <w:rPr/>
        <w:t>propias</w:t>
      </w:r>
      <w:r>
        <w:rPr>
          <w:spacing w:val="-7"/>
        </w:rPr>
        <w:t> </w:t>
      </w:r>
      <w:r>
        <w:rPr/>
        <w:t>en</w:t>
      </w:r>
      <w:r>
        <w:rPr>
          <w:spacing w:val="-8"/>
        </w:rPr>
        <w:t> </w:t>
      </w:r>
      <w:r>
        <w:rPr>
          <w:spacing w:val="-2"/>
        </w:rPr>
        <w:t>autocartera.</w:t>
      </w:r>
    </w:p>
    <w:p>
      <w:pPr>
        <w:pStyle w:val="BodyText"/>
        <w:spacing w:before="228"/>
      </w:pPr>
    </w:p>
    <w:p>
      <w:pPr>
        <w:pStyle w:val="BodyText"/>
        <w:spacing w:line="360" w:lineRule="auto" w:before="1"/>
        <w:ind w:left="1341" w:right="1343"/>
        <w:jc w:val="both"/>
      </w:pPr>
      <w:r>
        <w:rPr/>
        <w:t>Es necesario mencionar que en el presente ejercicio derivado del contenido de la Ley 11/2018 de 28 de diciembre, forma parte del Informe de Gestión el "Estado de Información No Financiera", que se adjunta al presente Informe.</w:t>
      </w:r>
    </w:p>
    <w:p>
      <w:pPr>
        <w:pStyle w:val="BodyText"/>
        <w:spacing w:after="0" w:line="360" w:lineRule="auto"/>
        <w:jc w:val="both"/>
        <w:sectPr>
          <w:pgSz w:w="11910" w:h="16840"/>
          <w:pgMar w:header="598" w:footer="1060" w:top="1500" w:bottom="1260" w:left="360" w:right="360"/>
        </w:sectPr>
      </w:pPr>
    </w:p>
    <w:p>
      <w:pPr>
        <w:pStyle w:val="BodyText"/>
        <w:rPr>
          <w:sz w:val="24"/>
        </w:rPr>
      </w:pPr>
      <w:r>
        <w:rPr>
          <w:sz w:val="24"/>
        </w:rPr>
        <mc:AlternateContent>
          <mc:Choice Requires="wps">
            <w:drawing>
              <wp:anchor distT="0" distB="0" distL="0" distR="0" allowOverlap="1" layoutInCell="1" locked="0" behindDoc="0" simplePos="0" relativeHeight="15787008">
                <wp:simplePos x="0" y="0"/>
                <wp:positionH relativeFrom="page">
                  <wp:posOffset>6966436</wp:posOffset>
                </wp:positionH>
                <wp:positionV relativeFrom="page">
                  <wp:posOffset>6595730</wp:posOffset>
                </wp:positionV>
                <wp:extent cx="263525" cy="323342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9.348877pt;width:20.75pt;height:254.6pt;mso-position-horizontal-relative:page;mso-position-vertical-relative:page;z-index:15787008" type="#_x0000_t202" id="docshape17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7</w:t>
                      </w:r>
                      <w:r>
                        <w:rPr>
                          <w:spacing w:val="-6"/>
                          <w:sz w:val="12"/>
                        </w:rPr>
                        <w:t> </w:t>
                      </w:r>
                      <w:r>
                        <w:rPr>
                          <w:sz w:val="12"/>
                        </w:rPr>
                        <w:t>de</w:t>
                      </w:r>
                      <w:r>
                        <w:rPr>
                          <w:spacing w:val="-6"/>
                          <w:sz w:val="12"/>
                        </w:rPr>
                        <w:t> </w:t>
                      </w:r>
                      <w:r>
                        <w:rPr>
                          <w:spacing w:val="-5"/>
                          <w:sz w:val="12"/>
                        </w:rPr>
                        <w:t>69</w:t>
                      </w:r>
                    </w:p>
                  </w:txbxContent>
                </v:textbox>
                <w10:wrap type="none"/>
              </v:shape>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5"/>
        <w:rPr>
          <w:sz w:val="24"/>
        </w:rPr>
      </w:pPr>
    </w:p>
    <w:p>
      <w:pPr>
        <w:pStyle w:val="Heading1"/>
        <w:spacing w:line="451" w:lineRule="auto"/>
        <w:rPr>
          <w:u w:val="none"/>
        </w:rPr>
      </w:pPr>
      <w:bookmarkStart w:name="4 EINF Consejo Administración" w:id="7"/>
      <w:bookmarkEnd w:id="7"/>
      <w:r>
        <w:rPr>
          <w:b w:val="0"/>
          <w:u w:val="none"/>
        </w:rPr>
      </w:r>
      <w:r>
        <w:rPr>
          <w:u w:val="single"/>
        </w:rPr>
        <w:t>ESTADO</w:t>
      </w:r>
      <w:r>
        <w:rPr>
          <w:spacing w:val="-8"/>
          <w:u w:val="single"/>
        </w:rPr>
        <w:t> </w:t>
      </w:r>
      <w:r>
        <w:rPr>
          <w:u w:val="single"/>
        </w:rPr>
        <w:t>DE</w:t>
      </w:r>
      <w:r>
        <w:rPr>
          <w:spacing w:val="-4"/>
          <w:u w:val="single"/>
        </w:rPr>
        <w:t> </w:t>
      </w:r>
      <w:r>
        <w:rPr>
          <w:u w:val="single"/>
        </w:rPr>
        <w:t>INFORMACIÓN</w:t>
      </w:r>
      <w:r>
        <w:rPr>
          <w:spacing w:val="-7"/>
          <w:u w:val="single"/>
        </w:rPr>
        <w:t> </w:t>
      </w:r>
      <w:r>
        <w:rPr>
          <w:u w:val="single"/>
        </w:rPr>
        <w:t>NO</w:t>
      </w:r>
      <w:r>
        <w:rPr>
          <w:spacing w:val="-6"/>
          <w:u w:val="single"/>
        </w:rPr>
        <w:t> </w:t>
      </w:r>
      <w:r>
        <w:rPr>
          <w:u w:val="single"/>
        </w:rPr>
        <w:t>FINANCIERA</w:t>
      </w:r>
      <w:r>
        <w:rPr>
          <w:spacing w:val="-9"/>
          <w:u w:val="single"/>
        </w:rPr>
        <w:t> </w:t>
      </w:r>
      <w:r>
        <w:rPr>
          <w:u w:val="single"/>
        </w:rPr>
        <w:t>(E.I.N.F.)</w:t>
      </w:r>
      <w:r>
        <w:rPr>
          <w:u w:val="none"/>
        </w:rPr>
        <w:t> </w:t>
      </w:r>
      <w:r>
        <w:rPr>
          <w:u w:val="single"/>
        </w:rPr>
        <w:t>PARA EL EJERCICIO ECONÓMICO DEL AÑO 2025</w:t>
      </w:r>
    </w:p>
    <w:p>
      <w:pPr>
        <w:pStyle w:val="Heading1"/>
        <w:spacing w:after="0" w:line="451" w:lineRule="auto"/>
        <w:sectPr>
          <w:headerReference w:type="default" r:id="rId25"/>
          <w:footerReference w:type="default" r:id="rId26"/>
          <w:pgSz w:w="11910" w:h="16840"/>
          <w:pgMar w:header="384" w:footer="1060" w:top="1200" w:bottom="1260" w:left="360" w:right="360"/>
        </w:sectPr>
      </w:pPr>
    </w:p>
    <w:p>
      <w:pPr>
        <w:spacing w:before="213"/>
        <w:ind w:left="1341" w:right="0" w:firstLine="0"/>
        <w:jc w:val="left"/>
        <w:rPr>
          <w:b/>
          <w:sz w:val="19"/>
        </w:rPr>
      </w:pPr>
      <w:r>
        <w:rPr>
          <w:b/>
          <w:sz w:val="19"/>
        </w:rPr>
        <mc:AlternateContent>
          <mc:Choice Requires="wps">
            <w:drawing>
              <wp:anchor distT="0" distB="0" distL="0" distR="0" allowOverlap="1" layoutInCell="1" locked="0" behindDoc="0" simplePos="0" relativeHeight="15787520">
                <wp:simplePos x="0" y="0"/>
                <wp:positionH relativeFrom="page">
                  <wp:posOffset>6966436</wp:posOffset>
                </wp:positionH>
                <wp:positionV relativeFrom="paragraph">
                  <wp:posOffset>5833730</wp:posOffset>
                </wp:positionV>
                <wp:extent cx="263525" cy="323342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59.348846pt;width:20.75pt;height:254.6pt;mso-position-horizontal-relative:page;mso-position-vertical-relative:paragraph;z-index:15787520" type="#_x0000_t202" id="docshape17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b/>
          <w:color w:val="365F91"/>
          <w:spacing w:val="-2"/>
          <w:sz w:val="19"/>
        </w:rPr>
        <w:t>INDICE</w:t>
      </w:r>
    </w:p>
    <w:sdt>
      <w:sdtPr>
        <w:docPartObj>
          <w:docPartGallery w:val="Table of Contents"/>
          <w:docPartUnique/>
        </w:docPartObj>
      </w:sdtPr>
      <w:sdtEndPr/>
      <w:sdtContent>
        <w:p>
          <w:pPr>
            <w:pStyle w:val="TOC1"/>
            <w:numPr>
              <w:ilvl w:val="0"/>
              <w:numId w:val="25"/>
            </w:numPr>
            <w:tabs>
              <w:tab w:pos="1549" w:val="left" w:leader="none"/>
              <w:tab w:pos="9731" w:val="left" w:leader="dot"/>
            </w:tabs>
            <w:spacing w:line="240" w:lineRule="auto" w:before="36" w:after="0"/>
            <w:ind w:left="1549" w:right="0" w:hanging="208"/>
            <w:jc w:val="left"/>
          </w:pPr>
          <w:hyperlink w:history="true" w:anchor="_TOC_250044">
            <w:r>
              <w:rPr/>
              <w:t>Organización</w:t>
            </w:r>
            <w:r>
              <w:rPr>
                <w:spacing w:val="-11"/>
              </w:rPr>
              <w:t> </w:t>
            </w:r>
            <w:r>
              <w:rPr/>
              <w:t>y</w:t>
            </w:r>
            <w:r>
              <w:rPr>
                <w:spacing w:val="-11"/>
              </w:rPr>
              <w:t> </w:t>
            </w:r>
            <w:r>
              <w:rPr>
                <w:spacing w:val="-2"/>
              </w:rPr>
              <w:t>entorno</w:t>
            </w:r>
            <w:r>
              <w:rPr>
                <w:rFonts w:ascii="Times New Roman" w:hAnsi="Times New Roman"/>
              </w:rPr>
              <w:tab/>
            </w:r>
            <w:r>
              <w:rPr>
                <w:spacing w:val="-10"/>
              </w:rPr>
              <w:t>3</w:t>
            </w:r>
          </w:hyperlink>
        </w:p>
        <w:p>
          <w:pPr>
            <w:pStyle w:val="TOC2"/>
            <w:numPr>
              <w:ilvl w:val="1"/>
              <w:numId w:val="25"/>
            </w:numPr>
            <w:tabs>
              <w:tab w:pos="1876" w:val="left" w:leader="none"/>
              <w:tab w:pos="9732" w:val="left" w:leader="dot"/>
            </w:tabs>
            <w:spacing w:line="240" w:lineRule="auto" w:before="31" w:after="0"/>
            <w:ind w:left="1876" w:right="0" w:hanging="314"/>
            <w:jc w:val="left"/>
          </w:pPr>
          <w:hyperlink w:history="true" w:anchor="_TOC_250043">
            <w:r>
              <w:rPr/>
              <w:t>Descripción</w:t>
            </w:r>
            <w:r>
              <w:rPr>
                <w:spacing w:val="-6"/>
              </w:rPr>
              <w:t> </w:t>
            </w:r>
            <w:r>
              <w:rPr/>
              <w:t>de</w:t>
            </w:r>
            <w:r>
              <w:rPr>
                <w:spacing w:val="-6"/>
              </w:rPr>
              <w:t> </w:t>
            </w:r>
            <w:r>
              <w:rPr/>
              <w:t>la</w:t>
            </w:r>
            <w:r>
              <w:rPr>
                <w:spacing w:val="-6"/>
              </w:rPr>
              <w:t> </w:t>
            </w:r>
            <w:r>
              <w:rPr>
                <w:spacing w:val="-2"/>
              </w:rPr>
              <w:t>organización</w:t>
            </w:r>
            <w:r>
              <w:rPr>
                <w:rFonts w:ascii="Times New Roman" w:hAnsi="Times New Roman"/>
              </w:rPr>
              <w:tab/>
            </w:r>
            <w:r>
              <w:rPr>
                <w:spacing w:val="-10"/>
              </w:rPr>
              <w:t>3</w:t>
            </w:r>
          </w:hyperlink>
        </w:p>
        <w:p>
          <w:pPr>
            <w:pStyle w:val="TOC2"/>
            <w:numPr>
              <w:ilvl w:val="1"/>
              <w:numId w:val="25"/>
            </w:numPr>
            <w:tabs>
              <w:tab w:pos="1876" w:val="left" w:leader="none"/>
              <w:tab w:pos="9732" w:val="left" w:leader="dot"/>
            </w:tabs>
            <w:spacing w:line="240" w:lineRule="auto" w:before="33" w:after="0"/>
            <w:ind w:left="1876" w:right="0" w:hanging="314"/>
            <w:jc w:val="left"/>
          </w:pPr>
          <w:hyperlink w:history="true" w:anchor="_TOC_250042">
            <w:r>
              <w:rPr/>
              <w:t>Descripción</w:t>
            </w:r>
            <w:r>
              <w:rPr>
                <w:spacing w:val="-8"/>
              </w:rPr>
              <w:t> </w:t>
            </w:r>
            <w:r>
              <w:rPr/>
              <w:t>del</w:t>
            </w:r>
            <w:r>
              <w:rPr>
                <w:spacing w:val="-5"/>
              </w:rPr>
              <w:t> </w:t>
            </w:r>
            <w:r>
              <w:rPr/>
              <w:t>entorno</w:t>
            </w:r>
            <w:r>
              <w:rPr>
                <w:spacing w:val="-5"/>
              </w:rPr>
              <w:t> </w:t>
            </w:r>
            <w:r>
              <w:rPr/>
              <w:t>externo</w:t>
            </w:r>
            <w:r>
              <w:rPr>
                <w:spacing w:val="-7"/>
              </w:rPr>
              <w:t> </w:t>
            </w:r>
            <w:r>
              <w:rPr/>
              <w:t>a</w:t>
            </w:r>
            <w:r>
              <w:rPr>
                <w:spacing w:val="-7"/>
              </w:rPr>
              <w:t> </w:t>
            </w:r>
            <w:r>
              <w:rPr/>
              <w:t>la</w:t>
            </w:r>
            <w:r>
              <w:rPr>
                <w:spacing w:val="-7"/>
              </w:rPr>
              <w:t> </w:t>
            </w:r>
            <w:r>
              <w:rPr>
                <w:spacing w:val="-2"/>
              </w:rPr>
              <w:t>organización</w:t>
            </w:r>
            <w:r>
              <w:rPr>
                <w:rFonts w:ascii="Times New Roman" w:hAnsi="Times New Roman"/>
              </w:rPr>
              <w:tab/>
            </w:r>
            <w:r>
              <w:rPr>
                <w:spacing w:val="-10"/>
              </w:rPr>
              <w:t>5</w:t>
            </w:r>
          </w:hyperlink>
        </w:p>
        <w:p>
          <w:pPr>
            <w:pStyle w:val="TOC2"/>
            <w:numPr>
              <w:ilvl w:val="1"/>
              <w:numId w:val="25"/>
            </w:numPr>
            <w:tabs>
              <w:tab w:pos="1876" w:val="left" w:leader="none"/>
              <w:tab w:pos="9626" w:val="left" w:leader="dot"/>
            </w:tabs>
            <w:spacing w:line="240" w:lineRule="auto" w:before="34" w:after="0"/>
            <w:ind w:left="1876" w:right="0" w:hanging="314"/>
            <w:jc w:val="left"/>
          </w:pPr>
          <w:hyperlink w:history="true" w:anchor="_TOC_250041">
            <w:r>
              <w:rPr/>
              <w:t>Desafíos</w:t>
            </w:r>
            <w:r>
              <w:rPr>
                <w:spacing w:val="-6"/>
              </w:rPr>
              <w:t> </w:t>
            </w:r>
            <w:r>
              <w:rPr/>
              <w:t>e</w:t>
            </w:r>
            <w:r>
              <w:rPr>
                <w:spacing w:val="-5"/>
              </w:rPr>
              <w:t> </w:t>
            </w:r>
            <w:r>
              <w:rPr>
                <w:spacing w:val="-2"/>
              </w:rPr>
              <w:t>incertidumbres</w:t>
            </w:r>
            <w:r>
              <w:rPr>
                <w:rFonts w:ascii="Times New Roman" w:hAnsi="Times New Roman"/>
              </w:rPr>
              <w:tab/>
            </w:r>
            <w:r>
              <w:rPr>
                <w:spacing w:val="-5"/>
              </w:rPr>
              <w:t>10</w:t>
            </w:r>
          </w:hyperlink>
        </w:p>
        <w:p>
          <w:pPr>
            <w:pStyle w:val="TOC1"/>
            <w:numPr>
              <w:ilvl w:val="0"/>
              <w:numId w:val="25"/>
            </w:numPr>
            <w:tabs>
              <w:tab w:pos="1549" w:val="left" w:leader="none"/>
              <w:tab w:pos="9626" w:val="left" w:leader="dot"/>
            </w:tabs>
            <w:spacing w:line="240" w:lineRule="auto" w:before="31" w:after="0"/>
            <w:ind w:left="1549" w:right="0" w:hanging="208"/>
            <w:jc w:val="left"/>
          </w:pPr>
          <w:hyperlink w:history="true" w:anchor="_TOC_250040">
            <w:r>
              <w:rPr/>
              <w:t>Objetivos</w:t>
            </w:r>
            <w:r>
              <w:rPr>
                <w:spacing w:val="-13"/>
              </w:rPr>
              <w:t> </w:t>
            </w:r>
            <w:r>
              <w:rPr>
                <w:spacing w:val="-2"/>
              </w:rPr>
              <w:t>estratégicos</w:t>
            </w:r>
            <w:r>
              <w:rPr>
                <w:rFonts w:ascii="Times New Roman" w:hAnsi="Times New Roman"/>
              </w:rPr>
              <w:tab/>
            </w:r>
            <w:r>
              <w:rPr>
                <w:spacing w:val="-5"/>
              </w:rPr>
              <w:t>10</w:t>
            </w:r>
          </w:hyperlink>
        </w:p>
        <w:p>
          <w:pPr>
            <w:pStyle w:val="TOC2"/>
            <w:numPr>
              <w:ilvl w:val="1"/>
              <w:numId w:val="25"/>
            </w:numPr>
            <w:tabs>
              <w:tab w:pos="1876" w:val="left" w:leader="none"/>
              <w:tab w:pos="9626" w:val="left" w:leader="dot"/>
            </w:tabs>
            <w:spacing w:line="240" w:lineRule="auto" w:before="33" w:after="0"/>
            <w:ind w:left="1876" w:right="0" w:hanging="314"/>
            <w:jc w:val="left"/>
          </w:pPr>
          <w:hyperlink w:history="true" w:anchor="_TOC_250039">
            <w:r>
              <w:rPr/>
              <w:t>Definición</w:t>
            </w:r>
            <w:r>
              <w:rPr>
                <w:spacing w:val="-8"/>
              </w:rPr>
              <w:t> </w:t>
            </w:r>
            <w:r>
              <w:rPr/>
              <w:t>de</w:t>
            </w:r>
            <w:r>
              <w:rPr>
                <w:spacing w:val="-7"/>
              </w:rPr>
              <w:t> </w:t>
            </w:r>
            <w:r>
              <w:rPr>
                <w:spacing w:val="-2"/>
              </w:rPr>
              <w:t>objetivos</w:t>
            </w:r>
            <w:r>
              <w:rPr>
                <w:rFonts w:ascii="Times New Roman" w:hAnsi="Times New Roman"/>
              </w:rPr>
              <w:tab/>
            </w:r>
            <w:r>
              <w:rPr>
                <w:spacing w:val="-5"/>
              </w:rPr>
              <w:t>10</w:t>
            </w:r>
          </w:hyperlink>
        </w:p>
        <w:p>
          <w:pPr>
            <w:pStyle w:val="TOC2"/>
            <w:numPr>
              <w:ilvl w:val="1"/>
              <w:numId w:val="25"/>
            </w:numPr>
            <w:tabs>
              <w:tab w:pos="1876" w:val="left" w:leader="none"/>
              <w:tab w:pos="9627" w:val="left" w:leader="dot"/>
            </w:tabs>
            <w:spacing w:line="240" w:lineRule="auto" w:before="34" w:after="0"/>
            <w:ind w:left="1876" w:right="0" w:hanging="314"/>
            <w:jc w:val="left"/>
          </w:pPr>
          <w:hyperlink w:history="true" w:anchor="_TOC_250038">
            <w:r>
              <w:rPr>
                <w:spacing w:val="-2"/>
              </w:rPr>
              <w:t>Estrategias</w:t>
            </w:r>
            <w:r>
              <w:rPr>
                <w:rFonts w:ascii="Times New Roman"/>
              </w:rPr>
              <w:tab/>
            </w:r>
            <w:r>
              <w:rPr>
                <w:spacing w:val="-5"/>
              </w:rPr>
              <w:t>11</w:t>
            </w:r>
          </w:hyperlink>
        </w:p>
        <w:p>
          <w:pPr>
            <w:pStyle w:val="TOC1"/>
            <w:numPr>
              <w:ilvl w:val="0"/>
              <w:numId w:val="25"/>
            </w:numPr>
            <w:tabs>
              <w:tab w:pos="1549" w:val="left" w:leader="none"/>
              <w:tab w:pos="9626" w:val="left" w:leader="dot"/>
            </w:tabs>
            <w:spacing w:line="240" w:lineRule="auto" w:before="31" w:after="0"/>
            <w:ind w:left="1549" w:right="0" w:hanging="208"/>
            <w:jc w:val="left"/>
          </w:pPr>
          <w:hyperlink w:history="true" w:anchor="_TOC_250037">
            <w:r>
              <w:rPr/>
              <w:t>Cuestiones</w:t>
            </w:r>
            <w:r>
              <w:rPr>
                <w:spacing w:val="-9"/>
              </w:rPr>
              <w:t> </w:t>
            </w:r>
            <w:r>
              <w:rPr>
                <w:spacing w:val="-2"/>
              </w:rPr>
              <w:t>Medioambientales</w:t>
            </w:r>
            <w:r>
              <w:rPr>
                <w:rFonts w:ascii="Times New Roman"/>
              </w:rPr>
              <w:tab/>
            </w:r>
            <w:r>
              <w:rPr>
                <w:spacing w:val="-5"/>
              </w:rPr>
              <w:t>12</w:t>
            </w:r>
          </w:hyperlink>
        </w:p>
        <w:p>
          <w:pPr>
            <w:pStyle w:val="TOC2"/>
            <w:numPr>
              <w:ilvl w:val="1"/>
              <w:numId w:val="25"/>
            </w:numPr>
            <w:tabs>
              <w:tab w:pos="1876" w:val="left" w:leader="none"/>
              <w:tab w:pos="9626" w:val="left" w:leader="dot"/>
            </w:tabs>
            <w:spacing w:line="240" w:lineRule="auto" w:before="34" w:after="0"/>
            <w:ind w:left="1876" w:right="0" w:hanging="314"/>
            <w:jc w:val="left"/>
          </w:pPr>
          <w:hyperlink w:history="true" w:anchor="_TOC_250036">
            <w:r>
              <w:rPr>
                <w:spacing w:val="-2"/>
              </w:rPr>
              <w:t>General</w:t>
            </w:r>
            <w:r>
              <w:rPr>
                <w:rFonts w:ascii="Times New Roman"/>
              </w:rPr>
              <w:tab/>
            </w:r>
            <w:r>
              <w:rPr>
                <w:spacing w:val="-5"/>
              </w:rPr>
              <w:t>12</w:t>
            </w:r>
          </w:hyperlink>
        </w:p>
        <w:p>
          <w:pPr>
            <w:pStyle w:val="TOC2"/>
            <w:numPr>
              <w:ilvl w:val="1"/>
              <w:numId w:val="25"/>
            </w:numPr>
            <w:tabs>
              <w:tab w:pos="1876" w:val="left" w:leader="none"/>
              <w:tab w:pos="9626" w:val="left" w:leader="dot"/>
            </w:tabs>
            <w:spacing w:line="240" w:lineRule="auto" w:before="33" w:after="0"/>
            <w:ind w:left="1876" w:right="0" w:hanging="314"/>
            <w:jc w:val="left"/>
          </w:pPr>
          <w:hyperlink w:history="true" w:anchor="_TOC_250035">
            <w:r>
              <w:rPr>
                <w:spacing w:val="-2"/>
              </w:rPr>
              <w:t>Contaminación</w:t>
            </w:r>
            <w:r>
              <w:rPr>
                <w:spacing w:val="11"/>
              </w:rPr>
              <w:t> </w:t>
            </w:r>
            <w:r>
              <w:rPr>
                <w:spacing w:val="-2"/>
              </w:rPr>
              <w:t>atmosférica</w:t>
            </w:r>
            <w:r>
              <w:rPr>
                <w:rFonts w:ascii="Times New Roman" w:hAnsi="Times New Roman"/>
              </w:rPr>
              <w:tab/>
            </w:r>
            <w:r>
              <w:rPr>
                <w:spacing w:val="-5"/>
              </w:rPr>
              <w:t>13</w:t>
            </w:r>
          </w:hyperlink>
        </w:p>
        <w:p>
          <w:pPr>
            <w:pStyle w:val="TOC2"/>
            <w:numPr>
              <w:ilvl w:val="1"/>
              <w:numId w:val="25"/>
            </w:numPr>
            <w:tabs>
              <w:tab w:pos="1876" w:val="left" w:leader="none"/>
              <w:tab w:pos="9627" w:val="left" w:leader="dot"/>
            </w:tabs>
            <w:spacing w:line="240" w:lineRule="auto" w:before="31" w:after="0"/>
            <w:ind w:left="1876" w:right="0" w:hanging="314"/>
            <w:jc w:val="left"/>
          </w:pPr>
          <w:hyperlink w:history="true" w:anchor="_TOC_250034">
            <w:r>
              <w:rPr/>
              <w:t>Prevención</w:t>
            </w:r>
            <w:r>
              <w:rPr>
                <w:spacing w:val="-7"/>
              </w:rPr>
              <w:t> </w:t>
            </w:r>
            <w:r>
              <w:rPr/>
              <w:t>y</w:t>
            </w:r>
            <w:r>
              <w:rPr>
                <w:spacing w:val="-7"/>
              </w:rPr>
              <w:t> </w:t>
            </w:r>
            <w:r>
              <w:rPr/>
              <w:t>gestión</w:t>
            </w:r>
            <w:r>
              <w:rPr>
                <w:spacing w:val="-7"/>
              </w:rPr>
              <w:t> </w:t>
            </w:r>
            <w:r>
              <w:rPr/>
              <w:t>de</w:t>
            </w:r>
            <w:r>
              <w:rPr>
                <w:spacing w:val="-3"/>
              </w:rPr>
              <w:t> </w:t>
            </w:r>
            <w:r>
              <w:rPr>
                <w:spacing w:val="-2"/>
              </w:rPr>
              <w:t>residuos</w:t>
            </w:r>
            <w:r>
              <w:rPr>
                <w:rFonts w:ascii="Times New Roman" w:hAnsi="Times New Roman"/>
              </w:rPr>
              <w:tab/>
            </w:r>
            <w:r>
              <w:rPr>
                <w:spacing w:val="-5"/>
              </w:rPr>
              <w:t>15</w:t>
            </w:r>
          </w:hyperlink>
        </w:p>
        <w:p>
          <w:pPr>
            <w:pStyle w:val="TOC2"/>
            <w:numPr>
              <w:ilvl w:val="1"/>
              <w:numId w:val="25"/>
            </w:numPr>
            <w:tabs>
              <w:tab w:pos="1876" w:val="left" w:leader="none"/>
              <w:tab w:pos="9626" w:val="left" w:leader="dot"/>
            </w:tabs>
            <w:spacing w:line="276" w:lineRule="auto" w:before="34" w:after="0"/>
            <w:ind w:left="1562" w:right="1346" w:firstLine="0"/>
            <w:jc w:val="left"/>
          </w:pPr>
          <w:hyperlink w:history="true" w:anchor="_TOC_250033">
            <w:r>
              <w:rPr/>
              <w:t>Uso sostenible del agua, eficiencia en el uso de materias primas, eficiencia energética y uso de energías renovables</w:t>
            </w:r>
            <w:r>
              <w:rPr>
                <w:rFonts w:ascii="Times New Roman" w:hAnsi="Times New Roman"/>
              </w:rPr>
              <w:tab/>
            </w:r>
            <w:r>
              <w:rPr>
                <w:spacing w:val="-6"/>
              </w:rPr>
              <w:t>17</w:t>
            </w:r>
          </w:hyperlink>
        </w:p>
        <w:p>
          <w:pPr>
            <w:pStyle w:val="TOC2"/>
            <w:numPr>
              <w:ilvl w:val="1"/>
              <w:numId w:val="25"/>
            </w:numPr>
            <w:tabs>
              <w:tab w:pos="1876" w:val="left" w:leader="none"/>
              <w:tab w:pos="9626" w:val="left" w:leader="dot"/>
            </w:tabs>
            <w:spacing w:line="218" w:lineRule="exact" w:before="0" w:after="0"/>
            <w:ind w:left="1876" w:right="0" w:hanging="314"/>
            <w:jc w:val="left"/>
          </w:pPr>
          <w:hyperlink w:history="true" w:anchor="_TOC_250032">
            <w:r>
              <w:rPr/>
              <w:t>Cambio</w:t>
            </w:r>
            <w:r>
              <w:rPr>
                <w:spacing w:val="-8"/>
              </w:rPr>
              <w:t> </w:t>
            </w:r>
            <w:r>
              <w:rPr/>
              <w:t>climático:</w:t>
            </w:r>
            <w:r>
              <w:rPr>
                <w:spacing w:val="-8"/>
              </w:rPr>
              <w:t> </w:t>
            </w:r>
            <w:r>
              <w:rPr/>
              <w:t>reducción</w:t>
            </w:r>
            <w:r>
              <w:rPr>
                <w:spacing w:val="-7"/>
              </w:rPr>
              <w:t> </w:t>
            </w:r>
            <w:r>
              <w:rPr/>
              <w:t>de</w:t>
            </w:r>
            <w:r>
              <w:rPr>
                <w:spacing w:val="-7"/>
              </w:rPr>
              <w:t> </w:t>
            </w:r>
            <w:r>
              <w:rPr/>
              <w:t>las</w:t>
            </w:r>
            <w:r>
              <w:rPr>
                <w:spacing w:val="-5"/>
              </w:rPr>
              <w:t> </w:t>
            </w:r>
            <w:r>
              <w:rPr/>
              <w:t>emisiones</w:t>
            </w:r>
            <w:r>
              <w:rPr>
                <w:spacing w:val="-7"/>
              </w:rPr>
              <w:t> </w:t>
            </w:r>
            <w:r>
              <w:rPr/>
              <w:t>de</w:t>
            </w:r>
            <w:r>
              <w:rPr>
                <w:spacing w:val="-7"/>
              </w:rPr>
              <w:t> </w:t>
            </w:r>
            <w:r>
              <w:rPr/>
              <w:t>gases</w:t>
            </w:r>
            <w:r>
              <w:rPr>
                <w:spacing w:val="-7"/>
              </w:rPr>
              <w:t> </w:t>
            </w:r>
            <w:r>
              <w:rPr/>
              <w:t>de</w:t>
            </w:r>
            <w:r>
              <w:rPr>
                <w:spacing w:val="-7"/>
              </w:rPr>
              <w:t> </w:t>
            </w:r>
            <w:r>
              <w:rPr/>
              <w:t>efecto</w:t>
            </w:r>
            <w:r>
              <w:rPr>
                <w:spacing w:val="-7"/>
              </w:rPr>
              <w:t> </w:t>
            </w:r>
            <w:r>
              <w:rPr>
                <w:spacing w:val="-2"/>
              </w:rPr>
              <w:t>invernadero</w:t>
            </w:r>
            <w:r>
              <w:rPr>
                <w:rFonts w:ascii="Times New Roman" w:hAnsi="Times New Roman"/>
              </w:rPr>
              <w:tab/>
            </w:r>
            <w:r>
              <w:rPr>
                <w:spacing w:val="-5"/>
              </w:rPr>
              <w:t>20</w:t>
            </w:r>
          </w:hyperlink>
        </w:p>
        <w:p>
          <w:pPr>
            <w:pStyle w:val="TOC2"/>
            <w:numPr>
              <w:ilvl w:val="1"/>
              <w:numId w:val="25"/>
            </w:numPr>
            <w:tabs>
              <w:tab w:pos="1876" w:val="left" w:leader="none"/>
              <w:tab w:pos="9626" w:val="left" w:leader="dot"/>
            </w:tabs>
            <w:spacing w:line="240" w:lineRule="auto" w:before="33" w:after="0"/>
            <w:ind w:left="1876" w:right="0" w:hanging="314"/>
            <w:jc w:val="left"/>
          </w:pPr>
          <w:hyperlink w:history="true" w:anchor="_TOC_250031">
            <w:r>
              <w:rPr/>
              <w:t>Protección</w:t>
            </w:r>
            <w:r>
              <w:rPr>
                <w:spacing w:val="-6"/>
              </w:rPr>
              <w:t> </w:t>
            </w:r>
            <w:r>
              <w:rPr/>
              <w:t>de</w:t>
            </w:r>
            <w:r>
              <w:rPr>
                <w:spacing w:val="-6"/>
              </w:rPr>
              <w:t> </w:t>
            </w:r>
            <w:r>
              <w:rPr/>
              <w:t>la</w:t>
            </w:r>
            <w:r>
              <w:rPr>
                <w:spacing w:val="-5"/>
              </w:rPr>
              <w:t> </w:t>
            </w:r>
            <w:r>
              <w:rPr>
                <w:spacing w:val="-2"/>
              </w:rPr>
              <w:t>biodiversidad</w:t>
            </w:r>
            <w:r>
              <w:rPr>
                <w:rFonts w:ascii="Times New Roman" w:hAnsi="Times New Roman"/>
              </w:rPr>
              <w:tab/>
            </w:r>
            <w:r>
              <w:rPr>
                <w:spacing w:val="-5"/>
              </w:rPr>
              <w:t>20</w:t>
            </w:r>
          </w:hyperlink>
        </w:p>
        <w:p>
          <w:pPr>
            <w:pStyle w:val="TOC2"/>
            <w:numPr>
              <w:ilvl w:val="1"/>
              <w:numId w:val="25"/>
            </w:numPr>
            <w:tabs>
              <w:tab w:pos="1876" w:val="left" w:leader="none"/>
              <w:tab w:pos="9625" w:val="left" w:leader="dot"/>
            </w:tabs>
            <w:spacing w:line="240" w:lineRule="auto" w:before="34" w:after="0"/>
            <w:ind w:left="1876" w:right="0" w:hanging="314"/>
            <w:jc w:val="left"/>
          </w:pPr>
          <w:hyperlink w:history="true" w:anchor="_TOC_250030">
            <w:r>
              <w:rPr>
                <w:spacing w:val="-2"/>
              </w:rPr>
              <w:t>Cumplimiento</w:t>
            </w:r>
            <w:r>
              <w:rPr>
                <w:spacing w:val="3"/>
              </w:rPr>
              <w:t> </w:t>
            </w:r>
            <w:r>
              <w:rPr>
                <w:spacing w:val="-2"/>
              </w:rPr>
              <w:t>Ambiental</w:t>
            </w:r>
            <w:r>
              <w:rPr>
                <w:rFonts w:ascii="Times New Roman"/>
              </w:rPr>
              <w:tab/>
            </w:r>
            <w:r>
              <w:rPr>
                <w:spacing w:val="-5"/>
              </w:rPr>
              <w:t>20</w:t>
            </w:r>
          </w:hyperlink>
        </w:p>
        <w:p>
          <w:pPr>
            <w:pStyle w:val="TOC1"/>
            <w:numPr>
              <w:ilvl w:val="0"/>
              <w:numId w:val="25"/>
            </w:numPr>
            <w:tabs>
              <w:tab w:pos="1550" w:val="left" w:leader="none"/>
              <w:tab w:pos="9626" w:val="left" w:leader="dot"/>
            </w:tabs>
            <w:spacing w:line="240" w:lineRule="auto" w:before="33" w:after="0"/>
            <w:ind w:left="1550" w:right="0" w:hanging="209"/>
            <w:jc w:val="left"/>
          </w:pPr>
          <w:hyperlink w:history="true" w:anchor="_TOC_250029">
            <w:r>
              <w:rPr/>
              <w:t>Cuestiones</w:t>
            </w:r>
            <w:r>
              <w:rPr>
                <w:spacing w:val="-6"/>
              </w:rPr>
              <w:t> </w:t>
            </w:r>
            <w:r>
              <w:rPr/>
              <w:t>Sociales</w:t>
            </w:r>
            <w:r>
              <w:rPr>
                <w:spacing w:val="-8"/>
              </w:rPr>
              <w:t> </w:t>
            </w:r>
            <w:r>
              <w:rPr/>
              <w:t>y</w:t>
            </w:r>
            <w:r>
              <w:rPr>
                <w:spacing w:val="-7"/>
              </w:rPr>
              <w:t> </w:t>
            </w:r>
            <w:r>
              <w:rPr/>
              <w:t>relativas</w:t>
            </w:r>
            <w:r>
              <w:rPr>
                <w:spacing w:val="-6"/>
              </w:rPr>
              <w:t> </w:t>
            </w:r>
            <w:r>
              <w:rPr/>
              <w:t>al</w:t>
            </w:r>
            <w:r>
              <w:rPr>
                <w:spacing w:val="-6"/>
              </w:rPr>
              <w:t> </w:t>
            </w:r>
            <w:r>
              <w:rPr>
                <w:spacing w:val="-2"/>
              </w:rPr>
              <w:t>personal</w:t>
            </w:r>
            <w:r>
              <w:rPr>
                <w:rFonts w:ascii="Times New Roman"/>
              </w:rPr>
              <w:tab/>
            </w:r>
            <w:r>
              <w:rPr>
                <w:spacing w:val="-5"/>
              </w:rPr>
              <w:t>20</w:t>
            </w:r>
          </w:hyperlink>
        </w:p>
        <w:p>
          <w:pPr>
            <w:pStyle w:val="TOC2"/>
            <w:numPr>
              <w:ilvl w:val="1"/>
              <w:numId w:val="25"/>
            </w:numPr>
            <w:tabs>
              <w:tab w:pos="1876" w:val="left" w:leader="none"/>
              <w:tab w:pos="9626" w:val="left" w:leader="dot"/>
            </w:tabs>
            <w:spacing w:line="240" w:lineRule="auto" w:before="31" w:after="0"/>
            <w:ind w:left="1876" w:right="0" w:hanging="314"/>
            <w:jc w:val="left"/>
          </w:pPr>
          <w:hyperlink w:history="true" w:anchor="_TOC_250028">
            <w:r>
              <w:rPr>
                <w:spacing w:val="-2"/>
              </w:rPr>
              <w:t>Empleo</w:t>
            </w:r>
            <w:r>
              <w:rPr>
                <w:rFonts w:ascii="Times New Roman"/>
              </w:rPr>
              <w:tab/>
            </w:r>
            <w:r>
              <w:rPr>
                <w:spacing w:val="-5"/>
              </w:rPr>
              <w:t>23</w:t>
            </w:r>
          </w:hyperlink>
        </w:p>
        <w:p>
          <w:pPr>
            <w:pStyle w:val="TOC2"/>
            <w:numPr>
              <w:ilvl w:val="1"/>
              <w:numId w:val="25"/>
            </w:numPr>
            <w:tabs>
              <w:tab w:pos="1876" w:val="left" w:leader="none"/>
              <w:tab w:pos="9626" w:val="left" w:leader="dot"/>
            </w:tabs>
            <w:spacing w:line="240" w:lineRule="auto" w:before="34" w:after="0"/>
            <w:ind w:left="1876" w:right="0" w:hanging="314"/>
            <w:jc w:val="left"/>
          </w:pPr>
          <w:hyperlink w:history="true" w:anchor="_TOC_250027">
            <w:r>
              <w:rPr/>
              <w:t>Organización</w:t>
            </w:r>
            <w:r>
              <w:rPr>
                <w:spacing w:val="-12"/>
              </w:rPr>
              <w:t> </w:t>
            </w:r>
            <w:r>
              <w:rPr/>
              <w:t>del</w:t>
            </w:r>
            <w:r>
              <w:rPr>
                <w:spacing w:val="-9"/>
              </w:rPr>
              <w:t> </w:t>
            </w:r>
            <w:r>
              <w:rPr>
                <w:spacing w:val="-2"/>
              </w:rPr>
              <w:t>Trabajo</w:t>
            </w:r>
            <w:r>
              <w:rPr>
                <w:rFonts w:ascii="Times New Roman" w:hAnsi="Times New Roman"/>
              </w:rPr>
              <w:tab/>
            </w:r>
            <w:r>
              <w:rPr>
                <w:spacing w:val="-5"/>
              </w:rPr>
              <w:t>33</w:t>
            </w:r>
          </w:hyperlink>
        </w:p>
        <w:p>
          <w:pPr>
            <w:pStyle w:val="TOC3"/>
            <w:numPr>
              <w:ilvl w:val="2"/>
              <w:numId w:val="25"/>
            </w:numPr>
            <w:tabs>
              <w:tab w:pos="2303" w:val="left" w:leader="none"/>
              <w:tab w:pos="9626" w:val="left" w:leader="dot"/>
            </w:tabs>
            <w:spacing w:line="240" w:lineRule="auto" w:before="33" w:after="0"/>
            <w:ind w:left="2303" w:right="0" w:hanging="523"/>
            <w:jc w:val="left"/>
          </w:pPr>
          <w:hyperlink w:history="true" w:anchor="_TOC_250026">
            <w:r>
              <w:rPr/>
              <w:t>Organización</w:t>
            </w:r>
            <w:r>
              <w:rPr>
                <w:spacing w:val="-9"/>
              </w:rPr>
              <w:t> </w:t>
            </w:r>
            <w:r>
              <w:rPr/>
              <w:t>del</w:t>
            </w:r>
            <w:r>
              <w:rPr>
                <w:spacing w:val="-7"/>
              </w:rPr>
              <w:t> </w:t>
            </w:r>
            <w:r>
              <w:rPr/>
              <w:t>Tiempo</w:t>
            </w:r>
            <w:r>
              <w:rPr>
                <w:spacing w:val="-8"/>
              </w:rPr>
              <w:t> </w:t>
            </w:r>
            <w:r>
              <w:rPr/>
              <w:t>de</w:t>
            </w:r>
            <w:r>
              <w:rPr>
                <w:spacing w:val="-9"/>
              </w:rPr>
              <w:t> </w:t>
            </w:r>
            <w:r>
              <w:rPr>
                <w:spacing w:val="-2"/>
              </w:rPr>
              <w:t>Trabajo</w:t>
            </w:r>
            <w:r>
              <w:rPr>
                <w:rFonts w:ascii="Times New Roman" w:hAnsi="Times New Roman"/>
              </w:rPr>
              <w:tab/>
            </w:r>
            <w:r>
              <w:rPr>
                <w:spacing w:val="-5"/>
              </w:rPr>
              <w:t>34</w:t>
            </w:r>
          </w:hyperlink>
        </w:p>
        <w:p>
          <w:pPr>
            <w:pStyle w:val="TOC3"/>
            <w:numPr>
              <w:ilvl w:val="2"/>
              <w:numId w:val="25"/>
            </w:numPr>
            <w:tabs>
              <w:tab w:pos="2355" w:val="left" w:leader="none"/>
              <w:tab w:pos="9626" w:val="left" w:leader="dot"/>
            </w:tabs>
            <w:spacing w:line="240" w:lineRule="auto" w:before="32" w:after="0"/>
            <w:ind w:left="2355" w:right="0" w:hanging="575"/>
            <w:jc w:val="left"/>
          </w:pPr>
          <w:hyperlink w:history="true" w:anchor="_TOC_250025">
            <w:r>
              <w:rPr/>
              <w:t>Número</w:t>
            </w:r>
            <w:r>
              <w:rPr>
                <w:spacing w:val="-6"/>
              </w:rPr>
              <w:t> </w:t>
            </w:r>
            <w:r>
              <w:rPr/>
              <w:t>de</w:t>
            </w:r>
            <w:r>
              <w:rPr>
                <w:spacing w:val="-5"/>
              </w:rPr>
              <w:t> </w:t>
            </w:r>
            <w:r>
              <w:rPr/>
              <w:t>horas</w:t>
            </w:r>
            <w:r>
              <w:rPr>
                <w:spacing w:val="-3"/>
              </w:rPr>
              <w:t> </w:t>
            </w:r>
            <w:r>
              <w:rPr/>
              <w:t>de</w:t>
            </w:r>
            <w:r>
              <w:rPr>
                <w:spacing w:val="-2"/>
              </w:rPr>
              <w:t> Absentismo</w:t>
            </w:r>
            <w:r>
              <w:rPr>
                <w:rFonts w:ascii="Times New Roman" w:hAnsi="Times New Roman"/>
              </w:rPr>
              <w:tab/>
            </w:r>
            <w:r>
              <w:rPr>
                <w:spacing w:val="-5"/>
              </w:rPr>
              <w:t>34</w:t>
            </w:r>
          </w:hyperlink>
        </w:p>
        <w:p>
          <w:pPr>
            <w:pStyle w:val="TOC3"/>
            <w:numPr>
              <w:ilvl w:val="2"/>
              <w:numId w:val="25"/>
            </w:numPr>
            <w:tabs>
              <w:tab w:pos="2303" w:val="left" w:leader="none"/>
              <w:tab w:pos="9626" w:val="left" w:leader="dot"/>
            </w:tabs>
            <w:spacing w:line="276" w:lineRule="auto" w:before="33" w:after="0"/>
            <w:ind w:left="1780" w:right="1347" w:firstLine="0"/>
            <w:jc w:val="left"/>
          </w:pPr>
          <w:hyperlink w:history="true" w:anchor="_TOC_250024">
            <w:r>
              <w:rPr/>
              <w:t>Medidas destinadas a facilitar el disfrute de la conciliación y fomentar el ejercicio correspondiente</w:t>
            </w:r>
            <w:r>
              <w:rPr>
                <w:spacing w:val="-9"/>
              </w:rPr>
              <w:t> </w:t>
            </w:r>
            <w:r>
              <w:rPr/>
              <w:t>de</w:t>
            </w:r>
            <w:r>
              <w:rPr>
                <w:spacing w:val="-8"/>
              </w:rPr>
              <w:t> </w:t>
            </w:r>
            <w:r>
              <w:rPr/>
              <w:t>estos</w:t>
            </w:r>
            <w:r>
              <w:rPr>
                <w:spacing w:val="-4"/>
              </w:rPr>
              <w:t> </w:t>
            </w:r>
            <w:r>
              <w:rPr/>
              <w:t>por</w:t>
            </w:r>
            <w:r>
              <w:rPr>
                <w:spacing w:val="-9"/>
              </w:rPr>
              <w:t> </w:t>
            </w:r>
            <w:r>
              <w:rPr/>
              <w:t>parte</w:t>
            </w:r>
            <w:r>
              <w:rPr>
                <w:spacing w:val="-9"/>
              </w:rPr>
              <w:t> </w:t>
            </w:r>
            <w:r>
              <w:rPr/>
              <w:t>de</w:t>
            </w:r>
            <w:r>
              <w:rPr>
                <w:spacing w:val="-8"/>
              </w:rPr>
              <w:t> </w:t>
            </w:r>
            <w:r>
              <w:rPr/>
              <w:t>ambos</w:t>
            </w:r>
            <w:r>
              <w:rPr>
                <w:spacing w:val="-8"/>
              </w:rPr>
              <w:t> </w:t>
            </w:r>
            <w:r>
              <w:rPr>
                <w:spacing w:val="-2"/>
              </w:rPr>
              <w:t>progenitores</w:t>
            </w:r>
            <w:r>
              <w:rPr>
                <w:rFonts w:ascii="Times New Roman" w:hAnsi="Times New Roman"/>
              </w:rPr>
              <w:tab/>
            </w:r>
            <w:r>
              <w:rPr>
                <w:spacing w:val="-5"/>
              </w:rPr>
              <w:t>34</w:t>
            </w:r>
          </w:hyperlink>
        </w:p>
        <w:p>
          <w:pPr>
            <w:pStyle w:val="TOC2"/>
            <w:numPr>
              <w:ilvl w:val="1"/>
              <w:numId w:val="25"/>
            </w:numPr>
            <w:tabs>
              <w:tab w:pos="1876" w:val="left" w:leader="none"/>
              <w:tab w:pos="9627" w:val="left" w:leader="dot"/>
            </w:tabs>
            <w:spacing w:line="218" w:lineRule="exact" w:before="0" w:after="0"/>
            <w:ind w:left="1876" w:right="0" w:hanging="314"/>
            <w:jc w:val="left"/>
          </w:pPr>
          <w:hyperlink w:history="true" w:anchor="_TOC_250023">
            <w:r>
              <w:rPr>
                <w:spacing w:val="-2"/>
              </w:rPr>
              <w:t>Relaciones</w:t>
            </w:r>
            <w:r>
              <w:rPr>
                <w:spacing w:val="15"/>
              </w:rPr>
              <w:t> </w:t>
            </w:r>
            <w:r>
              <w:rPr>
                <w:spacing w:val="-2"/>
              </w:rPr>
              <w:t>trabajador-empresa</w:t>
            </w:r>
            <w:r>
              <w:rPr>
                <w:rFonts w:ascii="Times New Roman"/>
              </w:rPr>
              <w:tab/>
            </w:r>
            <w:r>
              <w:rPr>
                <w:spacing w:val="-5"/>
              </w:rPr>
              <w:t>35</w:t>
            </w:r>
          </w:hyperlink>
        </w:p>
        <w:p>
          <w:pPr>
            <w:pStyle w:val="TOC2"/>
            <w:numPr>
              <w:ilvl w:val="1"/>
              <w:numId w:val="25"/>
            </w:numPr>
            <w:tabs>
              <w:tab w:pos="1876" w:val="left" w:leader="none"/>
              <w:tab w:pos="9626" w:val="left" w:leader="dot"/>
            </w:tabs>
            <w:spacing w:line="240" w:lineRule="auto" w:before="34" w:after="0"/>
            <w:ind w:left="1876" w:right="0" w:hanging="314"/>
            <w:jc w:val="left"/>
          </w:pPr>
          <w:hyperlink w:history="true" w:anchor="_TOC_250022">
            <w:r>
              <w:rPr/>
              <w:t>Salud</w:t>
            </w:r>
            <w:r>
              <w:rPr>
                <w:spacing w:val="-4"/>
              </w:rPr>
              <w:t> </w:t>
            </w:r>
            <w:r>
              <w:rPr/>
              <w:t>y</w:t>
            </w:r>
            <w:r>
              <w:rPr>
                <w:spacing w:val="-4"/>
              </w:rPr>
              <w:t> </w:t>
            </w:r>
            <w:r>
              <w:rPr>
                <w:spacing w:val="-2"/>
              </w:rPr>
              <w:t>Seguridad</w:t>
            </w:r>
            <w:r>
              <w:rPr>
                <w:rFonts w:ascii="Times New Roman"/>
              </w:rPr>
              <w:tab/>
            </w:r>
            <w:r>
              <w:rPr>
                <w:spacing w:val="-5"/>
              </w:rPr>
              <w:t>35</w:t>
            </w:r>
          </w:hyperlink>
        </w:p>
        <w:p>
          <w:pPr>
            <w:pStyle w:val="TOC2"/>
            <w:numPr>
              <w:ilvl w:val="1"/>
              <w:numId w:val="25"/>
            </w:numPr>
            <w:tabs>
              <w:tab w:pos="1876" w:val="left" w:leader="none"/>
              <w:tab w:pos="9626" w:val="left" w:leader="dot"/>
            </w:tabs>
            <w:spacing w:line="240" w:lineRule="auto" w:before="33" w:after="0"/>
            <w:ind w:left="1876" w:right="0" w:hanging="314"/>
            <w:jc w:val="left"/>
          </w:pPr>
          <w:hyperlink w:history="true" w:anchor="_TOC_250021">
            <w:r>
              <w:rPr/>
              <w:t>Relaciones</w:t>
            </w:r>
            <w:r>
              <w:rPr>
                <w:spacing w:val="-11"/>
              </w:rPr>
              <w:t> </w:t>
            </w:r>
            <w:r>
              <w:rPr>
                <w:spacing w:val="-2"/>
              </w:rPr>
              <w:t>sociales</w:t>
            </w:r>
            <w:r>
              <w:rPr>
                <w:rFonts w:ascii="Times New Roman"/>
              </w:rPr>
              <w:tab/>
            </w:r>
            <w:r>
              <w:rPr>
                <w:spacing w:val="-5"/>
              </w:rPr>
              <w:t>44</w:t>
            </w:r>
          </w:hyperlink>
        </w:p>
        <w:p>
          <w:pPr>
            <w:pStyle w:val="TOC2"/>
            <w:numPr>
              <w:ilvl w:val="1"/>
              <w:numId w:val="25"/>
            </w:numPr>
            <w:tabs>
              <w:tab w:pos="1876" w:val="left" w:leader="none"/>
              <w:tab w:pos="9627" w:val="left" w:leader="dot"/>
            </w:tabs>
            <w:spacing w:line="240" w:lineRule="auto" w:before="31" w:after="0"/>
            <w:ind w:left="1876" w:right="0" w:hanging="314"/>
            <w:jc w:val="left"/>
          </w:pPr>
          <w:hyperlink w:history="true" w:anchor="_TOC_250020">
            <w:r>
              <w:rPr>
                <w:spacing w:val="-2"/>
              </w:rPr>
              <w:t>Formación</w:t>
            </w:r>
            <w:r>
              <w:rPr>
                <w:rFonts w:ascii="Times New Roman" w:hAnsi="Times New Roman"/>
              </w:rPr>
              <w:tab/>
            </w:r>
            <w:r>
              <w:rPr>
                <w:spacing w:val="-5"/>
              </w:rPr>
              <w:t>44</w:t>
            </w:r>
          </w:hyperlink>
        </w:p>
        <w:p>
          <w:pPr>
            <w:pStyle w:val="TOC3"/>
            <w:numPr>
              <w:ilvl w:val="2"/>
              <w:numId w:val="25"/>
            </w:numPr>
            <w:tabs>
              <w:tab w:pos="2303" w:val="left" w:leader="none"/>
              <w:tab w:pos="9626" w:val="left" w:leader="dot"/>
            </w:tabs>
            <w:spacing w:line="240" w:lineRule="auto" w:before="34" w:after="0"/>
            <w:ind w:left="2303" w:right="0" w:hanging="523"/>
            <w:jc w:val="left"/>
          </w:pPr>
          <w:hyperlink w:history="true" w:anchor="_TOC_250019">
            <w:r>
              <w:rPr/>
              <w:t>Políticas</w:t>
            </w:r>
            <w:r>
              <w:rPr>
                <w:spacing w:val="-6"/>
              </w:rPr>
              <w:t> </w:t>
            </w:r>
            <w:r>
              <w:rPr/>
              <w:t>implementadas</w:t>
            </w:r>
            <w:r>
              <w:rPr>
                <w:spacing w:val="-6"/>
              </w:rPr>
              <w:t> </w:t>
            </w:r>
            <w:r>
              <w:rPr/>
              <w:t>en</w:t>
            </w:r>
            <w:r>
              <w:rPr>
                <w:spacing w:val="-7"/>
              </w:rPr>
              <w:t> </w:t>
            </w:r>
            <w:r>
              <w:rPr/>
              <w:t>el</w:t>
            </w:r>
            <w:r>
              <w:rPr>
                <w:spacing w:val="-5"/>
              </w:rPr>
              <w:t> </w:t>
            </w:r>
            <w:r>
              <w:rPr/>
              <w:t>campo</w:t>
            </w:r>
            <w:r>
              <w:rPr>
                <w:spacing w:val="-8"/>
              </w:rPr>
              <w:t> </w:t>
            </w:r>
            <w:r>
              <w:rPr/>
              <w:t>de</w:t>
            </w:r>
            <w:r>
              <w:rPr>
                <w:spacing w:val="-7"/>
              </w:rPr>
              <w:t> </w:t>
            </w:r>
            <w:r>
              <w:rPr/>
              <w:t>la</w:t>
            </w:r>
            <w:r>
              <w:rPr>
                <w:spacing w:val="-7"/>
              </w:rPr>
              <w:t> </w:t>
            </w:r>
            <w:r>
              <w:rPr>
                <w:spacing w:val="-2"/>
              </w:rPr>
              <w:t>formación</w:t>
            </w:r>
            <w:r>
              <w:rPr>
                <w:rFonts w:ascii="Times New Roman" w:hAnsi="Times New Roman"/>
              </w:rPr>
              <w:tab/>
            </w:r>
            <w:r>
              <w:rPr>
                <w:spacing w:val="-5"/>
              </w:rPr>
              <w:t>44</w:t>
            </w:r>
          </w:hyperlink>
        </w:p>
        <w:p>
          <w:pPr>
            <w:pStyle w:val="TOC3"/>
            <w:numPr>
              <w:ilvl w:val="2"/>
              <w:numId w:val="25"/>
            </w:numPr>
            <w:tabs>
              <w:tab w:pos="2661" w:val="left" w:leader="none"/>
              <w:tab w:pos="9627" w:val="left" w:leader="dot"/>
            </w:tabs>
            <w:spacing w:line="240" w:lineRule="auto" w:before="33" w:after="0"/>
            <w:ind w:left="2661" w:right="0" w:hanging="881"/>
            <w:jc w:val="left"/>
          </w:pPr>
          <w:hyperlink w:history="true" w:anchor="_TOC_250018">
            <w:r>
              <w:rPr/>
              <w:t>Cantidad</w:t>
            </w:r>
            <w:r>
              <w:rPr>
                <w:spacing w:val="-7"/>
              </w:rPr>
              <w:t> </w:t>
            </w:r>
            <w:r>
              <w:rPr/>
              <w:t>de</w:t>
            </w:r>
            <w:r>
              <w:rPr>
                <w:spacing w:val="-6"/>
              </w:rPr>
              <w:t> </w:t>
            </w:r>
            <w:r>
              <w:rPr/>
              <w:t>horas</w:t>
            </w:r>
            <w:r>
              <w:rPr>
                <w:spacing w:val="-5"/>
              </w:rPr>
              <w:t> </w:t>
            </w:r>
            <w:r>
              <w:rPr/>
              <w:t>de</w:t>
            </w:r>
            <w:r>
              <w:rPr>
                <w:spacing w:val="-7"/>
              </w:rPr>
              <w:t> </w:t>
            </w:r>
            <w:r>
              <w:rPr/>
              <w:t>formación</w:t>
            </w:r>
            <w:r>
              <w:rPr>
                <w:spacing w:val="-6"/>
              </w:rPr>
              <w:t> </w:t>
            </w:r>
            <w:r>
              <w:rPr/>
              <w:t>por</w:t>
            </w:r>
            <w:r>
              <w:rPr>
                <w:spacing w:val="-5"/>
              </w:rPr>
              <w:t> </w:t>
            </w:r>
            <w:r>
              <w:rPr/>
              <w:t>sexo</w:t>
            </w:r>
            <w:r>
              <w:rPr>
                <w:spacing w:val="-6"/>
              </w:rPr>
              <w:t> </w:t>
            </w:r>
            <w:r>
              <w:rPr/>
              <w:t>y</w:t>
            </w:r>
            <w:r>
              <w:rPr>
                <w:spacing w:val="-8"/>
              </w:rPr>
              <w:t> </w:t>
            </w:r>
            <w:r>
              <w:rPr/>
              <w:t>categoría</w:t>
            </w:r>
            <w:r>
              <w:rPr>
                <w:spacing w:val="-6"/>
              </w:rPr>
              <w:t> </w:t>
            </w:r>
            <w:r>
              <w:rPr>
                <w:spacing w:val="-2"/>
              </w:rPr>
              <w:t>profesional</w:t>
            </w:r>
            <w:r>
              <w:rPr>
                <w:rFonts w:ascii="Times New Roman" w:hAnsi="Times New Roman"/>
              </w:rPr>
              <w:tab/>
            </w:r>
            <w:r>
              <w:rPr>
                <w:spacing w:val="-5"/>
              </w:rPr>
              <w:t>46</w:t>
            </w:r>
          </w:hyperlink>
        </w:p>
        <w:p>
          <w:pPr>
            <w:pStyle w:val="TOC2"/>
            <w:numPr>
              <w:ilvl w:val="1"/>
              <w:numId w:val="25"/>
            </w:numPr>
            <w:tabs>
              <w:tab w:pos="1876" w:val="left" w:leader="none"/>
              <w:tab w:pos="9626" w:val="left" w:leader="dot"/>
            </w:tabs>
            <w:spacing w:line="240" w:lineRule="auto" w:before="34" w:after="0"/>
            <w:ind w:left="1876" w:right="0" w:hanging="314"/>
            <w:jc w:val="left"/>
          </w:pPr>
          <w:hyperlink w:history="true" w:anchor="_TOC_250017">
            <w:r>
              <w:rPr/>
              <w:t>Accesibilidad</w:t>
            </w:r>
            <w:r>
              <w:rPr>
                <w:spacing w:val="-8"/>
              </w:rPr>
              <w:t> </w:t>
            </w:r>
            <w:r>
              <w:rPr/>
              <w:t>Universal</w:t>
            </w:r>
            <w:r>
              <w:rPr>
                <w:spacing w:val="-6"/>
              </w:rPr>
              <w:t> </w:t>
            </w:r>
            <w:r>
              <w:rPr/>
              <w:t>de</w:t>
            </w:r>
            <w:r>
              <w:rPr>
                <w:spacing w:val="-8"/>
              </w:rPr>
              <w:t> </w:t>
            </w:r>
            <w:r>
              <w:rPr/>
              <w:t>las</w:t>
            </w:r>
            <w:r>
              <w:rPr>
                <w:spacing w:val="-6"/>
              </w:rPr>
              <w:t> </w:t>
            </w:r>
            <w:r>
              <w:rPr/>
              <w:t>personas</w:t>
            </w:r>
            <w:r>
              <w:rPr>
                <w:spacing w:val="-5"/>
              </w:rPr>
              <w:t> </w:t>
            </w:r>
            <w:r>
              <w:rPr/>
              <w:t>con</w:t>
            </w:r>
            <w:r>
              <w:rPr>
                <w:spacing w:val="-8"/>
              </w:rPr>
              <w:t> </w:t>
            </w:r>
            <w:r>
              <w:rPr>
                <w:spacing w:val="-2"/>
              </w:rPr>
              <w:t>discapacidad</w:t>
            </w:r>
            <w:r>
              <w:rPr>
                <w:rFonts w:ascii="Times New Roman"/>
              </w:rPr>
              <w:tab/>
            </w:r>
            <w:r>
              <w:rPr>
                <w:spacing w:val="-5"/>
              </w:rPr>
              <w:t>50</w:t>
            </w:r>
          </w:hyperlink>
        </w:p>
        <w:p>
          <w:pPr>
            <w:pStyle w:val="TOC2"/>
            <w:numPr>
              <w:ilvl w:val="1"/>
              <w:numId w:val="25"/>
            </w:numPr>
            <w:tabs>
              <w:tab w:pos="1876" w:val="left" w:leader="none"/>
              <w:tab w:pos="9626" w:val="left" w:leader="dot"/>
            </w:tabs>
            <w:spacing w:line="240" w:lineRule="auto" w:before="31" w:after="0"/>
            <w:ind w:left="1876" w:right="0" w:hanging="314"/>
            <w:jc w:val="left"/>
          </w:pPr>
          <w:hyperlink w:history="true" w:anchor="_TOC_250016">
            <w:r>
              <w:rPr/>
              <w:t>Integración</w:t>
            </w:r>
            <w:r>
              <w:rPr>
                <w:spacing w:val="-8"/>
              </w:rPr>
              <w:t> </w:t>
            </w:r>
            <w:r>
              <w:rPr/>
              <w:t>e</w:t>
            </w:r>
            <w:r>
              <w:rPr>
                <w:spacing w:val="-7"/>
              </w:rPr>
              <w:t> </w:t>
            </w:r>
            <w:r>
              <w:rPr>
                <w:spacing w:val="-2"/>
              </w:rPr>
              <w:t>igualdad</w:t>
            </w:r>
            <w:r>
              <w:rPr>
                <w:rFonts w:ascii="Times New Roman" w:hAnsi="Times New Roman"/>
              </w:rPr>
              <w:tab/>
            </w:r>
            <w:r>
              <w:rPr>
                <w:spacing w:val="-5"/>
              </w:rPr>
              <w:t>50</w:t>
            </w:r>
          </w:hyperlink>
        </w:p>
        <w:p>
          <w:pPr>
            <w:pStyle w:val="TOC3"/>
            <w:numPr>
              <w:ilvl w:val="2"/>
              <w:numId w:val="26"/>
            </w:numPr>
            <w:tabs>
              <w:tab w:pos="2253" w:val="left" w:leader="none"/>
              <w:tab w:pos="9626" w:val="left" w:leader="dot"/>
            </w:tabs>
            <w:spacing w:line="276" w:lineRule="auto" w:before="33" w:after="0"/>
            <w:ind w:left="1780" w:right="1347" w:firstLine="0"/>
            <w:jc w:val="left"/>
          </w:pPr>
          <w:r>
            <w:rPr/>
            <w:t>Igualdad de género, protocolos contra el acoso sexual y por razón de sexo; integración y accesibilidad universal de las personas con discapacidad y políticas contra todo tipo de discriminación;</w:t>
          </w:r>
          <w:r>
            <w:rPr>
              <w:spacing w:val="-9"/>
            </w:rPr>
            <w:t> </w:t>
          </w:r>
          <w:r>
            <w:rPr/>
            <w:t>gestión</w:t>
          </w:r>
          <w:r>
            <w:rPr>
              <w:spacing w:val="-9"/>
            </w:rPr>
            <w:t> </w:t>
          </w:r>
          <w:r>
            <w:rPr/>
            <w:t>de</w:t>
          </w:r>
          <w:r>
            <w:rPr>
              <w:spacing w:val="-4"/>
            </w:rPr>
            <w:t> </w:t>
          </w:r>
          <w:r>
            <w:rPr/>
            <w:t>la</w:t>
          </w:r>
          <w:r>
            <w:rPr>
              <w:spacing w:val="-10"/>
            </w:rPr>
            <w:t> </w:t>
          </w:r>
          <w:r>
            <w:rPr>
              <w:spacing w:val="-2"/>
            </w:rPr>
            <w:t>diversidad</w:t>
          </w:r>
          <w:r>
            <w:rPr>
              <w:rFonts w:ascii="Times New Roman" w:hAnsi="Times New Roman"/>
            </w:rPr>
            <w:tab/>
          </w:r>
          <w:r>
            <w:rPr>
              <w:spacing w:val="-5"/>
            </w:rPr>
            <w:t>50</w:t>
          </w:r>
        </w:p>
        <w:p>
          <w:pPr>
            <w:pStyle w:val="TOC2"/>
            <w:numPr>
              <w:ilvl w:val="1"/>
              <w:numId w:val="25"/>
            </w:numPr>
            <w:tabs>
              <w:tab w:pos="1876" w:val="left" w:leader="none"/>
              <w:tab w:pos="9627" w:val="left" w:leader="dot"/>
            </w:tabs>
            <w:spacing w:line="240" w:lineRule="auto" w:before="0" w:after="0"/>
            <w:ind w:left="1876" w:right="0" w:hanging="314"/>
            <w:jc w:val="left"/>
          </w:pPr>
          <w:hyperlink w:history="true" w:anchor="_TOC_250015">
            <w:r>
              <w:rPr/>
              <w:t>Salud</w:t>
            </w:r>
            <w:r>
              <w:rPr>
                <w:spacing w:val="-6"/>
              </w:rPr>
              <w:t> </w:t>
            </w:r>
            <w:r>
              <w:rPr/>
              <w:t>y</w:t>
            </w:r>
            <w:r>
              <w:rPr>
                <w:spacing w:val="-5"/>
              </w:rPr>
              <w:t> </w:t>
            </w:r>
            <w:r>
              <w:rPr/>
              <w:t>seguridad</w:t>
            </w:r>
            <w:r>
              <w:rPr>
                <w:spacing w:val="-5"/>
              </w:rPr>
              <w:t> </w:t>
            </w:r>
            <w:r>
              <w:rPr/>
              <w:t>de</w:t>
            </w:r>
            <w:r>
              <w:rPr>
                <w:spacing w:val="-5"/>
              </w:rPr>
              <w:t> </w:t>
            </w:r>
            <w:r>
              <w:rPr/>
              <w:t>los</w:t>
            </w:r>
            <w:r>
              <w:rPr>
                <w:spacing w:val="-2"/>
              </w:rPr>
              <w:t> clientes</w:t>
            </w:r>
            <w:r>
              <w:rPr>
                <w:rFonts w:ascii="Times New Roman"/>
              </w:rPr>
              <w:tab/>
            </w:r>
            <w:r>
              <w:rPr>
                <w:spacing w:val="-5"/>
              </w:rPr>
              <w:t>50</w:t>
            </w:r>
          </w:hyperlink>
        </w:p>
        <w:p>
          <w:pPr>
            <w:pStyle w:val="TOC2"/>
            <w:numPr>
              <w:ilvl w:val="1"/>
              <w:numId w:val="25"/>
            </w:numPr>
            <w:tabs>
              <w:tab w:pos="1980" w:val="left" w:leader="none"/>
              <w:tab w:pos="9626" w:val="left" w:leader="dot"/>
            </w:tabs>
            <w:spacing w:line="240" w:lineRule="auto" w:before="34" w:after="0"/>
            <w:ind w:left="1980" w:right="0" w:hanging="418"/>
            <w:jc w:val="left"/>
          </w:pPr>
          <w:hyperlink w:history="true" w:anchor="_TOC_250014">
            <w:r>
              <w:rPr/>
              <w:t>Privacidad</w:t>
            </w:r>
            <w:r>
              <w:rPr>
                <w:spacing w:val="-10"/>
              </w:rPr>
              <w:t> </w:t>
            </w:r>
            <w:r>
              <w:rPr/>
              <w:t>del</w:t>
            </w:r>
            <w:r>
              <w:rPr>
                <w:spacing w:val="-8"/>
              </w:rPr>
              <w:t> </w:t>
            </w:r>
            <w:r>
              <w:rPr>
                <w:spacing w:val="-2"/>
              </w:rPr>
              <w:t>cliente</w:t>
            </w:r>
            <w:r>
              <w:rPr>
                <w:rFonts w:ascii="Times New Roman"/>
              </w:rPr>
              <w:tab/>
            </w:r>
            <w:r>
              <w:rPr>
                <w:spacing w:val="-7"/>
              </w:rPr>
              <w:t>50</w:t>
            </w:r>
          </w:hyperlink>
        </w:p>
        <w:p>
          <w:pPr>
            <w:pStyle w:val="TOC1"/>
            <w:numPr>
              <w:ilvl w:val="0"/>
              <w:numId w:val="25"/>
            </w:numPr>
            <w:tabs>
              <w:tab w:pos="1549" w:val="left" w:leader="none"/>
              <w:tab w:pos="9627" w:val="left" w:leader="dot"/>
            </w:tabs>
            <w:spacing w:line="240" w:lineRule="auto" w:before="31" w:after="0"/>
            <w:ind w:left="1549" w:right="0" w:hanging="208"/>
            <w:jc w:val="left"/>
          </w:pPr>
          <w:hyperlink w:history="true" w:anchor="_TOC_250013">
            <w:r>
              <w:rPr/>
              <w:t>Respeto</w:t>
            </w:r>
            <w:r>
              <w:rPr>
                <w:spacing w:val="-8"/>
              </w:rPr>
              <w:t> </w:t>
            </w:r>
            <w:r>
              <w:rPr/>
              <w:t>de</w:t>
            </w:r>
            <w:r>
              <w:rPr>
                <w:spacing w:val="-7"/>
              </w:rPr>
              <w:t> </w:t>
            </w:r>
            <w:r>
              <w:rPr/>
              <w:t>los</w:t>
            </w:r>
            <w:r>
              <w:rPr>
                <w:spacing w:val="-5"/>
              </w:rPr>
              <w:t> </w:t>
            </w:r>
            <w:r>
              <w:rPr/>
              <w:t>Derechos</w:t>
            </w:r>
            <w:r>
              <w:rPr>
                <w:spacing w:val="-8"/>
              </w:rPr>
              <w:t> </w:t>
            </w:r>
            <w:r>
              <w:rPr>
                <w:spacing w:val="-2"/>
              </w:rPr>
              <w:t>Humanos</w:t>
            </w:r>
            <w:r>
              <w:rPr>
                <w:rFonts w:ascii="Times New Roman"/>
              </w:rPr>
              <w:tab/>
            </w:r>
            <w:r>
              <w:rPr>
                <w:spacing w:val="-5"/>
              </w:rPr>
              <w:t>50</w:t>
            </w:r>
          </w:hyperlink>
        </w:p>
        <w:p>
          <w:pPr>
            <w:pStyle w:val="TOC2"/>
            <w:numPr>
              <w:ilvl w:val="1"/>
              <w:numId w:val="27"/>
            </w:numPr>
            <w:tabs>
              <w:tab w:pos="1928" w:val="left" w:leader="none"/>
              <w:tab w:pos="9626" w:val="left" w:leader="dot"/>
            </w:tabs>
            <w:spacing w:line="240" w:lineRule="auto" w:before="33" w:after="0"/>
            <w:ind w:left="1928" w:right="0" w:hanging="366"/>
            <w:jc w:val="left"/>
          </w:pPr>
          <w:hyperlink w:history="true" w:anchor="_TOC_250012">
            <w:r>
              <w:rPr/>
              <w:t>Procedimientos</w:t>
            </w:r>
            <w:r>
              <w:rPr>
                <w:spacing w:val="-8"/>
              </w:rPr>
              <w:t> </w:t>
            </w:r>
            <w:r>
              <w:rPr/>
              <w:t>de</w:t>
            </w:r>
            <w:r>
              <w:rPr>
                <w:spacing w:val="-9"/>
              </w:rPr>
              <w:t> </w:t>
            </w:r>
            <w:r>
              <w:rPr/>
              <w:t>due</w:t>
            </w:r>
            <w:r>
              <w:rPr>
                <w:spacing w:val="-6"/>
              </w:rPr>
              <w:t> </w:t>
            </w:r>
            <w:r>
              <w:rPr/>
              <w:t>diligence</w:t>
            </w:r>
            <w:r>
              <w:rPr>
                <w:spacing w:val="-9"/>
              </w:rPr>
              <w:t> </w:t>
            </w:r>
            <w:r>
              <w:rPr/>
              <w:t>en</w:t>
            </w:r>
            <w:r>
              <w:rPr>
                <w:spacing w:val="-9"/>
              </w:rPr>
              <w:t> </w:t>
            </w:r>
            <w:r>
              <w:rPr/>
              <w:t>materia</w:t>
            </w:r>
            <w:r>
              <w:rPr>
                <w:spacing w:val="-9"/>
              </w:rPr>
              <w:t> </w:t>
            </w:r>
            <w:r>
              <w:rPr/>
              <w:t>de</w:t>
            </w:r>
            <w:r>
              <w:rPr>
                <w:spacing w:val="-7"/>
              </w:rPr>
              <w:t> </w:t>
            </w:r>
            <w:r>
              <w:rPr/>
              <w:t>derechos</w:t>
            </w:r>
            <w:r>
              <w:rPr>
                <w:spacing w:val="-7"/>
              </w:rPr>
              <w:t> </w:t>
            </w:r>
            <w:r>
              <w:rPr>
                <w:spacing w:val="-2"/>
              </w:rPr>
              <w:t>humanos</w:t>
            </w:r>
            <w:r>
              <w:rPr>
                <w:rFonts w:ascii="Times New Roman"/>
              </w:rPr>
              <w:tab/>
            </w:r>
            <w:r>
              <w:rPr>
                <w:spacing w:val="-5"/>
              </w:rPr>
              <w:t>51</w:t>
            </w:r>
          </w:hyperlink>
        </w:p>
        <w:p>
          <w:pPr>
            <w:pStyle w:val="TOC2"/>
            <w:numPr>
              <w:ilvl w:val="1"/>
              <w:numId w:val="28"/>
            </w:numPr>
            <w:tabs>
              <w:tab w:pos="1876" w:val="left" w:leader="none"/>
              <w:tab w:pos="9626" w:val="left" w:leader="dot"/>
            </w:tabs>
            <w:spacing w:line="273" w:lineRule="auto" w:before="34" w:after="0"/>
            <w:ind w:left="1562" w:right="1347" w:firstLine="0"/>
            <w:jc w:val="left"/>
          </w:pPr>
          <w:hyperlink w:history="true" w:anchor="_TOC_250011">
            <w:r>
              <w:rPr/>
              <w:t>Gestión de los riesgos vinculados con la vulneración de derechos humanos, denuncias por casos</w:t>
            </w:r>
            <w:r>
              <w:rPr>
                <w:spacing w:val="-6"/>
              </w:rPr>
              <w:t> </w:t>
            </w:r>
            <w:r>
              <w:rPr/>
              <w:t>de</w:t>
            </w:r>
            <w:r>
              <w:rPr>
                <w:spacing w:val="-7"/>
              </w:rPr>
              <w:t> </w:t>
            </w:r>
            <w:r>
              <w:rPr/>
              <w:t>vulneración</w:t>
            </w:r>
            <w:r>
              <w:rPr>
                <w:spacing w:val="-7"/>
              </w:rPr>
              <w:t> </w:t>
            </w:r>
            <w:r>
              <w:rPr/>
              <w:t>de</w:t>
            </w:r>
            <w:r>
              <w:rPr>
                <w:spacing w:val="-4"/>
              </w:rPr>
              <w:t> </w:t>
            </w:r>
            <w:r>
              <w:rPr>
                <w:spacing w:val="-2"/>
              </w:rPr>
              <w:t>estos</w:t>
            </w:r>
            <w:r>
              <w:rPr>
                <w:rFonts w:ascii="Times New Roman" w:hAnsi="Times New Roman"/>
              </w:rPr>
              <w:tab/>
            </w:r>
            <w:r>
              <w:rPr>
                <w:spacing w:val="-5"/>
              </w:rPr>
              <w:t>51</w:t>
            </w:r>
          </w:hyperlink>
        </w:p>
        <w:p>
          <w:pPr>
            <w:pStyle w:val="TOC2"/>
            <w:numPr>
              <w:ilvl w:val="1"/>
              <w:numId w:val="28"/>
            </w:numPr>
            <w:tabs>
              <w:tab w:pos="1876" w:val="left" w:leader="none"/>
              <w:tab w:pos="9627" w:val="left" w:leader="dot"/>
            </w:tabs>
            <w:spacing w:line="276" w:lineRule="auto" w:before="3" w:after="0"/>
            <w:ind w:left="1562" w:right="1347" w:firstLine="0"/>
            <w:jc w:val="left"/>
          </w:pPr>
          <w:hyperlink w:history="true" w:anchor="_TOC_250010">
            <w:r>
              <w:rPr/>
              <w:t>Promoción y cumplimiento de las disposiciones de los convenios fundamentales de la organización internacional del trabajo relacionadas con el respeto por la libertad de asociación y</w:t>
            </w:r>
            <w:r>
              <w:rPr>
                <w:spacing w:val="40"/>
              </w:rPr>
              <w:t> </w:t>
            </w:r>
            <w:r>
              <w:rPr/>
              <w:t>el</w:t>
            </w:r>
            <w:r>
              <w:rPr>
                <w:spacing w:val="-5"/>
              </w:rPr>
              <w:t> </w:t>
            </w:r>
            <w:r>
              <w:rPr/>
              <w:t>derecho</w:t>
            </w:r>
            <w:r>
              <w:rPr>
                <w:spacing w:val="-6"/>
              </w:rPr>
              <w:t> </w:t>
            </w:r>
            <w:r>
              <w:rPr/>
              <w:t>a</w:t>
            </w:r>
            <w:r>
              <w:rPr>
                <w:spacing w:val="-7"/>
              </w:rPr>
              <w:t> </w:t>
            </w:r>
            <w:r>
              <w:rPr/>
              <w:t>la</w:t>
            </w:r>
            <w:r>
              <w:rPr>
                <w:spacing w:val="-6"/>
              </w:rPr>
              <w:t> </w:t>
            </w:r>
            <w:r>
              <w:rPr/>
              <w:t>negociación</w:t>
            </w:r>
            <w:r>
              <w:rPr>
                <w:spacing w:val="-6"/>
              </w:rPr>
              <w:t> </w:t>
            </w:r>
            <w:r>
              <w:rPr>
                <w:spacing w:val="-2"/>
              </w:rPr>
              <w:t>colectiva</w:t>
            </w:r>
            <w:r>
              <w:rPr>
                <w:rFonts w:ascii="Times New Roman" w:hAnsi="Times New Roman"/>
              </w:rPr>
              <w:tab/>
            </w:r>
            <w:r>
              <w:rPr>
                <w:spacing w:val="-5"/>
              </w:rPr>
              <w:t>51</w:t>
            </w:r>
          </w:hyperlink>
        </w:p>
        <w:p>
          <w:pPr>
            <w:pStyle w:val="TOC2"/>
            <w:numPr>
              <w:ilvl w:val="1"/>
              <w:numId w:val="29"/>
            </w:numPr>
            <w:tabs>
              <w:tab w:pos="1928" w:val="left" w:leader="none"/>
              <w:tab w:pos="9626" w:val="left" w:leader="dot"/>
            </w:tabs>
            <w:spacing w:line="240" w:lineRule="auto" w:before="0" w:after="0"/>
            <w:ind w:left="1928" w:right="0" w:hanging="366"/>
            <w:jc w:val="left"/>
          </w:pPr>
          <w:hyperlink w:history="true" w:anchor="_TOC_250009">
            <w:r>
              <w:rPr/>
              <w:t>Eliminación</w:t>
            </w:r>
            <w:r>
              <w:rPr>
                <w:spacing w:val="-7"/>
              </w:rPr>
              <w:t> </w:t>
            </w:r>
            <w:r>
              <w:rPr/>
              <w:t>de</w:t>
            </w:r>
            <w:r>
              <w:rPr>
                <w:spacing w:val="-4"/>
              </w:rPr>
              <w:t> </w:t>
            </w:r>
            <w:r>
              <w:rPr/>
              <w:t>la</w:t>
            </w:r>
            <w:r>
              <w:rPr>
                <w:spacing w:val="-6"/>
              </w:rPr>
              <w:t> </w:t>
            </w:r>
            <w:r>
              <w:rPr/>
              <w:t>discriminación</w:t>
            </w:r>
            <w:r>
              <w:rPr>
                <w:spacing w:val="-7"/>
              </w:rPr>
              <w:t> </w:t>
            </w:r>
            <w:r>
              <w:rPr/>
              <w:t>en</w:t>
            </w:r>
            <w:r>
              <w:rPr>
                <w:spacing w:val="-6"/>
              </w:rPr>
              <w:t> </w:t>
            </w:r>
            <w:r>
              <w:rPr/>
              <w:t>el</w:t>
            </w:r>
            <w:r>
              <w:rPr>
                <w:spacing w:val="-5"/>
              </w:rPr>
              <w:t> </w:t>
            </w:r>
            <w:r>
              <w:rPr/>
              <w:t>empleo</w:t>
            </w:r>
            <w:r>
              <w:rPr>
                <w:spacing w:val="-6"/>
              </w:rPr>
              <w:t> </w:t>
            </w:r>
            <w:r>
              <w:rPr/>
              <w:t>y</w:t>
            </w:r>
            <w:r>
              <w:rPr>
                <w:spacing w:val="-8"/>
              </w:rPr>
              <w:t> </w:t>
            </w:r>
            <w:r>
              <w:rPr/>
              <w:t>la</w:t>
            </w:r>
            <w:r>
              <w:rPr>
                <w:spacing w:val="-6"/>
              </w:rPr>
              <w:t> </w:t>
            </w:r>
            <w:r>
              <w:rPr>
                <w:spacing w:val="-2"/>
              </w:rPr>
              <w:t>ocupación</w:t>
            </w:r>
            <w:r>
              <w:rPr>
                <w:rFonts w:ascii="Times New Roman" w:hAnsi="Times New Roman"/>
              </w:rPr>
              <w:tab/>
            </w:r>
            <w:r>
              <w:rPr>
                <w:spacing w:val="-5"/>
              </w:rPr>
              <w:t>51</w:t>
            </w:r>
          </w:hyperlink>
        </w:p>
        <w:p>
          <w:pPr>
            <w:pStyle w:val="TOC2"/>
            <w:numPr>
              <w:ilvl w:val="1"/>
              <w:numId w:val="29"/>
            </w:numPr>
            <w:tabs>
              <w:tab w:pos="1928" w:val="left" w:leader="none"/>
              <w:tab w:pos="9626" w:val="left" w:leader="dot"/>
            </w:tabs>
            <w:spacing w:line="240" w:lineRule="auto" w:before="34" w:after="0"/>
            <w:ind w:left="1928" w:right="0" w:hanging="366"/>
            <w:jc w:val="left"/>
          </w:pPr>
          <w:hyperlink w:history="true" w:anchor="_TOC_250008">
            <w:r>
              <w:rPr/>
              <w:t>Eliminación</w:t>
            </w:r>
            <w:r>
              <w:rPr>
                <w:spacing w:val="-9"/>
              </w:rPr>
              <w:t> </w:t>
            </w:r>
            <w:r>
              <w:rPr/>
              <w:t>del</w:t>
            </w:r>
            <w:r>
              <w:rPr>
                <w:spacing w:val="-6"/>
              </w:rPr>
              <w:t> </w:t>
            </w:r>
            <w:r>
              <w:rPr/>
              <w:t>trabajo</w:t>
            </w:r>
            <w:r>
              <w:rPr>
                <w:spacing w:val="-9"/>
              </w:rPr>
              <w:t> </w:t>
            </w:r>
            <w:r>
              <w:rPr/>
              <w:t>forzoso</w:t>
            </w:r>
            <w:r>
              <w:rPr>
                <w:spacing w:val="-8"/>
              </w:rPr>
              <w:t> </w:t>
            </w:r>
            <w:r>
              <w:rPr/>
              <w:t>u</w:t>
            </w:r>
            <w:r>
              <w:rPr>
                <w:spacing w:val="-8"/>
              </w:rPr>
              <w:t> </w:t>
            </w:r>
            <w:r>
              <w:rPr/>
              <w:t>obligatorio</w:t>
            </w:r>
            <w:r>
              <w:rPr>
                <w:spacing w:val="-8"/>
              </w:rPr>
              <w:t> </w:t>
            </w:r>
            <w:r>
              <w:rPr/>
              <w:t>y</w:t>
            </w:r>
            <w:r>
              <w:rPr>
                <w:spacing w:val="-9"/>
              </w:rPr>
              <w:t> </w:t>
            </w:r>
            <w:r>
              <w:rPr/>
              <w:t>abolición</w:t>
            </w:r>
            <w:r>
              <w:rPr>
                <w:spacing w:val="-8"/>
              </w:rPr>
              <w:t> </w:t>
            </w:r>
            <w:r>
              <w:rPr/>
              <w:t>efectiva</w:t>
            </w:r>
            <w:r>
              <w:rPr>
                <w:spacing w:val="-8"/>
              </w:rPr>
              <w:t> </w:t>
            </w:r>
            <w:r>
              <w:rPr/>
              <w:t>del</w:t>
            </w:r>
            <w:r>
              <w:rPr>
                <w:spacing w:val="-6"/>
              </w:rPr>
              <w:t> </w:t>
            </w:r>
            <w:r>
              <w:rPr/>
              <w:t>trabajo</w:t>
            </w:r>
            <w:r>
              <w:rPr>
                <w:spacing w:val="-9"/>
              </w:rPr>
              <w:t> </w:t>
            </w:r>
            <w:r>
              <w:rPr>
                <w:spacing w:val="-2"/>
              </w:rPr>
              <w:t>infantil</w:t>
            </w:r>
            <w:r>
              <w:rPr>
                <w:rFonts w:ascii="Times New Roman" w:hAnsi="Times New Roman"/>
              </w:rPr>
              <w:tab/>
            </w:r>
            <w:r>
              <w:rPr>
                <w:spacing w:val="-5"/>
              </w:rPr>
              <w:t>51</w:t>
            </w:r>
          </w:hyperlink>
        </w:p>
        <w:p>
          <w:pPr>
            <w:pStyle w:val="TOC1"/>
            <w:numPr>
              <w:ilvl w:val="0"/>
              <w:numId w:val="25"/>
            </w:numPr>
            <w:tabs>
              <w:tab w:pos="1549" w:val="left" w:leader="none"/>
              <w:tab w:pos="9626" w:val="left" w:leader="dot"/>
            </w:tabs>
            <w:spacing w:line="240" w:lineRule="auto" w:before="33" w:after="0"/>
            <w:ind w:left="1549" w:right="0" w:hanging="208"/>
            <w:jc w:val="left"/>
          </w:pPr>
          <w:hyperlink w:history="true" w:anchor="_TOC_250007">
            <w:r>
              <w:rPr/>
              <w:t>Lucha</w:t>
            </w:r>
            <w:r>
              <w:rPr>
                <w:spacing w:val="-6"/>
              </w:rPr>
              <w:t> </w:t>
            </w:r>
            <w:r>
              <w:rPr/>
              <w:t>contra</w:t>
            </w:r>
            <w:r>
              <w:rPr>
                <w:spacing w:val="-7"/>
              </w:rPr>
              <w:t> </w:t>
            </w:r>
            <w:r>
              <w:rPr/>
              <w:t>la</w:t>
            </w:r>
            <w:r>
              <w:rPr>
                <w:spacing w:val="-6"/>
              </w:rPr>
              <w:t> </w:t>
            </w:r>
            <w:r>
              <w:rPr/>
              <w:t>corrupción</w:t>
            </w:r>
            <w:r>
              <w:rPr>
                <w:spacing w:val="-8"/>
              </w:rPr>
              <w:t> </w:t>
            </w:r>
            <w:r>
              <w:rPr/>
              <w:t>y</w:t>
            </w:r>
            <w:r>
              <w:rPr>
                <w:spacing w:val="-3"/>
              </w:rPr>
              <w:t> </w:t>
            </w:r>
            <w:r>
              <w:rPr/>
              <w:t>el</w:t>
            </w:r>
            <w:r>
              <w:rPr>
                <w:spacing w:val="-4"/>
              </w:rPr>
              <w:t> </w:t>
            </w:r>
            <w:r>
              <w:rPr>
                <w:spacing w:val="-2"/>
              </w:rPr>
              <w:t>soborno</w:t>
            </w:r>
            <w:r>
              <w:rPr>
                <w:rFonts w:ascii="Times New Roman" w:hAnsi="Times New Roman"/>
              </w:rPr>
              <w:tab/>
            </w:r>
            <w:r>
              <w:rPr>
                <w:spacing w:val="-5"/>
              </w:rPr>
              <w:t>51</w:t>
            </w:r>
          </w:hyperlink>
        </w:p>
        <w:p>
          <w:pPr>
            <w:pStyle w:val="TOC1"/>
            <w:numPr>
              <w:ilvl w:val="0"/>
              <w:numId w:val="25"/>
            </w:numPr>
            <w:tabs>
              <w:tab w:pos="1549" w:val="left" w:leader="none"/>
              <w:tab w:pos="9626" w:val="left" w:leader="dot"/>
            </w:tabs>
            <w:spacing w:line="240" w:lineRule="auto" w:before="31" w:after="0"/>
            <w:ind w:left="1549" w:right="0" w:hanging="208"/>
            <w:jc w:val="left"/>
          </w:pPr>
          <w:hyperlink w:history="true" w:anchor="_TOC_250006">
            <w:r>
              <w:rPr>
                <w:spacing w:val="-2"/>
              </w:rPr>
              <w:t>Sociedad</w:t>
            </w:r>
            <w:r>
              <w:rPr>
                <w:rFonts w:ascii="Times New Roman"/>
              </w:rPr>
              <w:tab/>
            </w:r>
            <w:r>
              <w:rPr>
                <w:spacing w:val="-5"/>
              </w:rPr>
              <w:t>55</w:t>
            </w:r>
          </w:hyperlink>
        </w:p>
        <w:p>
          <w:pPr>
            <w:pStyle w:val="TOC2"/>
            <w:numPr>
              <w:ilvl w:val="1"/>
              <w:numId w:val="30"/>
            </w:numPr>
            <w:tabs>
              <w:tab w:pos="1928" w:val="left" w:leader="none"/>
              <w:tab w:pos="9626" w:val="left" w:leader="dot"/>
            </w:tabs>
            <w:spacing w:line="240" w:lineRule="auto" w:before="34" w:after="0"/>
            <w:ind w:left="1928" w:right="0" w:hanging="366"/>
            <w:jc w:val="left"/>
          </w:pPr>
          <w:hyperlink w:history="true" w:anchor="_TOC_250005">
            <w:r>
              <w:rPr/>
              <w:t>Compromisos</w:t>
            </w:r>
            <w:r>
              <w:rPr>
                <w:spacing w:val="-6"/>
              </w:rPr>
              <w:t> </w:t>
            </w:r>
            <w:r>
              <w:rPr/>
              <w:t>de</w:t>
            </w:r>
            <w:r>
              <w:rPr>
                <w:spacing w:val="-8"/>
              </w:rPr>
              <w:t> </w:t>
            </w:r>
            <w:r>
              <w:rPr/>
              <w:t>la</w:t>
            </w:r>
            <w:r>
              <w:rPr>
                <w:spacing w:val="-7"/>
              </w:rPr>
              <w:t> </w:t>
            </w:r>
            <w:r>
              <w:rPr/>
              <w:t>empresa</w:t>
            </w:r>
            <w:r>
              <w:rPr>
                <w:spacing w:val="-8"/>
              </w:rPr>
              <w:t> </w:t>
            </w:r>
            <w:r>
              <w:rPr/>
              <w:t>con</w:t>
            </w:r>
            <w:r>
              <w:rPr>
                <w:spacing w:val="-8"/>
              </w:rPr>
              <w:t> </w:t>
            </w:r>
            <w:r>
              <w:rPr/>
              <w:t>el</w:t>
            </w:r>
            <w:r>
              <w:rPr>
                <w:spacing w:val="-5"/>
              </w:rPr>
              <w:t> </w:t>
            </w:r>
            <w:r>
              <w:rPr/>
              <w:t>desarrollo</w:t>
            </w:r>
            <w:r>
              <w:rPr>
                <w:spacing w:val="-8"/>
              </w:rPr>
              <w:t> </w:t>
            </w:r>
            <w:r>
              <w:rPr>
                <w:spacing w:val="-2"/>
              </w:rPr>
              <w:t>sostenible</w:t>
            </w:r>
            <w:r>
              <w:rPr>
                <w:rFonts w:ascii="Times New Roman"/>
              </w:rPr>
              <w:tab/>
            </w:r>
            <w:r>
              <w:rPr>
                <w:spacing w:val="-5"/>
              </w:rPr>
              <w:t>55</w:t>
            </w:r>
          </w:hyperlink>
        </w:p>
        <w:p>
          <w:pPr>
            <w:pStyle w:val="TOC2"/>
            <w:numPr>
              <w:ilvl w:val="1"/>
              <w:numId w:val="30"/>
            </w:numPr>
            <w:tabs>
              <w:tab w:pos="1928" w:val="left" w:leader="none"/>
              <w:tab w:pos="9627" w:val="left" w:leader="dot"/>
            </w:tabs>
            <w:spacing w:line="240" w:lineRule="auto" w:before="33" w:after="0"/>
            <w:ind w:left="1928" w:right="0" w:hanging="366"/>
            <w:jc w:val="left"/>
          </w:pPr>
          <w:hyperlink w:history="true" w:anchor="_TOC_250004">
            <w:r>
              <w:rPr/>
              <w:t>Subcontratación</w:t>
            </w:r>
            <w:r>
              <w:rPr>
                <w:spacing w:val="-11"/>
              </w:rPr>
              <w:t> </w:t>
            </w:r>
            <w:r>
              <w:rPr/>
              <w:t>y</w:t>
            </w:r>
            <w:r>
              <w:rPr>
                <w:spacing w:val="-10"/>
              </w:rPr>
              <w:t> </w:t>
            </w:r>
            <w:r>
              <w:rPr>
                <w:spacing w:val="-2"/>
              </w:rPr>
              <w:t>proveedores</w:t>
            </w:r>
            <w:r>
              <w:rPr>
                <w:rFonts w:ascii="Times New Roman" w:hAnsi="Times New Roman"/>
              </w:rPr>
              <w:tab/>
            </w:r>
            <w:r>
              <w:rPr>
                <w:spacing w:val="-5"/>
              </w:rPr>
              <w:t>55</w:t>
            </w:r>
          </w:hyperlink>
        </w:p>
        <w:p>
          <w:pPr>
            <w:pStyle w:val="TOC2"/>
            <w:numPr>
              <w:ilvl w:val="1"/>
              <w:numId w:val="30"/>
            </w:numPr>
            <w:tabs>
              <w:tab w:pos="1928" w:val="left" w:leader="none"/>
              <w:tab w:pos="9626" w:val="left" w:leader="dot"/>
            </w:tabs>
            <w:spacing w:line="240" w:lineRule="auto" w:before="32" w:after="0"/>
            <w:ind w:left="1928" w:right="0" w:hanging="366"/>
            <w:jc w:val="left"/>
          </w:pPr>
          <w:hyperlink w:history="true" w:anchor="_TOC_250003">
            <w:r>
              <w:rPr>
                <w:spacing w:val="-2"/>
              </w:rPr>
              <w:t>Consumidores</w:t>
            </w:r>
            <w:r>
              <w:rPr>
                <w:rFonts w:ascii="Times New Roman"/>
              </w:rPr>
              <w:tab/>
            </w:r>
            <w:r>
              <w:rPr>
                <w:spacing w:val="-5"/>
              </w:rPr>
              <w:t>57</w:t>
            </w:r>
          </w:hyperlink>
        </w:p>
        <w:p>
          <w:pPr>
            <w:pStyle w:val="TOC2"/>
            <w:numPr>
              <w:ilvl w:val="1"/>
              <w:numId w:val="30"/>
            </w:numPr>
            <w:tabs>
              <w:tab w:pos="1928" w:val="left" w:leader="none"/>
              <w:tab w:pos="9626" w:val="left" w:leader="dot"/>
            </w:tabs>
            <w:spacing w:line="240" w:lineRule="auto" w:before="33" w:after="0"/>
            <w:ind w:left="1928" w:right="0" w:hanging="366"/>
            <w:jc w:val="left"/>
          </w:pPr>
          <w:hyperlink w:history="true" w:anchor="_TOC_250002">
            <w:r>
              <w:rPr/>
              <w:t>Información</w:t>
            </w:r>
            <w:r>
              <w:rPr>
                <w:spacing w:val="-13"/>
              </w:rPr>
              <w:t> </w:t>
            </w:r>
            <w:r>
              <w:rPr>
                <w:spacing w:val="-2"/>
              </w:rPr>
              <w:t>fiscal</w:t>
            </w:r>
            <w:r>
              <w:rPr>
                <w:rFonts w:ascii="Times New Roman" w:hAnsi="Times New Roman"/>
              </w:rPr>
              <w:tab/>
            </w:r>
            <w:r>
              <w:rPr>
                <w:spacing w:val="-5"/>
              </w:rPr>
              <w:t>60</w:t>
            </w:r>
          </w:hyperlink>
        </w:p>
        <w:p>
          <w:pPr>
            <w:pStyle w:val="TOC2"/>
            <w:numPr>
              <w:ilvl w:val="1"/>
              <w:numId w:val="30"/>
            </w:numPr>
            <w:tabs>
              <w:tab w:pos="1928" w:val="left" w:leader="none"/>
              <w:tab w:pos="9627" w:val="left" w:leader="dot"/>
            </w:tabs>
            <w:spacing w:line="240" w:lineRule="auto" w:before="34" w:after="0"/>
            <w:ind w:left="1928" w:right="0" w:hanging="366"/>
            <w:jc w:val="left"/>
          </w:pPr>
          <w:hyperlink w:history="true" w:anchor="_TOC_250001">
            <w:r>
              <w:rPr/>
              <w:t>Colaboraciones</w:t>
            </w:r>
            <w:r>
              <w:rPr>
                <w:spacing w:val="-8"/>
              </w:rPr>
              <w:t> </w:t>
            </w:r>
            <w:r>
              <w:rPr/>
              <w:t>con</w:t>
            </w:r>
            <w:r>
              <w:rPr>
                <w:spacing w:val="-9"/>
              </w:rPr>
              <w:t> </w:t>
            </w:r>
            <w:r>
              <w:rPr>
                <w:spacing w:val="-2"/>
              </w:rPr>
              <w:t>entidades</w:t>
            </w:r>
            <w:r>
              <w:rPr>
                <w:rFonts w:ascii="Times New Roman"/>
              </w:rPr>
              <w:tab/>
            </w:r>
            <w:r>
              <w:rPr>
                <w:spacing w:val="-5"/>
              </w:rPr>
              <w:t>61</w:t>
            </w:r>
          </w:hyperlink>
        </w:p>
        <w:p>
          <w:pPr>
            <w:pStyle w:val="TOC1"/>
            <w:numPr>
              <w:ilvl w:val="0"/>
              <w:numId w:val="25"/>
            </w:numPr>
            <w:tabs>
              <w:tab w:pos="1549" w:val="left" w:leader="none"/>
              <w:tab w:pos="9627" w:val="left" w:leader="dot"/>
            </w:tabs>
            <w:spacing w:line="240" w:lineRule="auto" w:before="31" w:after="0"/>
            <w:ind w:left="1549" w:right="0" w:hanging="208"/>
            <w:jc w:val="left"/>
          </w:pPr>
          <w:hyperlink w:history="true" w:anchor="_TOC_250000">
            <w:r>
              <w:rPr/>
              <w:t>Criterios</w:t>
            </w:r>
            <w:r>
              <w:rPr>
                <w:spacing w:val="-8"/>
              </w:rPr>
              <w:t> </w:t>
            </w:r>
            <w:r>
              <w:rPr/>
              <w:t>utilizados</w:t>
            </w:r>
            <w:r>
              <w:rPr>
                <w:spacing w:val="-6"/>
              </w:rPr>
              <w:t> </w:t>
            </w:r>
            <w:r>
              <w:rPr/>
              <w:t>en</w:t>
            </w:r>
            <w:r>
              <w:rPr>
                <w:spacing w:val="-9"/>
              </w:rPr>
              <w:t> </w:t>
            </w:r>
            <w:r>
              <w:rPr/>
              <w:t>la</w:t>
            </w:r>
            <w:r>
              <w:rPr>
                <w:spacing w:val="-8"/>
              </w:rPr>
              <w:t> </w:t>
            </w:r>
            <w:r>
              <w:rPr/>
              <w:t>elaboración</w:t>
            </w:r>
            <w:r>
              <w:rPr>
                <w:spacing w:val="-8"/>
              </w:rPr>
              <w:t> </w:t>
            </w:r>
            <w:r>
              <w:rPr/>
              <w:t>del</w:t>
            </w:r>
            <w:r>
              <w:rPr>
                <w:spacing w:val="-6"/>
              </w:rPr>
              <w:t> </w:t>
            </w:r>
            <w:r>
              <w:rPr/>
              <w:t>estado</w:t>
            </w:r>
            <w:r>
              <w:rPr>
                <w:spacing w:val="-8"/>
              </w:rPr>
              <w:t> </w:t>
            </w:r>
            <w:r>
              <w:rPr/>
              <w:t>de</w:t>
            </w:r>
            <w:r>
              <w:rPr>
                <w:spacing w:val="-8"/>
              </w:rPr>
              <w:t> </w:t>
            </w:r>
            <w:r>
              <w:rPr/>
              <w:t>información</w:t>
            </w:r>
            <w:r>
              <w:rPr>
                <w:spacing w:val="-8"/>
              </w:rPr>
              <w:t> </w:t>
            </w:r>
            <w:r>
              <w:rPr/>
              <w:t>no</w:t>
            </w:r>
            <w:r>
              <w:rPr>
                <w:spacing w:val="-8"/>
              </w:rPr>
              <w:t> </w:t>
            </w:r>
            <w:r>
              <w:rPr>
                <w:spacing w:val="-2"/>
              </w:rPr>
              <w:t>financiera:</w:t>
            </w:r>
            <w:r>
              <w:rPr>
                <w:rFonts w:ascii="Times New Roman" w:hAnsi="Times New Roman"/>
              </w:rPr>
              <w:tab/>
            </w:r>
            <w:r>
              <w:rPr>
                <w:spacing w:val="-5"/>
              </w:rPr>
              <w:t>63</w:t>
            </w:r>
          </w:hyperlink>
        </w:p>
      </w:sdtContent>
    </w:sdt>
    <w:p>
      <w:pPr>
        <w:pStyle w:val="TOC1"/>
        <w:spacing w:after="0" w:line="240" w:lineRule="auto"/>
        <w:jc w:val="left"/>
        <w:sectPr>
          <w:pgSz w:w="11910" w:h="16840"/>
          <w:pgMar w:header="384" w:footer="1060" w:top="1200" w:bottom="1260" w:left="360" w:right="360"/>
        </w:sectPr>
      </w:pPr>
    </w:p>
    <w:p>
      <w:pPr>
        <w:pStyle w:val="Heading3"/>
        <w:numPr>
          <w:ilvl w:val="0"/>
          <w:numId w:val="31"/>
        </w:numPr>
        <w:tabs>
          <w:tab w:pos="1559" w:val="left" w:leader="none"/>
        </w:tabs>
        <w:spacing w:line="240" w:lineRule="auto" w:before="215" w:after="0"/>
        <w:ind w:left="1559" w:right="0" w:hanging="218"/>
        <w:jc w:val="left"/>
      </w:pPr>
      <w:bookmarkStart w:name="_TOC_250044" w:id="8"/>
      <w:r>
        <w:rPr/>
        <w:t>Organización</w:t>
      </w:r>
      <w:r>
        <w:rPr>
          <w:spacing w:val="-3"/>
        </w:rPr>
        <w:t> </w:t>
      </w:r>
      <w:r>
        <w:rPr/>
        <w:t>y</w:t>
      </w:r>
      <w:r>
        <w:rPr>
          <w:spacing w:val="-8"/>
        </w:rPr>
        <w:t> </w:t>
      </w:r>
      <w:bookmarkEnd w:id="8"/>
      <w:r>
        <w:rPr>
          <w:spacing w:val="-2"/>
        </w:rPr>
        <w:t>entorno</w:t>
      </w:r>
    </w:p>
    <w:p>
      <w:pPr>
        <w:pStyle w:val="BodyText"/>
        <w:spacing w:before="3"/>
        <w:rPr>
          <w:b/>
        </w:rPr>
      </w:pPr>
    </w:p>
    <w:p>
      <w:pPr>
        <w:pStyle w:val="Heading3"/>
        <w:numPr>
          <w:ilvl w:val="1"/>
          <w:numId w:val="31"/>
        </w:numPr>
        <w:tabs>
          <w:tab w:pos="1670" w:val="left" w:leader="none"/>
        </w:tabs>
        <w:spacing w:line="240" w:lineRule="auto" w:before="1" w:after="0"/>
        <w:ind w:left="1670" w:right="0" w:hanging="329"/>
        <w:jc w:val="left"/>
      </w:pPr>
      <w:bookmarkStart w:name="_TOC_250043" w:id="9"/>
      <w:r>
        <w:rPr/>
        <w:t>Descripción</w:t>
      </w:r>
      <w:r>
        <w:rPr>
          <w:spacing w:val="-7"/>
        </w:rPr>
        <w:t> </w:t>
      </w:r>
      <w:r>
        <w:rPr/>
        <w:t>de</w:t>
      </w:r>
      <w:r>
        <w:rPr>
          <w:spacing w:val="-4"/>
        </w:rPr>
        <w:t> </w:t>
      </w:r>
      <w:r>
        <w:rPr/>
        <w:t>la</w:t>
      </w:r>
      <w:r>
        <w:rPr>
          <w:spacing w:val="-8"/>
        </w:rPr>
        <w:t> </w:t>
      </w:r>
      <w:bookmarkEnd w:id="9"/>
      <w:r>
        <w:rPr>
          <w:spacing w:val="-2"/>
        </w:rPr>
        <w:t>organización</w:t>
      </w:r>
    </w:p>
    <w:p>
      <w:pPr>
        <w:pStyle w:val="BodyText"/>
        <w:spacing w:before="31"/>
        <w:rPr>
          <w:b/>
        </w:rPr>
      </w:pPr>
    </w:p>
    <w:p>
      <w:pPr>
        <w:spacing w:line="343" w:lineRule="auto" w:before="0"/>
        <w:ind w:left="1341" w:right="1308" w:firstLine="0"/>
        <w:jc w:val="left"/>
        <w:rPr>
          <w:rFonts w:ascii="Tahoma" w:hAnsi="Tahoma"/>
          <w:i/>
          <w:sz w:val="20"/>
        </w:rPr>
      </w:pPr>
      <w:r>
        <w:rPr>
          <w:rFonts w:ascii="Tahoma" w:hAnsi="Tahoma"/>
          <w:i/>
          <w:sz w:val="20"/>
        </w:rPr>
        <w:t>Detalles sobre la organización y su estructura: actividad, dimensiones, su ámbito de actuación territorial, posición en la cadena de valor.</w:t>
      </w:r>
    </w:p>
    <w:p>
      <w:pPr>
        <w:pStyle w:val="BodyText"/>
        <w:spacing w:before="213"/>
        <w:ind w:left="5"/>
        <w:jc w:val="center"/>
      </w:pPr>
      <w:r>
        <w:rPr/>
        <w:t>Guaguas</w:t>
      </w:r>
      <w:r>
        <w:rPr>
          <w:spacing w:val="60"/>
        </w:rPr>
        <w:t> </w:t>
      </w:r>
      <w:r>
        <w:rPr/>
        <w:t>Municipales</w:t>
      </w:r>
      <w:r>
        <w:rPr>
          <w:spacing w:val="60"/>
        </w:rPr>
        <w:t> </w:t>
      </w:r>
      <w:r>
        <w:rPr/>
        <w:t>S.A.</w:t>
      </w:r>
      <w:r>
        <w:rPr>
          <w:spacing w:val="61"/>
        </w:rPr>
        <w:t> </w:t>
      </w:r>
      <w:r>
        <w:rPr/>
        <w:t>(en</w:t>
      </w:r>
      <w:r>
        <w:rPr>
          <w:spacing w:val="59"/>
        </w:rPr>
        <w:t> </w:t>
      </w:r>
      <w:r>
        <w:rPr/>
        <w:t>adelante</w:t>
      </w:r>
      <w:r>
        <w:rPr>
          <w:spacing w:val="60"/>
        </w:rPr>
        <w:t> </w:t>
      </w:r>
      <w:r>
        <w:rPr/>
        <w:t>GMSA)</w:t>
      </w:r>
      <w:r>
        <w:rPr>
          <w:spacing w:val="59"/>
        </w:rPr>
        <w:t> </w:t>
      </w:r>
      <w:r>
        <w:rPr/>
        <w:t>es</w:t>
      </w:r>
      <w:r>
        <w:rPr>
          <w:spacing w:val="60"/>
        </w:rPr>
        <w:t> </w:t>
      </w:r>
      <w:r>
        <w:rPr/>
        <w:t>la</w:t>
      </w:r>
      <w:r>
        <w:rPr>
          <w:spacing w:val="60"/>
        </w:rPr>
        <w:t> </w:t>
      </w:r>
      <w:r>
        <w:rPr/>
        <w:t>Empresa</w:t>
      </w:r>
      <w:r>
        <w:rPr>
          <w:spacing w:val="59"/>
        </w:rPr>
        <w:t> </w:t>
      </w:r>
      <w:r>
        <w:rPr/>
        <w:t>Municipal</w:t>
      </w:r>
      <w:r>
        <w:rPr>
          <w:spacing w:val="60"/>
        </w:rPr>
        <w:t> </w:t>
      </w:r>
      <w:r>
        <w:rPr/>
        <w:t>de</w:t>
      </w:r>
      <w:r>
        <w:rPr>
          <w:spacing w:val="60"/>
        </w:rPr>
        <w:t> </w:t>
      </w:r>
      <w:r>
        <w:rPr>
          <w:spacing w:val="-2"/>
        </w:rPr>
        <w:t>Transporte</w:t>
      </w:r>
    </w:p>
    <w:p>
      <w:pPr>
        <w:pStyle w:val="BodyText"/>
        <w:spacing w:line="360" w:lineRule="auto" w:before="115"/>
        <w:ind w:left="1341" w:right="1308"/>
      </w:pPr>
      <w:r>
        <w:rPr/>
        <w:t>Colectivo</w:t>
      </w:r>
      <w:r>
        <w:rPr>
          <w:spacing w:val="27"/>
        </w:rPr>
        <w:t> </w:t>
      </w:r>
      <w:r>
        <w:rPr/>
        <w:t>Urbano</w:t>
      </w:r>
      <w:r>
        <w:rPr>
          <w:spacing w:val="27"/>
        </w:rPr>
        <w:t> </w:t>
      </w:r>
      <w:r>
        <w:rPr/>
        <w:t>de</w:t>
      </w:r>
      <w:r>
        <w:rPr>
          <w:spacing w:val="30"/>
        </w:rPr>
        <w:t> </w:t>
      </w:r>
      <w:r>
        <w:rPr/>
        <w:t>viajeros</w:t>
      </w:r>
      <w:r>
        <w:rPr>
          <w:spacing w:val="30"/>
        </w:rPr>
        <w:t> </w:t>
      </w:r>
      <w:r>
        <w:rPr/>
        <w:t>que</w:t>
      </w:r>
      <w:r>
        <w:rPr>
          <w:spacing w:val="28"/>
        </w:rPr>
        <w:t> </w:t>
      </w:r>
      <w:r>
        <w:rPr/>
        <w:t>presta</w:t>
      </w:r>
      <w:r>
        <w:rPr>
          <w:spacing w:val="28"/>
        </w:rPr>
        <w:t> </w:t>
      </w:r>
      <w:r>
        <w:rPr/>
        <w:t>sus</w:t>
      </w:r>
      <w:r>
        <w:rPr>
          <w:spacing w:val="28"/>
        </w:rPr>
        <w:t> </w:t>
      </w:r>
      <w:r>
        <w:rPr/>
        <w:t>servicios</w:t>
      </w:r>
      <w:r>
        <w:rPr>
          <w:spacing w:val="26"/>
        </w:rPr>
        <w:t> </w:t>
      </w:r>
      <w:r>
        <w:rPr/>
        <w:t>en</w:t>
      </w:r>
      <w:r>
        <w:rPr>
          <w:spacing w:val="26"/>
        </w:rPr>
        <w:t> </w:t>
      </w:r>
      <w:r>
        <w:rPr/>
        <w:t>la</w:t>
      </w:r>
      <w:r>
        <w:rPr>
          <w:spacing w:val="27"/>
        </w:rPr>
        <w:t> </w:t>
      </w:r>
      <w:r>
        <w:rPr/>
        <w:t>ciudad</w:t>
      </w:r>
      <w:r>
        <w:rPr>
          <w:spacing w:val="28"/>
        </w:rPr>
        <w:t> </w:t>
      </w:r>
      <w:r>
        <w:rPr/>
        <w:t>de</w:t>
      </w:r>
      <w:r>
        <w:rPr>
          <w:spacing w:val="28"/>
        </w:rPr>
        <w:t> </w:t>
      </w:r>
      <w:r>
        <w:rPr/>
        <w:t>Las</w:t>
      </w:r>
      <w:r>
        <w:rPr>
          <w:spacing w:val="28"/>
        </w:rPr>
        <w:t> </w:t>
      </w:r>
      <w:r>
        <w:rPr/>
        <w:t>Palmas</w:t>
      </w:r>
      <w:r>
        <w:rPr>
          <w:spacing w:val="28"/>
        </w:rPr>
        <w:t> </w:t>
      </w:r>
      <w:r>
        <w:rPr/>
        <w:t>de</w:t>
      </w:r>
      <w:r>
        <w:rPr>
          <w:spacing w:val="27"/>
        </w:rPr>
        <w:t> </w:t>
      </w:r>
      <w:r>
        <w:rPr/>
        <w:t>Gran Canaria.</w:t>
      </w:r>
      <w:r>
        <w:rPr>
          <w:spacing w:val="26"/>
        </w:rPr>
        <w:t> </w:t>
      </w:r>
      <w:r>
        <w:rPr/>
        <w:t>Se</w:t>
      </w:r>
      <w:r>
        <w:rPr>
          <w:spacing w:val="27"/>
        </w:rPr>
        <w:t> </w:t>
      </w:r>
      <w:r>
        <w:rPr/>
        <w:t>integra</w:t>
      </w:r>
      <w:r>
        <w:rPr>
          <w:spacing w:val="27"/>
        </w:rPr>
        <w:t> </w:t>
      </w:r>
      <w:r>
        <w:rPr/>
        <w:t>en</w:t>
      </w:r>
      <w:r>
        <w:rPr>
          <w:spacing w:val="26"/>
        </w:rPr>
        <w:t> </w:t>
      </w:r>
      <w:r>
        <w:rPr/>
        <w:t>el</w:t>
      </w:r>
      <w:r>
        <w:rPr>
          <w:spacing w:val="28"/>
        </w:rPr>
        <w:t> </w:t>
      </w:r>
      <w:r>
        <w:rPr/>
        <w:t>consorcio</w:t>
      </w:r>
      <w:r>
        <w:rPr>
          <w:spacing w:val="23"/>
        </w:rPr>
        <w:t> </w:t>
      </w:r>
      <w:r>
        <w:rPr/>
        <w:t>que</w:t>
      </w:r>
      <w:r>
        <w:rPr>
          <w:spacing w:val="26"/>
        </w:rPr>
        <w:t> </w:t>
      </w:r>
      <w:r>
        <w:rPr/>
        <w:t>rige</w:t>
      </w:r>
      <w:r>
        <w:rPr>
          <w:spacing w:val="27"/>
        </w:rPr>
        <w:t> </w:t>
      </w:r>
      <w:r>
        <w:rPr/>
        <w:t>la</w:t>
      </w:r>
      <w:r>
        <w:rPr>
          <w:spacing w:val="25"/>
        </w:rPr>
        <w:t> </w:t>
      </w:r>
      <w:r>
        <w:rPr/>
        <w:t>coordinación</w:t>
      </w:r>
      <w:r>
        <w:rPr>
          <w:spacing w:val="27"/>
        </w:rPr>
        <w:t> </w:t>
      </w:r>
      <w:r>
        <w:rPr/>
        <w:t>de</w:t>
      </w:r>
      <w:r>
        <w:rPr>
          <w:spacing w:val="26"/>
        </w:rPr>
        <w:t> </w:t>
      </w:r>
      <w:r>
        <w:rPr/>
        <w:t>las</w:t>
      </w:r>
      <w:r>
        <w:rPr>
          <w:spacing w:val="26"/>
        </w:rPr>
        <w:t> </w:t>
      </w:r>
      <w:r>
        <w:rPr/>
        <w:t>empresas</w:t>
      </w:r>
      <w:r>
        <w:rPr>
          <w:spacing w:val="26"/>
        </w:rPr>
        <w:t> </w:t>
      </w:r>
      <w:r>
        <w:rPr/>
        <w:t>de</w:t>
      </w:r>
      <w:r>
        <w:rPr>
          <w:spacing w:val="27"/>
        </w:rPr>
        <w:t> </w:t>
      </w:r>
      <w:r>
        <w:rPr>
          <w:spacing w:val="-2"/>
        </w:rPr>
        <w:t>transporte</w:t>
      </w:r>
    </w:p>
    <w:p>
      <w:pPr>
        <w:pStyle w:val="BodyText"/>
        <w:spacing w:before="1"/>
        <w:ind w:left="3"/>
        <w:jc w:val="center"/>
      </w:pPr>
      <w:r>
        <w:rPr/>
        <w:t>regular</w:t>
      </w:r>
      <w:r>
        <w:rPr>
          <w:spacing w:val="41"/>
        </w:rPr>
        <w:t> </w:t>
      </w:r>
      <w:r>
        <w:rPr/>
        <w:t>colectivo</w:t>
      </w:r>
      <w:r>
        <w:rPr>
          <w:spacing w:val="43"/>
        </w:rPr>
        <w:t> </w:t>
      </w:r>
      <w:r>
        <w:rPr/>
        <w:t>de</w:t>
      </w:r>
      <w:r>
        <w:rPr>
          <w:spacing w:val="42"/>
        </w:rPr>
        <w:t> </w:t>
      </w:r>
      <w:r>
        <w:rPr/>
        <w:t>viajeros</w:t>
      </w:r>
      <w:r>
        <w:rPr>
          <w:spacing w:val="42"/>
        </w:rPr>
        <w:t> </w:t>
      </w:r>
      <w:r>
        <w:rPr/>
        <w:t>en</w:t>
      </w:r>
      <w:r>
        <w:rPr>
          <w:spacing w:val="43"/>
        </w:rPr>
        <w:t> </w:t>
      </w:r>
      <w:r>
        <w:rPr/>
        <w:t>la</w:t>
      </w:r>
      <w:r>
        <w:rPr>
          <w:spacing w:val="44"/>
        </w:rPr>
        <w:t> </w:t>
      </w:r>
      <w:r>
        <w:rPr/>
        <w:t>isla</w:t>
      </w:r>
      <w:r>
        <w:rPr>
          <w:spacing w:val="41"/>
        </w:rPr>
        <w:t> </w:t>
      </w:r>
      <w:r>
        <w:rPr/>
        <w:t>de</w:t>
      </w:r>
      <w:r>
        <w:rPr>
          <w:spacing w:val="42"/>
        </w:rPr>
        <w:t> </w:t>
      </w:r>
      <w:r>
        <w:rPr/>
        <w:t>Gran</w:t>
      </w:r>
      <w:r>
        <w:rPr>
          <w:spacing w:val="39"/>
        </w:rPr>
        <w:t> </w:t>
      </w:r>
      <w:r>
        <w:rPr/>
        <w:t>Canaria,</w:t>
      </w:r>
      <w:r>
        <w:rPr>
          <w:spacing w:val="43"/>
        </w:rPr>
        <w:t> </w:t>
      </w:r>
      <w:r>
        <w:rPr/>
        <w:t>denominada</w:t>
      </w:r>
      <w:r>
        <w:rPr>
          <w:spacing w:val="42"/>
        </w:rPr>
        <w:t> </w:t>
      </w:r>
      <w:r>
        <w:rPr/>
        <w:t>Autoridad</w:t>
      </w:r>
      <w:r>
        <w:rPr>
          <w:spacing w:val="40"/>
        </w:rPr>
        <w:t> </w:t>
      </w:r>
      <w:r>
        <w:rPr/>
        <w:t>Única</w:t>
      </w:r>
      <w:r>
        <w:rPr>
          <w:spacing w:val="44"/>
        </w:rPr>
        <w:t> </w:t>
      </w:r>
      <w:r>
        <w:rPr>
          <w:spacing w:val="-5"/>
        </w:rPr>
        <w:t>del</w:t>
      </w:r>
    </w:p>
    <w:p>
      <w:pPr>
        <w:pStyle w:val="BodyText"/>
        <w:spacing w:before="116"/>
        <w:ind w:left="1341"/>
      </w:pPr>
      <w:r>
        <w:rPr/>
        <w:t>Transporte</w:t>
      </w:r>
      <w:r>
        <w:rPr>
          <w:spacing w:val="-8"/>
        </w:rPr>
        <w:t> </w:t>
      </w:r>
      <w:r>
        <w:rPr/>
        <w:t>de</w:t>
      </w:r>
      <w:r>
        <w:rPr>
          <w:spacing w:val="-8"/>
        </w:rPr>
        <w:t> </w:t>
      </w:r>
      <w:r>
        <w:rPr/>
        <w:t>Gran</w:t>
      </w:r>
      <w:r>
        <w:rPr>
          <w:spacing w:val="-5"/>
        </w:rPr>
        <w:t> </w:t>
      </w:r>
      <w:r>
        <w:rPr/>
        <w:t>Canaria</w:t>
      </w:r>
      <w:r>
        <w:rPr>
          <w:spacing w:val="-8"/>
        </w:rPr>
        <w:t> </w:t>
      </w:r>
      <w:r>
        <w:rPr/>
        <w:t>(en</w:t>
      </w:r>
      <w:r>
        <w:rPr>
          <w:spacing w:val="-7"/>
        </w:rPr>
        <w:t> </w:t>
      </w:r>
      <w:r>
        <w:rPr/>
        <w:t>adelante</w:t>
      </w:r>
      <w:r>
        <w:rPr>
          <w:spacing w:val="-4"/>
        </w:rPr>
        <w:t> </w:t>
      </w:r>
      <w:r>
        <w:rPr>
          <w:spacing w:val="-2"/>
        </w:rPr>
        <w:t>AUTGC).</w:t>
      </w:r>
    </w:p>
    <w:p>
      <w:pPr>
        <w:pStyle w:val="BodyText"/>
        <w:spacing w:before="82"/>
      </w:pPr>
    </w:p>
    <w:p>
      <w:pPr>
        <w:pStyle w:val="BodyText"/>
        <w:ind w:right="1"/>
        <w:jc w:val="center"/>
      </w:pPr>
      <w:r>
        <w:rPr/>
        <w:t>GMSA</w:t>
      </w:r>
      <w:r>
        <w:rPr>
          <w:spacing w:val="2"/>
        </w:rPr>
        <w:t> </w:t>
      </w:r>
      <w:r>
        <w:rPr/>
        <w:t>cuenta</w:t>
      </w:r>
      <w:r>
        <w:rPr>
          <w:spacing w:val="1"/>
        </w:rPr>
        <w:t> </w:t>
      </w:r>
      <w:r>
        <w:rPr/>
        <w:t>con</w:t>
      </w:r>
      <w:r>
        <w:rPr>
          <w:spacing w:val="5"/>
        </w:rPr>
        <w:t> </w:t>
      </w:r>
      <w:r>
        <w:rPr/>
        <w:t>una</w:t>
      </w:r>
      <w:r>
        <w:rPr>
          <w:spacing w:val="2"/>
        </w:rPr>
        <w:t> </w:t>
      </w:r>
      <w:r>
        <w:rPr/>
        <w:t>flota</w:t>
      </w:r>
      <w:r>
        <w:rPr>
          <w:spacing w:val="1"/>
        </w:rPr>
        <w:t> </w:t>
      </w:r>
      <w:r>
        <w:rPr/>
        <w:t>de</w:t>
      </w:r>
      <w:r>
        <w:rPr>
          <w:spacing w:val="3"/>
        </w:rPr>
        <w:t> </w:t>
      </w:r>
      <w:r>
        <w:rPr/>
        <w:t>279</w:t>
      </w:r>
      <w:r>
        <w:rPr>
          <w:spacing w:val="3"/>
        </w:rPr>
        <w:t> </w:t>
      </w:r>
      <w:r>
        <w:rPr/>
        <w:t>vehículos</w:t>
      </w:r>
      <w:r>
        <w:rPr>
          <w:spacing w:val="2"/>
        </w:rPr>
        <w:t> </w:t>
      </w:r>
      <w:r>
        <w:rPr/>
        <w:t>que</w:t>
      </w:r>
      <w:r>
        <w:rPr>
          <w:spacing w:val="1"/>
        </w:rPr>
        <w:t> </w:t>
      </w:r>
      <w:r>
        <w:rPr/>
        <w:t>prestan</w:t>
      </w:r>
      <w:r>
        <w:rPr>
          <w:spacing w:val="1"/>
        </w:rPr>
        <w:t> </w:t>
      </w:r>
      <w:r>
        <w:rPr/>
        <w:t>servicio</w:t>
      </w:r>
      <w:r>
        <w:rPr>
          <w:spacing w:val="3"/>
        </w:rPr>
        <w:t> </w:t>
      </w:r>
      <w:r>
        <w:rPr/>
        <w:t>en</w:t>
      </w:r>
      <w:r>
        <w:rPr>
          <w:spacing w:val="1"/>
        </w:rPr>
        <w:t> </w:t>
      </w:r>
      <w:r>
        <w:rPr/>
        <w:t>un</w:t>
      </w:r>
      <w:r>
        <w:rPr>
          <w:spacing w:val="1"/>
        </w:rPr>
        <w:t> </w:t>
      </w:r>
      <w:r>
        <w:rPr/>
        <w:t>total</w:t>
      </w:r>
      <w:r>
        <w:rPr>
          <w:spacing w:val="3"/>
        </w:rPr>
        <w:t> </w:t>
      </w:r>
      <w:r>
        <w:rPr/>
        <w:t>de</w:t>
      </w:r>
      <w:r>
        <w:rPr>
          <w:spacing w:val="3"/>
        </w:rPr>
        <w:t> </w:t>
      </w:r>
      <w:r>
        <w:rPr/>
        <w:t>49</w:t>
      </w:r>
      <w:r>
        <w:rPr>
          <w:spacing w:val="3"/>
        </w:rPr>
        <w:t> </w:t>
      </w:r>
      <w:r>
        <w:rPr/>
        <w:t>líneas</w:t>
      </w:r>
      <w:r>
        <w:rPr>
          <w:spacing w:val="2"/>
        </w:rPr>
        <w:t> </w:t>
      </w:r>
      <w:r>
        <w:rPr>
          <w:spacing w:val="-5"/>
        </w:rPr>
        <w:t>que</w:t>
      </w:r>
    </w:p>
    <w:p>
      <w:pPr>
        <w:pStyle w:val="BodyText"/>
        <w:spacing w:before="116"/>
        <w:ind w:left="1"/>
        <w:jc w:val="center"/>
      </w:pPr>
      <w:r>
        <w:rPr/>
        <w:t>son</w:t>
      </w:r>
      <w:r>
        <w:rPr>
          <w:spacing w:val="26"/>
        </w:rPr>
        <w:t>  </w:t>
      </w:r>
      <w:r>
        <w:rPr/>
        <w:t>explotadas</w:t>
      </w:r>
      <w:r>
        <w:rPr>
          <w:spacing w:val="27"/>
        </w:rPr>
        <w:t>  </w:t>
      </w:r>
      <w:r>
        <w:rPr/>
        <w:t>directamente</w:t>
      </w:r>
      <w:r>
        <w:rPr>
          <w:spacing w:val="29"/>
        </w:rPr>
        <w:t>  </w:t>
      </w:r>
      <w:r>
        <w:rPr/>
        <w:t>por</w:t>
      </w:r>
      <w:r>
        <w:rPr>
          <w:spacing w:val="28"/>
        </w:rPr>
        <w:t>  </w:t>
      </w:r>
      <w:r>
        <w:rPr/>
        <w:t>la</w:t>
      </w:r>
      <w:r>
        <w:rPr>
          <w:spacing w:val="27"/>
        </w:rPr>
        <w:t>  </w:t>
      </w:r>
      <w:r>
        <w:rPr/>
        <w:t>empresa.</w:t>
      </w:r>
      <w:r>
        <w:rPr>
          <w:spacing w:val="27"/>
        </w:rPr>
        <w:t>  </w:t>
      </w:r>
      <w:r>
        <w:rPr/>
        <w:t>44</w:t>
      </w:r>
      <w:r>
        <w:rPr>
          <w:spacing w:val="26"/>
        </w:rPr>
        <w:t>  </w:t>
      </w:r>
      <w:r>
        <w:rPr/>
        <w:t>de</w:t>
      </w:r>
      <w:r>
        <w:rPr>
          <w:spacing w:val="28"/>
        </w:rPr>
        <w:t>  </w:t>
      </w:r>
      <w:r>
        <w:rPr/>
        <w:t>estas</w:t>
      </w:r>
      <w:r>
        <w:rPr>
          <w:spacing w:val="27"/>
        </w:rPr>
        <w:t>  </w:t>
      </w:r>
      <w:r>
        <w:rPr/>
        <w:t>líneas</w:t>
      </w:r>
      <w:r>
        <w:rPr>
          <w:spacing w:val="26"/>
        </w:rPr>
        <w:t>  </w:t>
      </w:r>
      <w:r>
        <w:rPr/>
        <w:t>son</w:t>
      </w:r>
      <w:r>
        <w:rPr>
          <w:spacing w:val="27"/>
        </w:rPr>
        <w:t>  </w:t>
      </w:r>
      <w:r>
        <w:rPr/>
        <w:t>diurnas</w:t>
      </w:r>
      <w:r>
        <w:rPr>
          <w:spacing w:val="26"/>
        </w:rPr>
        <w:t>  </w:t>
      </w:r>
      <w:r>
        <w:rPr>
          <w:spacing w:val="-5"/>
        </w:rPr>
        <w:t>(42</w:t>
      </w:r>
    </w:p>
    <w:p>
      <w:pPr>
        <w:pStyle w:val="BodyText"/>
        <w:spacing w:before="116"/>
        <w:ind w:left="5"/>
        <w:jc w:val="center"/>
      </w:pPr>
      <w:r>
        <w:rPr/>
        <w:t>convencionales</w:t>
      </w:r>
      <w:r>
        <w:rPr>
          <w:spacing w:val="35"/>
        </w:rPr>
        <w:t> </w:t>
      </w:r>
      <w:r>
        <w:rPr/>
        <w:t>y</w:t>
      </w:r>
      <w:r>
        <w:rPr>
          <w:spacing w:val="30"/>
        </w:rPr>
        <w:t> </w:t>
      </w:r>
      <w:r>
        <w:rPr/>
        <w:t>2</w:t>
      </w:r>
      <w:r>
        <w:rPr>
          <w:spacing w:val="32"/>
        </w:rPr>
        <w:t> </w:t>
      </w:r>
      <w:r>
        <w:rPr/>
        <w:t>exprés)</w:t>
      </w:r>
      <w:r>
        <w:rPr>
          <w:spacing w:val="34"/>
        </w:rPr>
        <w:t> </w:t>
      </w:r>
      <w:r>
        <w:rPr/>
        <w:t>2</w:t>
      </w:r>
      <w:r>
        <w:rPr>
          <w:spacing w:val="31"/>
        </w:rPr>
        <w:t> </w:t>
      </w:r>
      <w:r>
        <w:rPr/>
        <w:t>líneas</w:t>
      </w:r>
      <w:r>
        <w:rPr>
          <w:spacing w:val="33"/>
        </w:rPr>
        <w:t> </w:t>
      </w:r>
      <w:r>
        <w:rPr/>
        <w:t>que</w:t>
      </w:r>
      <w:r>
        <w:rPr>
          <w:spacing w:val="31"/>
        </w:rPr>
        <w:t> </w:t>
      </w:r>
      <w:r>
        <w:rPr/>
        <w:t>operan</w:t>
      </w:r>
      <w:r>
        <w:rPr>
          <w:spacing w:val="35"/>
        </w:rPr>
        <w:t> </w:t>
      </w:r>
      <w:r>
        <w:rPr/>
        <w:t>de</w:t>
      </w:r>
      <w:r>
        <w:rPr>
          <w:spacing w:val="31"/>
        </w:rPr>
        <w:t> </w:t>
      </w:r>
      <w:r>
        <w:rPr/>
        <w:t>medianoche</w:t>
      </w:r>
      <w:r>
        <w:rPr>
          <w:spacing w:val="33"/>
        </w:rPr>
        <w:t> </w:t>
      </w:r>
      <w:r>
        <w:rPr/>
        <w:t>y</w:t>
      </w:r>
      <w:r>
        <w:rPr>
          <w:spacing w:val="32"/>
        </w:rPr>
        <w:t> </w:t>
      </w:r>
      <w:r>
        <w:rPr/>
        <w:t>3</w:t>
      </w:r>
      <w:r>
        <w:rPr>
          <w:spacing w:val="32"/>
        </w:rPr>
        <w:t> </w:t>
      </w:r>
      <w:r>
        <w:rPr/>
        <w:t>líneas</w:t>
      </w:r>
      <w:r>
        <w:rPr>
          <w:spacing w:val="36"/>
        </w:rPr>
        <w:t> </w:t>
      </w:r>
      <w:r>
        <w:rPr/>
        <w:t>que</w:t>
      </w:r>
      <w:r>
        <w:rPr>
          <w:spacing w:val="34"/>
        </w:rPr>
        <w:t> </w:t>
      </w:r>
      <w:r>
        <w:rPr/>
        <w:t>operan</w:t>
      </w:r>
      <w:r>
        <w:rPr>
          <w:spacing w:val="31"/>
        </w:rPr>
        <w:t> </w:t>
      </w:r>
      <w:r>
        <w:rPr>
          <w:spacing w:val="-5"/>
        </w:rPr>
        <w:t>de</w:t>
      </w:r>
    </w:p>
    <w:p>
      <w:pPr>
        <w:pStyle w:val="BodyText"/>
        <w:spacing w:before="115"/>
        <w:jc w:val="center"/>
      </w:pPr>
      <w:r>
        <w:rPr/>
        <w:t>noche.</w:t>
      </w:r>
      <w:r>
        <w:rPr>
          <w:spacing w:val="37"/>
        </w:rPr>
        <w:t> </w:t>
      </w:r>
      <w:r>
        <w:rPr/>
        <w:t>La</w:t>
      </w:r>
      <w:r>
        <w:rPr>
          <w:spacing w:val="39"/>
        </w:rPr>
        <w:t> </w:t>
      </w:r>
      <w:r>
        <w:rPr/>
        <w:t>longitud</w:t>
      </w:r>
      <w:r>
        <w:rPr>
          <w:spacing w:val="37"/>
        </w:rPr>
        <w:t> </w:t>
      </w:r>
      <w:r>
        <w:rPr/>
        <w:t>de</w:t>
      </w:r>
      <w:r>
        <w:rPr>
          <w:spacing w:val="38"/>
        </w:rPr>
        <w:t> </w:t>
      </w:r>
      <w:r>
        <w:rPr/>
        <w:t>la</w:t>
      </w:r>
      <w:r>
        <w:rPr>
          <w:spacing w:val="39"/>
        </w:rPr>
        <w:t> </w:t>
      </w:r>
      <w:r>
        <w:rPr/>
        <w:t>red</w:t>
      </w:r>
      <w:r>
        <w:rPr>
          <w:spacing w:val="37"/>
        </w:rPr>
        <w:t> </w:t>
      </w:r>
      <w:r>
        <w:rPr/>
        <w:t>alcanza</w:t>
      </w:r>
      <w:r>
        <w:rPr>
          <w:spacing w:val="39"/>
        </w:rPr>
        <w:t> </w:t>
      </w:r>
      <w:r>
        <w:rPr/>
        <w:t>los</w:t>
      </w:r>
      <w:r>
        <w:rPr>
          <w:spacing w:val="40"/>
        </w:rPr>
        <w:t> </w:t>
      </w:r>
      <w:r>
        <w:rPr/>
        <w:t>863,45</w:t>
      </w:r>
      <w:r>
        <w:rPr>
          <w:spacing w:val="39"/>
        </w:rPr>
        <w:t> </w:t>
      </w:r>
      <w:r>
        <w:rPr/>
        <w:t>kilómetros</w:t>
      </w:r>
      <w:r>
        <w:rPr>
          <w:spacing w:val="40"/>
        </w:rPr>
        <w:t> </w:t>
      </w:r>
      <w:r>
        <w:rPr/>
        <w:t>y</w:t>
      </w:r>
      <w:r>
        <w:rPr>
          <w:spacing w:val="34"/>
        </w:rPr>
        <w:t> </w:t>
      </w:r>
      <w:r>
        <w:rPr/>
        <w:t>un</w:t>
      </w:r>
      <w:r>
        <w:rPr>
          <w:spacing w:val="40"/>
        </w:rPr>
        <w:t> </w:t>
      </w:r>
      <w:r>
        <w:rPr/>
        <w:t>total</w:t>
      </w:r>
      <w:r>
        <w:rPr>
          <w:spacing w:val="38"/>
        </w:rPr>
        <w:t> </w:t>
      </w:r>
      <w:r>
        <w:rPr/>
        <w:t>de</w:t>
      </w:r>
      <w:r>
        <w:rPr>
          <w:spacing w:val="40"/>
        </w:rPr>
        <w:t> </w:t>
      </w:r>
      <w:r>
        <w:rPr/>
        <w:t>837</w:t>
      </w:r>
      <w:r>
        <w:rPr>
          <w:spacing w:val="37"/>
        </w:rPr>
        <w:t> </w:t>
      </w:r>
      <w:r>
        <w:rPr/>
        <w:t>paradas.</w:t>
      </w:r>
      <w:r>
        <w:rPr>
          <w:spacing w:val="38"/>
        </w:rPr>
        <w:t> </w:t>
      </w:r>
      <w:r>
        <w:rPr>
          <w:spacing w:val="-5"/>
        </w:rPr>
        <w:t>La</w:t>
      </w:r>
    </w:p>
    <w:p>
      <w:pPr>
        <w:pStyle w:val="BodyText"/>
        <w:spacing w:before="116"/>
        <w:ind w:left="1341"/>
      </w:pPr>
      <w:r>
        <w:rPr/>
        <w:t>empresa</w:t>
      </w:r>
      <w:r>
        <w:rPr>
          <w:spacing w:val="-11"/>
        </w:rPr>
        <w:t> </w:t>
      </w:r>
      <w:r>
        <w:rPr/>
        <w:t>municipal</w:t>
      </w:r>
      <w:r>
        <w:rPr>
          <w:spacing w:val="-4"/>
        </w:rPr>
        <w:t> </w:t>
      </w:r>
      <w:r>
        <w:rPr/>
        <w:t>de</w:t>
      </w:r>
      <w:r>
        <w:rPr>
          <w:spacing w:val="-4"/>
        </w:rPr>
        <w:t> </w:t>
      </w:r>
      <w:r>
        <w:rPr/>
        <w:t>transporte</w:t>
      </w:r>
      <w:r>
        <w:rPr>
          <w:spacing w:val="-7"/>
        </w:rPr>
        <w:t> </w:t>
      </w:r>
      <w:r>
        <w:rPr/>
        <w:t>presta</w:t>
      </w:r>
      <w:r>
        <w:rPr>
          <w:spacing w:val="-3"/>
        </w:rPr>
        <w:t> </w:t>
      </w:r>
      <w:r>
        <w:rPr/>
        <w:t>servicio</w:t>
      </w:r>
      <w:r>
        <w:rPr>
          <w:spacing w:val="-6"/>
        </w:rPr>
        <w:t> </w:t>
      </w:r>
      <w:r>
        <w:rPr/>
        <w:t>los</w:t>
      </w:r>
      <w:r>
        <w:rPr>
          <w:spacing w:val="-6"/>
        </w:rPr>
        <w:t> </w:t>
      </w:r>
      <w:r>
        <w:rPr/>
        <w:t>365</w:t>
      </w:r>
      <w:r>
        <w:rPr>
          <w:spacing w:val="-6"/>
        </w:rPr>
        <w:t> </w:t>
      </w:r>
      <w:r>
        <w:rPr/>
        <w:t>días</w:t>
      </w:r>
      <w:r>
        <w:rPr>
          <w:spacing w:val="-5"/>
        </w:rPr>
        <w:t> </w:t>
      </w:r>
      <w:r>
        <w:rPr/>
        <w:t>del</w:t>
      </w:r>
      <w:r>
        <w:rPr>
          <w:spacing w:val="-7"/>
        </w:rPr>
        <w:t> </w:t>
      </w:r>
      <w:r>
        <w:rPr/>
        <w:t>año</w:t>
      </w:r>
      <w:r>
        <w:rPr>
          <w:spacing w:val="-8"/>
        </w:rPr>
        <w:t> </w:t>
      </w:r>
      <w:r>
        <w:rPr/>
        <w:t>durante</w:t>
      </w:r>
      <w:r>
        <w:rPr>
          <w:spacing w:val="-6"/>
        </w:rPr>
        <w:t> </w:t>
      </w:r>
      <w:r>
        <w:rPr/>
        <w:t>las</w:t>
      </w:r>
      <w:r>
        <w:rPr>
          <w:spacing w:val="-5"/>
        </w:rPr>
        <w:t> </w:t>
      </w:r>
      <w:r>
        <w:rPr/>
        <w:t>24</w:t>
      </w:r>
      <w:r>
        <w:rPr>
          <w:spacing w:val="-7"/>
        </w:rPr>
        <w:t> </w:t>
      </w:r>
      <w:r>
        <w:rPr>
          <w:spacing w:val="-2"/>
        </w:rPr>
        <w:t>horas.</w:t>
      </w:r>
    </w:p>
    <w:p>
      <w:pPr>
        <w:pStyle w:val="BodyText"/>
        <w:spacing w:before="1"/>
        <w:rPr>
          <w:sz w:val="19"/>
        </w:rPr>
      </w:pPr>
    </w:p>
    <w:p>
      <w:pPr>
        <w:pStyle w:val="BodyText"/>
        <w:spacing w:after="0"/>
        <w:rPr>
          <w:sz w:val="19"/>
        </w:rPr>
        <w:sectPr>
          <w:headerReference w:type="default" r:id="rId27"/>
          <w:footerReference w:type="default" r:id="rId28"/>
          <w:pgSz w:w="11910" w:h="16840"/>
          <w:pgMar w:header="384" w:footer="1060" w:top="1200" w:bottom="1260" w:left="360" w:right="360"/>
          <w:pgNumType w:start="3"/>
        </w:sectPr>
      </w:pPr>
    </w:p>
    <w:p>
      <w:pPr>
        <w:pStyle w:val="BodyText"/>
        <w:spacing w:line="362" w:lineRule="auto" w:before="93"/>
        <w:ind w:left="1341"/>
      </w:pPr>
      <w:r>
        <w:rPr/>
        <w:t>En</w:t>
      </w:r>
      <w:r>
        <w:rPr>
          <w:spacing w:val="40"/>
        </w:rPr>
        <w:t> </w:t>
      </w:r>
      <w:r>
        <w:rPr/>
        <w:t>cuanto</w:t>
      </w:r>
      <w:r>
        <w:rPr>
          <w:spacing w:val="40"/>
        </w:rPr>
        <w:t> </w:t>
      </w:r>
      <w:r>
        <w:rPr/>
        <w:t>al</w:t>
      </w:r>
      <w:r>
        <w:rPr>
          <w:spacing w:val="40"/>
        </w:rPr>
        <w:t> </w:t>
      </w:r>
      <w:r>
        <w:rPr/>
        <w:t>capital</w:t>
      </w:r>
      <w:r>
        <w:rPr>
          <w:spacing w:val="40"/>
        </w:rPr>
        <w:t> </w:t>
      </w:r>
      <w:r>
        <w:rPr/>
        <w:t>humano,</w:t>
      </w:r>
      <w:r>
        <w:rPr>
          <w:spacing w:val="40"/>
        </w:rPr>
        <w:t> </w:t>
      </w:r>
      <w:r>
        <w:rPr/>
        <w:t>GMSA</w:t>
      </w:r>
      <w:r>
        <w:rPr>
          <w:spacing w:val="40"/>
        </w:rPr>
        <w:t> </w:t>
      </w:r>
      <w:r>
        <w:rPr/>
        <w:t>cuenta</w:t>
      </w:r>
      <w:r>
        <w:rPr>
          <w:spacing w:val="40"/>
        </w:rPr>
        <w:t> </w:t>
      </w:r>
      <w:r>
        <w:rPr/>
        <w:t>al</w:t>
      </w:r>
      <w:r>
        <w:rPr>
          <w:spacing w:val="40"/>
        </w:rPr>
        <w:t> </w:t>
      </w:r>
      <w:r>
        <w:rPr/>
        <w:t>cierre</w:t>
      </w:r>
      <w:r>
        <w:rPr>
          <w:spacing w:val="40"/>
        </w:rPr>
        <w:t> </w:t>
      </w:r>
      <w:r>
        <w:rPr/>
        <w:t>de</w:t>
      </w:r>
      <w:r>
        <w:rPr>
          <w:spacing w:val="40"/>
        </w:rPr>
        <w:t> </w:t>
      </w:r>
      <w:r>
        <w:rPr/>
        <w:t>2025</w:t>
      </w:r>
      <w:r>
        <w:rPr>
          <w:spacing w:val="40"/>
        </w:rPr>
        <w:t> </w:t>
      </w:r>
      <w:r>
        <w:rPr/>
        <w:t>con</w:t>
      </w:r>
      <w:r>
        <w:rPr>
          <w:spacing w:val="40"/>
        </w:rPr>
        <w:t> </w:t>
      </w:r>
      <w:r>
        <w:rPr/>
        <w:t>una</w:t>
      </w:r>
      <w:r>
        <w:rPr>
          <w:spacing w:val="40"/>
        </w:rPr>
        <w:t> </w:t>
      </w:r>
      <w:r>
        <w:rPr/>
        <w:t>empleados, distribuido de la siguiente forma:</w:t>
      </w:r>
    </w:p>
    <w:p>
      <w:pPr>
        <w:pStyle w:val="BodyText"/>
        <w:spacing w:before="93"/>
        <w:ind w:left="78"/>
      </w:pPr>
      <w:r>
        <w:rPr/>
        <w:br w:type="column"/>
      </w:r>
      <w:r>
        <w:rPr/>
        <w:t>plantilla</w:t>
      </w:r>
      <w:r>
        <w:rPr>
          <w:spacing w:val="52"/>
        </w:rPr>
        <w:t> </w:t>
      </w:r>
      <w:r>
        <w:rPr/>
        <w:t>de</w:t>
      </w:r>
      <w:r>
        <w:rPr>
          <w:spacing w:val="53"/>
        </w:rPr>
        <w:t> </w:t>
      </w:r>
      <w:r>
        <w:rPr>
          <w:spacing w:val="-5"/>
        </w:rPr>
        <w:t>840</w:t>
      </w:r>
    </w:p>
    <w:p>
      <w:pPr>
        <w:pStyle w:val="BodyText"/>
        <w:spacing w:after="0"/>
        <w:sectPr>
          <w:type w:val="continuous"/>
          <w:pgSz w:w="11910" w:h="16840"/>
          <w:pgMar w:header="384" w:footer="1060" w:top="1700" w:bottom="1040" w:left="360" w:right="360"/>
          <w:cols w:num="2" w:equalWidth="0">
            <w:col w:w="8263" w:space="40"/>
            <w:col w:w="2887"/>
          </w:cols>
        </w:sectPr>
      </w:pPr>
    </w:p>
    <w:p>
      <w:pPr>
        <w:pStyle w:val="ListParagraph"/>
        <w:numPr>
          <w:ilvl w:val="0"/>
          <w:numId w:val="32"/>
        </w:numPr>
        <w:tabs>
          <w:tab w:pos="2048" w:val="left" w:leader="none"/>
        </w:tabs>
        <w:spacing w:line="240" w:lineRule="auto" w:before="198" w:after="0"/>
        <w:ind w:left="2048" w:right="0" w:hanging="707"/>
        <w:jc w:val="left"/>
        <w:rPr>
          <w:sz w:val="20"/>
        </w:rPr>
      </w:pPr>
      <w:r>
        <w:rPr>
          <w:sz w:val="20"/>
        </w:rPr>
        <w:t>Alta</w:t>
      </w:r>
      <w:r>
        <w:rPr>
          <w:spacing w:val="-5"/>
          <w:sz w:val="20"/>
        </w:rPr>
        <w:t> </w:t>
      </w:r>
      <w:r>
        <w:rPr>
          <w:sz w:val="20"/>
        </w:rPr>
        <w:t>Dirección</w:t>
      </w:r>
      <w:r>
        <w:rPr>
          <w:spacing w:val="-5"/>
          <w:sz w:val="20"/>
        </w:rPr>
        <w:t> </w:t>
      </w:r>
      <w:r>
        <w:rPr>
          <w:sz w:val="20"/>
        </w:rPr>
        <w:t>-</w:t>
      </w:r>
      <w:r>
        <w:rPr>
          <w:spacing w:val="-2"/>
          <w:sz w:val="20"/>
        </w:rPr>
        <w:t> </w:t>
      </w:r>
      <w:r>
        <w:rPr>
          <w:sz w:val="20"/>
        </w:rPr>
        <w:t>1</w:t>
      </w:r>
      <w:r>
        <w:rPr>
          <w:spacing w:val="-6"/>
          <w:sz w:val="20"/>
        </w:rPr>
        <w:t> </w:t>
      </w:r>
      <w:r>
        <w:rPr>
          <w:spacing w:val="-2"/>
          <w:sz w:val="20"/>
        </w:rPr>
        <w:t>empleado</w:t>
      </w:r>
    </w:p>
    <w:p>
      <w:pPr>
        <w:pStyle w:val="BodyText"/>
        <w:spacing w:before="85"/>
      </w:pPr>
    </w:p>
    <w:p>
      <w:pPr>
        <w:pStyle w:val="ListParagraph"/>
        <w:numPr>
          <w:ilvl w:val="0"/>
          <w:numId w:val="32"/>
        </w:numPr>
        <w:tabs>
          <w:tab w:pos="2048" w:val="left" w:leader="none"/>
        </w:tabs>
        <w:spacing w:line="240" w:lineRule="auto" w:before="0" w:after="0"/>
        <w:ind w:left="2048" w:right="0" w:hanging="707"/>
        <w:jc w:val="left"/>
        <w:rPr>
          <w:sz w:val="20"/>
        </w:rPr>
      </w:pPr>
      <w:r>
        <w:rPr>
          <w:sz w:val="20"/>
        </w:rPr>
        <w:t>Personal</w:t>
      </w:r>
      <w:r>
        <w:rPr>
          <w:spacing w:val="-8"/>
          <w:sz w:val="20"/>
        </w:rPr>
        <w:t> </w:t>
      </w:r>
      <w:r>
        <w:rPr>
          <w:sz w:val="20"/>
        </w:rPr>
        <w:t>Directivo</w:t>
      </w:r>
      <w:r>
        <w:rPr>
          <w:spacing w:val="-5"/>
          <w:sz w:val="20"/>
        </w:rPr>
        <w:t> </w:t>
      </w:r>
      <w:r>
        <w:rPr>
          <w:sz w:val="20"/>
        </w:rPr>
        <w:t>-</w:t>
      </w:r>
      <w:r>
        <w:rPr>
          <w:spacing w:val="-2"/>
          <w:sz w:val="20"/>
        </w:rPr>
        <w:t> </w:t>
      </w:r>
      <w:r>
        <w:rPr>
          <w:sz w:val="20"/>
        </w:rPr>
        <w:t>19</w:t>
      </w:r>
      <w:r>
        <w:rPr>
          <w:spacing w:val="-2"/>
          <w:sz w:val="20"/>
        </w:rPr>
        <w:t> empleados</w:t>
      </w:r>
    </w:p>
    <w:p>
      <w:pPr>
        <w:pStyle w:val="BodyText"/>
        <w:spacing w:before="85"/>
      </w:pPr>
    </w:p>
    <w:p>
      <w:pPr>
        <w:pStyle w:val="ListParagraph"/>
        <w:numPr>
          <w:ilvl w:val="0"/>
          <w:numId w:val="32"/>
        </w:numPr>
        <w:tabs>
          <w:tab w:pos="2048" w:val="left" w:leader="none"/>
        </w:tabs>
        <w:spacing w:line="240" w:lineRule="auto" w:before="0" w:after="0"/>
        <w:ind w:left="2048" w:right="0" w:hanging="707"/>
        <w:jc w:val="left"/>
        <w:rPr>
          <w:sz w:val="20"/>
        </w:rPr>
      </w:pPr>
      <w:r>
        <w:rPr>
          <w:sz w:val="20"/>
        </w:rPr>
        <w:t>Personal</w:t>
      </w:r>
      <w:r>
        <w:rPr>
          <w:spacing w:val="-8"/>
          <w:sz w:val="20"/>
        </w:rPr>
        <w:t> </w:t>
      </w:r>
      <w:r>
        <w:rPr>
          <w:sz w:val="20"/>
        </w:rPr>
        <w:t>Técnico</w:t>
      </w:r>
      <w:r>
        <w:rPr>
          <w:spacing w:val="-5"/>
          <w:sz w:val="20"/>
        </w:rPr>
        <w:t> </w:t>
      </w:r>
      <w:r>
        <w:rPr>
          <w:sz w:val="20"/>
        </w:rPr>
        <w:t>-</w:t>
      </w:r>
      <w:r>
        <w:rPr>
          <w:spacing w:val="-4"/>
          <w:sz w:val="20"/>
        </w:rPr>
        <w:t> </w:t>
      </w:r>
      <w:r>
        <w:rPr>
          <w:sz w:val="20"/>
        </w:rPr>
        <w:t>17</w:t>
      </w:r>
      <w:r>
        <w:rPr>
          <w:spacing w:val="-3"/>
          <w:sz w:val="20"/>
        </w:rPr>
        <w:t> </w:t>
      </w:r>
      <w:r>
        <w:rPr>
          <w:spacing w:val="-2"/>
          <w:sz w:val="20"/>
        </w:rPr>
        <w:t>empleados</w:t>
      </w:r>
    </w:p>
    <w:p>
      <w:pPr>
        <w:pStyle w:val="BodyText"/>
        <w:spacing w:before="84"/>
      </w:pPr>
    </w:p>
    <w:p>
      <w:pPr>
        <w:pStyle w:val="ListParagraph"/>
        <w:numPr>
          <w:ilvl w:val="0"/>
          <w:numId w:val="32"/>
        </w:numPr>
        <w:tabs>
          <w:tab w:pos="2048" w:val="left" w:leader="none"/>
        </w:tabs>
        <w:spacing w:line="240" w:lineRule="auto" w:before="1" w:after="0"/>
        <w:ind w:left="2048" w:right="0" w:hanging="707"/>
        <w:jc w:val="left"/>
        <w:rPr>
          <w:sz w:val="20"/>
        </w:rPr>
      </w:pPr>
      <w:r>
        <w:rPr>
          <w:sz w:val="20"/>
        </w:rPr>
        <w:t>Personal</w:t>
      </w:r>
      <w:r>
        <w:rPr>
          <w:spacing w:val="-6"/>
          <w:sz w:val="20"/>
        </w:rPr>
        <w:t> </w:t>
      </w:r>
      <w:r>
        <w:rPr>
          <w:sz w:val="20"/>
        </w:rPr>
        <w:t>de</w:t>
      </w:r>
      <w:r>
        <w:rPr>
          <w:spacing w:val="-5"/>
          <w:sz w:val="20"/>
        </w:rPr>
        <w:t> </w:t>
      </w:r>
      <w:r>
        <w:rPr>
          <w:sz w:val="20"/>
        </w:rPr>
        <w:t>Mando</w:t>
      </w:r>
      <w:r>
        <w:rPr>
          <w:spacing w:val="-5"/>
          <w:sz w:val="20"/>
        </w:rPr>
        <w:t> </w:t>
      </w:r>
      <w:r>
        <w:rPr>
          <w:sz w:val="20"/>
        </w:rPr>
        <w:t>- 45</w:t>
      </w:r>
      <w:r>
        <w:rPr>
          <w:spacing w:val="-5"/>
          <w:sz w:val="20"/>
        </w:rPr>
        <w:t> </w:t>
      </w:r>
      <w:r>
        <w:rPr>
          <w:spacing w:val="-2"/>
          <w:sz w:val="20"/>
        </w:rPr>
        <w:t>empleados</w:t>
      </w:r>
    </w:p>
    <w:p>
      <w:pPr>
        <w:pStyle w:val="BodyText"/>
        <w:spacing w:before="87"/>
      </w:pPr>
    </w:p>
    <w:p>
      <w:pPr>
        <w:pStyle w:val="ListParagraph"/>
        <w:numPr>
          <w:ilvl w:val="0"/>
          <w:numId w:val="32"/>
        </w:numPr>
        <w:tabs>
          <w:tab w:pos="2048" w:val="left" w:leader="none"/>
        </w:tabs>
        <w:spacing w:line="240" w:lineRule="auto" w:before="0" w:after="0"/>
        <w:ind w:left="2048" w:right="0" w:hanging="707"/>
        <w:jc w:val="left"/>
        <w:rPr>
          <w:sz w:val="20"/>
        </w:rPr>
      </w:pPr>
      <w:r>
        <w:rPr>
          <w:sz w:val="20"/>
        </w:rPr>
        <mc:AlternateContent>
          <mc:Choice Requires="wps">
            <w:drawing>
              <wp:anchor distT="0" distB="0" distL="0" distR="0" allowOverlap="1" layoutInCell="1" locked="0" behindDoc="0" simplePos="0" relativeHeight="15788032">
                <wp:simplePos x="0" y="0"/>
                <wp:positionH relativeFrom="page">
                  <wp:posOffset>6966436</wp:posOffset>
                </wp:positionH>
                <wp:positionV relativeFrom="paragraph">
                  <wp:posOffset>120651</wp:posOffset>
                </wp:positionV>
                <wp:extent cx="263525" cy="323342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63525" cy="323342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9.500082pt;width:20.75pt;height:254.6pt;mso-position-horizontal-relative:page;mso-position-vertical-relative:paragraph;z-index:15788032" type="#_x0000_t202" id="docshape17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6"/>
                          <w:sz w:val="12"/>
                        </w:rPr>
                        <w:t> </w:t>
                      </w:r>
                      <w:r>
                        <w:rPr>
                          <w:sz w:val="12"/>
                        </w:rPr>
                        <w:t>desde</w:t>
                      </w:r>
                      <w:r>
                        <w:rPr>
                          <w:spacing w:val="-7"/>
                          <w:sz w:val="12"/>
                        </w:rPr>
                        <w:t> </w:t>
                      </w:r>
                      <w:r>
                        <w:rPr>
                          <w:sz w:val="12"/>
                        </w:rPr>
                        <w:t>la</w:t>
                      </w:r>
                      <w:r>
                        <w:rPr>
                          <w:spacing w:val="-6"/>
                          <w:sz w:val="12"/>
                        </w:rPr>
                        <w:t> </w:t>
                      </w:r>
                      <w:r>
                        <w:rPr>
                          <w:sz w:val="12"/>
                        </w:rPr>
                        <w:t>plataforma</w:t>
                      </w:r>
                      <w:r>
                        <w:rPr>
                          <w:spacing w:val="-6"/>
                          <w:sz w:val="12"/>
                        </w:rPr>
                        <w:t> </w:t>
                      </w:r>
                      <w:r>
                        <w:rPr>
                          <w:sz w:val="12"/>
                        </w:rPr>
                        <w:t>esPublico</w:t>
                      </w:r>
                      <w:r>
                        <w:rPr>
                          <w:spacing w:val="-7"/>
                          <w:sz w:val="12"/>
                        </w:rPr>
                        <w:t> </w:t>
                      </w:r>
                      <w:r>
                        <w:rPr>
                          <w:sz w:val="12"/>
                        </w:rPr>
                        <w:t>Gestiona</w:t>
                      </w:r>
                      <w:r>
                        <w:rPr>
                          <w:spacing w:val="-6"/>
                          <w:sz w:val="12"/>
                        </w:rPr>
                        <w:t> </w:t>
                      </w:r>
                      <w:r>
                        <w:rPr>
                          <w:sz w:val="12"/>
                        </w:rPr>
                        <w:t>|</w:t>
                      </w:r>
                      <w:r>
                        <w:rPr>
                          <w:spacing w:val="-6"/>
                          <w:sz w:val="12"/>
                        </w:rPr>
                        <w:t> </w:t>
                      </w:r>
                      <w:r>
                        <w:rPr>
                          <w:sz w:val="12"/>
                        </w:rPr>
                        <w:t>Página</w:t>
                      </w:r>
                      <w:r>
                        <w:rPr>
                          <w:spacing w:val="-7"/>
                          <w:sz w:val="12"/>
                        </w:rPr>
                        <w:t> </w:t>
                      </w:r>
                      <w:r>
                        <w:rPr>
                          <w:sz w:val="12"/>
                        </w:rPr>
                        <w:t>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Personal</w:t>
      </w:r>
      <w:r>
        <w:rPr>
          <w:spacing w:val="-7"/>
          <w:sz w:val="20"/>
        </w:rPr>
        <w:t> </w:t>
      </w:r>
      <w:r>
        <w:rPr>
          <w:sz w:val="20"/>
        </w:rPr>
        <w:t>de</w:t>
      </w:r>
      <w:r>
        <w:rPr>
          <w:spacing w:val="-5"/>
          <w:sz w:val="20"/>
        </w:rPr>
        <w:t> </w:t>
      </w:r>
      <w:r>
        <w:rPr>
          <w:sz w:val="20"/>
        </w:rPr>
        <w:t>Oficio</w:t>
      </w:r>
      <w:r>
        <w:rPr>
          <w:spacing w:val="-6"/>
          <w:sz w:val="20"/>
        </w:rPr>
        <w:t> </w:t>
      </w:r>
      <w:r>
        <w:rPr>
          <w:sz w:val="20"/>
        </w:rPr>
        <w:t>–</w:t>
      </w:r>
      <w:r>
        <w:rPr>
          <w:spacing w:val="1"/>
          <w:sz w:val="20"/>
        </w:rPr>
        <w:t> </w:t>
      </w:r>
      <w:r>
        <w:rPr>
          <w:sz w:val="20"/>
        </w:rPr>
        <w:t>758</w:t>
      </w:r>
      <w:r>
        <w:rPr>
          <w:spacing w:val="-5"/>
          <w:sz w:val="20"/>
        </w:rPr>
        <w:t> </w:t>
      </w:r>
      <w:r>
        <w:rPr>
          <w:spacing w:val="-2"/>
          <w:sz w:val="20"/>
        </w:rPr>
        <w:t>empleados</w:t>
      </w:r>
    </w:p>
    <w:p>
      <w:pPr>
        <w:pStyle w:val="ListParagraph"/>
        <w:spacing w:after="0" w:line="240" w:lineRule="auto"/>
        <w:jc w:val="left"/>
        <w:rPr>
          <w:sz w:val="20"/>
        </w:rPr>
        <w:sectPr>
          <w:type w:val="continuous"/>
          <w:pgSz w:w="11910" w:h="16840"/>
          <w:pgMar w:header="384" w:footer="1060" w:top="1700" w:bottom="1040" w:left="360" w:right="360"/>
        </w:sectPr>
      </w:pPr>
    </w:p>
    <w:p>
      <w:pPr>
        <w:pStyle w:val="BodyText"/>
        <w:spacing w:before="218"/>
        <w:ind w:left="1341"/>
      </w:pPr>
      <w:r>
        <w:rPr/>
        <w:t>A</w:t>
      </w:r>
      <w:r>
        <w:rPr>
          <w:spacing w:val="-9"/>
        </w:rPr>
        <w:t> </w:t>
      </w:r>
      <w:r>
        <w:rPr/>
        <w:t>continuación,</w:t>
      </w:r>
      <w:r>
        <w:rPr>
          <w:spacing w:val="-8"/>
        </w:rPr>
        <w:t> </w:t>
      </w:r>
      <w:r>
        <w:rPr/>
        <w:t>se</w:t>
      </w:r>
      <w:r>
        <w:rPr>
          <w:spacing w:val="-9"/>
        </w:rPr>
        <w:t> </w:t>
      </w:r>
      <w:r>
        <w:rPr/>
        <w:t>representa</w:t>
      </w:r>
      <w:r>
        <w:rPr>
          <w:spacing w:val="-5"/>
        </w:rPr>
        <w:t> </w:t>
      </w:r>
      <w:r>
        <w:rPr/>
        <w:t>el</w:t>
      </w:r>
      <w:r>
        <w:rPr>
          <w:spacing w:val="-8"/>
        </w:rPr>
        <w:t> </w:t>
      </w:r>
      <w:r>
        <w:rPr/>
        <w:t>Organigrama</w:t>
      </w:r>
      <w:r>
        <w:rPr>
          <w:spacing w:val="-9"/>
        </w:rPr>
        <w:t> </w:t>
      </w:r>
      <w:r>
        <w:rPr/>
        <w:t>General</w:t>
      </w:r>
      <w:r>
        <w:rPr>
          <w:spacing w:val="-8"/>
        </w:rPr>
        <w:t> </w:t>
      </w:r>
      <w:r>
        <w:rPr/>
        <w:t>de</w:t>
      </w:r>
      <w:r>
        <w:rPr>
          <w:spacing w:val="-7"/>
        </w:rPr>
        <w:t> </w:t>
      </w:r>
      <w:r>
        <w:rPr/>
        <w:t>Guaguas</w:t>
      </w:r>
      <w:r>
        <w:rPr>
          <w:spacing w:val="-6"/>
        </w:rPr>
        <w:t> </w:t>
      </w:r>
      <w:r>
        <w:rPr/>
        <w:t>Municipales,</w:t>
      </w:r>
      <w:r>
        <w:rPr>
          <w:spacing w:val="-5"/>
        </w:rPr>
        <w:t> </w:t>
      </w:r>
      <w:r>
        <w:rPr>
          <w:spacing w:val="-4"/>
        </w:rPr>
        <w:t>S.A.</w:t>
      </w:r>
    </w:p>
    <w:p>
      <w:pPr>
        <w:pStyle w:val="BodyText"/>
        <w:spacing w:before="61"/>
      </w:pPr>
      <w:r>
        <w:rPr/>
        <w:drawing>
          <wp:anchor distT="0" distB="0" distL="0" distR="0" allowOverlap="1" layoutInCell="1" locked="0" behindDoc="1" simplePos="0" relativeHeight="487647744">
            <wp:simplePos x="0" y="0"/>
            <wp:positionH relativeFrom="page">
              <wp:posOffset>1114044</wp:posOffset>
            </wp:positionH>
            <wp:positionV relativeFrom="paragraph">
              <wp:posOffset>200164</wp:posOffset>
            </wp:positionV>
            <wp:extent cx="5345047" cy="3384232"/>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29" cstate="print"/>
                    <a:stretch>
                      <a:fillRect/>
                    </a:stretch>
                  </pic:blipFill>
                  <pic:spPr>
                    <a:xfrm>
                      <a:off x="0" y="0"/>
                      <a:ext cx="5345047" cy="3384232"/>
                    </a:xfrm>
                    <a:prstGeom prst="rect">
                      <a:avLst/>
                    </a:prstGeom>
                  </pic:spPr>
                </pic:pic>
              </a:graphicData>
            </a:graphic>
          </wp:anchor>
        </w:drawing>
      </w:r>
    </w:p>
    <w:p>
      <w:pPr>
        <w:pStyle w:val="BodyText"/>
        <w:spacing w:before="87"/>
      </w:pPr>
    </w:p>
    <w:p>
      <w:pPr>
        <w:pStyle w:val="BodyText"/>
        <w:jc w:val="center"/>
      </w:pPr>
      <w:r>
        <w:rPr/>
        <w:t>El</w:t>
      </w:r>
      <w:r>
        <w:rPr>
          <w:spacing w:val="79"/>
          <w:w w:val="150"/>
        </w:rPr>
        <w:t> </w:t>
      </w:r>
      <w:r>
        <w:rPr/>
        <w:t>Comité</w:t>
      </w:r>
      <w:r>
        <w:rPr>
          <w:spacing w:val="26"/>
        </w:rPr>
        <w:t>  </w:t>
      </w:r>
      <w:r>
        <w:rPr/>
        <w:t>de</w:t>
      </w:r>
      <w:r>
        <w:rPr>
          <w:spacing w:val="27"/>
        </w:rPr>
        <w:t>  </w:t>
      </w:r>
      <w:r>
        <w:rPr/>
        <w:t>Dirección</w:t>
      </w:r>
      <w:r>
        <w:rPr>
          <w:spacing w:val="29"/>
        </w:rPr>
        <w:t>  </w:t>
      </w:r>
      <w:r>
        <w:rPr/>
        <w:t>de</w:t>
      </w:r>
      <w:r>
        <w:rPr>
          <w:spacing w:val="26"/>
        </w:rPr>
        <w:t>  </w:t>
      </w:r>
      <w:r>
        <w:rPr/>
        <w:t>GMSA</w:t>
      </w:r>
      <w:r>
        <w:rPr>
          <w:spacing w:val="27"/>
        </w:rPr>
        <w:t>  </w:t>
      </w:r>
      <w:r>
        <w:rPr/>
        <w:t>está</w:t>
      </w:r>
      <w:r>
        <w:rPr>
          <w:spacing w:val="26"/>
        </w:rPr>
        <w:t>  </w:t>
      </w:r>
      <w:r>
        <w:rPr/>
        <w:t>formado</w:t>
      </w:r>
      <w:r>
        <w:rPr>
          <w:spacing w:val="27"/>
        </w:rPr>
        <w:t>  </w:t>
      </w:r>
      <w:r>
        <w:rPr/>
        <w:t>por</w:t>
      </w:r>
      <w:r>
        <w:rPr>
          <w:spacing w:val="26"/>
        </w:rPr>
        <w:t>  </w:t>
      </w:r>
      <w:r>
        <w:rPr/>
        <w:t>un</w:t>
      </w:r>
      <w:r>
        <w:rPr>
          <w:spacing w:val="27"/>
        </w:rPr>
        <w:t>  </w:t>
      </w:r>
      <w:r>
        <w:rPr/>
        <w:t>conjunto</w:t>
      </w:r>
      <w:r>
        <w:rPr>
          <w:spacing w:val="26"/>
        </w:rPr>
        <w:t>  </w:t>
      </w:r>
      <w:r>
        <w:rPr/>
        <w:t>de</w:t>
      </w:r>
      <w:r>
        <w:rPr>
          <w:spacing w:val="28"/>
        </w:rPr>
        <w:t>  </w:t>
      </w:r>
      <w:r>
        <w:rPr>
          <w:spacing w:val="-2"/>
        </w:rPr>
        <w:t>profesionales</w:t>
      </w:r>
    </w:p>
    <w:p>
      <w:pPr>
        <w:pStyle w:val="BodyText"/>
        <w:spacing w:line="360" w:lineRule="auto" w:before="113"/>
        <w:ind w:left="1341" w:right="1333"/>
        <w:jc w:val="both"/>
      </w:pPr>
      <w:r>
        <w:rPr/>
        <mc:AlternateContent>
          <mc:Choice Requires="wps">
            <w:drawing>
              <wp:anchor distT="0" distB="0" distL="0" distR="0" allowOverlap="1" layoutInCell="1" locked="0" behindDoc="0" simplePos="0" relativeHeight="15789056">
                <wp:simplePos x="0" y="0"/>
                <wp:positionH relativeFrom="page">
                  <wp:posOffset>6966436</wp:posOffset>
                </wp:positionH>
                <wp:positionV relativeFrom="paragraph">
                  <wp:posOffset>1575178</wp:posOffset>
                </wp:positionV>
                <wp:extent cx="263525" cy="327596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24.029808pt;width:20.75pt;height:257.95pt;mso-position-horizontal-relative:page;mso-position-vertical-relative:paragraph;z-index:15789056" type="#_x0000_t202" id="docshape17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independientes provenientes de distintos campos. La diversidad del Comité de Dirección es evidente en todos sus aspectos: género (mujeres y hombres), experiencia profesional (economistas, ingenieros, y todo tipo de profesionales de diversos ámbitos de las múltiples y diversas especialidades que cada vez</w:t>
      </w:r>
      <w:r>
        <w:rPr>
          <w:spacing w:val="-2"/>
        </w:rPr>
        <w:t> </w:t>
      </w:r>
      <w:r>
        <w:rPr/>
        <w:t>son más necesarias para poder llevar adecuadamente</w:t>
      </w:r>
      <w:r>
        <w:rPr>
          <w:spacing w:val="-2"/>
        </w:rPr>
        <w:t> </w:t>
      </w:r>
      <w:r>
        <w:rPr/>
        <w:t>la correcta gestión de una empresa), edad (entre 30 y 60 años) y</w:t>
      </w:r>
      <w:r>
        <w:rPr>
          <w:spacing w:val="-1"/>
        </w:rPr>
        <w:t> </w:t>
      </w:r>
      <w:r>
        <w:rPr/>
        <w:t>formación (académica, técnica). La selección y renovación de miembros se realiza conforme a los criterios establecidos por la Gerencia de GMSA, con el objetivo de dotar a la compañía de un órgano rector implicado en</w:t>
      </w:r>
      <w:r>
        <w:rPr>
          <w:spacing w:val="80"/>
        </w:rPr>
        <w:t> </w:t>
      </w:r>
      <w:r>
        <w:rPr/>
        <w:t>los fines de GMSA e impulsor de su actividad y el consiguiente control de la misma. El director del Comité realiza las funciones de Gerencia de GMSA y</w:t>
      </w:r>
      <w:r>
        <w:rPr>
          <w:spacing w:val="-2"/>
        </w:rPr>
        <w:t> </w:t>
      </w:r>
      <w:r>
        <w:rPr/>
        <w:t>reporta al Consejo de Administración, que es órgano de máxima representación y responsabilidad de la compañía.</w:t>
      </w:r>
    </w:p>
    <w:p>
      <w:pPr>
        <w:pStyle w:val="BodyText"/>
        <w:spacing w:line="360" w:lineRule="auto" w:before="201"/>
        <w:ind w:left="1341" w:right="1334"/>
        <w:jc w:val="both"/>
      </w:pPr>
      <w:r>
        <w:rPr/>
        <w:t>El</w:t>
      </w:r>
      <w:r>
        <w:rPr>
          <w:spacing w:val="-1"/>
        </w:rPr>
        <w:t> </w:t>
      </w:r>
      <w:r>
        <w:rPr/>
        <w:t>modelo</w:t>
      </w:r>
      <w:r>
        <w:rPr>
          <w:spacing w:val="-1"/>
        </w:rPr>
        <w:t> </w:t>
      </w:r>
      <w:r>
        <w:rPr/>
        <w:t>de dirección y</w:t>
      </w:r>
      <w:r>
        <w:rPr>
          <w:spacing w:val="-5"/>
        </w:rPr>
        <w:t> </w:t>
      </w:r>
      <w:r>
        <w:rPr/>
        <w:t>gestión de GMSA, está basado</w:t>
      </w:r>
      <w:r>
        <w:rPr>
          <w:spacing w:val="-3"/>
        </w:rPr>
        <w:t> </w:t>
      </w:r>
      <w:r>
        <w:rPr/>
        <w:t>en la permanente innovación, atento a las</w:t>
      </w:r>
      <w:r>
        <w:rPr>
          <w:spacing w:val="-1"/>
        </w:rPr>
        <w:t> </w:t>
      </w:r>
      <w:r>
        <w:rPr/>
        <w:t>nuevas tendencias y</w:t>
      </w:r>
      <w:r>
        <w:rPr>
          <w:spacing w:val="-3"/>
        </w:rPr>
        <w:t> </w:t>
      </w:r>
      <w:r>
        <w:rPr/>
        <w:t>a</w:t>
      </w:r>
      <w:r>
        <w:rPr>
          <w:spacing w:val="-3"/>
        </w:rPr>
        <w:t> </w:t>
      </w:r>
      <w:r>
        <w:rPr/>
        <w:t>la creación</w:t>
      </w:r>
      <w:r>
        <w:rPr>
          <w:spacing w:val="-3"/>
        </w:rPr>
        <w:t> </w:t>
      </w:r>
      <w:r>
        <w:rPr/>
        <w:t>de</w:t>
      </w:r>
      <w:r>
        <w:rPr>
          <w:spacing w:val="-3"/>
        </w:rPr>
        <w:t> </w:t>
      </w:r>
      <w:r>
        <w:rPr/>
        <w:t>nuevos servicios,</w:t>
      </w:r>
      <w:r>
        <w:rPr>
          <w:spacing w:val="-1"/>
        </w:rPr>
        <w:t> </w:t>
      </w:r>
      <w:r>
        <w:rPr/>
        <w:t>en</w:t>
      </w:r>
      <w:r>
        <w:rPr>
          <w:spacing w:val="-1"/>
        </w:rPr>
        <w:t> </w:t>
      </w:r>
      <w:r>
        <w:rPr/>
        <w:t>revisión</w:t>
      </w:r>
      <w:r>
        <w:rPr>
          <w:spacing w:val="-1"/>
        </w:rPr>
        <w:t> </w:t>
      </w:r>
      <w:r>
        <w:rPr/>
        <w:t>permanente</w:t>
      </w:r>
      <w:r>
        <w:rPr>
          <w:spacing w:val="-3"/>
        </w:rPr>
        <w:t> </w:t>
      </w:r>
      <w:r>
        <w:rPr/>
        <w:t>de</w:t>
      </w:r>
      <w:r>
        <w:rPr>
          <w:spacing w:val="-1"/>
        </w:rPr>
        <w:t> </w:t>
      </w:r>
      <w:r>
        <w:rPr/>
        <w:t>procesos y modelos organizativos cuyo propósito no es otro que ayudar a evolucionar de forma</w:t>
      </w:r>
      <w:r>
        <w:rPr>
          <w:spacing w:val="40"/>
        </w:rPr>
        <w:t> </w:t>
      </w:r>
      <w:r>
        <w:rPr/>
        <w:t>constante</w:t>
      </w:r>
      <w:r>
        <w:rPr>
          <w:spacing w:val="27"/>
        </w:rPr>
        <w:t> </w:t>
      </w:r>
      <w:r>
        <w:rPr/>
        <w:t>y cada vez más dinámica y ágilmente a las nuevas</w:t>
      </w:r>
      <w:r>
        <w:rPr>
          <w:spacing w:val="27"/>
        </w:rPr>
        <w:t> </w:t>
      </w:r>
      <w:r>
        <w:rPr/>
        <w:t>y cambiantes realidades a las que nos ha tocado hacer frente, y en la cual estamos llamados a desempeñar un papel cada vez más relevante.</w:t>
      </w:r>
    </w:p>
    <w:p>
      <w:pPr>
        <w:pStyle w:val="BodyText"/>
        <w:spacing w:before="201"/>
        <w:jc w:val="center"/>
      </w:pPr>
      <w:r>
        <w:rPr/>
        <w:t>GMSA</w:t>
      </w:r>
      <w:r>
        <w:rPr>
          <w:spacing w:val="44"/>
        </w:rPr>
        <w:t> </w:t>
      </w:r>
      <w:r>
        <w:rPr/>
        <w:t>afianza</w:t>
      </w:r>
      <w:r>
        <w:rPr>
          <w:spacing w:val="42"/>
        </w:rPr>
        <w:t> </w:t>
      </w:r>
      <w:r>
        <w:rPr/>
        <w:t>su</w:t>
      </w:r>
      <w:r>
        <w:rPr>
          <w:spacing w:val="43"/>
        </w:rPr>
        <w:t> </w:t>
      </w:r>
      <w:r>
        <w:rPr/>
        <w:t>proyecto</w:t>
      </w:r>
      <w:r>
        <w:rPr>
          <w:spacing w:val="44"/>
        </w:rPr>
        <w:t> </w:t>
      </w:r>
      <w:r>
        <w:rPr/>
        <w:t>de</w:t>
      </w:r>
      <w:r>
        <w:rPr>
          <w:spacing w:val="44"/>
        </w:rPr>
        <w:t> </w:t>
      </w:r>
      <w:r>
        <w:rPr/>
        <w:t>empresa</w:t>
      </w:r>
      <w:r>
        <w:rPr>
          <w:spacing w:val="42"/>
        </w:rPr>
        <w:t> </w:t>
      </w:r>
      <w:r>
        <w:rPr/>
        <w:t>para</w:t>
      </w:r>
      <w:r>
        <w:rPr>
          <w:spacing w:val="43"/>
        </w:rPr>
        <w:t> </w:t>
      </w:r>
      <w:r>
        <w:rPr/>
        <w:t>consolidar</w:t>
      </w:r>
      <w:r>
        <w:rPr>
          <w:spacing w:val="44"/>
        </w:rPr>
        <w:t> </w:t>
      </w:r>
      <w:r>
        <w:rPr/>
        <w:t>su</w:t>
      </w:r>
      <w:r>
        <w:rPr>
          <w:spacing w:val="43"/>
        </w:rPr>
        <w:t> </w:t>
      </w:r>
      <w:r>
        <w:rPr/>
        <w:t>función</w:t>
      </w:r>
      <w:r>
        <w:rPr>
          <w:spacing w:val="42"/>
        </w:rPr>
        <w:t> </w:t>
      </w:r>
      <w:r>
        <w:rPr/>
        <w:t>de</w:t>
      </w:r>
      <w:r>
        <w:rPr>
          <w:spacing w:val="43"/>
        </w:rPr>
        <w:t> </w:t>
      </w:r>
      <w:r>
        <w:rPr/>
        <w:t>servicio</w:t>
      </w:r>
      <w:r>
        <w:rPr>
          <w:spacing w:val="42"/>
        </w:rPr>
        <w:t> </w:t>
      </w:r>
      <w:r>
        <w:rPr/>
        <w:t>público</w:t>
      </w:r>
      <w:r>
        <w:rPr>
          <w:spacing w:val="45"/>
        </w:rPr>
        <w:t> </w:t>
      </w:r>
      <w:r>
        <w:rPr>
          <w:spacing w:val="-5"/>
        </w:rPr>
        <w:t>de</w:t>
      </w:r>
    </w:p>
    <w:p>
      <w:pPr>
        <w:pStyle w:val="BodyText"/>
        <w:spacing w:line="360" w:lineRule="auto" w:before="115"/>
        <w:ind w:left="1341" w:right="1308"/>
      </w:pPr>
      <w:r>
        <w:rPr/>
        <w:t>transporte colectivo eficaz y eficiente para los ciudadanos de la ciudad de Las Palmas de Gran Canaria, al tiempo que garantiza la estabilidad del personal de la compañía.</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33"/>
        <w:jc w:val="both"/>
      </w:pPr>
      <w:r>
        <w:rPr/>
        <w:t>Formando parte su estrategia de mejora continua, GMSA desarrolla como su principal proyecto la puesta en marcha de la renovación de su red de líneas que supone la incorporación de una línea de alta capacidad, MetroGuagua, con la que, en respuesta al Plan de Movilidad Urbana Sostenible de 2011, lidera su implantación en la ciudad, y que permitirá una mejora sustancial del</w:t>
      </w:r>
      <w:r>
        <w:rPr>
          <w:spacing w:val="-2"/>
        </w:rPr>
        <w:t> </w:t>
      </w:r>
      <w:r>
        <w:rPr/>
        <w:t>transporte</w:t>
      </w:r>
      <w:r>
        <w:rPr>
          <w:spacing w:val="1"/>
        </w:rPr>
        <w:t> </w:t>
      </w:r>
      <w:r>
        <w:rPr/>
        <w:t>en</w:t>
      </w:r>
      <w:r>
        <w:rPr>
          <w:spacing w:val="-2"/>
        </w:rPr>
        <w:t> </w:t>
      </w:r>
      <w:r>
        <w:rPr/>
        <w:t>todos</w:t>
      </w:r>
      <w:r>
        <w:rPr>
          <w:spacing w:val="3"/>
        </w:rPr>
        <w:t> </w:t>
      </w:r>
      <w:r>
        <w:rPr/>
        <w:t>los</w:t>
      </w:r>
      <w:r>
        <w:rPr>
          <w:spacing w:val="2"/>
        </w:rPr>
        <w:t> </w:t>
      </w:r>
      <w:r>
        <w:rPr/>
        <w:t>barrios de</w:t>
      </w:r>
      <w:r>
        <w:rPr>
          <w:spacing w:val="1"/>
        </w:rPr>
        <w:t> </w:t>
      </w:r>
      <w:r>
        <w:rPr/>
        <w:t>la</w:t>
      </w:r>
      <w:r>
        <w:rPr>
          <w:spacing w:val="-3"/>
        </w:rPr>
        <w:t> </w:t>
      </w:r>
      <w:r>
        <w:rPr/>
        <w:t>ciudad.</w:t>
      </w:r>
      <w:r>
        <w:rPr>
          <w:spacing w:val="-2"/>
        </w:rPr>
        <w:t> </w:t>
      </w:r>
      <w:r>
        <w:rPr/>
        <w:t>Hasta</w:t>
      </w:r>
      <w:r>
        <w:rPr>
          <w:spacing w:val="1"/>
        </w:rPr>
        <w:t> </w:t>
      </w:r>
      <w:r>
        <w:rPr/>
        <w:t>la</w:t>
      </w:r>
      <w:r>
        <w:rPr>
          <w:spacing w:val="-3"/>
        </w:rPr>
        <w:t> </w:t>
      </w:r>
      <w:r>
        <w:rPr/>
        <w:t>implantación</w:t>
      </w:r>
      <w:r>
        <w:rPr>
          <w:spacing w:val="-4"/>
        </w:rPr>
        <w:t> </w:t>
      </w:r>
      <w:r>
        <w:rPr/>
        <w:t>total</w:t>
      </w:r>
      <w:r>
        <w:rPr>
          <w:spacing w:val="1"/>
        </w:rPr>
        <w:t> </w:t>
      </w:r>
      <w:r>
        <w:rPr/>
        <w:t>de esta</w:t>
      </w:r>
      <w:r>
        <w:rPr>
          <w:spacing w:val="-1"/>
        </w:rPr>
        <w:t> </w:t>
      </w:r>
      <w:r>
        <w:rPr/>
        <w:t>nueva</w:t>
      </w:r>
      <w:r>
        <w:rPr>
          <w:spacing w:val="-1"/>
        </w:rPr>
        <w:t> </w:t>
      </w:r>
      <w:r>
        <w:rPr/>
        <w:t>red</w:t>
      </w:r>
      <w:r>
        <w:rPr>
          <w:spacing w:val="4"/>
        </w:rPr>
        <w:t> </w:t>
      </w:r>
      <w:r>
        <w:rPr>
          <w:spacing w:val="-10"/>
        </w:rPr>
        <w:t>y</w:t>
      </w:r>
    </w:p>
    <w:p>
      <w:pPr>
        <w:pStyle w:val="BodyText"/>
        <w:spacing w:before="1"/>
        <w:ind w:left="3"/>
        <w:jc w:val="center"/>
      </w:pPr>
      <w:r>
        <w:rPr/>
        <w:t>paralelamente</w:t>
      </w:r>
      <w:r>
        <w:rPr>
          <w:spacing w:val="45"/>
        </w:rPr>
        <w:t> </w:t>
      </w:r>
      <w:r>
        <w:rPr/>
        <w:t>pretendemos</w:t>
      </w:r>
      <w:r>
        <w:rPr>
          <w:spacing w:val="48"/>
        </w:rPr>
        <w:t> </w:t>
      </w:r>
      <w:r>
        <w:rPr/>
        <w:t>implementar</w:t>
      </w:r>
      <w:r>
        <w:rPr>
          <w:spacing w:val="47"/>
        </w:rPr>
        <w:t> </w:t>
      </w:r>
      <w:r>
        <w:rPr/>
        <w:t>sustanciales</w:t>
      </w:r>
      <w:r>
        <w:rPr>
          <w:spacing w:val="42"/>
        </w:rPr>
        <w:t> </w:t>
      </w:r>
      <w:r>
        <w:rPr/>
        <w:t>mejoras</w:t>
      </w:r>
      <w:r>
        <w:rPr>
          <w:spacing w:val="47"/>
        </w:rPr>
        <w:t> </w:t>
      </w:r>
      <w:r>
        <w:rPr/>
        <w:t>en</w:t>
      </w:r>
      <w:r>
        <w:rPr>
          <w:spacing w:val="45"/>
        </w:rPr>
        <w:t> </w:t>
      </w:r>
      <w:r>
        <w:rPr/>
        <w:t>la</w:t>
      </w:r>
      <w:r>
        <w:rPr>
          <w:spacing w:val="41"/>
        </w:rPr>
        <w:t> </w:t>
      </w:r>
      <w:r>
        <w:rPr/>
        <w:t>movilidad</w:t>
      </w:r>
      <w:r>
        <w:rPr>
          <w:spacing w:val="45"/>
        </w:rPr>
        <w:t> </w:t>
      </w:r>
      <w:r>
        <w:rPr/>
        <w:t>del</w:t>
      </w:r>
      <w:r>
        <w:rPr>
          <w:spacing w:val="45"/>
        </w:rPr>
        <w:t> </w:t>
      </w:r>
      <w:r>
        <w:rPr>
          <w:spacing w:val="-2"/>
        </w:rPr>
        <w:t>entorno</w:t>
      </w:r>
    </w:p>
    <w:p>
      <w:pPr>
        <w:pStyle w:val="BodyText"/>
        <w:spacing w:before="116"/>
        <w:ind w:left="1341"/>
      </w:pPr>
      <w:r>
        <w:rPr/>
        <w:t>donde</w:t>
      </w:r>
      <w:r>
        <w:rPr>
          <w:spacing w:val="-11"/>
        </w:rPr>
        <w:t> </w:t>
      </w:r>
      <w:r>
        <w:rPr/>
        <w:t>desarrollamos</w:t>
      </w:r>
      <w:r>
        <w:rPr>
          <w:spacing w:val="-9"/>
        </w:rPr>
        <w:t> </w:t>
      </w:r>
      <w:r>
        <w:rPr/>
        <w:t>nuestra</w:t>
      </w:r>
      <w:r>
        <w:rPr>
          <w:spacing w:val="-9"/>
        </w:rPr>
        <w:t> </w:t>
      </w:r>
      <w:r>
        <w:rPr>
          <w:spacing w:val="-2"/>
        </w:rPr>
        <w:t>actividad.</w:t>
      </w:r>
    </w:p>
    <w:p>
      <w:pPr>
        <w:pStyle w:val="BodyText"/>
        <w:spacing w:before="82"/>
      </w:pPr>
    </w:p>
    <w:p>
      <w:pPr>
        <w:pStyle w:val="BodyText"/>
        <w:ind w:left="4"/>
        <w:jc w:val="center"/>
      </w:pPr>
      <w:r>
        <w:rPr/>
        <w:t>De</w:t>
      </w:r>
      <w:r>
        <w:rPr>
          <w:spacing w:val="12"/>
        </w:rPr>
        <w:t> </w:t>
      </w:r>
      <w:r>
        <w:rPr/>
        <w:t>este</w:t>
      </w:r>
      <w:r>
        <w:rPr>
          <w:spacing w:val="12"/>
        </w:rPr>
        <w:t> </w:t>
      </w:r>
      <w:r>
        <w:rPr/>
        <w:t>modo,</w:t>
      </w:r>
      <w:r>
        <w:rPr>
          <w:spacing w:val="13"/>
        </w:rPr>
        <w:t> </w:t>
      </w:r>
      <w:r>
        <w:rPr/>
        <w:t>GMSA</w:t>
      </w:r>
      <w:r>
        <w:rPr>
          <w:spacing w:val="10"/>
        </w:rPr>
        <w:t> </w:t>
      </w:r>
      <w:r>
        <w:rPr/>
        <w:t>hace</w:t>
      </w:r>
      <w:r>
        <w:rPr>
          <w:spacing w:val="16"/>
        </w:rPr>
        <w:t> </w:t>
      </w:r>
      <w:r>
        <w:rPr/>
        <w:t>una</w:t>
      </w:r>
      <w:r>
        <w:rPr>
          <w:spacing w:val="14"/>
        </w:rPr>
        <w:t> </w:t>
      </w:r>
      <w:r>
        <w:rPr/>
        <w:t>apuesta</w:t>
      </w:r>
      <w:r>
        <w:rPr>
          <w:spacing w:val="12"/>
        </w:rPr>
        <w:t> </w:t>
      </w:r>
      <w:r>
        <w:rPr/>
        <w:t>firme</w:t>
      </w:r>
      <w:r>
        <w:rPr>
          <w:spacing w:val="13"/>
        </w:rPr>
        <w:t> </w:t>
      </w:r>
      <w:r>
        <w:rPr/>
        <w:t>por</w:t>
      </w:r>
      <w:r>
        <w:rPr>
          <w:spacing w:val="13"/>
        </w:rPr>
        <w:t> </w:t>
      </w:r>
      <w:r>
        <w:rPr/>
        <w:t>un</w:t>
      </w:r>
      <w:r>
        <w:rPr>
          <w:spacing w:val="11"/>
        </w:rPr>
        <w:t> </w:t>
      </w:r>
      <w:r>
        <w:rPr/>
        <w:t>modelo</w:t>
      </w:r>
      <w:r>
        <w:rPr>
          <w:spacing w:val="10"/>
        </w:rPr>
        <w:t> </w:t>
      </w:r>
      <w:r>
        <w:rPr/>
        <w:t>de</w:t>
      </w:r>
      <w:r>
        <w:rPr>
          <w:spacing w:val="13"/>
        </w:rPr>
        <w:t> </w:t>
      </w:r>
      <w:r>
        <w:rPr/>
        <w:t>gestión</w:t>
      </w:r>
      <w:r>
        <w:rPr>
          <w:spacing w:val="14"/>
        </w:rPr>
        <w:t> </w:t>
      </w:r>
      <w:r>
        <w:rPr/>
        <w:t>en</w:t>
      </w:r>
      <w:r>
        <w:rPr>
          <w:spacing w:val="14"/>
        </w:rPr>
        <w:t> </w:t>
      </w:r>
      <w:r>
        <w:rPr/>
        <w:t>consonancia</w:t>
      </w:r>
      <w:r>
        <w:rPr>
          <w:spacing w:val="11"/>
        </w:rPr>
        <w:t> </w:t>
      </w:r>
      <w:r>
        <w:rPr>
          <w:spacing w:val="-5"/>
        </w:rPr>
        <w:t>con</w:t>
      </w:r>
    </w:p>
    <w:p>
      <w:pPr>
        <w:pStyle w:val="BodyText"/>
        <w:spacing w:before="116"/>
        <w:ind w:left="1"/>
        <w:jc w:val="center"/>
      </w:pPr>
      <w:r>
        <w:rPr/>
        <w:t>los</w:t>
      </w:r>
      <w:r>
        <w:rPr>
          <w:spacing w:val="40"/>
        </w:rPr>
        <w:t> </w:t>
      </w:r>
      <w:r>
        <w:rPr/>
        <w:t>tiempos</w:t>
      </w:r>
      <w:r>
        <w:rPr>
          <w:spacing w:val="42"/>
        </w:rPr>
        <w:t> </w:t>
      </w:r>
      <w:r>
        <w:rPr/>
        <w:t>que</w:t>
      </w:r>
      <w:r>
        <w:rPr>
          <w:spacing w:val="41"/>
        </w:rPr>
        <w:t> </w:t>
      </w:r>
      <w:r>
        <w:rPr/>
        <w:t>corren,</w:t>
      </w:r>
      <w:r>
        <w:rPr>
          <w:spacing w:val="40"/>
        </w:rPr>
        <w:t> </w:t>
      </w:r>
      <w:r>
        <w:rPr/>
        <w:t>en</w:t>
      </w:r>
      <w:r>
        <w:rPr>
          <w:spacing w:val="41"/>
        </w:rPr>
        <w:t> </w:t>
      </w:r>
      <w:r>
        <w:rPr/>
        <w:t>equilibrio</w:t>
      </w:r>
      <w:r>
        <w:rPr>
          <w:spacing w:val="40"/>
        </w:rPr>
        <w:t> </w:t>
      </w:r>
      <w:r>
        <w:rPr/>
        <w:t>económico,</w:t>
      </w:r>
      <w:r>
        <w:rPr>
          <w:spacing w:val="40"/>
        </w:rPr>
        <w:t> </w:t>
      </w:r>
      <w:r>
        <w:rPr/>
        <w:t>social</w:t>
      </w:r>
      <w:r>
        <w:rPr>
          <w:spacing w:val="41"/>
        </w:rPr>
        <w:t> </w:t>
      </w:r>
      <w:r>
        <w:rPr/>
        <w:t>y</w:t>
      </w:r>
      <w:r>
        <w:rPr>
          <w:spacing w:val="37"/>
        </w:rPr>
        <w:t> </w:t>
      </w:r>
      <w:r>
        <w:rPr/>
        <w:t>medioambiental,</w:t>
      </w:r>
      <w:r>
        <w:rPr>
          <w:spacing w:val="42"/>
        </w:rPr>
        <w:t> </w:t>
      </w:r>
      <w:r>
        <w:rPr/>
        <w:t>y</w:t>
      </w:r>
      <w:r>
        <w:rPr>
          <w:spacing w:val="38"/>
        </w:rPr>
        <w:t> </w:t>
      </w:r>
      <w:r>
        <w:rPr/>
        <w:t>basado</w:t>
      </w:r>
      <w:r>
        <w:rPr>
          <w:spacing w:val="40"/>
        </w:rPr>
        <w:t> </w:t>
      </w:r>
      <w:r>
        <w:rPr/>
        <w:t>en</w:t>
      </w:r>
      <w:r>
        <w:rPr>
          <w:spacing w:val="39"/>
        </w:rPr>
        <w:t> </w:t>
      </w:r>
      <w:r>
        <w:rPr>
          <w:spacing w:val="-5"/>
        </w:rPr>
        <w:t>la</w:t>
      </w:r>
    </w:p>
    <w:p>
      <w:pPr>
        <w:pStyle w:val="BodyText"/>
        <w:spacing w:before="118"/>
        <w:ind w:left="1341"/>
      </w:pPr>
      <w:r>
        <w:rPr/>
        <w:t>seguridad</w:t>
      </w:r>
      <w:r>
        <w:rPr>
          <w:spacing w:val="-4"/>
        </w:rPr>
        <w:t> </w:t>
      </w:r>
      <w:r>
        <w:rPr/>
        <w:t>y</w:t>
      </w:r>
      <w:r>
        <w:rPr>
          <w:spacing w:val="-8"/>
        </w:rPr>
        <w:t> </w:t>
      </w:r>
      <w:r>
        <w:rPr/>
        <w:t>la</w:t>
      </w:r>
      <w:r>
        <w:rPr>
          <w:spacing w:val="-9"/>
        </w:rPr>
        <w:t> </w:t>
      </w:r>
      <w:r>
        <w:rPr/>
        <w:t>calidad</w:t>
      </w:r>
      <w:r>
        <w:rPr>
          <w:spacing w:val="-8"/>
        </w:rPr>
        <w:t> </w:t>
      </w:r>
      <w:r>
        <w:rPr/>
        <w:t>como</w:t>
      </w:r>
      <w:r>
        <w:rPr>
          <w:spacing w:val="-8"/>
        </w:rPr>
        <w:t> </w:t>
      </w:r>
      <w:r>
        <w:rPr/>
        <w:t>elementos</w:t>
      </w:r>
      <w:r>
        <w:rPr>
          <w:spacing w:val="-6"/>
        </w:rPr>
        <w:t> </w:t>
      </w:r>
      <w:r>
        <w:rPr/>
        <w:t>fundamentales</w:t>
      </w:r>
      <w:r>
        <w:rPr>
          <w:spacing w:val="-6"/>
        </w:rPr>
        <w:t> </w:t>
      </w:r>
      <w:r>
        <w:rPr/>
        <w:t>del</w:t>
      </w:r>
      <w:r>
        <w:rPr>
          <w:spacing w:val="-9"/>
        </w:rPr>
        <w:t> </w:t>
      </w:r>
      <w:r>
        <w:rPr>
          <w:spacing w:val="-2"/>
        </w:rPr>
        <w:t>servicio.</w:t>
      </w:r>
    </w:p>
    <w:p>
      <w:pPr>
        <w:pStyle w:val="BodyText"/>
        <w:spacing w:before="82"/>
      </w:pPr>
    </w:p>
    <w:p>
      <w:pPr>
        <w:pStyle w:val="BodyText"/>
        <w:spacing w:line="360" w:lineRule="auto"/>
        <w:ind w:left="1341" w:right="1336"/>
        <w:jc w:val="both"/>
      </w:pPr>
      <w:r>
        <w:rPr/>
        <w:t>En este momento, GMSA se encuentra inmersa en un proceso permanente de contratación de personal con el claro objetivo de mejorar la calidad del servicio que prestamos. Este hecho ha provocado que la empresa se haya consolidado como un agente dinamizador de la sociedad</w:t>
      </w:r>
      <w:r>
        <w:rPr>
          <w:spacing w:val="80"/>
        </w:rPr>
        <w:t> </w:t>
      </w:r>
      <w:r>
        <w:rPr/>
        <w:t>en la</w:t>
      </w:r>
      <w:r>
        <w:rPr>
          <w:spacing w:val="-2"/>
        </w:rPr>
        <w:t> </w:t>
      </w:r>
      <w:r>
        <w:rPr/>
        <w:t>que también presta</w:t>
      </w:r>
      <w:r>
        <w:rPr>
          <w:spacing w:val="-2"/>
        </w:rPr>
        <w:t> </w:t>
      </w:r>
      <w:r>
        <w:rPr/>
        <w:t>servicio a través</w:t>
      </w:r>
      <w:r>
        <w:rPr>
          <w:spacing w:val="-1"/>
        </w:rPr>
        <w:t> </w:t>
      </w:r>
      <w:r>
        <w:rPr/>
        <w:t>de las distintas acciones que realiza cada año dentro del ámbito de la responsabilidad social corporativa.</w:t>
      </w:r>
    </w:p>
    <w:p>
      <w:pPr>
        <w:pStyle w:val="BodyText"/>
        <w:spacing w:line="360" w:lineRule="auto" w:before="200"/>
        <w:ind w:left="1341" w:right="1338"/>
        <w:jc w:val="both"/>
      </w:pPr>
      <w:r>
        <w:rPr/>
        <w:t>GMSA, por lo tanto, es una empresa que continúa instalada en la senda del crecimiento, con</w:t>
      </w:r>
      <w:r>
        <w:rPr>
          <w:spacing w:val="80"/>
        </w:rPr>
        <w:t> </w:t>
      </w:r>
      <w:r>
        <w:rPr/>
        <w:t>un seguimiento continuo de la evolución de la demanda y de la adaptación de la red a las necesidades que se van generando en la ciudad, con el fin último de dar un mejor servicio al </w:t>
      </w:r>
      <w:r>
        <w:rPr>
          <w:spacing w:val="-2"/>
        </w:rPr>
        <w:t>viajero.</w:t>
      </w:r>
    </w:p>
    <w:p>
      <w:pPr>
        <w:pStyle w:val="BodyText"/>
        <w:spacing w:before="199"/>
        <w:ind w:left="1"/>
        <w:jc w:val="center"/>
      </w:pPr>
      <w:r>
        <w:rPr/>
        <w:t>Su</w:t>
      </w:r>
      <w:r>
        <w:rPr>
          <w:spacing w:val="57"/>
        </w:rPr>
        <w:t> </w:t>
      </w:r>
      <w:r>
        <w:rPr/>
        <w:t>cadena</w:t>
      </w:r>
      <w:r>
        <w:rPr>
          <w:spacing w:val="58"/>
        </w:rPr>
        <w:t> </w:t>
      </w:r>
      <w:r>
        <w:rPr/>
        <w:t>de</w:t>
      </w:r>
      <w:r>
        <w:rPr>
          <w:spacing w:val="60"/>
        </w:rPr>
        <w:t> </w:t>
      </w:r>
      <w:r>
        <w:rPr/>
        <w:t>valor</w:t>
      </w:r>
      <w:r>
        <w:rPr>
          <w:spacing w:val="58"/>
        </w:rPr>
        <w:t> </w:t>
      </w:r>
      <w:r>
        <w:rPr/>
        <w:t>la</w:t>
      </w:r>
      <w:r>
        <w:rPr>
          <w:spacing w:val="59"/>
        </w:rPr>
        <w:t> </w:t>
      </w:r>
      <w:r>
        <w:rPr/>
        <w:t>componen</w:t>
      </w:r>
      <w:r>
        <w:rPr>
          <w:spacing w:val="58"/>
        </w:rPr>
        <w:t> </w:t>
      </w:r>
      <w:r>
        <w:rPr/>
        <w:t>precisamente</w:t>
      </w:r>
      <w:r>
        <w:rPr>
          <w:spacing w:val="58"/>
        </w:rPr>
        <w:t> </w:t>
      </w:r>
      <w:r>
        <w:rPr/>
        <w:t>todos</w:t>
      </w:r>
      <w:r>
        <w:rPr>
          <w:spacing w:val="59"/>
        </w:rPr>
        <w:t> </w:t>
      </w:r>
      <w:r>
        <w:rPr/>
        <w:t>los</w:t>
      </w:r>
      <w:r>
        <w:rPr>
          <w:spacing w:val="61"/>
        </w:rPr>
        <w:t> </w:t>
      </w:r>
      <w:r>
        <w:rPr/>
        <w:t>participantes</w:t>
      </w:r>
      <w:r>
        <w:rPr>
          <w:spacing w:val="59"/>
        </w:rPr>
        <w:t> </w:t>
      </w:r>
      <w:r>
        <w:rPr/>
        <w:t>de</w:t>
      </w:r>
      <w:r>
        <w:rPr>
          <w:spacing w:val="60"/>
        </w:rPr>
        <w:t> </w:t>
      </w:r>
      <w:r>
        <w:rPr/>
        <w:t>dicha</w:t>
      </w:r>
      <w:r>
        <w:rPr>
          <w:spacing w:val="58"/>
        </w:rPr>
        <w:t> </w:t>
      </w:r>
      <w:r>
        <w:rPr/>
        <w:t>red</w:t>
      </w:r>
      <w:r>
        <w:rPr>
          <w:spacing w:val="58"/>
        </w:rPr>
        <w:t> </w:t>
      </w:r>
      <w:r>
        <w:rPr>
          <w:spacing w:val="-5"/>
        </w:rPr>
        <w:t>de</w:t>
      </w:r>
    </w:p>
    <w:p>
      <w:pPr>
        <w:pStyle w:val="BodyText"/>
        <w:tabs>
          <w:tab w:pos="1406" w:val="left" w:leader="none"/>
          <w:tab w:pos="1726" w:val="left" w:leader="none"/>
          <w:tab w:pos="2743" w:val="left" w:leader="none"/>
          <w:tab w:pos="3300" w:val="left" w:leader="none"/>
          <w:tab w:pos="4123" w:val="left" w:leader="none"/>
          <w:tab w:pos="4838" w:val="left" w:leader="none"/>
          <w:tab w:pos="6228" w:val="left" w:leader="none"/>
          <w:tab w:pos="7185" w:val="left" w:leader="none"/>
        </w:tabs>
        <w:spacing w:before="116"/>
        <w:ind w:left="3"/>
        <w:jc w:val="center"/>
      </w:pPr>
      <w:r>
        <w:rPr>
          <w:spacing w:val="-2"/>
        </w:rPr>
        <w:t>conocimiento</w:t>
      </w:r>
      <w:r>
        <w:rPr/>
        <w:tab/>
      </w:r>
      <w:r>
        <w:rPr>
          <w:spacing w:val="-10"/>
        </w:rPr>
        <w:t>y</w:t>
      </w:r>
      <w:r>
        <w:rPr/>
        <w:tab/>
      </w:r>
      <w:r>
        <w:rPr>
          <w:spacing w:val="-2"/>
        </w:rPr>
        <w:t>actividad</w:t>
      </w:r>
      <w:r>
        <w:rPr/>
        <w:tab/>
      </w:r>
      <w:r>
        <w:rPr>
          <w:spacing w:val="-5"/>
        </w:rPr>
        <w:t>que</w:t>
      </w:r>
      <w:r>
        <w:rPr/>
        <w:tab/>
      </w:r>
      <w:r>
        <w:rPr>
          <w:spacing w:val="-2"/>
        </w:rPr>
        <w:t>actúan</w:t>
      </w:r>
      <w:r>
        <w:rPr/>
        <w:tab/>
      </w:r>
      <w:r>
        <w:rPr>
          <w:spacing w:val="-4"/>
        </w:rPr>
        <w:t>como</w:t>
      </w:r>
      <w:r>
        <w:rPr/>
        <w:tab/>
      </w:r>
      <w:r>
        <w:rPr>
          <w:spacing w:val="-2"/>
        </w:rPr>
        <w:t>proveedores,</w:t>
      </w:r>
      <w:r>
        <w:rPr/>
        <w:tab/>
      </w:r>
      <w:r>
        <w:rPr>
          <w:spacing w:val="-2"/>
        </w:rPr>
        <w:t>clientes,</w:t>
      </w:r>
      <w:r>
        <w:rPr/>
        <w:tab/>
      </w:r>
      <w:r>
        <w:rPr>
          <w:spacing w:val="-2"/>
        </w:rPr>
        <w:t>colaboradores,</w:t>
      </w:r>
    </w:p>
    <w:p>
      <w:pPr>
        <w:pStyle w:val="BodyText"/>
        <w:spacing w:before="118"/>
        <w:ind w:left="1341"/>
      </w:pPr>
      <w:r>
        <w:rPr/>
        <w:t>patrocinadores,</w:t>
      </w:r>
      <w:r>
        <w:rPr>
          <w:spacing w:val="-11"/>
        </w:rPr>
        <w:t> </w:t>
      </w:r>
      <w:r>
        <w:rPr/>
        <w:t>organizadores,</w:t>
      </w:r>
      <w:r>
        <w:rPr>
          <w:spacing w:val="-10"/>
        </w:rPr>
        <w:t> </w:t>
      </w:r>
      <w:r>
        <w:rPr/>
        <w:t>financiadores,</w:t>
      </w:r>
      <w:r>
        <w:rPr>
          <w:spacing w:val="-11"/>
        </w:rPr>
        <w:t> </w:t>
      </w:r>
      <w:r>
        <w:rPr/>
        <w:t>etc.,</w:t>
      </w:r>
      <w:r>
        <w:rPr>
          <w:spacing w:val="-10"/>
        </w:rPr>
        <w:t> </w:t>
      </w:r>
      <w:r>
        <w:rPr/>
        <w:t>de</w:t>
      </w:r>
      <w:r>
        <w:rPr>
          <w:spacing w:val="-8"/>
        </w:rPr>
        <w:t> </w:t>
      </w:r>
      <w:r>
        <w:rPr/>
        <w:t>los</w:t>
      </w:r>
      <w:r>
        <w:rPr>
          <w:spacing w:val="-8"/>
        </w:rPr>
        <w:t> </w:t>
      </w:r>
      <w:r>
        <w:rPr/>
        <w:t>proyectos</w:t>
      </w:r>
      <w:r>
        <w:rPr>
          <w:spacing w:val="-9"/>
        </w:rPr>
        <w:t> </w:t>
      </w:r>
      <w:r>
        <w:rPr>
          <w:spacing w:val="-2"/>
        </w:rPr>
        <w:t>desarrollados.</w:t>
      </w:r>
    </w:p>
    <w:p>
      <w:pPr>
        <w:pStyle w:val="BodyText"/>
        <w:spacing w:before="82"/>
      </w:pPr>
    </w:p>
    <w:p>
      <w:pPr>
        <w:pStyle w:val="Heading3"/>
        <w:numPr>
          <w:ilvl w:val="1"/>
          <w:numId w:val="31"/>
        </w:numPr>
        <w:tabs>
          <w:tab w:pos="1670" w:val="left" w:leader="none"/>
        </w:tabs>
        <w:spacing w:line="240" w:lineRule="auto" w:before="1" w:after="0"/>
        <w:ind w:left="1670" w:right="0" w:hanging="329"/>
        <w:jc w:val="left"/>
      </w:pPr>
      <w:bookmarkStart w:name="_TOC_250042" w:id="10"/>
      <w:r>
        <w:rPr/>
        <w:t>Descripción</w:t>
      </w:r>
      <w:r>
        <w:rPr>
          <w:spacing w:val="-7"/>
        </w:rPr>
        <w:t> </w:t>
      </w:r>
      <w:r>
        <w:rPr/>
        <w:t>del</w:t>
      </w:r>
      <w:r>
        <w:rPr>
          <w:spacing w:val="-7"/>
        </w:rPr>
        <w:t> </w:t>
      </w:r>
      <w:r>
        <w:rPr/>
        <w:t>entorno</w:t>
      </w:r>
      <w:r>
        <w:rPr>
          <w:spacing w:val="-4"/>
        </w:rPr>
        <w:t> </w:t>
      </w:r>
      <w:r>
        <w:rPr/>
        <w:t>externo</w:t>
      </w:r>
      <w:r>
        <w:rPr>
          <w:spacing w:val="-2"/>
        </w:rPr>
        <w:t> </w:t>
      </w:r>
      <w:r>
        <w:rPr/>
        <w:t>a</w:t>
      </w:r>
      <w:r>
        <w:rPr>
          <w:spacing w:val="-8"/>
        </w:rPr>
        <w:t> </w:t>
      </w:r>
      <w:r>
        <w:rPr/>
        <w:t>la</w:t>
      </w:r>
      <w:r>
        <w:rPr>
          <w:spacing w:val="-7"/>
        </w:rPr>
        <w:t> </w:t>
      </w:r>
      <w:bookmarkEnd w:id="10"/>
      <w:r>
        <w:rPr>
          <w:spacing w:val="-2"/>
        </w:rPr>
        <w:t>organización</w:t>
      </w:r>
    </w:p>
    <w:p>
      <w:pPr>
        <w:pStyle w:val="BodyText"/>
        <w:spacing w:before="28"/>
        <w:rPr>
          <w:b/>
        </w:rPr>
      </w:pPr>
    </w:p>
    <w:p>
      <w:pPr>
        <w:spacing w:line="343" w:lineRule="auto" w:before="1"/>
        <w:ind w:left="1341" w:right="1335" w:firstLine="0"/>
        <w:jc w:val="both"/>
        <w:rPr>
          <w:rFonts w:ascii="Tahoma" w:hAnsi="Tahoma"/>
          <w:i/>
          <w:sz w:val="20"/>
        </w:rPr>
      </w:pPr>
      <w:r>
        <w:rPr>
          <w:rFonts w:ascii="Tahoma" w:hAnsi="Tahoma"/>
          <w:i/>
          <w:sz w:val="20"/>
        </w:rPr>
        <mc:AlternateContent>
          <mc:Choice Requires="wps">
            <w:drawing>
              <wp:anchor distT="0" distB="0" distL="0" distR="0" allowOverlap="1" layoutInCell="1" locked="0" behindDoc="0" simplePos="0" relativeHeight="15789568">
                <wp:simplePos x="0" y="0"/>
                <wp:positionH relativeFrom="page">
                  <wp:posOffset>6966436</wp:posOffset>
                </wp:positionH>
                <wp:positionV relativeFrom="paragraph">
                  <wp:posOffset>-104266</wp:posOffset>
                </wp:positionV>
                <wp:extent cx="263525" cy="327025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63525" cy="3270250"/>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10"/>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11</w:t>
                            </w:r>
                            <w:r>
                              <w:rPr>
                                <w:spacing w:val="-7"/>
                                <w:sz w:val="12"/>
                              </w:rPr>
                              <w:t> </w:t>
                            </w:r>
                            <w:r>
                              <w:rPr>
                                <w:sz w:val="12"/>
                              </w:rPr>
                              <w:t>de</w:t>
                            </w:r>
                            <w:r>
                              <w:rPr>
                                <w:spacing w:val="-7"/>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8.209936pt;width:20.75pt;height:257.5pt;mso-position-horizontal-relative:page;mso-position-vertical-relative:paragraph;z-index:15789568" type="#_x0000_t202" id="docshape18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10"/>
                          <w:sz w:val="12"/>
                        </w:rPr>
                        <w:t> </w:t>
                      </w:r>
                      <w:r>
                        <w:rPr>
                          <w:sz w:val="12"/>
                        </w:rPr>
                        <w:t>firmado</w:t>
                      </w:r>
                      <w:r>
                        <w:rPr>
                          <w:spacing w:val="-7"/>
                          <w:sz w:val="12"/>
                        </w:rPr>
                        <w:t> </w:t>
                      </w:r>
                      <w:r>
                        <w:rPr>
                          <w:sz w:val="12"/>
                        </w:rPr>
                        <w:t>electrónicamente</w:t>
                      </w:r>
                      <w:r>
                        <w:rPr>
                          <w:spacing w:val="-7"/>
                          <w:sz w:val="12"/>
                        </w:rPr>
                        <w:t> </w:t>
                      </w:r>
                      <w:r>
                        <w:rPr>
                          <w:sz w:val="12"/>
                        </w:rPr>
                        <w:t>desde</w:t>
                      </w:r>
                      <w:r>
                        <w:rPr>
                          <w:spacing w:val="-7"/>
                          <w:sz w:val="12"/>
                        </w:rPr>
                        <w:t> </w:t>
                      </w:r>
                      <w:r>
                        <w:rPr>
                          <w:sz w:val="12"/>
                        </w:rPr>
                        <w:t>la</w:t>
                      </w:r>
                      <w:r>
                        <w:rPr>
                          <w:spacing w:val="-7"/>
                          <w:sz w:val="12"/>
                        </w:rPr>
                        <w:t> </w:t>
                      </w:r>
                      <w:r>
                        <w:rPr>
                          <w:sz w:val="12"/>
                        </w:rPr>
                        <w:t>plataforma</w:t>
                      </w:r>
                      <w:r>
                        <w:rPr>
                          <w:spacing w:val="-7"/>
                          <w:sz w:val="12"/>
                        </w:rPr>
                        <w:t> </w:t>
                      </w:r>
                      <w:r>
                        <w:rPr>
                          <w:sz w:val="12"/>
                        </w:rPr>
                        <w:t>esPublico</w:t>
                      </w:r>
                      <w:r>
                        <w:rPr>
                          <w:spacing w:val="-7"/>
                          <w:sz w:val="12"/>
                        </w:rPr>
                        <w:t> </w:t>
                      </w:r>
                      <w:r>
                        <w:rPr>
                          <w:sz w:val="12"/>
                        </w:rPr>
                        <w:t>Gestiona</w:t>
                      </w:r>
                      <w:r>
                        <w:rPr>
                          <w:spacing w:val="-7"/>
                          <w:sz w:val="12"/>
                        </w:rPr>
                        <w:t> </w:t>
                      </w:r>
                      <w:r>
                        <w:rPr>
                          <w:sz w:val="12"/>
                        </w:rPr>
                        <w:t>|</w:t>
                      </w:r>
                      <w:r>
                        <w:rPr>
                          <w:spacing w:val="-7"/>
                          <w:sz w:val="12"/>
                        </w:rPr>
                        <w:t> </w:t>
                      </w:r>
                      <w:r>
                        <w:rPr>
                          <w:sz w:val="12"/>
                        </w:rPr>
                        <w:t>Página</w:t>
                      </w:r>
                      <w:r>
                        <w:rPr>
                          <w:spacing w:val="-7"/>
                          <w:sz w:val="12"/>
                        </w:rPr>
                        <w:t> </w:t>
                      </w:r>
                      <w:r>
                        <w:rPr>
                          <w:sz w:val="12"/>
                        </w:rPr>
                        <w:t>11</w:t>
                      </w:r>
                      <w:r>
                        <w:rPr>
                          <w:spacing w:val="-7"/>
                          <w:sz w:val="12"/>
                        </w:rPr>
                        <w:t> </w:t>
                      </w:r>
                      <w:r>
                        <w:rPr>
                          <w:sz w:val="12"/>
                        </w:rPr>
                        <w:t>de</w:t>
                      </w:r>
                      <w:r>
                        <w:rPr>
                          <w:spacing w:val="-7"/>
                          <w:sz w:val="12"/>
                        </w:rPr>
                        <w:t> </w:t>
                      </w:r>
                      <w:r>
                        <w:rPr>
                          <w:spacing w:val="-5"/>
                          <w:sz w:val="12"/>
                        </w:rPr>
                        <w:t>69</w:t>
                      </w:r>
                    </w:p>
                  </w:txbxContent>
                </v:textbox>
                <w10:wrap type="none"/>
              </v:shape>
            </w:pict>
          </mc:Fallback>
        </mc:AlternateContent>
      </w:r>
      <w:r>
        <w:rPr>
          <w:rFonts w:ascii="Tahoma" w:hAnsi="Tahoma"/>
          <w:i/>
          <w:sz w:val="20"/>
        </w:rPr>
        <w:t>Detalles sobre el panorama competitivo, las macro y micro condiciones de las jurisdicciones en que opera y los principales retos políticos, ambientales o tecnológicos a los que se enfrenta en dichos ambientes.</w:t>
      </w:r>
    </w:p>
    <w:p>
      <w:pPr>
        <w:pStyle w:val="BodyText"/>
        <w:spacing w:line="362" w:lineRule="auto" w:before="213"/>
        <w:ind w:left="1341" w:right="1338"/>
        <w:jc w:val="both"/>
      </w:pPr>
      <w:r>
        <w:rPr/>
        <w:t>Las partes interesadas que tienen influencia y a su vez son afectadas por las decisiones de Guaguas Municipales han sido tenidas en cuenta en el análisis y la planificación estratégica de la empresa para el periodo 2024- 2027.</w:t>
      </w:r>
    </w:p>
    <w:p>
      <w:pPr>
        <w:pStyle w:val="BodyText"/>
        <w:spacing w:line="362" w:lineRule="auto" w:before="194"/>
        <w:ind w:left="1341" w:right="1308"/>
      </w:pPr>
      <w:r>
        <w:rPr/>
        <w:t>Los</w:t>
      </w:r>
      <w:r>
        <w:rPr>
          <w:spacing w:val="40"/>
        </w:rPr>
        <w:t> </w:t>
      </w:r>
      <w:r>
        <w:rPr/>
        <w:t>grupos</w:t>
      </w:r>
      <w:r>
        <w:rPr>
          <w:spacing w:val="40"/>
        </w:rPr>
        <w:t> </w:t>
      </w:r>
      <w:r>
        <w:rPr/>
        <w:t>de</w:t>
      </w:r>
      <w:r>
        <w:rPr>
          <w:spacing w:val="40"/>
        </w:rPr>
        <w:t> </w:t>
      </w:r>
      <w:r>
        <w:rPr/>
        <w:t>interés</w:t>
      </w:r>
      <w:r>
        <w:rPr>
          <w:spacing w:val="40"/>
        </w:rPr>
        <w:t> </w:t>
      </w:r>
      <w:r>
        <w:rPr/>
        <w:t>considerados</w:t>
      </w:r>
      <w:r>
        <w:rPr>
          <w:spacing w:val="40"/>
        </w:rPr>
        <w:t> </w:t>
      </w:r>
      <w:r>
        <w:rPr/>
        <w:t>son</w:t>
      </w:r>
      <w:r>
        <w:rPr>
          <w:spacing w:val="40"/>
        </w:rPr>
        <w:t> </w:t>
      </w:r>
      <w:r>
        <w:rPr/>
        <w:t>los</w:t>
      </w:r>
      <w:r>
        <w:rPr>
          <w:spacing w:val="40"/>
        </w:rPr>
        <w:t> </w:t>
      </w:r>
      <w:r>
        <w:rPr/>
        <w:t>que</w:t>
      </w:r>
      <w:r>
        <w:rPr>
          <w:spacing w:val="40"/>
        </w:rPr>
        <w:t> </w:t>
      </w:r>
      <w:r>
        <w:rPr/>
        <w:t>se</w:t>
      </w:r>
      <w:r>
        <w:rPr>
          <w:spacing w:val="40"/>
        </w:rPr>
        <w:t> </w:t>
      </w:r>
      <w:r>
        <w:rPr/>
        <w:t>muestran</w:t>
      </w:r>
      <w:r>
        <w:rPr>
          <w:spacing w:val="40"/>
        </w:rPr>
        <w:t> </w:t>
      </w:r>
      <w:r>
        <w:rPr/>
        <w:t>a</w:t>
      </w:r>
      <w:r>
        <w:rPr>
          <w:spacing w:val="40"/>
        </w:rPr>
        <w:t> </w:t>
      </w:r>
      <w:r>
        <w:rPr/>
        <w:t>continuación,</w:t>
      </w:r>
      <w:r>
        <w:rPr>
          <w:spacing w:val="40"/>
        </w:rPr>
        <w:t> </w:t>
      </w:r>
      <w:r>
        <w:rPr/>
        <w:t>pasando</w:t>
      </w:r>
      <w:r>
        <w:rPr>
          <w:spacing w:val="40"/>
        </w:rPr>
        <w:t> </w:t>
      </w:r>
      <w:r>
        <w:rPr/>
        <w:t>a destacar los aspectos más significativos de los principales grupos:</w:t>
      </w:r>
    </w:p>
    <w:p>
      <w:pPr>
        <w:pStyle w:val="BodyText"/>
        <w:spacing w:before="196"/>
        <w:ind w:left="1341"/>
      </w:pPr>
      <w:r>
        <w:rPr>
          <w:spacing w:val="-2"/>
        </w:rPr>
        <w:t>Clientes</w:t>
      </w:r>
    </w:p>
    <w:p>
      <w:pPr>
        <w:pStyle w:val="BodyText"/>
        <w:tabs>
          <w:tab w:pos="2060" w:val="left" w:leader="none"/>
        </w:tabs>
        <w:spacing w:before="115"/>
        <w:ind w:left="1701"/>
      </w:pPr>
      <w:r>
        <w:rPr>
          <w:spacing w:val="-10"/>
        </w:rPr>
        <w:t></w:t>
      </w:r>
      <w:r>
        <w:rPr/>
        <w:tab/>
      </w:r>
      <w:r>
        <w:rPr>
          <w:spacing w:val="-2"/>
        </w:rPr>
        <w:t>Viajeros</w:t>
      </w:r>
    </w:p>
    <w:p>
      <w:pPr>
        <w:pStyle w:val="BodyText"/>
        <w:tabs>
          <w:tab w:pos="2061" w:val="left" w:leader="none"/>
          <w:tab w:pos="3038" w:val="left" w:leader="none"/>
          <w:tab w:pos="4376" w:val="left" w:leader="none"/>
          <w:tab w:pos="4808" w:val="left" w:leader="none"/>
          <w:tab w:pos="5709" w:val="left" w:leader="none"/>
          <w:tab w:pos="7101" w:val="left" w:leader="none"/>
          <w:tab w:pos="7867" w:val="left" w:leader="none"/>
          <w:tab w:pos="9293" w:val="left" w:leader="none"/>
        </w:tabs>
        <w:spacing w:line="360" w:lineRule="auto" w:before="113"/>
        <w:ind w:left="2061" w:right="1338" w:hanging="360"/>
      </w:pPr>
      <w:r>
        <w:rPr>
          <w:spacing w:val="-10"/>
        </w:rPr>
        <w:t></w:t>
      </w:r>
      <w:r>
        <w:rPr/>
        <w:tab/>
      </w:r>
      <w:r>
        <w:rPr>
          <w:spacing w:val="-2"/>
        </w:rPr>
        <w:t>Grandes</w:t>
      </w:r>
      <w:r>
        <w:rPr/>
        <w:tab/>
      </w:r>
      <w:r>
        <w:rPr>
          <w:spacing w:val="-2"/>
        </w:rPr>
        <w:t>generadores</w:t>
      </w:r>
      <w:r>
        <w:rPr/>
        <w:tab/>
      </w:r>
      <w:r>
        <w:rPr>
          <w:spacing w:val="-6"/>
        </w:rPr>
        <w:t>de</w:t>
      </w:r>
      <w:r>
        <w:rPr/>
        <w:tab/>
      </w:r>
      <w:r>
        <w:rPr>
          <w:spacing w:val="-2"/>
        </w:rPr>
        <w:t>viajeros</w:t>
      </w:r>
      <w:r>
        <w:rPr/>
        <w:tab/>
      </w:r>
      <w:r>
        <w:rPr>
          <w:spacing w:val="-2"/>
        </w:rPr>
        <w:t>(Universidad,</w:t>
      </w:r>
      <w:r>
        <w:rPr/>
        <w:tab/>
      </w:r>
      <w:r>
        <w:rPr>
          <w:spacing w:val="-2"/>
        </w:rPr>
        <w:t>Zonas</w:t>
      </w:r>
      <w:r>
        <w:rPr/>
        <w:tab/>
      </w:r>
      <w:r>
        <w:rPr>
          <w:spacing w:val="-2"/>
        </w:rPr>
        <w:t>Hospitalarias,</w:t>
      </w:r>
      <w:r>
        <w:rPr/>
        <w:tab/>
      </w:r>
      <w:r>
        <w:rPr>
          <w:spacing w:val="-2"/>
        </w:rPr>
        <w:t>Zonas </w:t>
      </w:r>
      <w:r>
        <w:rPr/>
        <w:t>Comerciales, Zonas Administrativas)</w:t>
      </w:r>
    </w:p>
    <w:p>
      <w:pPr>
        <w:pStyle w:val="BodyText"/>
        <w:spacing w:after="0" w:line="360" w:lineRule="auto"/>
        <w:sectPr>
          <w:pgSz w:w="11910" w:h="16840"/>
          <w:pgMar w:header="384" w:footer="1060" w:top="1200" w:bottom="1260" w:left="360" w:right="360"/>
        </w:sectPr>
      </w:pPr>
    </w:p>
    <w:p>
      <w:pPr>
        <w:pStyle w:val="BodyText"/>
        <w:tabs>
          <w:tab w:pos="2061" w:val="left" w:leader="none"/>
        </w:tabs>
        <w:spacing w:line="360" w:lineRule="auto" w:before="215"/>
        <w:ind w:left="1341" w:right="2207" w:firstLine="360"/>
      </w:pPr>
      <w:r>
        <w:rPr>
          <w:spacing w:val="-10"/>
        </w:rPr>
        <w:t></w:t>
      </w:r>
      <w:r>
        <w:rPr/>
        <w:tab/>
        <w:t>Asociaciones</w:t>
      </w:r>
      <w:r>
        <w:rPr>
          <w:spacing w:val="-2"/>
        </w:rPr>
        <w:t> </w:t>
      </w:r>
      <w:r>
        <w:rPr/>
        <w:t>vecinales</w:t>
      </w:r>
      <w:r>
        <w:rPr>
          <w:spacing w:val="-2"/>
        </w:rPr>
        <w:t> </w:t>
      </w:r>
      <w:r>
        <w:rPr/>
        <w:t>y</w:t>
      </w:r>
      <w:r>
        <w:rPr>
          <w:spacing w:val="-7"/>
        </w:rPr>
        <w:t> </w:t>
      </w:r>
      <w:r>
        <w:rPr/>
        <w:t>grupos</w:t>
      </w:r>
      <w:r>
        <w:rPr>
          <w:spacing w:val="-4"/>
        </w:rPr>
        <w:t> </w:t>
      </w:r>
      <w:r>
        <w:rPr/>
        <w:t>organizados</w:t>
      </w:r>
      <w:r>
        <w:rPr>
          <w:spacing w:val="-5"/>
        </w:rPr>
        <w:t> </w:t>
      </w:r>
      <w:r>
        <w:rPr/>
        <w:t>de</w:t>
      </w:r>
      <w:r>
        <w:rPr>
          <w:spacing w:val="-7"/>
        </w:rPr>
        <w:t> </w:t>
      </w:r>
      <w:r>
        <w:rPr/>
        <w:t>ciudadanos</w:t>
      </w:r>
      <w:r>
        <w:rPr>
          <w:spacing w:val="-5"/>
        </w:rPr>
        <w:t> </w:t>
      </w:r>
      <w:r>
        <w:rPr/>
        <w:t>(ONCE,</w:t>
      </w:r>
      <w:r>
        <w:rPr>
          <w:spacing w:val="-4"/>
        </w:rPr>
        <w:t> </w:t>
      </w:r>
      <w:r>
        <w:rPr/>
        <w:t>CERMI) Ayuntamiento de Las Palmas de Gran Canaria</w:t>
      </w:r>
    </w:p>
    <w:p>
      <w:pPr>
        <w:pStyle w:val="BodyText"/>
        <w:spacing w:line="229" w:lineRule="exact"/>
        <w:ind w:left="1341"/>
      </w:pPr>
      <w:r>
        <w:rPr/>
        <w:t>Cabildo</w:t>
      </w:r>
      <w:r>
        <w:rPr>
          <w:spacing w:val="-8"/>
        </w:rPr>
        <w:t> </w:t>
      </w:r>
      <w:r>
        <w:rPr/>
        <w:t>de</w:t>
      </w:r>
      <w:r>
        <w:rPr>
          <w:spacing w:val="-5"/>
        </w:rPr>
        <w:t> </w:t>
      </w:r>
      <w:r>
        <w:rPr/>
        <w:t>Gran</w:t>
      </w:r>
      <w:r>
        <w:rPr>
          <w:spacing w:val="-8"/>
        </w:rPr>
        <w:t> </w:t>
      </w:r>
      <w:r>
        <w:rPr>
          <w:spacing w:val="-2"/>
        </w:rPr>
        <w:t>Canaria</w:t>
      </w:r>
    </w:p>
    <w:p>
      <w:pPr>
        <w:pStyle w:val="BodyText"/>
        <w:tabs>
          <w:tab w:pos="2061" w:val="left" w:leader="none"/>
        </w:tabs>
        <w:spacing w:line="360" w:lineRule="auto" w:before="116"/>
        <w:ind w:left="1341" w:right="6352" w:firstLine="360"/>
      </w:pPr>
      <w:r>
        <w:rPr>
          <w:spacing w:val="-10"/>
        </w:rPr>
        <w:t></w:t>
      </w:r>
      <w:r>
        <w:rPr/>
        <w:tab/>
        <w:t>Autoridad</w:t>
      </w:r>
      <w:r>
        <w:rPr>
          <w:spacing w:val="-12"/>
        </w:rPr>
        <w:t> </w:t>
      </w:r>
      <w:r>
        <w:rPr/>
        <w:t>Única</w:t>
      </w:r>
      <w:r>
        <w:rPr>
          <w:spacing w:val="-12"/>
        </w:rPr>
        <w:t> </w:t>
      </w:r>
      <w:r>
        <w:rPr/>
        <w:t>del</w:t>
      </w:r>
      <w:r>
        <w:rPr>
          <w:spacing w:val="-9"/>
        </w:rPr>
        <w:t> </w:t>
      </w:r>
      <w:r>
        <w:rPr/>
        <w:t>Transporte Trabajadores y representantes</w:t>
      </w:r>
    </w:p>
    <w:p>
      <w:pPr>
        <w:pStyle w:val="BodyText"/>
        <w:tabs>
          <w:tab w:pos="2061" w:val="left" w:leader="none"/>
        </w:tabs>
        <w:spacing w:before="1"/>
        <w:ind w:left="1701"/>
      </w:pPr>
      <w:r>
        <w:rPr>
          <w:spacing w:val="-10"/>
        </w:rPr>
        <w:t></w:t>
      </w:r>
      <w:r>
        <w:rPr/>
        <w:tab/>
        <w:t>Trabajadores</w:t>
      </w:r>
      <w:r>
        <w:rPr>
          <w:spacing w:val="-8"/>
        </w:rPr>
        <w:t> </w:t>
      </w:r>
      <w:r>
        <w:rPr/>
        <w:t>de</w:t>
      </w:r>
      <w:r>
        <w:rPr>
          <w:spacing w:val="-10"/>
        </w:rPr>
        <w:t> </w:t>
      </w:r>
      <w:r>
        <w:rPr/>
        <w:t>Guaguas</w:t>
      </w:r>
      <w:r>
        <w:rPr>
          <w:spacing w:val="-8"/>
        </w:rPr>
        <w:t> </w:t>
      </w:r>
      <w:r>
        <w:rPr>
          <w:spacing w:val="-2"/>
        </w:rPr>
        <w:t>Municipales</w:t>
      </w:r>
    </w:p>
    <w:p>
      <w:pPr>
        <w:pStyle w:val="BodyText"/>
        <w:tabs>
          <w:tab w:pos="2060" w:val="left" w:leader="none"/>
        </w:tabs>
        <w:spacing w:before="113"/>
        <w:ind w:left="1701"/>
      </w:pPr>
      <w:r>
        <w:rPr>
          <w:spacing w:val="-10"/>
        </w:rPr>
        <w:t></w:t>
      </w:r>
      <w:r>
        <w:rPr/>
        <w:tab/>
      </w:r>
      <w:r>
        <w:rPr>
          <w:spacing w:val="-2"/>
        </w:rPr>
        <w:t>Sindicatos</w:t>
      </w:r>
    </w:p>
    <w:p>
      <w:pPr>
        <w:pStyle w:val="BodyText"/>
        <w:tabs>
          <w:tab w:pos="2061" w:val="left" w:leader="none"/>
        </w:tabs>
        <w:spacing w:line="360" w:lineRule="auto" w:before="116"/>
        <w:ind w:left="1341" w:right="6242" w:firstLine="360"/>
      </w:pPr>
      <w:r>
        <w:rPr>
          <w:spacing w:val="-10"/>
        </w:rPr>
        <w:t></w:t>
      </w:r>
      <w:r>
        <w:rPr/>
        <w:tab/>
        <w:t>Comité de Seguridad y Salud Organismos</w:t>
      </w:r>
      <w:r>
        <w:rPr>
          <w:spacing w:val="-12"/>
        </w:rPr>
        <w:t> </w:t>
      </w:r>
      <w:r>
        <w:rPr/>
        <w:t>e</w:t>
      </w:r>
      <w:r>
        <w:rPr>
          <w:spacing w:val="-14"/>
        </w:rPr>
        <w:t> </w:t>
      </w:r>
      <w:r>
        <w:rPr/>
        <w:t>Instituciones</w:t>
      </w:r>
      <w:r>
        <w:rPr>
          <w:spacing w:val="-10"/>
        </w:rPr>
        <w:t> </w:t>
      </w:r>
      <w:r>
        <w:rPr/>
        <w:t>Reguladoras</w:t>
      </w:r>
    </w:p>
    <w:p>
      <w:pPr>
        <w:pStyle w:val="BodyText"/>
        <w:tabs>
          <w:tab w:pos="2060" w:val="left" w:leader="none"/>
        </w:tabs>
        <w:spacing w:line="229" w:lineRule="exact"/>
        <w:ind w:left="1701"/>
      </w:pPr>
      <w:r>
        <w:rPr>
          <w:spacing w:val="-10"/>
        </w:rPr>
        <w:t></w:t>
      </w:r>
      <w:r>
        <w:rPr/>
        <w:tab/>
      </w:r>
      <w:r>
        <w:rPr>
          <w:spacing w:val="-2"/>
        </w:rPr>
        <w:t>Transporte</w:t>
      </w:r>
    </w:p>
    <w:p>
      <w:pPr>
        <w:pStyle w:val="BodyText"/>
        <w:tabs>
          <w:tab w:pos="2061" w:val="left" w:leader="none"/>
        </w:tabs>
        <w:spacing w:before="116"/>
        <w:ind w:left="1701"/>
      </w:pPr>
      <w:r>
        <w:rPr>
          <w:spacing w:val="-10"/>
        </w:rPr>
        <w:t></w:t>
      </w:r>
      <w:r>
        <w:rPr/>
        <w:tab/>
        <w:t>Organismos</w:t>
      </w:r>
      <w:r>
        <w:rPr>
          <w:spacing w:val="-8"/>
        </w:rPr>
        <w:t> </w:t>
      </w:r>
      <w:r>
        <w:rPr/>
        <w:t>e</w:t>
      </w:r>
      <w:r>
        <w:rPr>
          <w:spacing w:val="-10"/>
        </w:rPr>
        <w:t> </w:t>
      </w:r>
      <w:r>
        <w:rPr/>
        <w:t>instituciones</w:t>
      </w:r>
      <w:r>
        <w:rPr>
          <w:spacing w:val="-6"/>
        </w:rPr>
        <w:t> </w:t>
      </w:r>
      <w:r>
        <w:rPr>
          <w:spacing w:val="-2"/>
        </w:rPr>
        <w:t>medioambientales</w:t>
      </w:r>
    </w:p>
    <w:p>
      <w:pPr>
        <w:pStyle w:val="BodyText"/>
        <w:tabs>
          <w:tab w:pos="2060" w:val="left" w:leader="none"/>
        </w:tabs>
        <w:spacing w:line="360" w:lineRule="auto" w:before="115"/>
        <w:ind w:left="2061" w:right="1339" w:hanging="360"/>
      </w:pPr>
      <w:r>
        <w:rPr>
          <w:spacing w:val="-10"/>
        </w:rPr>
        <w:t></w:t>
      </w:r>
      <w:r>
        <w:rPr/>
        <w:tab/>
        <w:t>Organismos e</w:t>
      </w:r>
      <w:r>
        <w:rPr>
          <w:spacing w:val="-3"/>
        </w:rPr>
        <w:t> </w:t>
      </w:r>
      <w:r>
        <w:rPr/>
        <w:t>instituciones vinculadas a</w:t>
      </w:r>
      <w:r>
        <w:rPr>
          <w:spacing w:val="-1"/>
        </w:rPr>
        <w:t> </w:t>
      </w:r>
      <w:r>
        <w:rPr/>
        <w:t>la</w:t>
      </w:r>
      <w:r>
        <w:rPr>
          <w:spacing w:val="-1"/>
        </w:rPr>
        <w:t> </w:t>
      </w:r>
      <w:r>
        <w:rPr/>
        <w:t>seguridad</w:t>
      </w:r>
      <w:r>
        <w:rPr>
          <w:spacing w:val="-1"/>
        </w:rPr>
        <w:t> </w:t>
      </w:r>
      <w:r>
        <w:rPr/>
        <w:t>y</w:t>
      </w:r>
      <w:r>
        <w:rPr>
          <w:spacing w:val="-1"/>
        </w:rPr>
        <w:t> </w:t>
      </w:r>
      <w:r>
        <w:rPr/>
        <w:t>salud de los</w:t>
      </w:r>
      <w:r>
        <w:rPr>
          <w:spacing w:val="-2"/>
        </w:rPr>
        <w:t> </w:t>
      </w:r>
      <w:r>
        <w:rPr/>
        <w:t>trabajadores (INSS y Consejería de Sanidad)</w:t>
      </w:r>
    </w:p>
    <w:p>
      <w:pPr>
        <w:pStyle w:val="BodyText"/>
        <w:tabs>
          <w:tab w:pos="2061" w:val="left" w:leader="none"/>
        </w:tabs>
        <w:spacing w:line="229" w:lineRule="exact"/>
        <w:ind w:left="1701"/>
      </w:pPr>
      <w:r>
        <w:rPr>
          <w:spacing w:val="-10"/>
        </w:rPr>
        <w:t></w:t>
      </w:r>
      <w:r>
        <w:rPr/>
        <w:tab/>
        <w:t>Inspección</w:t>
      </w:r>
      <w:r>
        <w:rPr>
          <w:spacing w:val="-5"/>
        </w:rPr>
        <w:t> </w:t>
      </w:r>
      <w:r>
        <w:rPr/>
        <w:t>de</w:t>
      </w:r>
      <w:r>
        <w:rPr>
          <w:spacing w:val="-7"/>
        </w:rPr>
        <w:t> </w:t>
      </w:r>
      <w:r>
        <w:rPr/>
        <w:t>Trabajo</w:t>
      </w:r>
      <w:r>
        <w:rPr>
          <w:spacing w:val="-6"/>
        </w:rPr>
        <w:t> </w:t>
      </w:r>
      <w:r>
        <w:rPr/>
        <w:t>e</w:t>
      </w:r>
      <w:r>
        <w:rPr>
          <w:spacing w:val="-7"/>
        </w:rPr>
        <w:t> </w:t>
      </w:r>
      <w:r>
        <w:rPr>
          <w:spacing w:val="-2"/>
        </w:rPr>
        <w:t>ICASEL</w:t>
      </w:r>
    </w:p>
    <w:p>
      <w:pPr>
        <w:pStyle w:val="BodyText"/>
        <w:tabs>
          <w:tab w:pos="2061" w:val="left" w:leader="none"/>
        </w:tabs>
        <w:spacing w:before="116"/>
        <w:ind w:left="1701"/>
      </w:pPr>
      <w:r>
        <w:rPr>
          <w:spacing w:val="-10"/>
        </w:rPr>
        <w:t></w:t>
      </w:r>
      <w:r>
        <w:rPr/>
        <w:tab/>
        <w:t>Mutua</w:t>
      </w:r>
      <w:r>
        <w:rPr>
          <w:spacing w:val="-9"/>
        </w:rPr>
        <w:t> </w:t>
      </w:r>
      <w:r>
        <w:rPr/>
        <w:t>de</w:t>
      </w:r>
      <w:r>
        <w:rPr>
          <w:spacing w:val="-6"/>
        </w:rPr>
        <w:t> </w:t>
      </w:r>
      <w:r>
        <w:rPr/>
        <w:t>Accidentes</w:t>
      </w:r>
      <w:r>
        <w:rPr>
          <w:spacing w:val="-3"/>
        </w:rPr>
        <w:t> </w:t>
      </w:r>
      <w:r>
        <w:rPr/>
        <w:t>de</w:t>
      </w:r>
      <w:r>
        <w:rPr>
          <w:spacing w:val="-7"/>
        </w:rPr>
        <w:t> </w:t>
      </w:r>
      <w:r>
        <w:rPr>
          <w:spacing w:val="-2"/>
        </w:rPr>
        <w:t>Trabajo</w:t>
      </w:r>
    </w:p>
    <w:p>
      <w:pPr>
        <w:pStyle w:val="BodyText"/>
        <w:tabs>
          <w:tab w:pos="2061" w:val="left" w:leader="none"/>
        </w:tabs>
        <w:spacing w:line="360" w:lineRule="auto" w:before="115"/>
        <w:ind w:left="1341" w:right="6028" w:firstLine="360"/>
      </w:pPr>
      <w:r>
        <w:rPr>
          <w:spacing w:val="-10"/>
        </w:rPr>
        <w:t></w:t>
      </w:r>
      <w:r>
        <w:rPr/>
        <w:tab/>
        <w:t>Servicio de Prevención Ajeno Actores</w:t>
      </w:r>
      <w:r>
        <w:rPr>
          <w:spacing w:val="-9"/>
        </w:rPr>
        <w:t> </w:t>
      </w:r>
      <w:r>
        <w:rPr/>
        <w:t>críticos</w:t>
      </w:r>
      <w:r>
        <w:rPr>
          <w:spacing w:val="-10"/>
        </w:rPr>
        <w:t> </w:t>
      </w:r>
      <w:r>
        <w:rPr/>
        <w:t>vinculados</w:t>
      </w:r>
      <w:r>
        <w:rPr>
          <w:spacing w:val="-6"/>
        </w:rPr>
        <w:t> </w:t>
      </w:r>
      <w:r>
        <w:rPr/>
        <w:t>a</w:t>
      </w:r>
      <w:r>
        <w:rPr>
          <w:spacing w:val="-10"/>
        </w:rPr>
        <w:t> </w:t>
      </w:r>
      <w:r>
        <w:rPr/>
        <w:t>MetroGuagua</w:t>
      </w:r>
    </w:p>
    <w:p>
      <w:pPr>
        <w:pStyle w:val="BodyText"/>
        <w:tabs>
          <w:tab w:pos="2060" w:val="left" w:leader="none"/>
        </w:tabs>
        <w:spacing w:line="229" w:lineRule="exact"/>
        <w:ind w:left="1701"/>
      </w:pPr>
      <w:r>
        <w:rPr>
          <w:spacing w:val="-10"/>
        </w:rPr>
        <w:t></w:t>
      </w:r>
      <w:r>
        <w:rPr/>
        <w:tab/>
        <w:t>Banco</w:t>
      </w:r>
      <w:r>
        <w:rPr>
          <w:spacing w:val="-6"/>
        </w:rPr>
        <w:t> </w:t>
      </w:r>
      <w:r>
        <w:rPr/>
        <w:t>Europeo</w:t>
      </w:r>
      <w:r>
        <w:rPr>
          <w:spacing w:val="-7"/>
        </w:rPr>
        <w:t> </w:t>
      </w:r>
      <w:r>
        <w:rPr/>
        <w:t>de</w:t>
      </w:r>
      <w:r>
        <w:rPr>
          <w:spacing w:val="-4"/>
        </w:rPr>
        <w:t> </w:t>
      </w:r>
      <w:r>
        <w:rPr>
          <w:spacing w:val="-2"/>
        </w:rPr>
        <w:t>Inversiones</w:t>
      </w:r>
    </w:p>
    <w:p>
      <w:pPr>
        <w:pStyle w:val="BodyText"/>
        <w:tabs>
          <w:tab w:pos="2060" w:val="left" w:leader="none"/>
        </w:tabs>
        <w:spacing w:line="360" w:lineRule="auto" w:before="116"/>
        <w:ind w:left="1341" w:right="6139" w:firstLine="360"/>
      </w:pPr>
      <w:r>
        <w:rPr>
          <w:spacing w:val="-10"/>
        </w:rPr>
        <w:t></w:t>
      </w:r>
      <w:r>
        <w:rPr/>
        <w:tab/>
        <w:t>GEURSA-</w:t>
      </w:r>
      <w:r>
        <w:rPr>
          <w:spacing w:val="-10"/>
        </w:rPr>
        <w:t> </w:t>
      </w:r>
      <w:r>
        <w:rPr/>
        <w:t>Servicio</w:t>
      </w:r>
      <w:r>
        <w:rPr>
          <w:spacing w:val="-10"/>
        </w:rPr>
        <w:t> </w:t>
      </w:r>
      <w:r>
        <w:rPr/>
        <w:t>de</w:t>
      </w:r>
      <w:r>
        <w:rPr>
          <w:spacing w:val="-10"/>
        </w:rPr>
        <w:t> </w:t>
      </w:r>
      <w:r>
        <w:rPr/>
        <w:t>Urbanismo </w:t>
      </w:r>
      <w:r>
        <w:rPr>
          <w:spacing w:val="-2"/>
        </w:rPr>
        <w:t>Partners</w:t>
      </w:r>
    </w:p>
    <w:p>
      <w:pPr>
        <w:pStyle w:val="BodyText"/>
        <w:spacing w:before="1"/>
        <w:ind w:left="1341"/>
      </w:pPr>
      <w:r>
        <w:rPr>
          <w:spacing w:val="-2"/>
        </w:rPr>
        <w:t>Proveedores</w:t>
      </w:r>
    </w:p>
    <w:p>
      <w:pPr>
        <w:pStyle w:val="BodyText"/>
        <w:spacing w:before="114"/>
        <w:ind w:left="1341"/>
      </w:pPr>
      <w:r>
        <w:rPr/>
        <w:t>Otros</w:t>
      </w:r>
      <w:r>
        <w:rPr>
          <w:spacing w:val="-8"/>
        </w:rPr>
        <w:t> </w:t>
      </w:r>
      <w:r>
        <w:rPr/>
        <w:t>Operadores</w:t>
      </w:r>
      <w:r>
        <w:rPr>
          <w:spacing w:val="-6"/>
        </w:rPr>
        <w:t> </w:t>
      </w:r>
      <w:r>
        <w:rPr/>
        <w:t>Insulares</w:t>
      </w:r>
      <w:r>
        <w:rPr>
          <w:spacing w:val="-6"/>
        </w:rPr>
        <w:t> </w:t>
      </w:r>
      <w:r>
        <w:rPr/>
        <w:t>del</w:t>
      </w:r>
      <w:r>
        <w:rPr>
          <w:spacing w:val="-8"/>
        </w:rPr>
        <w:t> </w:t>
      </w:r>
      <w:r>
        <w:rPr>
          <w:spacing w:val="-2"/>
        </w:rPr>
        <w:t>Transporte</w:t>
      </w:r>
    </w:p>
    <w:p>
      <w:pPr>
        <w:pStyle w:val="BodyText"/>
        <w:tabs>
          <w:tab w:pos="2060" w:val="left" w:leader="none"/>
        </w:tabs>
        <w:spacing w:before="115"/>
        <w:ind w:left="1701"/>
      </w:pPr>
      <w:r>
        <w:rPr>
          <w:spacing w:val="-10"/>
        </w:rPr>
        <w:t></w:t>
      </w:r>
      <w:r>
        <w:rPr/>
        <w:tab/>
      </w:r>
      <w:r>
        <w:rPr>
          <w:spacing w:val="-2"/>
        </w:rPr>
        <w:t>Global</w:t>
      </w:r>
    </w:p>
    <w:p>
      <w:pPr>
        <w:pStyle w:val="BodyText"/>
        <w:spacing w:line="360" w:lineRule="auto" w:before="116"/>
        <w:ind w:left="1341" w:right="5505"/>
      </w:pPr>
      <w:r>
        <w:rPr/>
        <w:t>Policía</w:t>
      </w:r>
      <w:r>
        <w:rPr>
          <w:spacing w:val="-5"/>
        </w:rPr>
        <w:t> </w:t>
      </w:r>
      <w:r>
        <w:rPr/>
        <w:t>Local</w:t>
      </w:r>
      <w:r>
        <w:rPr>
          <w:spacing w:val="-4"/>
        </w:rPr>
        <w:t> </w:t>
      </w:r>
      <w:r>
        <w:rPr/>
        <w:t>y</w:t>
      </w:r>
      <w:r>
        <w:rPr>
          <w:spacing w:val="-7"/>
        </w:rPr>
        <w:t> </w:t>
      </w:r>
      <w:r>
        <w:rPr/>
        <w:t>otras</w:t>
      </w:r>
      <w:r>
        <w:rPr>
          <w:spacing w:val="-6"/>
        </w:rPr>
        <w:t> </w:t>
      </w:r>
      <w:r>
        <w:rPr/>
        <w:t>fuerzas</w:t>
      </w:r>
      <w:r>
        <w:rPr>
          <w:spacing w:val="-4"/>
        </w:rPr>
        <w:t> </w:t>
      </w:r>
      <w:r>
        <w:rPr/>
        <w:t>de</w:t>
      </w:r>
      <w:r>
        <w:rPr>
          <w:spacing w:val="-7"/>
        </w:rPr>
        <w:t> </w:t>
      </w:r>
      <w:r>
        <w:rPr/>
        <w:t>Seguridad Asociaciones del sector de la movilidad</w:t>
      </w:r>
    </w:p>
    <w:p>
      <w:pPr>
        <w:pStyle w:val="BodyText"/>
        <w:tabs>
          <w:tab w:pos="2061" w:val="left" w:leader="none"/>
        </w:tabs>
        <w:spacing w:line="229" w:lineRule="exact"/>
        <w:ind w:left="1701"/>
      </w:pPr>
      <w:r>
        <w:rPr/>
        <mc:AlternateContent>
          <mc:Choice Requires="wps">
            <w:drawing>
              <wp:anchor distT="0" distB="0" distL="0" distR="0" allowOverlap="1" layoutInCell="1" locked="0" behindDoc="0" simplePos="0" relativeHeight="15790080">
                <wp:simplePos x="0" y="0"/>
                <wp:positionH relativeFrom="page">
                  <wp:posOffset>6966436</wp:posOffset>
                </wp:positionH>
                <wp:positionV relativeFrom="paragraph">
                  <wp:posOffset>178084</wp:posOffset>
                </wp:positionV>
                <wp:extent cx="263525" cy="327596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4.022383pt;width:20.75pt;height:257.95pt;mso-position-horizontal-relative:page;mso-position-vertical-relative:paragraph;z-index:15790080" type="#_x0000_t202" id="docshape18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pacing w:val="-10"/>
        </w:rPr>
        <w:t></w:t>
      </w:r>
      <w:r>
        <w:rPr/>
        <w:tab/>
        <w:t>Asociación</w:t>
      </w:r>
      <w:r>
        <w:rPr>
          <w:spacing w:val="-8"/>
        </w:rPr>
        <w:t> </w:t>
      </w:r>
      <w:r>
        <w:rPr/>
        <w:t>de</w:t>
      </w:r>
      <w:r>
        <w:rPr>
          <w:spacing w:val="-9"/>
        </w:rPr>
        <w:t> </w:t>
      </w:r>
      <w:r>
        <w:rPr/>
        <w:t>empleados</w:t>
      </w:r>
      <w:r>
        <w:rPr>
          <w:spacing w:val="-8"/>
        </w:rPr>
        <w:t> </w:t>
      </w:r>
      <w:r>
        <w:rPr/>
        <w:t>autónomos</w:t>
      </w:r>
      <w:r>
        <w:rPr>
          <w:spacing w:val="-7"/>
        </w:rPr>
        <w:t> </w:t>
      </w:r>
      <w:r>
        <w:rPr/>
        <w:t>del</w:t>
      </w:r>
      <w:r>
        <w:rPr>
          <w:spacing w:val="-10"/>
        </w:rPr>
        <w:t> </w:t>
      </w:r>
      <w:r>
        <w:rPr>
          <w:spacing w:val="-4"/>
        </w:rPr>
        <w:t>taxi</w:t>
      </w:r>
    </w:p>
    <w:p>
      <w:pPr>
        <w:pStyle w:val="BodyText"/>
        <w:tabs>
          <w:tab w:pos="2060" w:val="left" w:leader="none"/>
        </w:tabs>
        <w:spacing w:before="115"/>
        <w:ind w:left="1701"/>
      </w:pPr>
      <w:r>
        <w:rPr>
          <w:spacing w:val="-10"/>
        </w:rPr>
        <w:t></w:t>
      </w:r>
      <w:r>
        <w:rPr/>
        <w:tab/>
        <w:t>LPA</w:t>
      </w:r>
      <w:r>
        <w:rPr>
          <w:spacing w:val="-8"/>
        </w:rPr>
        <w:t> </w:t>
      </w:r>
      <w:r>
        <w:rPr/>
        <w:t>en</w:t>
      </w:r>
      <w:r>
        <w:rPr>
          <w:spacing w:val="-1"/>
        </w:rPr>
        <w:t> </w:t>
      </w:r>
      <w:r>
        <w:rPr>
          <w:spacing w:val="-4"/>
        </w:rPr>
        <w:t>bici</w:t>
      </w:r>
    </w:p>
    <w:p>
      <w:pPr>
        <w:pStyle w:val="BodyText"/>
        <w:tabs>
          <w:tab w:pos="2060" w:val="left" w:leader="none"/>
        </w:tabs>
        <w:spacing w:before="116"/>
        <w:ind w:left="1701"/>
      </w:pPr>
      <w:r>
        <w:rPr>
          <w:spacing w:val="-10"/>
        </w:rPr>
        <w:t></w:t>
      </w:r>
      <w:r>
        <w:rPr/>
        <w:tab/>
      </w:r>
      <w:r>
        <w:rPr>
          <w:spacing w:val="-2"/>
        </w:rPr>
        <w:t>Fredica</w:t>
      </w:r>
    </w:p>
    <w:p>
      <w:pPr>
        <w:pStyle w:val="BodyText"/>
        <w:tabs>
          <w:tab w:pos="2060" w:val="left" w:leader="none"/>
        </w:tabs>
        <w:spacing w:line="360" w:lineRule="auto" w:before="113"/>
        <w:ind w:left="1341" w:right="7633" w:firstLine="360"/>
      </w:pPr>
      <w:r>
        <w:rPr>
          <w:spacing w:val="-10"/>
        </w:rPr>
        <w:t></w:t>
      </w:r>
      <w:r>
        <w:rPr/>
        <w:tab/>
      </w:r>
      <w:r>
        <w:rPr>
          <w:spacing w:val="-2"/>
        </w:rPr>
        <w:t>Sagulpa </w:t>
      </w:r>
      <w:r>
        <w:rPr/>
        <w:t>Entidades</w:t>
      </w:r>
      <w:r>
        <w:rPr>
          <w:spacing w:val="-14"/>
        </w:rPr>
        <w:t> </w:t>
      </w:r>
      <w:r>
        <w:rPr/>
        <w:t>colaboradoras</w:t>
      </w:r>
    </w:p>
    <w:p>
      <w:pPr>
        <w:pStyle w:val="BodyText"/>
        <w:tabs>
          <w:tab w:pos="2060" w:val="left" w:leader="none"/>
        </w:tabs>
        <w:spacing w:line="360" w:lineRule="auto" w:before="2"/>
        <w:ind w:left="1341" w:right="6433" w:firstLine="360"/>
      </w:pPr>
      <w:r>
        <w:rPr>
          <w:spacing w:val="-10"/>
        </w:rPr>
        <w:t></w:t>
      </w:r>
      <w:r>
        <w:rPr/>
        <w:tab/>
        <w:t>Cruz</w:t>
      </w:r>
      <w:r>
        <w:rPr>
          <w:spacing w:val="-14"/>
        </w:rPr>
        <w:t> </w:t>
      </w:r>
      <w:r>
        <w:rPr/>
        <w:t>Roja-Cáritas</w:t>
      </w:r>
      <w:r>
        <w:rPr>
          <w:spacing w:val="-14"/>
        </w:rPr>
        <w:t> </w:t>
      </w:r>
      <w:r>
        <w:rPr/>
        <w:t>Diocesanas Sociedad Civil</w:t>
      </w:r>
    </w:p>
    <w:p>
      <w:pPr>
        <w:pStyle w:val="BodyText"/>
        <w:tabs>
          <w:tab w:pos="2061" w:val="left" w:leader="none"/>
        </w:tabs>
        <w:spacing w:line="229" w:lineRule="exact"/>
        <w:ind w:left="1701"/>
      </w:pPr>
      <w:r>
        <w:rPr>
          <w:spacing w:val="-10"/>
        </w:rPr>
        <w:t></w:t>
      </w:r>
      <w:r>
        <w:rPr/>
        <w:tab/>
        <w:t>Confederación</w:t>
      </w:r>
      <w:r>
        <w:rPr>
          <w:spacing w:val="-11"/>
        </w:rPr>
        <w:t> </w:t>
      </w:r>
      <w:r>
        <w:rPr/>
        <w:t>Canaria</w:t>
      </w:r>
      <w:r>
        <w:rPr>
          <w:spacing w:val="-10"/>
        </w:rPr>
        <w:t> </w:t>
      </w:r>
      <w:r>
        <w:rPr/>
        <w:t>de</w:t>
      </w:r>
      <w:r>
        <w:rPr>
          <w:spacing w:val="-8"/>
        </w:rPr>
        <w:t> </w:t>
      </w:r>
      <w:r>
        <w:rPr/>
        <w:t>Empresarios</w:t>
      </w:r>
      <w:r>
        <w:rPr>
          <w:spacing w:val="-10"/>
        </w:rPr>
        <w:t> </w:t>
      </w:r>
      <w:r>
        <w:rPr>
          <w:spacing w:val="-4"/>
        </w:rPr>
        <w:t>(CCE)</w:t>
      </w:r>
    </w:p>
    <w:p>
      <w:pPr>
        <w:pStyle w:val="BodyText"/>
        <w:tabs>
          <w:tab w:pos="2061" w:val="left" w:leader="none"/>
        </w:tabs>
        <w:spacing w:line="360" w:lineRule="auto" w:before="115"/>
        <w:ind w:left="1341" w:right="5422" w:firstLine="360"/>
      </w:pPr>
      <w:r>
        <w:rPr>
          <w:spacing w:val="-10"/>
        </w:rPr>
        <w:t></w:t>
      </w:r>
      <w:r>
        <w:rPr/>
        <w:tab/>
        <w:t>Clúster</w:t>
      </w:r>
      <w:r>
        <w:rPr>
          <w:spacing w:val="-6"/>
        </w:rPr>
        <w:t> </w:t>
      </w:r>
      <w:r>
        <w:rPr/>
        <w:t>Canario</w:t>
      </w:r>
      <w:r>
        <w:rPr>
          <w:spacing w:val="-8"/>
        </w:rPr>
        <w:t> </w:t>
      </w:r>
      <w:r>
        <w:rPr/>
        <w:t>de</w:t>
      </w:r>
      <w:r>
        <w:rPr>
          <w:spacing w:val="-8"/>
        </w:rPr>
        <w:t> </w:t>
      </w:r>
      <w:r>
        <w:rPr/>
        <w:t>Transporte</w:t>
      </w:r>
      <w:r>
        <w:rPr>
          <w:spacing w:val="-7"/>
        </w:rPr>
        <w:t> </w:t>
      </w:r>
      <w:r>
        <w:rPr/>
        <w:t>y</w:t>
      </w:r>
      <w:r>
        <w:rPr>
          <w:spacing w:val="-8"/>
        </w:rPr>
        <w:t> </w:t>
      </w:r>
      <w:r>
        <w:rPr/>
        <w:t>Logística Medios de comunicación</w:t>
      </w:r>
    </w:p>
    <w:p>
      <w:pPr>
        <w:pStyle w:val="BodyText"/>
        <w:spacing w:after="0" w:line="360" w:lineRule="auto"/>
        <w:sectPr>
          <w:pgSz w:w="11910" w:h="16840"/>
          <w:pgMar w:header="384" w:footer="1060" w:top="1200" w:bottom="1260" w:left="360" w:right="360"/>
        </w:sectPr>
      </w:pPr>
    </w:p>
    <w:p>
      <w:pPr>
        <w:pStyle w:val="BodyText"/>
        <w:spacing w:line="362" w:lineRule="auto" w:before="215"/>
        <w:ind w:left="1341" w:right="1308"/>
      </w:pPr>
      <w:r>
        <w:rPr/>
        <w:t>Clientes.</w:t>
      </w:r>
      <w:r>
        <w:rPr>
          <w:spacing w:val="40"/>
        </w:rPr>
        <w:t> </w:t>
      </w:r>
      <w:r>
        <w:rPr/>
        <w:t>El</w:t>
      </w:r>
      <w:r>
        <w:rPr>
          <w:spacing w:val="40"/>
        </w:rPr>
        <w:t> </w:t>
      </w:r>
      <w:r>
        <w:rPr/>
        <w:t>cliente</w:t>
      </w:r>
      <w:r>
        <w:rPr>
          <w:spacing w:val="40"/>
        </w:rPr>
        <w:t> </w:t>
      </w:r>
      <w:r>
        <w:rPr/>
        <w:t>quiere</w:t>
      </w:r>
      <w:r>
        <w:rPr>
          <w:spacing w:val="40"/>
        </w:rPr>
        <w:t> </w:t>
      </w:r>
      <w:r>
        <w:rPr/>
        <w:t>satisfacer</w:t>
      </w:r>
      <w:r>
        <w:rPr>
          <w:spacing w:val="40"/>
        </w:rPr>
        <w:t> </w:t>
      </w:r>
      <w:r>
        <w:rPr/>
        <w:t>sus</w:t>
      </w:r>
      <w:r>
        <w:rPr>
          <w:spacing w:val="40"/>
        </w:rPr>
        <w:t> </w:t>
      </w:r>
      <w:r>
        <w:rPr/>
        <w:t>necesidades</w:t>
      </w:r>
      <w:r>
        <w:rPr>
          <w:spacing w:val="40"/>
        </w:rPr>
        <w:t> </w:t>
      </w:r>
      <w:r>
        <w:rPr/>
        <w:t>de</w:t>
      </w:r>
      <w:r>
        <w:rPr>
          <w:spacing w:val="40"/>
        </w:rPr>
        <w:t> </w:t>
      </w:r>
      <w:r>
        <w:rPr/>
        <w:t>transporte</w:t>
      </w:r>
      <w:r>
        <w:rPr>
          <w:spacing w:val="40"/>
        </w:rPr>
        <w:t> </w:t>
      </w:r>
      <w:r>
        <w:rPr/>
        <w:t>y</w:t>
      </w:r>
      <w:r>
        <w:rPr>
          <w:spacing w:val="40"/>
        </w:rPr>
        <w:t> </w:t>
      </w:r>
      <w:r>
        <w:rPr/>
        <w:t>movilidad.</w:t>
      </w:r>
      <w:r>
        <w:rPr>
          <w:spacing w:val="40"/>
        </w:rPr>
        <w:t> </w:t>
      </w:r>
      <w:r>
        <w:rPr/>
        <w:t>Para</w:t>
      </w:r>
      <w:r>
        <w:rPr>
          <w:spacing w:val="40"/>
        </w:rPr>
        <w:t> </w:t>
      </w:r>
      <w:r>
        <w:rPr/>
        <w:t>ello </w:t>
      </w:r>
      <w:r>
        <w:rPr>
          <w:spacing w:val="-2"/>
        </w:rPr>
        <w:t>requiere:</w:t>
      </w:r>
    </w:p>
    <w:p>
      <w:pPr>
        <w:pStyle w:val="ListParagraph"/>
        <w:numPr>
          <w:ilvl w:val="0"/>
          <w:numId w:val="33"/>
        </w:numPr>
        <w:tabs>
          <w:tab w:pos="2061" w:val="left" w:leader="none"/>
        </w:tabs>
        <w:spacing w:line="240" w:lineRule="auto" w:before="211" w:after="0"/>
        <w:ind w:left="2061" w:right="0" w:hanging="360"/>
        <w:jc w:val="left"/>
        <w:rPr>
          <w:sz w:val="20"/>
        </w:rPr>
      </w:pPr>
      <w:r>
        <w:rPr>
          <w:sz w:val="20"/>
        </w:rPr>
        <w:t>Servicio</w:t>
      </w:r>
      <w:r>
        <w:rPr>
          <w:spacing w:val="-7"/>
          <w:sz w:val="20"/>
        </w:rPr>
        <w:t> </w:t>
      </w:r>
      <w:r>
        <w:rPr>
          <w:sz w:val="20"/>
        </w:rPr>
        <w:t>suficiente</w:t>
      </w:r>
      <w:r>
        <w:rPr>
          <w:spacing w:val="-7"/>
          <w:sz w:val="20"/>
        </w:rPr>
        <w:t> </w:t>
      </w:r>
      <w:r>
        <w:rPr>
          <w:sz w:val="20"/>
        </w:rPr>
        <w:t>y</w:t>
      </w:r>
      <w:r>
        <w:rPr>
          <w:spacing w:val="-8"/>
          <w:sz w:val="20"/>
        </w:rPr>
        <w:t> </w:t>
      </w:r>
      <w:r>
        <w:rPr>
          <w:sz w:val="20"/>
        </w:rPr>
        <w:t>horarios</w:t>
      </w:r>
      <w:r>
        <w:rPr>
          <w:spacing w:val="-6"/>
          <w:sz w:val="20"/>
        </w:rPr>
        <w:t> </w:t>
      </w:r>
      <w:r>
        <w:rPr>
          <w:spacing w:val="-2"/>
          <w:sz w:val="20"/>
        </w:rPr>
        <w:t>apropiados.</w:t>
      </w:r>
    </w:p>
    <w:p>
      <w:pPr>
        <w:pStyle w:val="ListParagraph"/>
        <w:numPr>
          <w:ilvl w:val="0"/>
          <w:numId w:val="33"/>
        </w:numPr>
        <w:tabs>
          <w:tab w:pos="2061" w:val="left" w:leader="none"/>
        </w:tabs>
        <w:spacing w:line="240" w:lineRule="auto" w:before="126" w:after="0"/>
        <w:ind w:left="2061" w:right="0" w:hanging="360"/>
        <w:jc w:val="left"/>
        <w:rPr>
          <w:sz w:val="20"/>
        </w:rPr>
      </w:pPr>
      <w:r>
        <w:rPr>
          <w:spacing w:val="-2"/>
          <w:sz w:val="20"/>
        </w:rPr>
        <w:t>Puntualidad,</w:t>
      </w:r>
      <w:r>
        <w:rPr>
          <w:spacing w:val="6"/>
          <w:sz w:val="20"/>
        </w:rPr>
        <w:t> </w:t>
      </w:r>
      <w:r>
        <w:rPr>
          <w:spacing w:val="-2"/>
          <w:sz w:val="20"/>
        </w:rPr>
        <w:t>frecuencia.</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Conducción</w:t>
      </w:r>
      <w:r>
        <w:rPr>
          <w:spacing w:val="-9"/>
          <w:sz w:val="20"/>
        </w:rPr>
        <w:t> </w:t>
      </w:r>
      <w:r>
        <w:rPr>
          <w:sz w:val="20"/>
        </w:rPr>
        <w:t>cómoda</w:t>
      </w:r>
      <w:r>
        <w:rPr>
          <w:spacing w:val="-2"/>
          <w:sz w:val="20"/>
        </w:rPr>
        <w:t> </w:t>
      </w:r>
      <w:r>
        <w:rPr>
          <w:sz w:val="20"/>
        </w:rPr>
        <w:t>y</w:t>
      </w:r>
      <w:r>
        <w:rPr>
          <w:spacing w:val="-11"/>
          <w:sz w:val="20"/>
        </w:rPr>
        <w:t> </w:t>
      </w:r>
      <w:r>
        <w:rPr>
          <w:spacing w:val="-2"/>
          <w:sz w:val="20"/>
        </w:rPr>
        <w:t>segura.</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Confort,</w:t>
      </w:r>
      <w:r>
        <w:rPr>
          <w:spacing w:val="-9"/>
          <w:sz w:val="20"/>
        </w:rPr>
        <w:t> </w:t>
      </w:r>
      <w:r>
        <w:rPr>
          <w:sz w:val="20"/>
        </w:rPr>
        <w:t>rapidez,</w:t>
      </w:r>
      <w:r>
        <w:rPr>
          <w:spacing w:val="-7"/>
          <w:sz w:val="20"/>
        </w:rPr>
        <w:t> </w:t>
      </w:r>
      <w:r>
        <w:rPr>
          <w:sz w:val="20"/>
        </w:rPr>
        <w:t>limpieza,</w:t>
      </w:r>
      <w:r>
        <w:rPr>
          <w:spacing w:val="-6"/>
          <w:sz w:val="20"/>
        </w:rPr>
        <w:t> </w:t>
      </w:r>
      <w:r>
        <w:rPr>
          <w:sz w:val="20"/>
        </w:rPr>
        <w:t>amabilidad</w:t>
      </w:r>
      <w:r>
        <w:rPr>
          <w:spacing w:val="-7"/>
          <w:sz w:val="20"/>
        </w:rPr>
        <w:t> </w:t>
      </w:r>
      <w:r>
        <w:rPr>
          <w:sz w:val="20"/>
        </w:rPr>
        <w:t>en</w:t>
      </w:r>
      <w:r>
        <w:rPr>
          <w:spacing w:val="-9"/>
          <w:sz w:val="20"/>
        </w:rPr>
        <w:t> </w:t>
      </w:r>
      <w:r>
        <w:rPr>
          <w:sz w:val="20"/>
        </w:rPr>
        <w:t>el</w:t>
      </w:r>
      <w:r>
        <w:rPr>
          <w:spacing w:val="-10"/>
          <w:sz w:val="20"/>
        </w:rPr>
        <w:t> </w:t>
      </w:r>
      <w:r>
        <w:rPr>
          <w:spacing w:val="-2"/>
          <w:sz w:val="20"/>
        </w:rPr>
        <w:t>trato.</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Atención,</w:t>
      </w:r>
      <w:r>
        <w:rPr>
          <w:spacing w:val="-13"/>
          <w:sz w:val="20"/>
        </w:rPr>
        <w:t> </w:t>
      </w:r>
      <w:r>
        <w:rPr>
          <w:spacing w:val="-2"/>
          <w:sz w:val="20"/>
        </w:rPr>
        <w:t>información.</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Precios</w:t>
      </w:r>
      <w:r>
        <w:rPr>
          <w:spacing w:val="-12"/>
          <w:sz w:val="20"/>
        </w:rPr>
        <w:t> </w:t>
      </w:r>
      <w:r>
        <w:rPr>
          <w:spacing w:val="-2"/>
          <w:sz w:val="20"/>
        </w:rPr>
        <w:t>razonables.</w:t>
      </w:r>
    </w:p>
    <w:p>
      <w:pPr>
        <w:pStyle w:val="BodyText"/>
        <w:spacing w:before="84"/>
      </w:pPr>
    </w:p>
    <w:p>
      <w:pPr>
        <w:pStyle w:val="BodyText"/>
        <w:spacing w:line="362" w:lineRule="auto"/>
        <w:ind w:left="1341" w:right="1308"/>
      </w:pPr>
      <w:r>
        <w:rPr/>
        <w:t>Trabajadores</w:t>
      </w:r>
      <w:r>
        <w:rPr>
          <w:spacing w:val="34"/>
        </w:rPr>
        <w:t> </w:t>
      </w:r>
      <w:r>
        <w:rPr/>
        <w:t>y representantes.</w:t>
      </w:r>
      <w:r>
        <w:rPr>
          <w:spacing w:val="30"/>
        </w:rPr>
        <w:t> </w:t>
      </w:r>
      <w:r>
        <w:rPr/>
        <w:t>Dependiendo</w:t>
      </w:r>
      <w:r>
        <w:rPr>
          <w:spacing w:val="30"/>
        </w:rPr>
        <w:t> </w:t>
      </w:r>
      <w:r>
        <w:rPr/>
        <w:t>del</w:t>
      </w:r>
      <w:r>
        <w:rPr>
          <w:spacing w:val="28"/>
        </w:rPr>
        <w:t> </w:t>
      </w:r>
      <w:r>
        <w:rPr/>
        <w:t>departamento,</w:t>
      </w:r>
      <w:r>
        <w:rPr>
          <w:spacing w:val="30"/>
        </w:rPr>
        <w:t> </w:t>
      </w:r>
      <w:r>
        <w:rPr/>
        <w:t>los</w:t>
      </w:r>
      <w:r>
        <w:rPr>
          <w:spacing w:val="30"/>
        </w:rPr>
        <w:t> </w:t>
      </w:r>
      <w:r>
        <w:rPr/>
        <w:t>requisitos</w:t>
      </w:r>
      <w:r>
        <w:rPr>
          <w:spacing w:val="32"/>
        </w:rPr>
        <w:t> </w:t>
      </w:r>
      <w:r>
        <w:rPr/>
        <w:t>pueden</w:t>
      </w:r>
      <w:r>
        <w:rPr>
          <w:spacing w:val="29"/>
        </w:rPr>
        <w:t> </w:t>
      </w:r>
      <w:r>
        <w:rPr/>
        <w:t>variar sustancialmente, pero podemos enunciar requisitos comunes como son:</w:t>
      </w:r>
    </w:p>
    <w:p>
      <w:pPr>
        <w:pStyle w:val="BodyText"/>
        <w:spacing w:after="0" w:line="362" w:lineRule="auto"/>
        <w:sectPr>
          <w:pgSz w:w="11910" w:h="16840"/>
          <w:pgMar w:header="384" w:footer="1060" w:top="1200" w:bottom="1260" w:left="360" w:right="360"/>
        </w:sectPr>
      </w:pPr>
    </w:p>
    <w:p>
      <w:pPr>
        <w:pStyle w:val="ListParagraph"/>
        <w:numPr>
          <w:ilvl w:val="0"/>
          <w:numId w:val="33"/>
        </w:numPr>
        <w:tabs>
          <w:tab w:pos="2061" w:val="left" w:leader="none"/>
        </w:tabs>
        <w:spacing w:line="240" w:lineRule="auto" w:before="210" w:after="0"/>
        <w:ind w:left="2061" w:right="0" w:hanging="360"/>
        <w:jc w:val="left"/>
        <w:rPr>
          <w:sz w:val="20"/>
        </w:rPr>
      </w:pPr>
      <w:r>
        <w:rPr>
          <w:sz w:val="20"/>
        </w:rPr>
        <w:t>El</w:t>
      </w:r>
      <w:r>
        <w:rPr>
          <w:spacing w:val="-7"/>
          <w:sz w:val="20"/>
        </w:rPr>
        <w:t> </w:t>
      </w:r>
      <w:r>
        <w:rPr>
          <w:sz w:val="20"/>
        </w:rPr>
        <w:t>cumplimiento</w:t>
      </w:r>
      <w:r>
        <w:rPr>
          <w:spacing w:val="-3"/>
          <w:sz w:val="20"/>
        </w:rPr>
        <w:t> </w:t>
      </w:r>
      <w:r>
        <w:rPr>
          <w:sz w:val="20"/>
        </w:rPr>
        <w:t>de</w:t>
      </w:r>
      <w:r>
        <w:rPr>
          <w:spacing w:val="-2"/>
          <w:sz w:val="20"/>
        </w:rPr>
        <w:t> </w:t>
      </w:r>
      <w:r>
        <w:rPr>
          <w:sz w:val="20"/>
        </w:rPr>
        <w:t>los</w:t>
      </w:r>
      <w:r>
        <w:rPr>
          <w:spacing w:val="-6"/>
          <w:sz w:val="20"/>
        </w:rPr>
        <w:t> </w:t>
      </w:r>
      <w:r>
        <w:rPr>
          <w:sz w:val="20"/>
        </w:rPr>
        <w:t>términos</w:t>
      </w:r>
      <w:r>
        <w:rPr>
          <w:spacing w:val="-4"/>
          <w:sz w:val="20"/>
        </w:rPr>
        <w:t> </w:t>
      </w:r>
      <w:r>
        <w:rPr>
          <w:sz w:val="20"/>
        </w:rPr>
        <w:t>de</w:t>
      </w:r>
      <w:r>
        <w:rPr>
          <w:spacing w:val="-7"/>
          <w:sz w:val="20"/>
        </w:rPr>
        <w:t> </w:t>
      </w:r>
      <w:r>
        <w:rPr>
          <w:sz w:val="20"/>
        </w:rPr>
        <w:t>la</w:t>
      </w:r>
      <w:r>
        <w:rPr>
          <w:spacing w:val="-6"/>
          <w:sz w:val="20"/>
        </w:rPr>
        <w:t> </w:t>
      </w:r>
      <w:r>
        <w:rPr>
          <w:sz w:val="20"/>
        </w:rPr>
        <w:t>relación</w:t>
      </w:r>
      <w:r>
        <w:rPr>
          <w:spacing w:val="-6"/>
          <w:sz w:val="20"/>
        </w:rPr>
        <w:t> </w:t>
      </w:r>
      <w:r>
        <w:rPr>
          <w:spacing w:val="-2"/>
          <w:sz w:val="20"/>
        </w:rPr>
        <w:t>contractual.</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Seguridad</w:t>
      </w:r>
      <w:r>
        <w:rPr>
          <w:spacing w:val="-4"/>
          <w:sz w:val="20"/>
        </w:rPr>
        <w:t> </w:t>
      </w:r>
      <w:r>
        <w:rPr>
          <w:sz w:val="20"/>
        </w:rPr>
        <w:t>y</w:t>
      </w:r>
      <w:r>
        <w:rPr>
          <w:spacing w:val="-11"/>
          <w:sz w:val="20"/>
        </w:rPr>
        <w:t> </w:t>
      </w:r>
      <w:r>
        <w:rPr>
          <w:sz w:val="20"/>
        </w:rPr>
        <w:t>salud</w:t>
      </w:r>
      <w:r>
        <w:rPr>
          <w:spacing w:val="-6"/>
          <w:sz w:val="20"/>
        </w:rPr>
        <w:t> </w:t>
      </w:r>
      <w:r>
        <w:rPr>
          <w:spacing w:val="-2"/>
          <w:sz w:val="20"/>
        </w:rPr>
        <w:t>laboral.</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Condiciones</w:t>
      </w:r>
      <w:r>
        <w:rPr>
          <w:spacing w:val="-7"/>
          <w:sz w:val="20"/>
        </w:rPr>
        <w:t> </w:t>
      </w:r>
      <w:r>
        <w:rPr>
          <w:sz w:val="20"/>
        </w:rPr>
        <w:t>de</w:t>
      </w:r>
      <w:r>
        <w:rPr>
          <w:spacing w:val="-7"/>
          <w:sz w:val="20"/>
        </w:rPr>
        <w:t> </w:t>
      </w:r>
      <w:r>
        <w:rPr>
          <w:sz w:val="20"/>
        </w:rPr>
        <w:t>trabajo</w:t>
      </w:r>
      <w:r>
        <w:rPr>
          <w:spacing w:val="-9"/>
          <w:sz w:val="20"/>
        </w:rPr>
        <w:t> </w:t>
      </w:r>
      <w:r>
        <w:rPr>
          <w:sz w:val="20"/>
        </w:rPr>
        <w:t>óptimas</w:t>
      </w:r>
      <w:r>
        <w:rPr>
          <w:spacing w:val="-7"/>
          <w:sz w:val="20"/>
        </w:rPr>
        <w:t> </w:t>
      </w:r>
      <w:r>
        <w:rPr>
          <w:sz w:val="20"/>
        </w:rPr>
        <w:t>para</w:t>
      </w:r>
      <w:r>
        <w:rPr>
          <w:spacing w:val="-9"/>
          <w:sz w:val="20"/>
        </w:rPr>
        <w:t> </w:t>
      </w:r>
      <w:r>
        <w:rPr>
          <w:sz w:val="20"/>
        </w:rPr>
        <w:t>desempeñar</w:t>
      </w:r>
      <w:r>
        <w:rPr>
          <w:spacing w:val="-4"/>
          <w:sz w:val="20"/>
        </w:rPr>
        <w:t> </w:t>
      </w:r>
      <w:r>
        <w:rPr>
          <w:sz w:val="20"/>
        </w:rPr>
        <w:t>la</w:t>
      </w:r>
      <w:r>
        <w:rPr>
          <w:spacing w:val="-9"/>
          <w:sz w:val="20"/>
        </w:rPr>
        <w:t> </w:t>
      </w:r>
      <w:r>
        <w:rPr>
          <w:spacing w:val="-2"/>
          <w:sz w:val="20"/>
        </w:rPr>
        <w:t>función.</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Formación</w:t>
      </w:r>
      <w:r>
        <w:rPr>
          <w:spacing w:val="-12"/>
          <w:sz w:val="20"/>
        </w:rPr>
        <w:t> </w:t>
      </w:r>
      <w:r>
        <w:rPr>
          <w:spacing w:val="-2"/>
          <w:sz w:val="20"/>
        </w:rPr>
        <w:t>específica.</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Reconocimiento</w:t>
      </w:r>
      <w:r>
        <w:rPr>
          <w:spacing w:val="-10"/>
          <w:sz w:val="20"/>
        </w:rPr>
        <w:t> </w:t>
      </w:r>
      <w:r>
        <w:rPr>
          <w:sz w:val="20"/>
        </w:rPr>
        <w:t>del</w:t>
      </w:r>
      <w:r>
        <w:rPr>
          <w:spacing w:val="-10"/>
          <w:sz w:val="20"/>
        </w:rPr>
        <w:t> </w:t>
      </w:r>
      <w:r>
        <w:rPr>
          <w:sz w:val="20"/>
        </w:rPr>
        <w:t>trabajo</w:t>
      </w:r>
      <w:r>
        <w:rPr>
          <w:spacing w:val="-6"/>
          <w:sz w:val="20"/>
        </w:rPr>
        <w:t> </w:t>
      </w:r>
      <w:r>
        <w:rPr>
          <w:sz w:val="20"/>
        </w:rPr>
        <w:t>bien</w:t>
      </w:r>
      <w:r>
        <w:rPr>
          <w:spacing w:val="-9"/>
          <w:sz w:val="20"/>
        </w:rPr>
        <w:t> </w:t>
      </w:r>
      <w:r>
        <w:rPr>
          <w:spacing w:val="-2"/>
          <w:sz w:val="20"/>
        </w:rPr>
        <w:t>hecho.</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Flexibilidad</w:t>
      </w:r>
      <w:r>
        <w:rPr>
          <w:spacing w:val="-8"/>
          <w:sz w:val="20"/>
        </w:rPr>
        <w:t> </w:t>
      </w:r>
      <w:r>
        <w:rPr>
          <w:sz w:val="20"/>
        </w:rPr>
        <w:t>para</w:t>
      </w:r>
      <w:r>
        <w:rPr>
          <w:spacing w:val="-9"/>
          <w:sz w:val="20"/>
        </w:rPr>
        <w:t> </w:t>
      </w:r>
      <w:r>
        <w:rPr>
          <w:sz w:val="20"/>
        </w:rPr>
        <w:t>conciliar</w:t>
      </w:r>
      <w:r>
        <w:rPr>
          <w:spacing w:val="-5"/>
          <w:sz w:val="20"/>
        </w:rPr>
        <w:t> </w:t>
      </w:r>
      <w:r>
        <w:rPr>
          <w:sz w:val="20"/>
        </w:rPr>
        <w:t>vida</w:t>
      </w:r>
      <w:r>
        <w:rPr>
          <w:spacing w:val="-8"/>
          <w:sz w:val="20"/>
        </w:rPr>
        <w:t> </w:t>
      </w:r>
      <w:r>
        <w:rPr>
          <w:sz w:val="20"/>
        </w:rPr>
        <w:t>familiar</w:t>
      </w:r>
      <w:r>
        <w:rPr>
          <w:spacing w:val="-4"/>
          <w:sz w:val="20"/>
        </w:rPr>
        <w:t> </w:t>
      </w:r>
      <w:r>
        <w:rPr>
          <w:sz w:val="20"/>
        </w:rPr>
        <w:t>y</w:t>
      </w:r>
      <w:r>
        <w:rPr>
          <w:spacing w:val="-9"/>
          <w:sz w:val="20"/>
        </w:rPr>
        <w:t> </w:t>
      </w:r>
      <w:r>
        <w:rPr>
          <w:spacing w:val="-2"/>
          <w:sz w:val="20"/>
        </w:rPr>
        <w:t>laboral.</w:t>
      </w:r>
    </w:p>
    <w:p>
      <w:pPr>
        <w:pStyle w:val="ListParagraph"/>
        <w:numPr>
          <w:ilvl w:val="0"/>
          <w:numId w:val="33"/>
        </w:numPr>
        <w:tabs>
          <w:tab w:pos="2061" w:val="left" w:leader="none"/>
        </w:tabs>
        <w:spacing w:line="360" w:lineRule="auto" w:before="127" w:after="0"/>
        <w:ind w:left="2061" w:right="0" w:hanging="360"/>
        <w:jc w:val="left"/>
        <w:rPr>
          <w:sz w:val="20"/>
        </w:rPr>
      </w:pPr>
      <w:r>
        <w:rPr>
          <w:sz w:val="20"/>
        </w:rPr>
        <w:t>Ser</w:t>
      </w:r>
      <w:r>
        <w:rPr>
          <w:spacing w:val="80"/>
          <w:sz w:val="20"/>
        </w:rPr>
        <w:t> </w:t>
      </w:r>
      <w:r>
        <w:rPr>
          <w:sz w:val="20"/>
        </w:rPr>
        <w:t>tenidos</w:t>
      </w:r>
      <w:r>
        <w:rPr>
          <w:spacing w:val="80"/>
          <w:sz w:val="20"/>
        </w:rPr>
        <w:t> </w:t>
      </w:r>
      <w:r>
        <w:rPr>
          <w:sz w:val="20"/>
        </w:rPr>
        <w:t>en</w:t>
      </w:r>
      <w:r>
        <w:rPr>
          <w:spacing w:val="80"/>
          <w:sz w:val="20"/>
        </w:rPr>
        <w:t> </w:t>
      </w:r>
      <w:r>
        <w:rPr>
          <w:sz w:val="20"/>
        </w:rPr>
        <w:t>cuenta</w:t>
      </w:r>
      <w:r>
        <w:rPr>
          <w:spacing w:val="80"/>
          <w:sz w:val="20"/>
        </w:rPr>
        <w:t> </w:t>
      </w:r>
      <w:r>
        <w:rPr>
          <w:sz w:val="20"/>
        </w:rPr>
        <w:t>en</w:t>
      </w:r>
      <w:r>
        <w:rPr>
          <w:spacing w:val="80"/>
          <w:sz w:val="20"/>
        </w:rPr>
        <w:t> </w:t>
      </w:r>
      <w:r>
        <w:rPr>
          <w:sz w:val="20"/>
        </w:rPr>
        <w:t>la</w:t>
      </w:r>
      <w:r>
        <w:rPr>
          <w:spacing w:val="80"/>
          <w:sz w:val="20"/>
        </w:rPr>
        <w:t> </w:t>
      </w:r>
      <w:r>
        <w:rPr>
          <w:sz w:val="20"/>
        </w:rPr>
        <w:t>toma</w:t>
      </w:r>
      <w:r>
        <w:rPr>
          <w:spacing w:val="80"/>
          <w:sz w:val="20"/>
        </w:rPr>
        <w:t> </w:t>
      </w:r>
      <w:r>
        <w:rPr>
          <w:sz w:val="20"/>
        </w:rPr>
        <w:t>de</w:t>
      </w:r>
      <w:r>
        <w:rPr>
          <w:spacing w:val="80"/>
          <w:sz w:val="20"/>
        </w:rPr>
        <w:t> </w:t>
      </w:r>
      <w:r>
        <w:rPr>
          <w:sz w:val="20"/>
        </w:rPr>
        <w:t>decisiones</w:t>
      </w:r>
      <w:r>
        <w:rPr>
          <w:spacing w:val="80"/>
          <w:sz w:val="20"/>
        </w:rPr>
        <w:t> </w:t>
      </w:r>
      <w:r>
        <w:rPr>
          <w:sz w:val="20"/>
        </w:rPr>
        <w:t>de</w:t>
      </w:r>
      <w:r>
        <w:rPr>
          <w:spacing w:val="80"/>
          <w:sz w:val="20"/>
        </w:rPr>
        <w:t> </w:t>
      </w:r>
      <w:r>
        <w:rPr>
          <w:sz w:val="20"/>
        </w:rPr>
        <w:t>asuntos </w:t>
      </w:r>
      <w:r>
        <w:rPr>
          <w:spacing w:val="-2"/>
          <w:sz w:val="20"/>
        </w:rPr>
        <w:t>directamente.</w:t>
      </w:r>
    </w:p>
    <w:p>
      <w:pPr>
        <w:pStyle w:val="BodyText"/>
        <w:spacing w:before="200"/>
        <w:ind w:left="25" w:right="3289"/>
        <w:jc w:val="center"/>
      </w:pPr>
      <w:r>
        <w:rPr>
          <w:spacing w:val="-2"/>
        </w:rPr>
        <w:t>Proveedores.</w:t>
      </w:r>
      <w:r>
        <w:rPr>
          <w:spacing w:val="8"/>
        </w:rPr>
        <w:t> </w:t>
      </w:r>
      <w:r>
        <w:rPr>
          <w:spacing w:val="-2"/>
        </w:rPr>
        <w:t>Requieren:</w:t>
      </w:r>
    </w:p>
    <w:p>
      <w:pPr>
        <w:pStyle w:val="BodyText"/>
        <w:spacing w:before="99"/>
      </w:pPr>
    </w:p>
    <w:p>
      <w:pPr>
        <w:pStyle w:val="ListParagraph"/>
        <w:numPr>
          <w:ilvl w:val="0"/>
          <w:numId w:val="33"/>
        </w:numPr>
        <w:tabs>
          <w:tab w:pos="2061" w:val="left" w:leader="none"/>
        </w:tabs>
        <w:spacing w:line="240" w:lineRule="auto" w:before="0" w:after="0"/>
        <w:ind w:left="2061" w:right="0" w:hanging="360"/>
        <w:jc w:val="left"/>
        <w:rPr>
          <w:sz w:val="20"/>
        </w:rPr>
      </w:pPr>
      <w:r>
        <w:rPr>
          <w:sz w:val="20"/>
        </w:rPr>
        <w:t>Frecuencia</w:t>
      </w:r>
      <w:r>
        <w:rPr>
          <w:spacing w:val="-2"/>
          <w:sz w:val="20"/>
        </w:rPr>
        <w:t> </w:t>
      </w:r>
      <w:r>
        <w:rPr>
          <w:sz w:val="20"/>
        </w:rPr>
        <w:t>y</w:t>
      </w:r>
      <w:r>
        <w:rPr>
          <w:spacing w:val="-8"/>
          <w:sz w:val="20"/>
        </w:rPr>
        <w:t> </w:t>
      </w:r>
      <w:r>
        <w:rPr>
          <w:sz w:val="20"/>
        </w:rPr>
        <w:t>periodicidad</w:t>
      </w:r>
      <w:r>
        <w:rPr>
          <w:spacing w:val="-7"/>
          <w:sz w:val="20"/>
        </w:rPr>
        <w:t> </w:t>
      </w:r>
      <w:r>
        <w:rPr>
          <w:sz w:val="20"/>
        </w:rPr>
        <w:t>en</w:t>
      </w:r>
      <w:r>
        <w:rPr>
          <w:spacing w:val="-7"/>
          <w:sz w:val="20"/>
        </w:rPr>
        <w:t> </w:t>
      </w:r>
      <w:r>
        <w:rPr>
          <w:sz w:val="20"/>
        </w:rPr>
        <w:t>los</w:t>
      </w:r>
      <w:r>
        <w:rPr>
          <w:spacing w:val="-2"/>
          <w:sz w:val="20"/>
        </w:rPr>
        <w:t> pedidos.</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Cumplimiento</w:t>
      </w:r>
      <w:r>
        <w:rPr>
          <w:spacing w:val="-11"/>
          <w:sz w:val="20"/>
        </w:rPr>
        <w:t> </w:t>
      </w:r>
      <w:r>
        <w:rPr>
          <w:sz w:val="20"/>
        </w:rPr>
        <w:t>de</w:t>
      </w:r>
      <w:r>
        <w:rPr>
          <w:spacing w:val="-6"/>
          <w:sz w:val="20"/>
        </w:rPr>
        <w:t> </w:t>
      </w:r>
      <w:r>
        <w:rPr>
          <w:sz w:val="20"/>
        </w:rPr>
        <w:t>los</w:t>
      </w:r>
      <w:r>
        <w:rPr>
          <w:spacing w:val="-6"/>
          <w:sz w:val="20"/>
        </w:rPr>
        <w:t> </w:t>
      </w:r>
      <w:r>
        <w:rPr>
          <w:spacing w:val="-2"/>
          <w:sz w:val="20"/>
        </w:rPr>
        <w:t>contratos.</w:t>
      </w:r>
    </w:p>
    <w:p>
      <w:pPr>
        <w:pStyle w:val="ListParagraph"/>
        <w:numPr>
          <w:ilvl w:val="0"/>
          <w:numId w:val="33"/>
        </w:numPr>
        <w:tabs>
          <w:tab w:pos="2061" w:val="left" w:leader="none"/>
        </w:tabs>
        <w:spacing w:line="240" w:lineRule="auto" w:before="126" w:after="0"/>
        <w:ind w:left="2061" w:right="0" w:hanging="360"/>
        <w:jc w:val="left"/>
        <w:rPr>
          <w:sz w:val="20"/>
        </w:rPr>
      </w:pPr>
      <w:r>
        <w:rPr>
          <w:sz w:val="20"/>
        </w:rPr>
        <w:t>Ventajas</w:t>
      </w:r>
      <w:r>
        <w:rPr>
          <w:spacing w:val="-11"/>
          <w:sz w:val="20"/>
        </w:rPr>
        <w:t> </w:t>
      </w:r>
      <w:r>
        <w:rPr>
          <w:spacing w:val="-2"/>
          <w:sz w:val="20"/>
        </w:rPr>
        <w:t>económicas.</w:t>
      </w:r>
    </w:p>
    <w:p>
      <w:pPr>
        <w:pStyle w:val="ListParagraph"/>
        <w:numPr>
          <w:ilvl w:val="0"/>
          <w:numId w:val="33"/>
        </w:numPr>
        <w:tabs>
          <w:tab w:pos="2061" w:val="left" w:leader="none"/>
        </w:tabs>
        <w:spacing w:line="240" w:lineRule="auto" w:before="130" w:after="0"/>
        <w:ind w:left="2061" w:right="0" w:hanging="360"/>
        <w:jc w:val="left"/>
        <w:rPr>
          <w:sz w:val="20"/>
        </w:rPr>
      </w:pPr>
      <w:r>
        <w:rPr>
          <w:sz w:val="20"/>
        </w:rPr>
        <w:t>Flexibilidad</w:t>
      </w:r>
      <w:r>
        <w:rPr>
          <w:spacing w:val="-6"/>
          <w:sz w:val="20"/>
        </w:rPr>
        <w:t> </w:t>
      </w:r>
      <w:r>
        <w:rPr>
          <w:sz w:val="20"/>
        </w:rPr>
        <w:t>en</w:t>
      </w:r>
      <w:r>
        <w:rPr>
          <w:spacing w:val="-7"/>
          <w:sz w:val="20"/>
        </w:rPr>
        <w:t> </w:t>
      </w:r>
      <w:r>
        <w:rPr>
          <w:sz w:val="20"/>
        </w:rPr>
        <w:t>los</w:t>
      </w:r>
      <w:r>
        <w:rPr>
          <w:spacing w:val="-4"/>
          <w:sz w:val="20"/>
        </w:rPr>
        <w:t> </w:t>
      </w:r>
      <w:r>
        <w:rPr>
          <w:sz w:val="20"/>
        </w:rPr>
        <w:t>plazos</w:t>
      </w:r>
      <w:r>
        <w:rPr>
          <w:spacing w:val="-5"/>
          <w:sz w:val="20"/>
        </w:rPr>
        <w:t> </w:t>
      </w:r>
      <w:r>
        <w:rPr>
          <w:sz w:val="20"/>
        </w:rPr>
        <w:t>de</w:t>
      </w:r>
      <w:r>
        <w:rPr>
          <w:spacing w:val="-6"/>
          <w:sz w:val="20"/>
        </w:rPr>
        <w:t> </w:t>
      </w:r>
      <w:r>
        <w:rPr>
          <w:spacing w:val="-2"/>
          <w:sz w:val="20"/>
        </w:rPr>
        <w:t>entrega.</w:t>
      </w:r>
    </w:p>
    <w:p>
      <w:pPr>
        <w:pStyle w:val="ListParagraph"/>
        <w:numPr>
          <w:ilvl w:val="0"/>
          <w:numId w:val="33"/>
        </w:numPr>
        <w:tabs>
          <w:tab w:pos="2061" w:val="left" w:leader="none"/>
        </w:tabs>
        <w:spacing w:line="240" w:lineRule="auto" w:before="126" w:after="0"/>
        <w:ind w:left="2061" w:right="0" w:hanging="360"/>
        <w:jc w:val="left"/>
        <w:rPr>
          <w:sz w:val="20"/>
        </w:rPr>
      </w:pPr>
      <w:r>
        <w:rPr>
          <w:spacing w:val="-2"/>
          <w:sz w:val="20"/>
        </w:rPr>
        <w:t>Comunicación.</w:t>
      </w:r>
    </w:p>
    <w:p>
      <w:pPr>
        <w:pStyle w:val="ListParagraph"/>
        <w:numPr>
          <w:ilvl w:val="0"/>
          <w:numId w:val="33"/>
        </w:numPr>
        <w:tabs>
          <w:tab w:pos="360" w:val="left" w:leader="none"/>
        </w:tabs>
        <w:spacing w:line="240" w:lineRule="auto" w:before="127" w:after="0"/>
        <w:ind w:left="360" w:right="3298" w:hanging="360"/>
        <w:jc w:val="center"/>
        <w:rPr>
          <w:sz w:val="20"/>
        </w:rPr>
      </w:pPr>
      <w:r>
        <w:rPr>
          <w:spacing w:val="-2"/>
          <w:sz w:val="20"/>
        </w:rPr>
        <w:t>Fidelización.</w:t>
      </w:r>
    </w:p>
    <w:p>
      <w:pPr>
        <w:pStyle w:val="BodyText"/>
        <w:spacing w:before="86"/>
      </w:pPr>
    </w:p>
    <w:p>
      <w:pPr>
        <w:pStyle w:val="BodyText"/>
        <w:spacing w:before="1"/>
        <w:ind w:right="3289"/>
        <w:jc w:val="center"/>
      </w:pPr>
      <w:r>
        <w:rPr>
          <w:spacing w:val="-2"/>
        </w:rPr>
        <w:t>Ayuntamiento.</w:t>
      </w:r>
      <w:r>
        <w:rPr>
          <w:spacing w:val="9"/>
        </w:rPr>
        <w:t> </w:t>
      </w:r>
      <w:r>
        <w:rPr>
          <w:spacing w:val="-2"/>
        </w:rPr>
        <w:t>Requiere:</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1"/>
      </w:pPr>
    </w:p>
    <w:p>
      <w:pPr>
        <w:pStyle w:val="BodyText"/>
        <w:ind w:left="105"/>
      </w:pPr>
      <w:r>
        <w:rPr/>
        <w:t>que</w:t>
      </w:r>
      <w:r>
        <w:rPr>
          <w:spacing w:val="54"/>
          <w:w w:val="150"/>
        </w:rPr>
        <w:t> </w:t>
      </w:r>
      <w:r>
        <w:rPr/>
        <w:t>les</w:t>
      </w:r>
      <w:r>
        <w:rPr>
          <w:spacing w:val="56"/>
          <w:w w:val="150"/>
        </w:rPr>
        <w:t> </w:t>
      </w:r>
      <w:r>
        <w:rPr>
          <w:spacing w:val="-2"/>
        </w:rPr>
        <w:t>afecten</w:t>
      </w:r>
    </w:p>
    <w:p>
      <w:pPr>
        <w:pStyle w:val="BodyText"/>
        <w:spacing w:after="0"/>
        <w:sectPr>
          <w:type w:val="continuous"/>
          <w:pgSz w:w="11910" w:h="16840"/>
          <w:pgMar w:header="384" w:footer="1060" w:top="1700" w:bottom="1040" w:left="360" w:right="360"/>
          <w:cols w:num="2" w:equalWidth="0">
            <w:col w:w="8173" w:space="40"/>
            <w:col w:w="2977"/>
          </w:cols>
        </w:sectPr>
      </w:pPr>
    </w:p>
    <w:p>
      <w:pPr>
        <w:pStyle w:val="BodyText"/>
        <w:spacing w:before="96"/>
      </w:pPr>
    </w:p>
    <w:p>
      <w:pPr>
        <w:pStyle w:val="ListParagraph"/>
        <w:numPr>
          <w:ilvl w:val="0"/>
          <w:numId w:val="33"/>
        </w:numPr>
        <w:tabs>
          <w:tab w:pos="2061" w:val="left" w:leader="none"/>
        </w:tabs>
        <w:spacing w:line="240" w:lineRule="auto" w:before="0" w:after="0"/>
        <w:ind w:left="2061" w:right="0" w:hanging="360"/>
        <w:jc w:val="left"/>
        <w:rPr>
          <w:sz w:val="20"/>
        </w:rPr>
      </w:pPr>
      <w:r>
        <w:rPr>
          <w:sz w:val="20"/>
        </w:rPr>
        <mc:AlternateContent>
          <mc:Choice Requires="wps">
            <w:drawing>
              <wp:anchor distT="0" distB="0" distL="0" distR="0" allowOverlap="1" layoutInCell="1" locked="0" behindDoc="0" simplePos="0" relativeHeight="15790592">
                <wp:simplePos x="0" y="0"/>
                <wp:positionH relativeFrom="page">
                  <wp:posOffset>6966436</wp:posOffset>
                </wp:positionH>
                <wp:positionV relativeFrom="paragraph">
                  <wp:posOffset>-1100978</wp:posOffset>
                </wp:positionV>
                <wp:extent cx="263525" cy="327596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86.6912pt;width:20.75pt;height:257.95pt;mso-position-horizontal-relative:page;mso-position-vertical-relative:paragraph;z-index:15790592" type="#_x0000_t202" id="docshape18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Eficiencia</w:t>
      </w:r>
      <w:r>
        <w:rPr>
          <w:spacing w:val="-2"/>
          <w:sz w:val="20"/>
        </w:rPr>
        <w:t> </w:t>
      </w:r>
      <w:r>
        <w:rPr>
          <w:sz w:val="20"/>
        </w:rPr>
        <w:t>y</w:t>
      </w:r>
      <w:r>
        <w:rPr>
          <w:spacing w:val="-11"/>
          <w:sz w:val="20"/>
        </w:rPr>
        <w:t> </w:t>
      </w:r>
      <w:r>
        <w:rPr>
          <w:sz w:val="20"/>
        </w:rPr>
        <w:t>eficacia</w:t>
      </w:r>
      <w:r>
        <w:rPr>
          <w:spacing w:val="-5"/>
          <w:sz w:val="20"/>
        </w:rPr>
        <w:t> </w:t>
      </w:r>
      <w:r>
        <w:rPr>
          <w:sz w:val="20"/>
        </w:rPr>
        <w:t>en</w:t>
      </w:r>
      <w:r>
        <w:rPr>
          <w:spacing w:val="-4"/>
          <w:sz w:val="20"/>
        </w:rPr>
        <w:t> </w:t>
      </w:r>
      <w:r>
        <w:rPr>
          <w:sz w:val="20"/>
        </w:rPr>
        <w:t>la</w:t>
      </w:r>
      <w:r>
        <w:rPr>
          <w:spacing w:val="-5"/>
          <w:sz w:val="20"/>
        </w:rPr>
        <w:t> </w:t>
      </w:r>
      <w:r>
        <w:rPr>
          <w:sz w:val="20"/>
        </w:rPr>
        <w:t>prestación</w:t>
      </w:r>
      <w:r>
        <w:rPr>
          <w:spacing w:val="-4"/>
          <w:sz w:val="20"/>
        </w:rPr>
        <w:t> </w:t>
      </w:r>
      <w:r>
        <w:rPr>
          <w:sz w:val="20"/>
        </w:rPr>
        <w:t>del</w:t>
      </w:r>
      <w:r>
        <w:rPr>
          <w:spacing w:val="-8"/>
          <w:sz w:val="20"/>
        </w:rPr>
        <w:t> </w:t>
      </w:r>
      <w:r>
        <w:rPr>
          <w:spacing w:val="-2"/>
          <w:sz w:val="20"/>
        </w:rPr>
        <w:t>servicio.</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Gestión</w:t>
      </w:r>
      <w:r>
        <w:rPr>
          <w:spacing w:val="-8"/>
          <w:sz w:val="20"/>
        </w:rPr>
        <w:t> </w:t>
      </w:r>
      <w:r>
        <w:rPr>
          <w:sz w:val="20"/>
        </w:rPr>
        <w:t>inteligente</w:t>
      </w:r>
      <w:r>
        <w:rPr>
          <w:spacing w:val="-8"/>
          <w:sz w:val="20"/>
        </w:rPr>
        <w:t> </w:t>
      </w:r>
      <w:r>
        <w:rPr>
          <w:sz w:val="20"/>
        </w:rPr>
        <w:t>de</w:t>
      </w:r>
      <w:r>
        <w:rPr>
          <w:spacing w:val="-4"/>
          <w:sz w:val="20"/>
        </w:rPr>
        <w:t> </w:t>
      </w:r>
      <w:r>
        <w:rPr>
          <w:sz w:val="20"/>
        </w:rPr>
        <w:t>los</w:t>
      </w:r>
      <w:r>
        <w:rPr>
          <w:spacing w:val="-8"/>
          <w:sz w:val="20"/>
        </w:rPr>
        <w:t> </w:t>
      </w:r>
      <w:r>
        <w:rPr>
          <w:spacing w:val="-2"/>
          <w:sz w:val="20"/>
        </w:rPr>
        <w:t>recursos.</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Satisfacción</w:t>
      </w:r>
      <w:r>
        <w:rPr>
          <w:spacing w:val="-8"/>
          <w:sz w:val="20"/>
        </w:rPr>
        <w:t> </w:t>
      </w:r>
      <w:r>
        <w:rPr>
          <w:sz w:val="20"/>
        </w:rPr>
        <w:t>de</w:t>
      </w:r>
      <w:r>
        <w:rPr>
          <w:spacing w:val="-5"/>
          <w:sz w:val="20"/>
        </w:rPr>
        <w:t> </w:t>
      </w:r>
      <w:r>
        <w:rPr>
          <w:sz w:val="20"/>
        </w:rPr>
        <w:t>la</w:t>
      </w:r>
      <w:r>
        <w:rPr>
          <w:spacing w:val="-7"/>
          <w:sz w:val="20"/>
        </w:rPr>
        <w:t> </w:t>
      </w:r>
      <w:r>
        <w:rPr>
          <w:spacing w:val="-2"/>
          <w:sz w:val="20"/>
        </w:rPr>
        <w:t>demanda.</w:t>
      </w:r>
    </w:p>
    <w:p>
      <w:pPr>
        <w:pStyle w:val="ListParagraph"/>
        <w:numPr>
          <w:ilvl w:val="0"/>
          <w:numId w:val="33"/>
        </w:numPr>
        <w:tabs>
          <w:tab w:pos="2061" w:val="left" w:leader="none"/>
        </w:tabs>
        <w:spacing w:line="357" w:lineRule="auto" w:before="127" w:after="0"/>
        <w:ind w:left="2061" w:right="1339" w:hanging="360"/>
        <w:jc w:val="left"/>
        <w:rPr>
          <w:sz w:val="20"/>
        </w:rPr>
      </w:pPr>
      <w:r>
        <w:rPr>
          <w:sz w:val="20"/>
        </w:rPr>
        <w:t>Cumplimiento de la legislación en materia laboral, de seguridad, calidad, protección de datos y respeto al medio ambiente.</w:t>
      </w:r>
    </w:p>
    <w:p>
      <w:pPr>
        <w:pStyle w:val="ListParagraph"/>
        <w:numPr>
          <w:ilvl w:val="0"/>
          <w:numId w:val="33"/>
        </w:numPr>
        <w:tabs>
          <w:tab w:pos="2061" w:val="left" w:leader="none"/>
        </w:tabs>
        <w:spacing w:line="240" w:lineRule="auto" w:before="17" w:after="0"/>
        <w:ind w:left="2061" w:right="0" w:hanging="360"/>
        <w:jc w:val="left"/>
        <w:rPr>
          <w:sz w:val="20"/>
        </w:rPr>
      </w:pPr>
      <w:r>
        <w:rPr>
          <w:sz w:val="20"/>
        </w:rPr>
        <w:t>Flexibilidad</w:t>
      </w:r>
      <w:r>
        <w:rPr>
          <w:spacing w:val="-5"/>
          <w:sz w:val="20"/>
        </w:rPr>
        <w:t> </w:t>
      </w:r>
      <w:r>
        <w:rPr>
          <w:sz w:val="20"/>
        </w:rPr>
        <w:t>y</w:t>
      </w:r>
      <w:r>
        <w:rPr>
          <w:spacing w:val="-13"/>
          <w:sz w:val="20"/>
        </w:rPr>
        <w:t> </w:t>
      </w:r>
      <w:r>
        <w:rPr>
          <w:sz w:val="20"/>
        </w:rPr>
        <w:t>disponibilidad</w:t>
      </w:r>
      <w:r>
        <w:rPr>
          <w:spacing w:val="-8"/>
          <w:sz w:val="20"/>
        </w:rPr>
        <w:t> </w:t>
      </w:r>
      <w:r>
        <w:rPr>
          <w:sz w:val="20"/>
        </w:rPr>
        <w:t>para</w:t>
      </w:r>
      <w:r>
        <w:rPr>
          <w:spacing w:val="-9"/>
          <w:sz w:val="20"/>
        </w:rPr>
        <w:t> </w:t>
      </w:r>
      <w:r>
        <w:rPr>
          <w:sz w:val="20"/>
        </w:rPr>
        <w:t>cubrir</w:t>
      </w:r>
      <w:r>
        <w:rPr>
          <w:spacing w:val="-9"/>
          <w:sz w:val="20"/>
        </w:rPr>
        <w:t> </w:t>
      </w:r>
      <w:r>
        <w:rPr>
          <w:sz w:val="20"/>
        </w:rPr>
        <w:t>eventos</w:t>
      </w:r>
      <w:r>
        <w:rPr>
          <w:spacing w:val="-8"/>
          <w:sz w:val="20"/>
        </w:rPr>
        <w:t> </w:t>
      </w:r>
      <w:r>
        <w:rPr>
          <w:spacing w:val="-2"/>
          <w:sz w:val="20"/>
        </w:rPr>
        <w:t>especiales.</w:t>
      </w:r>
    </w:p>
    <w:p>
      <w:pPr>
        <w:pStyle w:val="BodyText"/>
        <w:spacing w:before="87"/>
      </w:pPr>
    </w:p>
    <w:p>
      <w:pPr>
        <w:pStyle w:val="BodyText"/>
        <w:ind w:left="1341"/>
      </w:pPr>
      <w:r>
        <w:rPr/>
        <w:t>Autoridad</w:t>
      </w:r>
      <w:r>
        <w:rPr>
          <w:spacing w:val="-8"/>
        </w:rPr>
        <w:t> </w:t>
      </w:r>
      <w:r>
        <w:rPr/>
        <w:t>Única</w:t>
      </w:r>
      <w:r>
        <w:rPr>
          <w:spacing w:val="-8"/>
        </w:rPr>
        <w:t> </w:t>
      </w:r>
      <w:r>
        <w:rPr/>
        <w:t>del</w:t>
      </w:r>
      <w:r>
        <w:rPr>
          <w:spacing w:val="-5"/>
        </w:rPr>
        <w:t> </w:t>
      </w:r>
      <w:r>
        <w:rPr/>
        <w:t>Transporte</w:t>
      </w:r>
      <w:r>
        <w:rPr>
          <w:spacing w:val="-8"/>
        </w:rPr>
        <w:t> </w:t>
      </w:r>
      <w:r>
        <w:rPr/>
        <w:t>de</w:t>
      </w:r>
      <w:r>
        <w:rPr>
          <w:spacing w:val="-6"/>
        </w:rPr>
        <w:t> </w:t>
      </w:r>
      <w:r>
        <w:rPr/>
        <w:t>Gran</w:t>
      </w:r>
      <w:r>
        <w:rPr>
          <w:spacing w:val="-8"/>
        </w:rPr>
        <w:t> </w:t>
      </w:r>
      <w:r>
        <w:rPr/>
        <w:t>Canaria.</w:t>
      </w:r>
      <w:r>
        <w:rPr>
          <w:spacing w:val="-7"/>
        </w:rPr>
        <w:t> </w:t>
      </w:r>
      <w:r>
        <w:rPr>
          <w:spacing w:val="-2"/>
        </w:rPr>
        <w:t>Requiere:</w:t>
      </w:r>
    </w:p>
    <w:p>
      <w:pPr>
        <w:pStyle w:val="BodyText"/>
        <w:spacing w:before="96"/>
      </w:pPr>
    </w:p>
    <w:p>
      <w:pPr>
        <w:pStyle w:val="ListParagraph"/>
        <w:numPr>
          <w:ilvl w:val="0"/>
          <w:numId w:val="33"/>
        </w:numPr>
        <w:tabs>
          <w:tab w:pos="2061" w:val="left" w:leader="none"/>
        </w:tabs>
        <w:spacing w:line="240" w:lineRule="auto" w:before="1" w:after="0"/>
        <w:ind w:left="2061" w:right="0" w:hanging="360"/>
        <w:jc w:val="left"/>
        <w:rPr>
          <w:sz w:val="20"/>
        </w:rPr>
      </w:pPr>
      <w:r>
        <w:rPr>
          <w:sz w:val="20"/>
        </w:rPr>
        <w:t>Cooperación</w:t>
      </w:r>
      <w:r>
        <w:rPr>
          <w:spacing w:val="-9"/>
          <w:sz w:val="20"/>
        </w:rPr>
        <w:t> </w:t>
      </w:r>
      <w:r>
        <w:rPr>
          <w:sz w:val="20"/>
        </w:rPr>
        <w:t>e</w:t>
      </w:r>
      <w:r>
        <w:rPr>
          <w:spacing w:val="-5"/>
          <w:sz w:val="20"/>
        </w:rPr>
        <w:t> </w:t>
      </w:r>
      <w:r>
        <w:rPr>
          <w:sz w:val="20"/>
        </w:rPr>
        <w:t>implementación</w:t>
      </w:r>
      <w:r>
        <w:rPr>
          <w:spacing w:val="-9"/>
          <w:sz w:val="20"/>
        </w:rPr>
        <w:t> </w:t>
      </w:r>
      <w:r>
        <w:rPr>
          <w:sz w:val="20"/>
        </w:rPr>
        <w:t>de</w:t>
      </w:r>
      <w:r>
        <w:rPr>
          <w:spacing w:val="-10"/>
          <w:sz w:val="20"/>
        </w:rPr>
        <w:t> </w:t>
      </w:r>
      <w:r>
        <w:rPr>
          <w:sz w:val="20"/>
        </w:rPr>
        <w:t>políticas</w:t>
      </w:r>
      <w:r>
        <w:rPr>
          <w:spacing w:val="-6"/>
          <w:sz w:val="20"/>
        </w:rPr>
        <w:t> </w:t>
      </w:r>
      <w:r>
        <w:rPr>
          <w:sz w:val="20"/>
        </w:rPr>
        <w:t>de</w:t>
      </w:r>
      <w:r>
        <w:rPr>
          <w:spacing w:val="-6"/>
          <w:sz w:val="20"/>
        </w:rPr>
        <w:t> </w:t>
      </w:r>
      <w:r>
        <w:rPr>
          <w:spacing w:val="-2"/>
          <w:sz w:val="20"/>
        </w:rPr>
        <w:t>transporte.</w:t>
      </w:r>
    </w:p>
    <w:p>
      <w:pPr>
        <w:pStyle w:val="ListParagraph"/>
        <w:spacing w:after="0" w:line="240" w:lineRule="auto"/>
        <w:jc w:val="left"/>
        <w:rPr>
          <w:sz w:val="20"/>
        </w:rPr>
        <w:sectPr>
          <w:type w:val="continuous"/>
          <w:pgSz w:w="11910" w:h="16840"/>
          <w:pgMar w:header="384" w:footer="1060" w:top="1700" w:bottom="1040" w:left="360" w:right="360"/>
        </w:sectPr>
      </w:pPr>
    </w:p>
    <w:p>
      <w:pPr>
        <w:pStyle w:val="BodyText"/>
      </w:pPr>
    </w:p>
    <w:p>
      <w:pPr>
        <w:pStyle w:val="ListParagraph"/>
        <w:numPr>
          <w:ilvl w:val="0"/>
          <w:numId w:val="33"/>
        </w:numPr>
        <w:tabs>
          <w:tab w:pos="2061" w:val="left" w:leader="none"/>
        </w:tabs>
        <w:spacing w:line="240" w:lineRule="auto" w:before="0" w:after="0"/>
        <w:ind w:left="2061" w:right="0" w:hanging="360"/>
        <w:jc w:val="left"/>
        <w:rPr>
          <w:sz w:val="20"/>
        </w:rPr>
      </w:pPr>
      <w:r>
        <w:rPr>
          <w:sz w:val="20"/>
        </w:rPr>
        <w:t>Eficiencia</w:t>
      </w:r>
      <w:r>
        <w:rPr>
          <w:spacing w:val="-2"/>
          <w:sz w:val="20"/>
        </w:rPr>
        <w:t> </w:t>
      </w:r>
      <w:r>
        <w:rPr>
          <w:sz w:val="20"/>
        </w:rPr>
        <w:t>y</w:t>
      </w:r>
      <w:r>
        <w:rPr>
          <w:spacing w:val="-11"/>
          <w:sz w:val="20"/>
        </w:rPr>
        <w:t> </w:t>
      </w:r>
      <w:r>
        <w:rPr>
          <w:sz w:val="20"/>
        </w:rPr>
        <w:t>eficacia</w:t>
      </w:r>
      <w:r>
        <w:rPr>
          <w:spacing w:val="-5"/>
          <w:sz w:val="20"/>
        </w:rPr>
        <w:t> </w:t>
      </w:r>
      <w:r>
        <w:rPr>
          <w:sz w:val="20"/>
        </w:rPr>
        <w:t>en</w:t>
      </w:r>
      <w:r>
        <w:rPr>
          <w:spacing w:val="-4"/>
          <w:sz w:val="20"/>
        </w:rPr>
        <w:t> </w:t>
      </w:r>
      <w:r>
        <w:rPr>
          <w:sz w:val="20"/>
        </w:rPr>
        <w:t>la</w:t>
      </w:r>
      <w:r>
        <w:rPr>
          <w:spacing w:val="-5"/>
          <w:sz w:val="20"/>
        </w:rPr>
        <w:t> </w:t>
      </w:r>
      <w:r>
        <w:rPr>
          <w:sz w:val="20"/>
        </w:rPr>
        <w:t>prestación</w:t>
      </w:r>
      <w:r>
        <w:rPr>
          <w:spacing w:val="-4"/>
          <w:sz w:val="20"/>
        </w:rPr>
        <w:t> </w:t>
      </w:r>
      <w:r>
        <w:rPr>
          <w:sz w:val="20"/>
        </w:rPr>
        <w:t>del</w:t>
      </w:r>
      <w:r>
        <w:rPr>
          <w:spacing w:val="-8"/>
          <w:sz w:val="20"/>
        </w:rPr>
        <w:t> </w:t>
      </w:r>
      <w:r>
        <w:rPr>
          <w:spacing w:val="-2"/>
          <w:sz w:val="20"/>
        </w:rPr>
        <w:t>servicio.</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Gestión</w:t>
      </w:r>
      <w:r>
        <w:rPr>
          <w:spacing w:val="-8"/>
          <w:sz w:val="20"/>
        </w:rPr>
        <w:t> </w:t>
      </w:r>
      <w:r>
        <w:rPr>
          <w:sz w:val="20"/>
        </w:rPr>
        <w:t>inteligente</w:t>
      </w:r>
      <w:r>
        <w:rPr>
          <w:spacing w:val="-8"/>
          <w:sz w:val="20"/>
        </w:rPr>
        <w:t> </w:t>
      </w:r>
      <w:r>
        <w:rPr>
          <w:sz w:val="20"/>
        </w:rPr>
        <w:t>de</w:t>
      </w:r>
      <w:r>
        <w:rPr>
          <w:spacing w:val="-4"/>
          <w:sz w:val="20"/>
        </w:rPr>
        <w:t> </w:t>
      </w:r>
      <w:r>
        <w:rPr>
          <w:sz w:val="20"/>
        </w:rPr>
        <w:t>los</w:t>
      </w:r>
      <w:r>
        <w:rPr>
          <w:spacing w:val="-8"/>
          <w:sz w:val="20"/>
        </w:rPr>
        <w:t> </w:t>
      </w:r>
      <w:r>
        <w:rPr>
          <w:spacing w:val="-2"/>
          <w:sz w:val="20"/>
        </w:rPr>
        <w:t>recursos.</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Satisfacción</w:t>
      </w:r>
      <w:r>
        <w:rPr>
          <w:spacing w:val="-8"/>
          <w:sz w:val="20"/>
        </w:rPr>
        <w:t> </w:t>
      </w:r>
      <w:r>
        <w:rPr>
          <w:sz w:val="20"/>
        </w:rPr>
        <w:t>de</w:t>
      </w:r>
      <w:r>
        <w:rPr>
          <w:spacing w:val="-5"/>
          <w:sz w:val="20"/>
        </w:rPr>
        <w:t> </w:t>
      </w:r>
      <w:r>
        <w:rPr>
          <w:sz w:val="20"/>
        </w:rPr>
        <w:t>la</w:t>
      </w:r>
      <w:r>
        <w:rPr>
          <w:spacing w:val="-7"/>
          <w:sz w:val="20"/>
        </w:rPr>
        <w:t> </w:t>
      </w:r>
      <w:r>
        <w:rPr>
          <w:spacing w:val="-2"/>
          <w:sz w:val="20"/>
        </w:rPr>
        <w:t>demanda.</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Cooperación</w:t>
      </w:r>
      <w:r>
        <w:rPr>
          <w:spacing w:val="-5"/>
          <w:sz w:val="20"/>
        </w:rPr>
        <w:t> </w:t>
      </w:r>
      <w:r>
        <w:rPr>
          <w:sz w:val="20"/>
        </w:rPr>
        <w:t>y</w:t>
      </w:r>
      <w:r>
        <w:rPr>
          <w:spacing w:val="-8"/>
          <w:sz w:val="20"/>
        </w:rPr>
        <w:t> </w:t>
      </w:r>
      <w:r>
        <w:rPr>
          <w:sz w:val="20"/>
        </w:rPr>
        <w:t>entendimiento</w:t>
      </w:r>
      <w:r>
        <w:rPr>
          <w:spacing w:val="-6"/>
          <w:sz w:val="20"/>
        </w:rPr>
        <w:t> </w:t>
      </w:r>
      <w:r>
        <w:rPr>
          <w:sz w:val="20"/>
        </w:rPr>
        <w:t>con</w:t>
      </w:r>
      <w:r>
        <w:rPr>
          <w:spacing w:val="-6"/>
          <w:sz w:val="20"/>
        </w:rPr>
        <w:t> </w:t>
      </w:r>
      <w:r>
        <w:rPr>
          <w:sz w:val="20"/>
        </w:rPr>
        <w:t>el</w:t>
      </w:r>
      <w:r>
        <w:rPr>
          <w:spacing w:val="-8"/>
          <w:sz w:val="20"/>
        </w:rPr>
        <w:t> </w:t>
      </w:r>
      <w:r>
        <w:rPr>
          <w:sz w:val="20"/>
        </w:rPr>
        <w:t>resto</w:t>
      </w:r>
      <w:r>
        <w:rPr>
          <w:spacing w:val="-6"/>
          <w:sz w:val="20"/>
        </w:rPr>
        <w:t> </w:t>
      </w:r>
      <w:r>
        <w:rPr>
          <w:sz w:val="20"/>
        </w:rPr>
        <w:t>de</w:t>
      </w:r>
      <w:r>
        <w:rPr>
          <w:spacing w:val="-4"/>
          <w:sz w:val="20"/>
        </w:rPr>
        <w:t> </w:t>
      </w:r>
      <w:r>
        <w:rPr>
          <w:sz w:val="20"/>
        </w:rPr>
        <w:t>operadores</w:t>
      </w:r>
      <w:r>
        <w:rPr>
          <w:spacing w:val="-6"/>
          <w:sz w:val="20"/>
        </w:rPr>
        <w:t> </w:t>
      </w:r>
      <w:r>
        <w:rPr>
          <w:sz w:val="20"/>
        </w:rPr>
        <w:t>de</w:t>
      </w:r>
      <w:r>
        <w:rPr>
          <w:spacing w:val="-7"/>
          <w:sz w:val="20"/>
        </w:rPr>
        <w:t> </w:t>
      </w:r>
      <w:r>
        <w:rPr>
          <w:sz w:val="20"/>
        </w:rPr>
        <w:t>transporte</w:t>
      </w:r>
      <w:r>
        <w:rPr>
          <w:spacing w:val="-4"/>
          <w:sz w:val="20"/>
        </w:rPr>
        <w:t> </w:t>
      </w:r>
      <w:r>
        <w:rPr>
          <w:sz w:val="20"/>
        </w:rPr>
        <w:t>de</w:t>
      </w:r>
      <w:r>
        <w:rPr>
          <w:spacing w:val="-4"/>
          <w:sz w:val="20"/>
        </w:rPr>
        <w:t> </w:t>
      </w:r>
      <w:r>
        <w:rPr>
          <w:sz w:val="20"/>
        </w:rPr>
        <w:t>la</w:t>
      </w:r>
      <w:r>
        <w:rPr>
          <w:spacing w:val="-6"/>
          <w:sz w:val="20"/>
        </w:rPr>
        <w:t> </w:t>
      </w:r>
      <w:r>
        <w:rPr>
          <w:spacing w:val="-2"/>
          <w:sz w:val="20"/>
        </w:rPr>
        <w:t>isla.</w:t>
      </w:r>
    </w:p>
    <w:p>
      <w:pPr>
        <w:pStyle w:val="BodyText"/>
        <w:spacing w:before="83"/>
      </w:pPr>
    </w:p>
    <w:p>
      <w:pPr>
        <w:pStyle w:val="BodyText"/>
        <w:spacing w:line="360" w:lineRule="auto" w:before="1"/>
        <w:ind w:left="1341" w:right="1308"/>
      </w:pPr>
      <w:r>
        <w:rPr/>
        <w:t>La</w:t>
      </w:r>
      <w:r>
        <w:rPr>
          <w:spacing w:val="40"/>
        </w:rPr>
        <w:t> </w:t>
      </w:r>
      <w:r>
        <w:rPr/>
        <w:t>compañía</w:t>
      </w:r>
      <w:r>
        <w:rPr>
          <w:spacing w:val="39"/>
        </w:rPr>
        <w:t> </w:t>
      </w:r>
      <w:r>
        <w:rPr/>
        <w:t>es</w:t>
      </w:r>
      <w:r>
        <w:rPr>
          <w:spacing w:val="40"/>
        </w:rPr>
        <w:t> </w:t>
      </w:r>
      <w:r>
        <w:rPr/>
        <w:t>miembro</w:t>
      </w:r>
      <w:r>
        <w:rPr>
          <w:spacing w:val="38"/>
        </w:rPr>
        <w:t> </w:t>
      </w:r>
      <w:r>
        <w:rPr/>
        <w:t>de</w:t>
      </w:r>
      <w:r>
        <w:rPr>
          <w:spacing w:val="39"/>
        </w:rPr>
        <w:t> </w:t>
      </w:r>
      <w:r>
        <w:rPr/>
        <w:t>varias</w:t>
      </w:r>
      <w:r>
        <w:rPr>
          <w:spacing w:val="40"/>
        </w:rPr>
        <w:t> </w:t>
      </w:r>
      <w:r>
        <w:rPr/>
        <w:t>entidades</w:t>
      </w:r>
      <w:r>
        <w:rPr>
          <w:spacing w:val="40"/>
        </w:rPr>
        <w:t> </w:t>
      </w:r>
      <w:r>
        <w:rPr/>
        <w:t>del</w:t>
      </w:r>
      <w:r>
        <w:rPr>
          <w:spacing w:val="40"/>
        </w:rPr>
        <w:t> </w:t>
      </w:r>
      <w:r>
        <w:rPr/>
        <w:t>sector</w:t>
      </w:r>
      <w:r>
        <w:rPr>
          <w:spacing w:val="40"/>
        </w:rPr>
        <w:t> </w:t>
      </w:r>
      <w:r>
        <w:rPr/>
        <w:t>del</w:t>
      </w:r>
      <w:r>
        <w:rPr>
          <w:spacing w:val="39"/>
        </w:rPr>
        <w:t> </w:t>
      </w:r>
      <w:r>
        <w:rPr/>
        <w:t>transporte</w:t>
      </w:r>
      <w:r>
        <w:rPr>
          <w:spacing w:val="40"/>
        </w:rPr>
        <w:t> </w:t>
      </w:r>
      <w:r>
        <w:rPr/>
        <w:t>y</w:t>
      </w:r>
      <w:r>
        <w:rPr>
          <w:spacing w:val="35"/>
        </w:rPr>
        <w:t> </w:t>
      </w:r>
      <w:r>
        <w:rPr/>
        <w:t>servicios</w:t>
      </w:r>
      <w:r>
        <w:rPr>
          <w:spacing w:val="40"/>
        </w:rPr>
        <w:t> </w:t>
      </w:r>
      <w:r>
        <w:rPr/>
        <w:t>para</w:t>
      </w:r>
      <w:r>
        <w:rPr>
          <w:spacing w:val="39"/>
        </w:rPr>
        <w:t> </w:t>
      </w:r>
      <w:r>
        <w:rPr/>
        <w:t>el transporte como asociado y/o partícipe, entre las que se encuentran las siguientes:</w:t>
      </w:r>
    </w:p>
    <w:p>
      <w:pPr>
        <w:pStyle w:val="ListParagraph"/>
        <w:numPr>
          <w:ilvl w:val="0"/>
          <w:numId w:val="33"/>
        </w:numPr>
        <w:tabs>
          <w:tab w:pos="2061" w:val="left" w:leader="none"/>
        </w:tabs>
        <w:spacing w:line="240" w:lineRule="auto" w:before="212" w:after="0"/>
        <w:ind w:left="2061" w:right="0" w:hanging="360"/>
        <w:jc w:val="left"/>
        <w:rPr>
          <w:sz w:val="20"/>
        </w:rPr>
      </w:pPr>
      <w:r>
        <w:rPr>
          <w:sz w:val="20"/>
        </w:rPr>
        <w:t>Federación</w:t>
      </w:r>
      <w:r>
        <w:rPr>
          <w:spacing w:val="-7"/>
          <w:sz w:val="20"/>
        </w:rPr>
        <w:t> </w:t>
      </w:r>
      <w:r>
        <w:rPr>
          <w:sz w:val="20"/>
        </w:rPr>
        <w:t>de</w:t>
      </w:r>
      <w:r>
        <w:rPr>
          <w:spacing w:val="-5"/>
          <w:sz w:val="20"/>
        </w:rPr>
        <w:t> </w:t>
      </w:r>
      <w:r>
        <w:rPr>
          <w:sz w:val="20"/>
        </w:rPr>
        <w:t>Empresarios</w:t>
      </w:r>
      <w:r>
        <w:rPr>
          <w:spacing w:val="-5"/>
          <w:sz w:val="20"/>
        </w:rPr>
        <w:t> </w:t>
      </w:r>
      <w:r>
        <w:rPr>
          <w:sz w:val="20"/>
        </w:rPr>
        <w:t>del</w:t>
      </w:r>
      <w:r>
        <w:rPr>
          <w:spacing w:val="-6"/>
          <w:sz w:val="20"/>
        </w:rPr>
        <w:t> </w:t>
      </w:r>
      <w:r>
        <w:rPr>
          <w:sz w:val="20"/>
        </w:rPr>
        <w:t>Transporte</w:t>
      </w:r>
      <w:r>
        <w:rPr>
          <w:spacing w:val="-7"/>
          <w:sz w:val="20"/>
        </w:rPr>
        <w:t> </w:t>
      </w:r>
      <w:r>
        <w:rPr>
          <w:sz w:val="20"/>
        </w:rPr>
        <w:t>(asociado</w:t>
      </w:r>
      <w:r>
        <w:rPr>
          <w:spacing w:val="-5"/>
          <w:sz w:val="20"/>
        </w:rPr>
        <w:t> </w:t>
      </w:r>
      <w:r>
        <w:rPr>
          <w:sz w:val="20"/>
        </w:rPr>
        <w:t>y</w:t>
      </w:r>
      <w:r>
        <w:rPr>
          <w:spacing w:val="-9"/>
          <w:sz w:val="20"/>
        </w:rPr>
        <w:t> </w:t>
      </w:r>
      <w:r>
        <w:rPr>
          <w:sz w:val="20"/>
        </w:rPr>
        <w:t>miembro</w:t>
      </w:r>
      <w:r>
        <w:rPr>
          <w:spacing w:val="-7"/>
          <w:sz w:val="20"/>
        </w:rPr>
        <w:t> </w:t>
      </w:r>
      <w:r>
        <w:rPr>
          <w:sz w:val="20"/>
        </w:rPr>
        <w:t>de</w:t>
      </w:r>
      <w:r>
        <w:rPr>
          <w:spacing w:val="-7"/>
          <w:sz w:val="20"/>
        </w:rPr>
        <w:t> </w:t>
      </w:r>
      <w:r>
        <w:rPr>
          <w:sz w:val="20"/>
        </w:rPr>
        <w:t>su</w:t>
      </w:r>
      <w:r>
        <w:rPr>
          <w:spacing w:val="-6"/>
          <w:sz w:val="20"/>
        </w:rPr>
        <w:t> </w:t>
      </w:r>
      <w:r>
        <w:rPr>
          <w:sz w:val="20"/>
        </w:rPr>
        <w:t>Junta</w:t>
      </w:r>
      <w:r>
        <w:rPr>
          <w:spacing w:val="-7"/>
          <w:sz w:val="20"/>
        </w:rPr>
        <w:t> </w:t>
      </w:r>
      <w:r>
        <w:rPr>
          <w:spacing w:val="-2"/>
          <w:sz w:val="20"/>
        </w:rPr>
        <w:t>Directiva)</w:t>
      </w:r>
    </w:p>
    <w:p>
      <w:pPr>
        <w:pStyle w:val="ListParagraph"/>
        <w:numPr>
          <w:ilvl w:val="0"/>
          <w:numId w:val="33"/>
        </w:numPr>
        <w:tabs>
          <w:tab w:pos="2061" w:val="left" w:leader="none"/>
        </w:tabs>
        <w:spacing w:line="357" w:lineRule="auto" w:before="129" w:after="0"/>
        <w:ind w:left="2061" w:right="1337" w:hanging="360"/>
        <w:jc w:val="left"/>
        <w:rPr>
          <w:sz w:val="20"/>
        </w:rPr>
      </w:pPr>
      <w:r>
        <w:rPr>
          <w:sz w:val="20"/>
        </w:rPr>
        <w:t>Asociación</w:t>
      </w:r>
      <w:r>
        <w:rPr>
          <w:spacing w:val="40"/>
          <w:sz w:val="20"/>
        </w:rPr>
        <w:t> </w:t>
      </w:r>
      <w:r>
        <w:rPr>
          <w:sz w:val="20"/>
        </w:rPr>
        <w:t>de</w:t>
      </w:r>
      <w:r>
        <w:rPr>
          <w:spacing w:val="37"/>
          <w:sz w:val="20"/>
        </w:rPr>
        <w:t> </w:t>
      </w:r>
      <w:r>
        <w:rPr>
          <w:sz w:val="20"/>
        </w:rPr>
        <w:t>regulares</w:t>
      </w:r>
      <w:r>
        <w:rPr>
          <w:spacing w:val="39"/>
          <w:sz w:val="20"/>
        </w:rPr>
        <w:t> </w:t>
      </w:r>
      <w:r>
        <w:rPr>
          <w:sz w:val="20"/>
        </w:rPr>
        <w:t>de</w:t>
      </w:r>
      <w:r>
        <w:rPr>
          <w:spacing w:val="36"/>
          <w:sz w:val="20"/>
        </w:rPr>
        <w:t> </w:t>
      </w:r>
      <w:r>
        <w:rPr>
          <w:sz w:val="20"/>
        </w:rPr>
        <w:t>viajeros</w:t>
      </w:r>
      <w:r>
        <w:rPr>
          <w:spacing w:val="39"/>
          <w:sz w:val="20"/>
        </w:rPr>
        <w:t> </w:t>
      </w:r>
      <w:r>
        <w:rPr>
          <w:sz w:val="20"/>
        </w:rPr>
        <w:t>de</w:t>
      </w:r>
      <w:r>
        <w:rPr>
          <w:spacing w:val="36"/>
          <w:sz w:val="20"/>
        </w:rPr>
        <w:t> </w:t>
      </w:r>
      <w:r>
        <w:rPr>
          <w:sz w:val="20"/>
        </w:rPr>
        <w:t>Canarias</w:t>
      </w:r>
      <w:r>
        <w:rPr>
          <w:spacing w:val="39"/>
          <w:sz w:val="20"/>
        </w:rPr>
        <w:t> </w:t>
      </w:r>
      <w:r>
        <w:rPr>
          <w:sz w:val="20"/>
        </w:rPr>
        <w:t>(asociado</w:t>
      </w:r>
      <w:r>
        <w:rPr>
          <w:spacing w:val="40"/>
          <w:sz w:val="20"/>
        </w:rPr>
        <w:t> </w:t>
      </w:r>
      <w:r>
        <w:rPr>
          <w:sz w:val="20"/>
        </w:rPr>
        <w:t>y</w:t>
      </w:r>
      <w:r>
        <w:rPr>
          <w:spacing w:val="33"/>
          <w:sz w:val="20"/>
        </w:rPr>
        <w:t> </w:t>
      </w:r>
      <w:r>
        <w:rPr>
          <w:sz w:val="20"/>
        </w:rPr>
        <w:t>miembro</w:t>
      </w:r>
      <w:r>
        <w:rPr>
          <w:spacing w:val="38"/>
          <w:sz w:val="20"/>
        </w:rPr>
        <w:t> </w:t>
      </w:r>
      <w:r>
        <w:rPr>
          <w:sz w:val="20"/>
        </w:rPr>
        <w:t>de</w:t>
      </w:r>
      <w:r>
        <w:rPr>
          <w:spacing w:val="37"/>
          <w:sz w:val="20"/>
        </w:rPr>
        <w:t> </w:t>
      </w:r>
      <w:r>
        <w:rPr>
          <w:sz w:val="20"/>
        </w:rPr>
        <w:t>su</w:t>
      </w:r>
      <w:r>
        <w:rPr>
          <w:spacing w:val="39"/>
          <w:sz w:val="20"/>
        </w:rPr>
        <w:t> </w:t>
      </w:r>
      <w:r>
        <w:rPr>
          <w:sz w:val="20"/>
        </w:rPr>
        <w:t>Junta </w:t>
      </w:r>
      <w:r>
        <w:rPr>
          <w:spacing w:val="-2"/>
          <w:sz w:val="20"/>
        </w:rPr>
        <w:t>Directiva)</w:t>
      </w:r>
    </w:p>
    <w:p>
      <w:pPr>
        <w:pStyle w:val="ListParagraph"/>
        <w:numPr>
          <w:ilvl w:val="0"/>
          <w:numId w:val="33"/>
        </w:numPr>
        <w:tabs>
          <w:tab w:pos="2061" w:val="left" w:leader="none"/>
        </w:tabs>
        <w:spacing w:line="240" w:lineRule="auto" w:before="17" w:after="0"/>
        <w:ind w:left="2061" w:right="0" w:hanging="360"/>
        <w:jc w:val="left"/>
        <w:rPr>
          <w:sz w:val="20"/>
        </w:rPr>
      </w:pPr>
      <w:r>
        <w:rPr>
          <w:sz w:val="20"/>
        </w:rPr>
        <w:t>ATUC</w:t>
      </w:r>
      <w:r>
        <w:rPr>
          <w:spacing w:val="-7"/>
          <w:sz w:val="20"/>
        </w:rPr>
        <w:t> </w:t>
      </w:r>
      <w:r>
        <w:rPr>
          <w:sz w:val="20"/>
        </w:rPr>
        <w:t>Movilidad</w:t>
      </w:r>
      <w:r>
        <w:rPr>
          <w:spacing w:val="-4"/>
          <w:sz w:val="20"/>
        </w:rPr>
        <w:t> </w:t>
      </w:r>
      <w:r>
        <w:rPr>
          <w:sz w:val="20"/>
        </w:rPr>
        <w:t>Sostenible</w:t>
      </w:r>
      <w:r>
        <w:rPr>
          <w:spacing w:val="-7"/>
          <w:sz w:val="20"/>
        </w:rPr>
        <w:t> </w:t>
      </w:r>
      <w:r>
        <w:rPr>
          <w:sz w:val="20"/>
        </w:rPr>
        <w:t>(asociado</w:t>
      </w:r>
      <w:r>
        <w:rPr>
          <w:spacing w:val="-5"/>
          <w:sz w:val="20"/>
        </w:rPr>
        <w:t> </w:t>
      </w:r>
      <w:r>
        <w:rPr>
          <w:sz w:val="20"/>
        </w:rPr>
        <w:t>y</w:t>
      </w:r>
      <w:r>
        <w:rPr>
          <w:spacing w:val="-11"/>
          <w:sz w:val="20"/>
        </w:rPr>
        <w:t> </w:t>
      </w:r>
      <w:r>
        <w:rPr>
          <w:sz w:val="20"/>
        </w:rPr>
        <w:t>miembro</w:t>
      </w:r>
      <w:r>
        <w:rPr>
          <w:spacing w:val="-7"/>
          <w:sz w:val="20"/>
        </w:rPr>
        <w:t> </w:t>
      </w:r>
      <w:r>
        <w:rPr>
          <w:sz w:val="20"/>
        </w:rPr>
        <w:t>de</w:t>
      </w:r>
      <w:r>
        <w:rPr>
          <w:spacing w:val="-7"/>
          <w:sz w:val="20"/>
        </w:rPr>
        <w:t> </w:t>
      </w:r>
      <w:r>
        <w:rPr>
          <w:sz w:val="20"/>
        </w:rPr>
        <w:t>su</w:t>
      </w:r>
      <w:r>
        <w:rPr>
          <w:spacing w:val="-7"/>
          <w:sz w:val="20"/>
        </w:rPr>
        <w:t> </w:t>
      </w:r>
      <w:r>
        <w:rPr>
          <w:sz w:val="20"/>
        </w:rPr>
        <w:t>Junta</w:t>
      </w:r>
      <w:r>
        <w:rPr>
          <w:spacing w:val="-4"/>
          <w:sz w:val="20"/>
        </w:rPr>
        <w:t> </w:t>
      </w:r>
      <w:r>
        <w:rPr>
          <w:spacing w:val="-2"/>
          <w:sz w:val="20"/>
        </w:rPr>
        <w:t>Directiva)</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Unión</w:t>
      </w:r>
      <w:r>
        <w:rPr>
          <w:spacing w:val="-10"/>
          <w:sz w:val="20"/>
        </w:rPr>
        <w:t> </w:t>
      </w:r>
      <w:r>
        <w:rPr>
          <w:sz w:val="20"/>
        </w:rPr>
        <w:t>Internacional</w:t>
      </w:r>
      <w:r>
        <w:rPr>
          <w:spacing w:val="-6"/>
          <w:sz w:val="20"/>
        </w:rPr>
        <w:t> </w:t>
      </w:r>
      <w:r>
        <w:rPr>
          <w:sz w:val="20"/>
        </w:rPr>
        <w:t>de</w:t>
      </w:r>
      <w:r>
        <w:rPr>
          <w:spacing w:val="-8"/>
          <w:sz w:val="20"/>
        </w:rPr>
        <w:t> </w:t>
      </w:r>
      <w:r>
        <w:rPr>
          <w:sz w:val="20"/>
        </w:rPr>
        <w:t>Transporte</w:t>
      </w:r>
      <w:r>
        <w:rPr>
          <w:spacing w:val="-8"/>
          <w:sz w:val="20"/>
        </w:rPr>
        <w:t> </w:t>
      </w:r>
      <w:r>
        <w:rPr>
          <w:sz w:val="20"/>
        </w:rPr>
        <w:t>Público</w:t>
      </w:r>
      <w:r>
        <w:rPr>
          <w:spacing w:val="-9"/>
          <w:sz w:val="20"/>
        </w:rPr>
        <w:t> </w:t>
      </w:r>
      <w:r>
        <w:rPr>
          <w:sz w:val="20"/>
        </w:rPr>
        <w:t>(UITP)</w:t>
      </w:r>
      <w:r>
        <w:rPr>
          <w:spacing w:val="-7"/>
          <w:sz w:val="20"/>
        </w:rPr>
        <w:t> </w:t>
      </w:r>
      <w:r>
        <w:rPr>
          <w:spacing w:val="-2"/>
          <w:sz w:val="20"/>
        </w:rPr>
        <w:t>(asociado)</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Asociación</w:t>
      </w:r>
      <w:r>
        <w:rPr>
          <w:spacing w:val="-7"/>
          <w:sz w:val="20"/>
        </w:rPr>
        <w:t> </w:t>
      </w:r>
      <w:r>
        <w:rPr>
          <w:sz w:val="20"/>
        </w:rPr>
        <w:t>de</w:t>
      </w:r>
      <w:r>
        <w:rPr>
          <w:spacing w:val="-6"/>
          <w:sz w:val="20"/>
        </w:rPr>
        <w:t> </w:t>
      </w:r>
      <w:r>
        <w:rPr>
          <w:sz w:val="20"/>
        </w:rPr>
        <w:t>Empresas</w:t>
      </w:r>
      <w:r>
        <w:rPr>
          <w:spacing w:val="-6"/>
          <w:sz w:val="20"/>
        </w:rPr>
        <w:t> </w:t>
      </w:r>
      <w:r>
        <w:rPr>
          <w:sz w:val="20"/>
        </w:rPr>
        <w:t>Públicas</w:t>
      </w:r>
      <w:r>
        <w:rPr>
          <w:spacing w:val="-6"/>
          <w:sz w:val="20"/>
        </w:rPr>
        <w:t> </w:t>
      </w:r>
      <w:r>
        <w:rPr>
          <w:sz w:val="20"/>
        </w:rPr>
        <w:t>Locales</w:t>
      </w:r>
      <w:r>
        <w:rPr>
          <w:spacing w:val="-7"/>
          <w:sz w:val="20"/>
        </w:rPr>
        <w:t> </w:t>
      </w:r>
      <w:r>
        <w:rPr>
          <w:sz w:val="20"/>
        </w:rPr>
        <w:t>de</w:t>
      </w:r>
      <w:r>
        <w:rPr>
          <w:spacing w:val="-9"/>
          <w:sz w:val="20"/>
        </w:rPr>
        <w:t> </w:t>
      </w:r>
      <w:r>
        <w:rPr>
          <w:sz w:val="20"/>
        </w:rPr>
        <w:t>Interés</w:t>
      </w:r>
      <w:r>
        <w:rPr>
          <w:spacing w:val="-3"/>
          <w:sz w:val="20"/>
        </w:rPr>
        <w:t> </w:t>
      </w:r>
      <w:r>
        <w:rPr>
          <w:sz w:val="20"/>
        </w:rPr>
        <w:t>General</w:t>
      </w:r>
      <w:r>
        <w:rPr>
          <w:spacing w:val="-6"/>
          <w:sz w:val="20"/>
        </w:rPr>
        <w:t> </w:t>
      </w:r>
      <w:r>
        <w:rPr>
          <w:spacing w:val="-2"/>
          <w:sz w:val="20"/>
        </w:rPr>
        <w:t>(asociado)</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Clúster</w:t>
      </w:r>
      <w:r>
        <w:rPr>
          <w:spacing w:val="-5"/>
          <w:sz w:val="20"/>
        </w:rPr>
        <w:t> </w:t>
      </w:r>
      <w:r>
        <w:rPr>
          <w:sz w:val="20"/>
        </w:rPr>
        <w:t>de</w:t>
      </w:r>
      <w:r>
        <w:rPr>
          <w:spacing w:val="-7"/>
          <w:sz w:val="20"/>
        </w:rPr>
        <w:t> </w:t>
      </w:r>
      <w:r>
        <w:rPr>
          <w:sz w:val="20"/>
        </w:rPr>
        <w:t>Transporte</w:t>
      </w:r>
      <w:r>
        <w:rPr>
          <w:spacing w:val="-1"/>
          <w:sz w:val="20"/>
        </w:rPr>
        <w:t> </w:t>
      </w:r>
      <w:r>
        <w:rPr>
          <w:sz w:val="20"/>
        </w:rPr>
        <w:t>y</w:t>
      </w:r>
      <w:r>
        <w:rPr>
          <w:spacing w:val="-10"/>
          <w:sz w:val="20"/>
        </w:rPr>
        <w:t> </w:t>
      </w:r>
      <w:r>
        <w:rPr>
          <w:sz w:val="20"/>
        </w:rPr>
        <w:t>Logística</w:t>
      </w:r>
      <w:r>
        <w:rPr>
          <w:spacing w:val="-7"/>
          <w:sz w:val="20"/>
        </w:rPr>
        <w:t> </w:t>
      </w:r>
      <w:r>
        <w:rPr>
          <w:sz w:val="20"/>
        </w:rPr>
        <w:t>de</w:t>
      </w:r>
      <w:r>
        <w:rPr>
          <w:spacing w:val="-7"/>
          <w:sz w:val="20"/>
        </w:rPr>
        <w:t> </w:t>
      </w:r>
      <w:r>
        <w:rPr>
          <w:sz w:val="20"/>
        </w:rPr>
        <w:t>Canarias</w:t>
      </w:r>
      <w:r>
        <w:rPr>
          <w:spacing w:val="-6"/>
          <w:sz w:val="20"/>
        </w:rPr>
        <w:t> </w:t>
      </w:r>
      <w:r>
        <w:rPr>
          <w:spacing w:val="-2"/>
          <w:sz w:val="20"/>
        </w:rPr>
        <w:t>(asociado)</w:t>
      </w:r>
    </w:p>
    <w:p>
      <w:pPr>
        <w:pStyle w:val="ListParagraph"/>
        <w:numPr>
          <w:ilvl w:val="0"/>
          <w:numId w:val="33"/>
        </w:numPr>
        <w:tabs>
          <w:tab w:pos="2061" w:val="left" w:leader="none"/>
        </w:tabs>
        <w:spacing w:line="240" w:lineRule="auto" w:before="127" w:after="0"/>
        <w:ind w:left="2061" w:right="0" w:hanging="360"/>
        <w:jc w:val="left"/>
        <w:rPr>
          <w:sz w:val="20"/>
        </w:rPr>
      </w:pPr>
      <w:r>
        <w:rPr>
          <w:sz w:val="20"/>
        </w:rPr>
        <w:t>Gexco,</w:t>
      </w:r>
      <w:r>
        <w:rPr>
          <w:spacing w:val="-6"/>
          <w:sz w:val="20"/>
        </w:rPr>
        <w:t> </w:t>
      </w:r>
      <w:r>
        <w:rPr>
          <w:sz w:val="20"/>
        </w:rPr>
        <w:t>S.L.</w:t>
      </w:r>
      <w:r>
        <w:rPr>
          <w:spacing w:val="-3"/>
          <w:sz w:val="20"/>
        </w:rPr>
        <w:t> </w:t>
      </w:r>
      <w:r>
        <w:rPr>
          <w:sz w:val="20"/>
        </w:rPr>
        <w:t>(partícipe</w:t>
      </w:r>
      <w:r>
        <w:rPr>
          <w:spacing w:val="-4"/>
          <w:sz w:val="20"/>
        </w:rPr>
        <w:t> </w:t>
      </w:r>
      <w:r>
        <w:rPr>
          <w:sz w:val="20"/>
        </w:rPr>
        <w:t>en</w:t>
      </w:r>
      <w:r>
        <w:rPr>
          <w:spacing w:val="-5"/>
          <w:sz w:val="20"/>
        </w:rPr>
        <w:t> </w:t>
      </w:r>
      <w:r>
        <w:rPr>
          <w:sz w:val="20"/>
        </w:rPr>
        <w:t>un</w:t>
      </w:r>
      <w:r>
        <w:rPr>
          <w:spacing w:val="-6"/>
          <w:sz w:val="20"/>
        </w:rPr>
        <w:t> </w:t>
      </w:r>
      <w:r>
        <w:rPr>
          <w:spacing w:val="-2"/>
          <w:sz w:val="20"/>
        </w:rPr>
        <w:t>33,33%)</w:t>
      </w:r>
    </w:p>
    <w:p>
      <w:pPr>
        <w:pStyle w:val="ListParagraph"/>
        <w:numPr>
          <w:ilvl w:val="0"/>
          <w:numId w:val="33"/>
        </w:numPr>
        <w:tabs>
          <w:tab w:pos="2061" w:val="left" w:leader="none"/>
        </w:tabs>
        <w:spacing w:line="240" w:lineRule="auto" w:before="129" w:after="0"/>
        <w:ind w:left="2061" w:right="0" w:hanging="360"/>
        <w:jc w:val="left"/>
        <w:rPr>
          <w:sz w:val="20"/>
        </w:rPr>
      </w:pPr>
      <w:r>
        <w:rPr>
          <w:sz w:val="20"/>
        </w:rPr>
        <w:t>Red</w:t>
      </w:r>
      <w:r>
        <w:rPr>
          <w:spacing w:val="-7"/>
          <w:sz w:val="20"/>
        </w:rPr>
        <w:t> </w:t>
      </w:r>
      <w:r>
        <w:rPr>
          <w:sz w:val="20"/>
        </w:rPr>
        <w:t>Canaria</w:t>
      </w:r>
      <w:r>
        <w:rPr>
          <w:spacing w:val="-7"/>
          <w:sz w:val="20"/>
        </w:rPr>
        <w:t> </w:t>
      </w:r>
      <w:r>
        <w:rPr>
          <w:sz w:val="20"/>
        </w:rPr>
        <w:t>de</w:t>
      </w:r>
      <w:r>
        <w:rPr>
          <w:spacing w:val="-8"/>
          <w:sz w:val="20"/>
        </w:rPr>
        <w:t> </w:t>
      </w:r>
      <w:r>
        <w:rPr>
          <w:sz w:val="20"/>
        </w:rPr>
        <w:t>Transportes</w:t>
      </w:r>
      <w:r>
        <w:rPr>
          <w:spacing w:val="-5"/>
          <w:sz w:val="20"/>
        </w:rPr>
        <w:t> </w:t>
      </w:r>
      <w:r>
        <w:rPr>
          <w:sz w:val="20"/>
        </w:rPr>
        <w:t>Integrales,</w:t>
      </w:r>
      <w:r>
        <w:rPr>
          <w:spacing w:val="-5"/>
          <w:sz w:val="20"/>
        </w:rPr>
        <w:t> </w:t>
      </w:r>
      <w:r>
        <w:rPr>
          <w:sz w:val="20"/>
        </w:rPr>
        <w:t>S.L.</w:t>
      </w:r>
      <w:r>
        <w:rPr>
          <w:spacing w:val="-4"/>
          <w:sz w:val="20"/>
        </w:rPr>
        <w:t> </w:t>
      </w:r>
      <w:r>
        <w:rPr>
          <w:sz w:val="20"/>
        </w:rPr>
        <w:t>(partícipe</w:t>
      </w:r>
      <w:r>
        <w:rPr>
          <w:spacing w:val="-4"/>
          <w:sz w:val="20"/>
        </w:rPr>
        <w:t> </w:t>
      </w:r>
      <w:r>
        <w:rPr>
          <w:sz w:val="20"/>
        </w:rPr>
        <w:t>en</w:t>
      </w:r>
      <w:r>
        <w:rPr>
          <w:spacing w:val="-6"/>
          <w:sz w:val="20"/>
        </w:rPr>
        <w:t> </w:t>
      </w:r>
      <w:r>
        <w:rPr>
          <w:sz w:val="20"/>
        </w:rPr>
        <w:t>un</w:t>
      </w:r>
      <w:r>
        <w:rPr>
          <w:spacing w:val="-8"/>
          <w:sz w:val="20"/>
        </w:rPr>
        <w:t> </w:t>
      </w:r>
      <w:r>
        <w:rPr>
          <w:spacing w:val="-2"/>
          <w:sz w:val="20"/>
        </w:rPr>
        <w:t>33,33%)</w:t>
      </w:r>
    </w:p>
    <w:p>
      <w:pPr>
        <w:pStyle w:val="BodyText"/>
        <w:spacing w:before="81"/>
      </w:pPr>
    </w:p>
    <w:p>
      <w:pPr>
        <w:pStyle w:val="BodyText"/>
        <w:spacing w:line="362" w:lineRule="auto" w:before="1"/>
        <w:ind w:left="1341" w:right="1308"/>
      </w:pPr>
      <w:r>
        <w:rPr/>
        <w:t>La visión y misión de la empresa se plasma en la visión y misión recogida en la Política del de Gestión Corporativa de Guaguas Municipales.</w:t>
      </w:r>
    </w:p>
    <w:p>
      <w:pPr>
        <w:pStyle w:val="BodyText"/>
        <w:spacing w:line="362" w:lineRule="auto" w:before="193"/>
        <w:ind w:left="1341" w:right="1308"/>
      </w:pPr>
      <w:r>
        <w:rPr>
          <w:b/>
        </w:rPr>
        <w:t>Visión</w:t>
      </w:r>
      <w:r>
        <w:rPr/>
        <w:t>.</w:t>
      </w:r>
      <w:r>
        <w:rPr>
          <w:spacing w:val="39"/>
        </w:rPr>
        <w:t> </w:t>
      </w:r>
      <w:r>
        <w:rPr/>
        <w:t>Hacer</w:t>
      </w:r>
      <w:r>
        <w:rPr>
          <w:spacing w:val="38"/>
        </w:rPr>
        <w:t> </w:t>
      </w:r>
      <w:r>
        <w:rPr/>
        <w:t>que</w:t>
      </w:r>
      <w:r>
        <w:rPr>
          <w:spacing w:val="38"/>
        </w:rPr>
        <w:t> </w:t>
      </w:r>
      <w:r>
        <w:rPr/>
        <w:t>Guaguas</w:t>
      </w:r>
      <w:r>
        <w:rPr>
          <w:spacing w:val="40"/>
        </w:rPr>
        <w:t> </w:t>
      </w:r>
      <w:r>
        <w:rPr/>
        <w:t>Municipales</w:t>
      </w:r>
      <w:r>
        <w:rPr>
          <w:spacing w:val="39"/>
        </w:rPr>
        <w:t> </w:t>
      </w:r>
      <w:r>
        <w:rPr/>
        <w:t>incremente</w:t>
      </w:r>
      <w:r>
        <w:rPr>
          <w:spacing w:val="40"/>
        </w:rPr>
        <w:t> </w:t>
      </w:r>
      <w:r>
        <w:rPr/>
        <w:t>su</w:t>
      </w:r>
      <w:r>
        <w:rPr>
          <w:spacing w:val="37"/>
        </w:rPr>
        <w:t> </w:t>
      </w:r>
      <w:r>
        <w:rPr/>
        <w:t>cuota</w:t>
      </w:r>
      <w:r>
        <w:rPr>
          <w:spacing w:val="40"/>
        </w:rPr>
        <w:t> </w:t>
      </w:r>
      <w:r>
        <w:rPr/>
        <w:t>dentro</w:t>
      </w:r>
      <w:r>
        <w:rPr>
          <w:spacing w:val="40"/>
        </w:rPr>
        <w:t> </w:t>
      </w:r>
      <w:r>
        <w:rPr/>
        <w:t>de</w:t>
      </w:r>
      <w:r>
        <w:rPr>
          <w:spacing w:val="40"/>
        </w:rPr>
        <w:t> </w:t>
      </w:r>
      <w:r>
        <w:rPr/>
        <w:t>la</w:t>
      </w:r>
      <w:r>
        <w:rPr>
          <w:spacing w:val="37"/>
        </w:rPr>
        <w:t> </w:t>
      </w:r>
      <w:r>
        <w:rPr/>
        <w:t>movilidad</w:t>
      </w:r>
      <w:r>
        <w:rPr>
          <w:spacing w:val="36"/>
        </w:rPr>
        <w:t> </w:t>
      </w:r>
      <w:r>
        <w:rPr/>
        <w:t>de</w:t>
      </w:r>
      <w:r>
        <w:rPr>
          <w:spacing w:val="38"/>
        </w:rPr>
        <w:t> </w:t>
      </w:r>
      <w:r>
        <w:rPr/>
        <w:t>la ciudad</w:t>
      </w:r>
      <w:r>
        <w:rPr>
          <w:spacing w:val="35"/>
        </w:rPr>
        <w:t>  </w:t>
      </w:r>
      <w:r>
        <w:rPr/>
        <w:t>a</w:t>
      </w:r>
      <w:r>
        <w:rPr>
          <w:spacing w:val="36"/>
        </w:rPr>
        <w:t>  </w:t>
      </w:r>
      <w:r>
        <w:rPr/>
        <w:t>través</w:t>
      </w:r>
      <w:r>
        <w:rPr>
          <w:spacing w:val="36"/>
        </w:rPr>
        <w:t>  </w:t>
      </w:r>
      <w:r>
        <w:rPr/>
        <w:t>de</w:t>
      </w:r>
      <w:r>
        <w:rPr>
          <w:spacing w:val="36"/>
        </w:rPr>
        <w:t>  </w:t>
      </w:r>
      <w:r>
        <w:rPr/>
        <w:t>una</w:t>
      </w:r>
      <w:r>
        <w:rPr>
          <w:spacing w:val="36"/>
        </w:rPr>
        <w:t>  </w:t>
      </w:r>
      <w:r>
        <w:rPr/>
        <w:t>red</w:t>
      </w:r>
      <w:r>
        <w:rPr>
          <w:spacing w:val="37"/>
        </w:rPr>
        <w:t>  </w:t>
      </w:r>
      <w:r>
        <w:rPr/>
        <w:t>más</w:t>
      </w:r>
      <w:r>
        <w:rPr>
          <w:spacing w:val="34"/>
        </w:rPr>
        <w:t>  </w:t>
      </w:r>
      <w:r>
        <w:rPr/>
        <w:t>moderna,</w:t>
      </w:r>
      <w:r>
        <w:rPr>
          <w:spacing w:val="36"/>
        </w:rPr>
        <w:t>  </w:t>
      </w:r>
      <w:r>
        <w:rPr/>
        <w:t>eficiente,</w:t>
      </w:r>
      <w:r>
        <w:rPr>
          <w:spacing w:val="36"/>
        </w:rPr>
        <w:t>  </w:t>
      </w:r>
      <w:r>
        <w:rPr/>
        <w:t>segura,</w:t>
      </w:r>
      <w:r>
        <w:rPr>
          <w:spacing w:val="37"/>
        </w:rPr>
        <w:t>  </w:t>
      </w:r>
      <w:r>
        <w:rPr/>
        <w:t>accesible</w:t>
      </w:r>
      <w:r>
        <w:rPr>
          <w:spacing w:val="38"/>
        </w:rPr>
        <w:t>  </w:t>
      </w:r>
      <w:r>
        <w:rPr/>
        <w:t>y</w:t>
      </w:r>
      <w:r>
        <w:rPr>
          <w:spacing w:val="34"/>
        </w:rPr>
        <w:t>  </w:t>
      </w:r>
      <w:r>
        <w:rPr>
          <w:spacing w:val="-2"/>
        </w:rPr>
        <w:t>limpia</w:t>
      </w:r>
    </w:p>
    <w:p>
      <w:pPr>
        <w:pStyle w:val="BodyText"/>
        <w:spacing w:line="360" w:lineRule="auto"/>
        <w:ind w:left="1341" w:right="1336"/>
        <w:jc w:val="both"/>
      </w:pPr>
      <w:r>
        <w:rPr/>
        <w:t>(descarbonizada). Generar infraestructuras físicas y tecnológicas para el impulso de nuestros servicios, de la mano de las Administraciones Públicas, al tiempo que liberar todo el potencial del equipo de personas para asumir los desafíos que presenta una ciudad moderna y en </w:t>
      </w:r>
      <w:r>
        <w:rPr>
          <w:spacing w:val="-2"/>
        </w:rPr>
        <w:t>desarrollo.</w:t>
      </w:r>
    </w:p>
    <w:p>
      <w:pPr>
        <w:pStyle w:val="BodyText"/>
        <w:spacing w:before="196"/>
        <w:ind w:left="2"/>
        <w:jc w:val="center"/>
      </w:pPr>
      <w:r>
        <w:rPr/>
        <mc:AlternateContent>
          <mc:Choice Requires="wps">
            <w:drawing>
              <wp:anchor distT="0" distB="0" distL="0" distR="0" allowOverlap="1" layoutInCell="1" locked="0" behindDoc="0" simplePos="0" relativeHeight="15791104">
                <wp:simplePos x="0" y="0"/>
                <wp:positionH relativeFrom="page">
                  <wp:posOffset>6966436</wp:posOffset>
                </wp:positionH>
                <wp:positionV relativeFrom="paragraph">
                  <wp:posOffset>4747</wp:posOffset>
                </wp:positionV>
                <wp:extent cx="263525" cy="327596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373818pt;width:20.75pt;height:257.95pt;mso-position-horizontal-relative:page;mso-position-vertical-relative:paragraph;z-index:15791104" type="#_x0000_t202" id="docshape18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b/>
        </w:rPr>
        <w:t>Misión.</w:t>
      </w:r>
      <w:r>
        <w:rPr>
          <w:b/>
          <w:spacing w:val="46"/>
        </w:rPr>
        <w:t> </w:t>
      </w:r>
      <w:r>
        <w:rPr/>
        <w:t>Somos</w:t>
      </w:r>
      <w:r>
        <w:rPr>
          <w:spacing w:val="47"/>
        </w:rPr>
        <w:t> </w:t>
      </w:r>
      <w:r>
        <w:rPr/>
        <w:t>la</w:t>
      </w:r>
      <w:r>
        <w:rPr>
          <w:spacing w:val="45"/>
        </w:rPr>
        <w:t> </w:t>
      </w:r>
      <w:r>
        <w:rPr/>
        <w:t>compañía</w:t>
      </w:r>
      <w:r>
        <w:rPr>
          <w:spacing w:val="46"/>
        </w:rPr>
        <w:t> </w:t>
      </w:r>
      <w:r>
        <w:rPr/>
        <w:t>pública</w:t>
      </w:r>
      <w:r>
        <w:rPr>
          <w:spacing w:val="49"/>
        </w:rPr>
        <w:t> </w:t>
      </w:r>
      <w:r>
        <w:rPr/>
        <w:t>de</w:t>
      </w:r>
      <w:r>
        <w:rPr>
          <w:spacing w:val="49"/>
        </w:rPr>
        <w:t> </w:t>
      </w:r>
      <w:r>
        <w:rPr/>
        <w:t>transporte</w:t>
      </w:r>
      <w:r>
        <w:rPr>
          <w:spacing w:val="48"/>
        </w:rPr>
        <w:t> </w:t>
      </w:r>
      <w:r>
        <w:rPr/>
        <w:t>de</w:t>
      </w:r>
      <w:r>
        <w:rPr>
          <w:spacing w:val="47"/>
        </w:rPr>
        <w:t> </w:t>
      </w:r>
      <w:r>
        <w:rPr/>
        <w:t>referencia</w:t>
      </w:r>
      <w:r>
        <w:rPr>
          <w:spacing w:val="45"/>
        </w:rPr>
        <w:t> </w:t>
      </w:r>
      <w:r>
        <w:rPr/>
        <w:t>en</w:t>
      </w:r>
      <w:r>
        <w:rPr>
          <w:spacing w:val="45"/>
        </w:rPr>
        <w:t> </w:t>
      </w:r>
      <w:r>
        <w:rPr/>
        <w:t>Las</w:t>
      </w:r>
      <w:r>
        <w:rPr>
          <w:spacing w:val="48"/>
        </w:rPr>
        <w:t> </w:t>
      </w:r>
      <w:r>
        <w:rPr/>
        <w:t>Palmas</w:t>
      </w:r>
      <w:r>
        <w:rPr>
          <w:spacing w:val="48"/>
        </w:rPr>
        <w:t> </w:t>
      </w:r>
      <w:r>
        <w:rPr/>
        <w:t>de</w:t>
      </w:r>
      <w:r>
        <w:rPr>
          <w:spacing w:val="46"/>
        </w:rPr>
        <w:t> </w:t>
      </w:r>
      <w:r>
        <w:rPr>
          <w:spacing w:val="-4"/>
        </w:rPr>
        <w:t>Gran</w:t>
      </w:r>
    </w:p>
    <w:p>
      <w:pPr>
        <w:pStyle w:val="BodyText"/>
        <w:spacing w:line="360" w:lineRule="auto" w:before="118"/>
        <w:ind w:left="1341" w:right="1337"/>
        <w:jc w:val="both"/>
      </w:pPr>
      <w:r>
        <w:rPr/>
        <w:t>Canaria, que facilita la mejor solución de movilidad colectiva para residentes y visitantes de la Ciudad. Como actor clave, ofrecemos una red de transporte segura, accesible y eficaz, que contribuye a consolidar el derecho a una movilidad urbana sostenible.</w:t>
      </w:r>
    </w:p>
    <w:p>
      <w:pPr>
        <w:pStyle w:val="BodyText"/>
        <w:spacing w:before="201"/>
        <w:ind w:left="1341"/>
      </w:pPr>
      <w:r>
        <w:rPr/>
        <w:t>Guaguas</w:t>
      </w:r>
      <w:r>
        <w:rPr>
          <w:spacing w:val="-6"/>
        </w:rPr>
        <w:t> </w:t>
      </w:r>
      <w:r>
        <w:rPr/>
        <w:t>se</w:t>
      </w:r>
      <w:r>
        <w:rPr>
          <w:spacing w:val="-8"/>
        </w:rPr>
        <w:t> </w:t>
      </w:r>
      <w:r>
        <w:rPr>
          <w:spacing w:val="-2"/>
        </w:rPr>
        <w:t>compromete:</w:t>
      </w:r>
    </w:p>
    <w:p>
      <w:pPr>
        <w:pStyle w:val="BodyText"/>
        <w:spacing w:before="82"/>
      </w:pPr>
    </w:p>
    <w:p>
      <w:pPr>
        <w:spacing w:before="1"/>
        <w:ind w:left="1341" w:right="0" w:firstLine="0"/>
        <w:jc w:val="left"/>
        <w:rPr>
          <w:sz w:val="20"/>
        </w:rPr>
      </w:pPr>
      <w:r>
        <w:rPr>
          <w:sz w:val="20"/>
        </w:rPr>
        <w:t>En</w:t>
      </w:r>
      <w:r>
        <w:rPr>
          <w:spacing w:val="13"/>
          <w:sz w:val="20"/>
        </w:rPr>
        <w:t> </w:t>
      </w:r>
      <w:r>
        <w:rPr>
          <w:sz w:val="20"/>
        </w:rPr>
        <w:t>el</w:t>
      </w:r>
      <w:r>
        <w:rPr>
          <w:spacing w:val="12"/>
          <w:sz w:val="20"/>
        </w:rPr>
        <w:t> </w:t>
      </w:r>
      <w:r>
        <w:rPr>
          <w:b/>
          <w:i/>
          <w:sz w:val="20"/>
        </w:rPr>
        <w:t>área</w:t>
      </w:r>
      <w:r>
        <w:rPr>
          <w:b/>
          <w:i/>
          <w:spacing w:val="15"/>
          <w:sz w:val="20"/>
        </w:rPr>
        <w:t> </w:t>
      </w:r>
      <w:r>
        <w:rPr>
          <w:b/>
          <w:i/>
          <w:sz w:val="20"/>
        </w:rPr>
        <w:t>de</w:t>
      </w:r>
      <w:r>
        <w:rPr>
          <w:b/>
          <w:i/>
          <w:spacing w:val="13"/>
          <w:sz w:val="20"/>
        </w:rPr>
        <w:t> </w:t>
      </w:r>
      <w:r>
        <w:rPr>
          <w:b/>
          <w:i/>
          <w:sz w:val="20"/>
        </w:rPr>
        <w:t>gestión</w:t>
      </w:r>
      <w:r>
        <w:rPr>
          <w:b/>
          <w:i/>
          <w:spacing w:val="15"/>
          <w:sz w:val="20"/>
        </w:rPr>
        <w:t> </w:t>
      </w:r>
      <w:r>
        <w:rPr>
          <w:b/>
          <w:i/>
          <w:sz w:val="20"/>
        </w:rPr>
        <w:t>de</w:t>
      </w:r>
      <w:r>
        <w:rPr>
          <w:b/>
          <w:i/>
          <w:spacing w:val="16"/>
          <w:sz w:val="20"/>
        </w:rPr>
        <w:t> </w:t>
      </w:r>
      <w:r>
        <w:rPr>
          <w:b/>
          <w:i/>
          <w:sz w:val="20"/>
        </w:rPr>
        <w:t>calidad</w:t>
      </w:r>
      <w:r>
        <w:rPr>
          <w:b/>
          <w:i/>
          <w:spacing w:val="16"/>
          <w:sz w:val="20"/>
        </w:rPr>
        <w:t> </w:t>
      </w:r>
      <w:r>
        <w:rPr>
          <w:sz w:val="20"/>
        </w:rPr>
        <w:t>a</w:t>
      </w:r>
      <w:r>
        <w:rPr>
          <w:spacing w:val="14"/>
          <w:sz w:val="20"/>
        </w:rPr>
        <w:t> </w:t>
      </w:r>
      <w:r>
        <w:rPr>
          <w:sz w:val="20"/>
        </w:rPr>
        <w:t>elaborar,</w:t>
      </w:r>
      <w:r>
        <w:rPr>
          <w:spacing w:val="13"/>
          <w:sz w:val="20"/>
        </w:rPr>
        <w:t> </w:t>
      </w:r>
      <w:r>
        <w:rPr>
          <w:sz w:val="20"/>
        </w:rPr>
        <w:t>realizar</w:t>
      </w:r>
      <w:r>
        <w:rPr>
          <w:spacing w:val="18"/>
          <w:sz w:val="20"/>
        </w:rPr>
        <w:t> </w:t>
      </w:r>
      <w:r>
        <w:rPr>
          <w:sz w:val="20"/>
        </w:rPr>
        <w:t>y</w:t>
      </w:r>
      <w:r>
        <w:rPr>
          <w:spacing w:val="9"/>
          <w:sz w:val="20"/>
        </w:rPr>
        <w:t> </w:t>
      </w:r>
      <w:r>
        <w:rPr>
          <w:sz w:val="20"/>
        </w:rPr>
        <w:t>evaluar</w:t>
      </w:r>
      <w:r>
        <w:rPr>
          <w:spacing w:val="14"/>
          <w:sz w:val="20"/>
        </w:rPr>
        <w:t> </w:t>
      </w:r>
      <w:r>
        <w:rPr>
          <w:sz w:val="20"/>
        </w:rPr>
        <w:t>periódicamente</w:t>
      </w:r>
      <w:r>
        <w:rPr>
          <w:spacing w:val="16"/>
          <w:sz w:val="20"/>
        </w:rPr>
        <w:t> </w:t>
      </w:r>
      <w:r>
        <w:rPr>
          <w:sz w:val="20"/>
        </w:rPr>
        <w:t>su</w:t>
      </w:r>
      <w:r>
        <w:rPr>
          <w:spacing w:val="13"/>
          <w:sz w:val="20"/>
        </w:rPr>
        <w:t> </w:t>
      </w:r>
      <w:r>
        <w:rPr>
          <w:spacing w:val="-2"/>
          <w:sz w:val="20"/>
        </w:rPr>
        <w:t>propuesta</w:t>
      </w:r>
    </w:p>
    <w:p>
      <w:pPr>
        <w:pStyle w:val="BodyText"/>
        <w:spacing w:before="115"/>
        <w:ind w:left="1"/>
        <w:jc w:val="center"/>
      </w:pPr>
      <w:r>
        <w:rPr/>
        <w:t>de</w:t>
      </w:r>
      <w:r>
        <w:rPr>
          <w:spacing w:val="67"/>
        </w:rPr>
        <w:t> </w:t>
      </w:r>
      <w:r>
        <w:rPr/>
        <w:t>servicios</w:t>
      </w:r>
      <w:r>
        <w:rPr>
          <w:spacing w:val="71"/>
        </w:rPr>
        <w:t> </w:t>
      </w:r>
      <w:r>
        <w:rPr/>
        <w:t>en</w:t>
      </w:r>
      <w:r>
        <w:rPr>
          <w:spacing w:val="69"/>
        </w:rPr>
        <w:t> </w:t>
      </w:r>
      <w:r>
        <w:rPr/>
        <w:t>la</w:t>
      </w:r>
      <w:r>
        <w:rPr>
          <w:spacing w:val="69"/>
        </w:rPr>
        <w:t> </w:t>
      </w:r>
      <w:r>
        <w:rPr/>
        <w:t>que</w:t>
      </w:r>
      <w:r>
        <w:rPr>
          <w:spacing w:val="72"/>
        </w:rPr>
        <w:t> </w:t>
      </w:r>
      <w:r>
        <w:rPr/>
        <w:t>ofrece</w:t>
      </w:r>
      <w:r>
        <w:rPr>
          <w:spacing w:val="66"/>
        </w:rPr>
        <w:t> </w:t>
      </w:r>
      <w:r>
        <w:rPr/>
        <w:t>el</w:t>
      </w:r>
      <w:r>
        <w:rPr>
          <w:spacing w:val="68"/>
        </w:rPr>
        <w:t> </w:t>
      </w:r>
      <w:r>
        <w:rPr/>
        <w:t>mejor</w:t>
      </w:r>
      <w:r>
        <w:rPr>
          <w:spacing w:val="68"/>
        </w:rPr>
        <w:t> </w:t>
      </w:r>
      <w:r>
        <w:rPr/>
        <w:t>transporte</w:t>
      </w:r>
      <w:r>
        <w:rPr>
          <w:spacing w:val="68"/>
        </w:rPr>
        <w:t> </w:t>
      </w:r>
      <w:r>
        <w:rPr/>
        <w:t>sostenible,</w:t>
      </w:r>
      <w:r>
        <w:rPr>
          <w:spacing w:val="69"/>
        </w:rPr>
        <w:t> </w:t>
      </w:r>
      <w:r>
        <w:rPr/>
        <w:t>que</w:t>
      </w:r>
      <w:r>
        <w:rPr>
          <w:spacing w:val="70"/>
        </w:rPr>
        <w:t> </w:t>
      </w:r>
      <w:r>
        <w:rPr/>
        <w:t>dé</w:t>
      </w:r>
      <w:r>
        <w:rPr>
          <w:spacing w:val="68"/>
        </w:rPr>
        <w:t> </w:t>
      </w:r>
      <w:r>
        <w:rPr/>
        <w:t>respuestas</w:t>
      </w:r>
      <w:r>
        <w:rPr>
          <w:spacing w:val="69"/>
        </w:rPr>
        <w:t> </w:t>
      </w:r>
      <w:r>
        <w:rPr/>
        <w:t>a</w:t>
      </w:r>
      <w:r>
        <w:rPr>
          <w:spacing w:val="70"/>
        </w:rPr>
        <w:t> </w:t>
      </w:r>
      <w:r>
        <w:rPr>
          <w:spacing w:val="-5"/>
        </w:rPr>
        <w:t>las</w:t>
      </w:r>
    </w:p>
    <w:p>
      <w:pPr>
        <w:pStyle w:val="BodyText"/>
        <w:spacing w:line="360" w:lineRule="auto" w:before="116"/>
        <w:ind w:left="1341" w:right="1308"/>
      </w:pPr>
      <w:r>
        <w:rPr/>
        <w:t>necesidades</w:t>
      </w:r>
      <w:r>
        <w:rPr>
          <w:spacing w:val="27"/>
        </w:rPr>
        <w:t> </w:t>
      </w:r>
      <w:r>
        <w:rPr/>
        <w:t>de</w:t>
      </w:r>
      <w:r>
        <w:rPr>
          <w:spacing w:val="26"/>
        </w:rPr>
        <w:t> </w:t>
      </w:r>
      <w:r>
        <w:rPr/>
        <w:t>la</w:t>
      </w:r>
      <w:r>
        <w:rPr>
          <w:spacing w:val="26"/>
        </w:rPr>
        <w:t> </w:t>
      </w:r>
      <w:r>
        <w:rPr/>
        <w:t>sociedad</w:t>
      </w:r>
      <w:r>
        <w:rPr>
          <w:spacing w:val="29"/>
        </w:rPr>
        <w:t> </w:t>
      </w:r>
      <w:r>
        <w:rPr/>
        <w:t>de</w:t>
      </w:r>
      <w:r>
        <w:rPr>
          <w:spacing w:val="26"/>
        </w:rPr>
        <w:t> </w:t>
      </w:r>
      <w:r>
        <w:rPr/>
        <w:t>Las</w:t>
      </w:r>
      <w:r>
        <w:rPr>
          <w:spacing w:val="27"/>
        </w:rPr>
        <w:t> </w:t>
      </w:r>
      <w:r>
        <w:rPr/>
        <w:t>Palmas</w:t>
      </w:r>
      <w:r>
        <w:rPr>
          <w:spacing w:val="27"/>
        </w:rPr>
        <w:t> </w:t>
      </w:r>
      <w:r>
        <w:rPr/>
        <w:t>de</w:t>
      </w:r>
      <w:r>
        <w:rPr>
          <w:spacing w:val="26"/>
        </w:rPr>
        <w:t> </w:t>
      </w:r>
      <w:r>
        <w:rPr/>
        <w:t>Gran</w:t>
      </w:r>
      <w:r>
        <w:rPr>
          <w:spacing w:val="25"/>
        </w:rPr>
        <w:t> </w:t>
      </w:r>
      <w:r>
        <w:rPr/>
        <w:t>Canaria,</w:t>
      </w:r>
      <w:r>
        <w:rPr>
          <w:spacing w:val="27"/>
        </w:rPr>
        <w:t> </w:t>
      </w:r>
      <w:r>
        <w:rPr/>
        <w:t>cumpliendo</w:t>
      </w:r>
      <w:r>
        <w:rPr>
          <w:spacing w:val="26"/>
        </w:rPr>
        <w:t> </w:t>
      </w:r>
      <w:r>
        <w:rPr/>
        <w:t>con</w:t>
      </w:r>
      <w:r>
        <w:rPr>
          <w:spacing w:val="28"/>
        </w:rPr>
        <w:t> </w:t>
      </w:r>
      <w:r>
        <w:rPr/>
        <w:t>los</w:t>
      </w:r>
      <w:r>
        <w:rPr>
          <w:spacing w:val="27"/>
        </w:rPr>
        <w:t> </w:t>
      </w:r>
      <w:r>
        <w:rPr/>
        <w:t>requisitos legales aplicables, así como con otros requisitos que la organización suscriba.</w:t>
      </w:r>
    </w:p>
    <w:p>
      <w:pPr>
        <w:spacing w:before="198"/>
        <w:ind w:left="1" w:right="0" w:firstLine="0"/>
        <w:jc w:val="center"/>
        <w:rPr>
          <w:sz w:val="20"/>
        </w:rPr>
      </w:pPr>
      <w:r>
        <w:rPr>
          <w:sz w:val="20"/>
        </w:rPr>
        <w:t>En</w:t>
      </w:r>
      <w:r>
        <w:rPr>
          <w:spacing w:val="56"/>
          <w:sz w:val="20"/>
        </w:rPr>
        <w:t> </w:t>
      </w:r>
      <w:r>
        <w:rPr>
          <w:sz w:val="20"/>
        </w:rPr>
        <w:t>el</w:t>
      </w:r>
      <w:r>
        <w:rPr>
          <w:spacing w:val="56"/>
          <w:sz w:val="20"/>
        </w:rPr>
        <w:t> </w:t>
      </w:r>
      <w:r>
        <w:rPr>
          <w:b/>
          <w:i/>
          <w:sz w:val="20"/>
        </w:rPr>
        <w:t>área</w:t>
      </w:r>
      <w:r>
        <w:rPr>
          <w:b/>
          <w:i/>
          <w:spacing w:val="58"/>
          <w:sz w:val="20"/>
        </w:rPr>
        <w:t> </w:t>
      </w:r>
      <w:r>
        <w:rPr>
          <w:b/>
          <w:i/>
          <w:sz w:val="20"/>
        </w:rPr>
        <w:t>medioambiental</w:t>
      </w:r>
      <w:r>
        <w:rPr>
          <w:sz w:val="20"/>
        </w:rPr>
        <w:t>,</w:t>
      </w:r>
      <w:r>
        <w:rPr>
          <w:spacing w:val="57"/>
          <w:sz w:val="20"/>
        </w:rPr>
        <w:t> </w:t>
      </w:r>
      <w:r>
        <w:rPr>
          <w:sz w:val="20"/>
        </w:rPr>
        <w:t>se</w:t>
      </w:r>
      <w:r>
        <w:rPr>
          <w:spacing w:val="56"/>
          <w:sz w:val="20"/>
        </w:rPr>
        <w:t> </w:t>
      </w:r>
      <w:r>
        <w:rPr>
          <w:sz w:val="20"/>
        </w:rPr>
        <w:t>compromete</w:t>
      </w:r>
      <w:r>
        <w:rPr>
          <w:spacing w:val="58"/>
          <w:sz w:val="20"/>
        </w:rPr>
        <w:t> </w:t>
      </w:r>
      <w:r>
        <w:rPr>
          <w:sz w:val="20"/>
        </w:rPr>
        <w:t>a</w:t>
      </w:r>
      <w:r>
        <w:rPr>
          <w:spacing w:val="56"/>
          <w:sz w:val="20"/>
        </w:rPr>
        <w:t> </w:t>
      </w:r>
      <w:r>
        <w:rPr>
          <w:sz w:val="20"/>
        </w:rPr>
        <w:t>proteger</w:t>
      </w:r>
      <w:r>
        <w:rPr>
          <w:spacing w:val="58"/>
          <w:sz w:val="20"/>
        </w:rPr>
        <w:t> </w:t>
      </w:r>
      <w:r>
        <w:rPr>
          <w:sz w:val="20"/>
        </w:rPr>
        <w:t>el</w:t>
      </w:r>
      <w:r>
        <w:rPr>
          <w:spacing w:val="57"/>
          <w:sz w:val="20"/>
        </w:rPr>
        <w:t> </w:t>
      </w:r>
      <w:r>
        <w:rPr>
          <w:sz w:val="20"/>
        </w:rPr>
        <w:t>medioambiente</w:t>
      </w:r>
      <w:r>
        <w:rPr>
          <w:spacing w:val="61"/>
          <w:sz w:val="20"/>
        </w:rPr>
        <w:t> </w:t>
      </w:r>
      <w:r>
        <w:rPr>
          <w:sz w:val="20"/>
        </w:rPr>
        <w:t>y</w:t>
      </w:r>
      <w:r>
        <w:rPr>
          <w:spacing w:val="55"/>
          <w:sz w:val="20"/>
        </w:rPr>
        <w:t> </w:t>
      </w:r>
      <w:r>
        <w:rPr>
          <w:sz w:val="20"/>
        </w:rPr>
        <w:t>prevenir</w:t>
      </w:r>
      <w:r>
        <w:rPr>
          <w:spacing w:val="57"/>
          <w:sz w:val="20"/>
        </w:rPr>
        <w:t> </w:t>
      </w:r>
      <w:r>
        <w:rPr>
          <w:spacing w:val="-5"/>
          <w:sz w:val="20"/>
        </w:rPr>
        <w:t>la</w:t>
      </w:r>
    </w:p>
    <w:p>
      <w:pPr>
        <w:pStyle w:val="BodyText"/>
        <w:spacing w:line="362" w:lineRule="auto" w:before="116"/>
        <w:ind w:left="1341" w:right="1308"/>
      </w:pPr>
      <w:r>
        <w:rPr/>
        <w:t>contaminación,</w:t>
      </w:r>
      <w:r>
        <w:rPr>
          <w:spacing w:val="40"/>
        </w:rPr>
        <w:t> </w:t>
      </w:r>
      <w:r>
        <w:rPr/>
        <w:t>reducir</w:t>
      </w:r>
      <w:r>
        <w:rPr>
          <w:spacing w:val="40"/>
        </w:rPr>
        <w:t> </w:t>
      </w:r>
      <w:r>
        <w:rPr/>
        <w:t>al</w:t>
      </w:r>
      <w:r>
        <w:rPr>
          <w:spacing w:val="40"/>
        </w:rPr>
        <w:t> </w:t>
      </w:r>
      <w:r>
        <w:rPr/>
        <w:t>mínimo</w:t>
      </w:r>
      <w:r>
        <w:rPr>
          <w:spacing w:val="40"/>
        </w:rPr>
        <w:t> </w:t>
      </w:r>
      <w:r>
        <w:rPr/>
        <w:t>sus</w:t>
      </w:r>
      <w:r>
        <w:rPr>
          <w:spacing w:val="40"/>
        </w:rPr>
        <w:t> </w:t>
      </w:r>
      <w:r>
        <w:rPr/>
        <w:t>emisiones,</w:t>
      </w:r>
      <w:r>
        <w:rPr>
          <w:spacing w:val="40"/>
        </w:rPr>
        <w:t> </w:t>
      </w:r>
      <w:r>
        <w:rPr/>
        <w:t>vertidos</w:t>
      </w:r>
      <w:r>
        <w:rPr>
          <w:spacing w:val="40"/>
        </w:rPr>
        <w:t> </w:t>
      </w:r>
      <w:r>
        <w:rPr/>
        <w:t>y</w:t>
      </w:r>
      <w:r>
        <w:rPr>
          <w:spacing w:val="40"/>
        </w:rPr>
        <w:t> </w:t>
      </w:r>
      <w:r>
        <w:rPr/>
        <w:t>residuos,</w:t>
      </w:r>
      <w:r>
        <w:rPr>
          <w:spacing w:val="40"/>
        </w:rPr>
        <w:t> </w:t>
      </w:r>
      <w:r>
        <w:rPr/>
        <w:t>así</w:t>
      </w:r>
      <w:r>
        <w:rPr>
          <w:spacing w:val="40"/>
        </w:rPr>
        <w:t> </w:t>
      </w:r>
      <w:r>
        <w:rPr/>
        <w:t>como</w:t>
      </w:r>
      <w:r>
        <w:rPr>
          <w:spacing w:val="40"/>
        </w:rPr>
        <w:t> </w:t>
      </w:r>
      <w:r>
        <w:rPr/>
        <w:t>establecer anualmente objetivos alcanzables, medibles y evaluables.</w:t>
      </w:r>
    </w:p>
    <w:p>
      <w:pPr>
        <w:pStyle w:val="BodyText"/>
        <w:spacing w:after="0" w:line="362" w:lineRule="auto"/>
        <w:sectPr>
          <w:pgSz w:w="11910" w:h="16840"/>
          <w:pgMar w:header="384" w:footer="1060" w:top="1200" w:bottom="1260" w:left="360" w:right="360"/>
        </w:sectPr>
      </w:pPr>
    </w:p>
    <w:p>
      <w:pPr>
        <w:pStyle w:val="BodyText"/>
        <w:spacing w:line="360" w:lineRule="auto" w:before="215"/>
        <w:ind w:left="1341" w:right="1332"/>
        <w:jc w:val="both"/>
      </w:pPr>
      <w:r>
        <w:rPr/>
        <w:t>En el </w:t>
      </w:r>
      <w:r>
        <w:rPr>
          <w:b/>
          <w:i/>
        </w:rPr>
        <w:t>área de prevención </w:t>
      </w:r>
      <w:r>
        <w:rPr/>
        <w:t>de riesgos laborales a proporcionar unas condiciones de trabajo seguras y saludables para la prevención de lesiones y el deterioro de la salud. Eliminar los peligros y reducir los riesgos de nuestras actividades, así como mejorar la consulta y participación de nuestros trabajadores en materia de seguridad y salud.</w:t>
      </w:r>
    </w:p>
    <w:p>
      <w:pPr>
        <w:pStyle w:val="BodyText"/>
        <w:spacing w:before="202"/>
        <w:ind w:right="76"/>
        <w:jc w:val="center"/>
      </w:pPr>
      <w:r>
        <w:rPr/>
        <w:t>Asimismo,</w:t>
      </w:r>
      <w:r>
        <w:rPr>
          <w:spacing w:val="-6"/>
        </w:rPr>
        <w:t> </w:t>
      </w:r>
      <w:r>
        <w:rPr/>
        <w:t>el</w:t>
      </w:r>
      <w:r>
        <w:rPr>
          <w:spacing w:val="-5"/>
        </w:rPr>
        <w:t> </w:t>
      </w:r>
      <w:r>
        <w:rPr/>
        <w:t>Sistema</w:t>
      </w:r>
      <w:r>
        <w:rPr>
          <w:spacing w:val="-6"/>
        </w:rPr>
        <w:t> </w:t>
      </w:r>
      <w:r>
        <w:rPr/>
        <w:t>Integrado</w:t>
      </w:r>
      <w:r>
        <w:rPr>
          <w:spacing w:val="-5"/>
        </w:rPr>
        <w:t> </w:t>
      </w:r>
      <w:r>
        <w:rPr/>
        <w:t>de</w:t>
      </w:r>
      <w:r>
        <w:rPr>
          <w:spacing w:val="-5"/>
        </w:rPr>
        <w:t> </w:t>
      </w:r>
      <w:r>
        <w:rPr/>
        <w:t>Gestión</w:t>
      </w:r>
      <w:r>
        <w:rPr>
          <w:spacing w:val="-6"/>
        </w:rPr>
        <w:t> </w:t>
      </w:r>
      <w:r>
        <w:rPr/>
        <w:t>se</w:t>
      </w:r>
      <w:r>
        <w:rPr>
          <w:spacing w:val="-5"/>
        </w:rPr>
        <w:t> </w:t>
      </w:r>
      <w:r>
        <w:rPr/>
        <w:t>sustenta</w:t>
      </w:r>
      <w:r>
        <w:rPr>
          <w:spacing w:val="-5"/>
        </w:rPr>
        <w:t> </w:t>
      </w:r>
      <w:r>
        <w:rPr/>
        <w:t>en</w:t>
      </w:r>
      <w:r>
        <w:rPr>
          <w:spacing w:val="-3"/>
        </w:rPr>
        <w:t> </w:t>
      </w:r>
      <w:r>
        <w:rPr/>
        <w:t>un</w:t>
      </w:r>
      <w:r>
        <w:rPr>
          <w:spacing w:val="-6"/>
        </w:rPr>
        <w:t> </w:t>
      </w:r>
      <w:r>
        <w:rPr/>
        <w:t>compromiso</w:t>
      </w:r>
      <w:r>
        <w:rPr>
          <w:spacing w:val="-6"/>
        </w:rPr>
        <w:t> </w:t>
      </w:r>
      <w:r>
        <w:rPr/>
        <w:t>de</w:t>
      </w:r>
      <w:r>
        <w:rPr>
          <w:spacing w:val="-7"/>
        </w:rPr>
        <w:t> </w:t>
      </w:r>
      <w:r>
        <w:rPr/>
        <w:t>mejora</w:t>
      </w:r>
      <w:r>
        <w:rPr>
          <w:spacing w:val="-6"/>
        </w:rPr>
        <w:t> </w:t>
      </w:r>
      <w:r>
        <w:rPr>
          <w:spacing w:val="-2"/>
        </w:rPr>
        <w:t>continua.</w:t>
      </w:r>
    </w:p>
    <w:p>
      <w:pPr>
        <w:pStyle w:val="BodyText"/>
        <w:spacing w:before="82"/>
      </w:pPr>
    </w:p>
    <w:p>
      <w:pPr>
        <w:pStyle w:val="BodyText"/>
        <w:ind w:left="2"/>
        <w:jc w:val="center"/>
      </w:pPr>
      <w:r>
        <w:rPr/>
        <w:t>Guaguas</w:t>
      </w:r>
      <w:r>
        <w:rPr>
          <w:spacing w:val="62"/>
        </w:rPr>
        <w:t> </w:t>
      </w:r>
      <w:r>
        <w:rPr/>
        <w:t>cuenta,</w:t>
      </w:r>
      <w:r>
        <w:rPr>
          <w:spacing w:val="62"/>
        </w:rPr>
        <w:t> </w:t>
      </w:r>
      <w:r>
        <w:rPr/>
        <w:t>como</w:t>
      </w:r>
      <w:r>
        <w:rPr>
          <w:spacing w:val="61"/>
        </w:rPr>
        <w:t> </w:t>
      </w:r>
      <w:r>
        <w:rPr/>
        <w:t>su</w:t>
      </w:r>
      <w:r>
        <w:rPr>
          <w:spacing w:val="64"/>
        </w:rPr>
        <w:t> </w:t>
      </w:r>
      <w:r>
        <w:rPr/>
        <w:t>mejor</w:t>
      </w:r>
      <w:r>
        <w:rPr>
          <w:spacing w:val="63"/>
        </w:rPr>
        <w:t> </w:t>
      </w:r>
      <w:r>
        <w:rPr/>
        <w:t>patrimonio,</w:t>
      </w:r>
      <w:r>
        <w:rPr>
          <w:spacing w:val="62"/>
        </w:rPr>
        <w:t> </w:t>
      </w:r>
      <w:r>
        <w:rPr/>
        <w:t>con</w:t>
      </w:r>
      <w:r>
        <w:rPr>
          <w:spacing w:val="65"/>
        </w:rPr>
        <w:t> </w:t>
      </w:r>
      <w:r>
        <w:rPr/>
        <w:t>sus</w:t>
      </w:r>
      <w:r>
        <w:rPr>
          <w:spacing w:val="62"/>
        </w:rPr>
        <w:t> </w:t>
      </w:r>
      <w:r>
        <w:rPr/>
        <w:t>trabajadores</w:t>
      </w:r>
      <w:r>
        <w:rPr>
          <w:spacing w:val="62"/>
        </w:rPr>
        <w:t> </w:t>
      </w:r>
      <w:r>
        <w:rPr/>
        <w:t>que</w:t>
      </w:r>
      <w:r>
        <w:rPr>
          <w:spacing w:val="64"/>
        </w:rPr>
        <w:t> </w:t>
      </w:r>
      <w:r>
        <w:rPr/>
        <w:t>velarán</w:t>
      </w:r>
      <w:r>
        <w:rPr>
          <w:spacing w:val="62"/>
        </w:rPr>
        <w:t> </w:t>
      </w:r>
      <w:r>
        <w:rPr/>
        <w:t>en</w:t>
      </w:r>
      <w:r>
        <w:rPr>
          <w:spacing w:val="62"/>
        </w:rPr>
        <w:t> </w:t>
      </w:r>
      <w:r>
        <w:rPr>
          <w:spacing w:val="-4"/>
        </w:rPr>
        <w:t>todo</w:t>
      </w:r>
    </w:p>
    <w:p>
      <w:pPr>
        <w:pStyle w:val="BodyText"/>
        <w:spacing w:before="118"/>
        <w:ind w:left="1341"/>
      </w:pPr>
      <w:r>
        <w:rPr/>
        <w:t>momento</w:t>
      </w:r>
      <w:r>
        <w:rPr>
          <w:spacing w:val="-8"/>
        </w:rPr>
        <w:t> </w:t>
      </w:r>
      <w:r>
        <w:rPr/>
        <w:t>por</w:t>
      </w:r>
      <w:r>
        <w:rPr>
          <w:spacing w:val="-4"/>
        </w:rPr>
        <w:t> </w:t>
      </w:r>
      <w:r>
        <w:rPr/>
        <w:t>el</w:t>
      </w:r>
      <w:r>
        <w:rPr>
          <w:spacing w:val="-7"/>
        </w:rPr>
        <w:t> </w:t>
      </w:r>
      <w:r>
        <w:rPr/>
        <w:t>cumplimiento</w:t>
      </w:r>
      <w:r>
        <w:rPr>
          <w:spacing w:val="-3"/>
        </w:rPr>
        <w:t> </w:t>
      </w:r>
      <w:r>
        <w:rPr/>
        <w:t>de</w:t>
      </w:r>
      <w:r>
        <w:rPr>
          <w:spacing w:val="-8"/>
        </w:rPr>
        <w:t> </w:t>
      </w:r>
      <w:r>
        <w:rPr/>
        <w:t>los</w:t>
      </w:r>
      <w:r>
        <w:rPr>
          <w:spacing w:val="-4"/>
        </w:rPr>
        <w:t> </w:t>
      </w:r>
      <w:r>
        <w:rPr/>
        <w:t>valores</w:t>
      </w:r>
      <w:r>
        <w:rPr>
          <w:spacing w:val="-5"/>
        </w:rPr>
        <w:t> </w:t>
      </w:r>
      <w:r>
        <w:rPr/>
        <w:t>de</w:t>
      </w:r>
      <w:r>
        <w:rPr>
          <w:spacing w:val="-4"/>
        </w:rPr>
        <w:t> </w:t>
      </w:r>
      <w:r>
        <w:rPr/>
        <w:t>la</w:t>
      </w:r>
      <w:r>
        <w:rPr>
          <w:spacing w:val="-5"/>
        </w:rPr>
        <w:t> </w:t>
      </w:r>
      <w:r>
        <w:rPr>
          <w:spacing w:val="-2"/>
        </w:rPr>
        <w:t>empresa.</w:t>
      </w:r>
    </w:p>
    <w:p>
      <w:pPr>
        <w:pStyle w:val="BodyText"/>
        <w:spacing w:before="83"/>
      </w:pPr>
    </w:p>
    <w:p>
      <w:pPr>
        <w:pStyle w:val="BodyText"/>
        <w:ind w:left="1"/>
        <w:jc w:val="center"/>
      </w:pPr>
      <w:r>
        <w:rPr/>
        <w:t>En</w:t>
      </w:r>
      <w:r>
        <w:rPr>
          <w:spacing w:val="37"/>
        </w:rPr>
        <w:t> </w:t>
      </w:r>
      <w:r>
        <w:rPr/>
        <w:t>Guaguas</w:t>
      </w:r>
      <w:r>
        <w:rPr>
          <w:spacing w:val="41"/>
        </w:rPr>
        <w:t> </w:t>
      </w:r>
      <w:r>
        <w:rPr/>
        <w:t>Municipales</w:t>
      </w:r>
      <w:r>
        <w:rPr>
          <w:spacing w:val="41"/>
        </w:rPr>
        <w:t> </w:t>
      </w:r>
      <w:r>
        <w:rPr/>
        <w:t>entendemos</w:t>
      </w:r>
      <w:r>
        <w:rPr>
          <w:spacing w:val="37"/>
        </w:rPr>
        <w:t> </w:t>
      </w:r>
      <w:r>
        <w:rPr/>
        <w:t>la</w:t>
      </w:r>
      <w:r>
        <w:rPr>
          <w:spacing w:val="38"/>
        </w:rPr>
        <w:t> </w:t>
      </w:r>
      <w:r>
        <w:rPr/>
        <w:t>sostenibilidad</w:t>
      </w:r>
      <w:r>
        <w:rPr>
          <w:spacing w:val="38"/>
        </w:rPr>
        <w:t> </w:t>
      </w:r>
      <w:r>
        <w:rPr/>
        <w:t>como</w:t>
      </w:r>
      <w:r>
        <w:rPr>
          <w:spacing w:val="36"/>
        </w:rPr>
        <w:t> </w:t>
      </w:r>
      <w:r>
        <w:rPr/>
        <w:t>un</w:t>
      </w:r>
      <w:r>
        <w:rPr>
          <w:spacing w:val="38"/>
        </w:rPr>
        <w:t> </w:t>
      </w:r>
      <w:r>
        <w:rPr/>
        <w:t>conjunto</w:t>
      </w:r>
      <w:r>
        <w:rPr>
          <w:spacing w:val="39"/>
        </w:rPr>
        <w:t> </w:t>
      </w:r>
      <w:r>
        <w:rPr/>
        <w:t>de</w:t>
      </w:r>
      <w:r>
        <w:rPr>
          <w:spacing w:val="40"/>
        </w:rPr>
        <w:t> </w:t>
      </w:r>
      <w:r>
        <w:rPr/>
        <w:t>actividades</w:t>
      </w:r>
      <w:r>
        <w:rPr>
          <w:spacing w:val="39"/>
        </w:rPr>
        <w:t> </w:t>
      </w:r>
      <w:r>
        <w:rPr>
          <w:spacing w:val="-10"/>
        </w:rPr>
        <w:t>e</w:t>
      </w:r>
    </w:p>
    <w:p>
      <w:pPr>
        <w:pStyle w:val="BodyText"/>
        <w:spacing w:line="360" w:lineRule="auto" w:before="116"/>
        <w:ind w:left="1341" w:right="1337"/>
        <w:jc w:val="both"/>
      </w:pPr>
      <w:r>
        <w:rPr/>
        <w:t>iniciativas de las personas que formamos parte de la empresa destinadas a obtener efectos, tanto para el bienestar social como para el medio ambiental, creando una relación en positivo en los entornos donde prestamos nuestro servicio.</w:t>
      </w:r>
    </w:p>
    <w:p>
      <w:pPr>
        <w:pStyle w:val="BodyText"/>
        <w:spacing w:line="362" w:lineRule="auto" w:before="198"/>
        <w:ind w:left="1341" w:right="1337"/>
        <w:jc w:val="both"/>
      </w:pPr>
      <w:r>
        <w:rPr/>
        <w:t>Por nuestra propia naturaleza, compaginamos actividades que revierten directamente en la ciudadanía, en mejorar la vida de personas, con aquellas que nos permitan obtener una rentabilidad que garantice la continuidad y el crecimiento de la empresa</w:t>
      </w:r>
    </w:p>
    <w:p>
      <w:pPr>
        <w:pStyle w:val="BodyText"/>
        <w:spacing w:before="194"/>
        <w:ind w:left="2"/>
        <w:jc w:val="center"/>
      </w:pPr>
      <w:r>
        <w:rPr/>
        <w:t>Con</w:t>
      </w:r>
      <w:r>
        <w:rPr>
          <w:spacing w:val="62"/>
        </w:rPr>
        <w:t> </w:t>
      </w:r>
      <w:r>
        <w:rPr/>
        <w:t>el</w:t>
      </w:r>
      <w:r>
        <w:rPr>
          <w:spacing w:val="60"/>
        </w:rPr>
        <w:t> </w:t>
      </w:r>
      <w:r>
        <w:rPr/>
        <w:t>empeño</w:t>
      </w:r>
      <w:r>
        <w:rPr>
          <w:spacing w:val="63"/>
        </w:rPr>
        <w:t> </w:t>
      </w:r>
      <w:r>
        <w:rPr/>
        <w:t>de</w:t>
      </w:r>
      <w:r>
        <w:rPr>
          <w:spacing w:val="62"/>
        </w:rPr>
        <w:t> </w:t>
      </w:r>
      <w:r>
        <w:rPr/>
        <w:t>apoyar</w:t>
      </w:r>
      <w:r>
        <w:rPr>
          <w:spacing w:val="66"/>
        </w:rPr>
        <w:t> </w:t>
      </w:r>
      <w:r>
        <w:rPr/>
        <w:t>la</w:t>
      </w:r>
      <w:r>
        <w:rPr>
          <w:spacing w:val="63"/>
        </w:rPr>
        <w:t> </w:t>
      </w:r>
      <w:r>
        <w:rPr/>
        <w:t>Agenda</w:t>
      </w:r>
      <w:r>
        <w:rPr>
          <w:spacing w:val="62"/>
        </w:rPr>
        <w:t> </w:t>
      </w:r>
      <w:r>
        <w:rPr/>
        <w:t>2030</w:t>
      </w:r>
      <w:r>
        <w:rPr>
          <w:spacing w:val="63"/>
        </w:rPr>
        <w:t> </w:t>
      </w:r>
      <w:r>
        <w:rPr/>
        <w:t>de</w:t>
      </w:r>
      <w:r>
        <w:rPr>
          <w:spacing w:val="62"/>
        </w:rPr>
        <w:t> </w:t>
      </w:r>
      <w:r>
        <w:rPr/>
        <w:t>las</w:t>
      </w:r>
      <w:r>
        <w:rPr>
          <w:spacing w:val="62"/>
        </w:rPr>
        <w:t> </w:t>
      </w:r>
      <w:r>
        <w:rPr/>
        <w:t>Naciones</w:t>
      </w:r>
      <w:r>
        <w:rPr>
          <w:spacing w:val="65"/>
        </w:rPr>
        <w:t> </w:t>
      </w:r>
      <w:r>
        <w:rPr/>
        <w:t>Unidas</w:t>
      </w:r>
      <w:r>
        <w:rPr>
          <w:spacing w:val="64"/>
        </w:rPr>
        <w:t> </w:t>
      </w:r>
      <w:r>
        <w:rPr/>
        <w:t>para</w:t>
      </w:r>
      <w:r>
        <w:rPr>
          <w:spacing w:val="63"/>
        </w:rPr>
        <w:t> </w:t>
      </w:r>
      <w:r>
        <w:rPr/>
        <w:t>el</w:t>
      </w:r>
      <w:r>
        <w:rPr>
          <w:spacing w:val="61"/>
        </w:rPr>
        <w:t> </w:t>
      </w:r>
      <w:r>
        <w:rPr>
          <w:spacing w:val="-2"/>
        </w:rPr>
        <w:t>Desarrollo</w:t>
      </w:r>
    </w:p>
    <w:p>
      <w:pPr>
        <w:pStyle w:val="BodyText"/>
        <w:tabs>
          <w:tab w:pos="8331" w:val="left" w:leader="none"/>
        </w:tabs>
        <w:spacing w:line="357" w:lineRule="auto" w:before="116"/>
        <w:ind w:left="1341" w:right="1335"/>
      </w:pPr>
      <w:r>
        <w:rPr/>
        <w:t>Sostenible</w:t>
      </w:r>
      <w:r>
        <w:rPr>
          <w:spacing w:val="40"/>
        </w:rPr>
        <w:t> </w:t>
      </w:r>
      <w:r>
        <w:rPr/>
        <w:t>y</w:t>
      </w:r>
      <w:r>
        <w:rPr>
          <w:spacing w:val="40"/>
        </w:rPr>
        <w:t> </w:t>
      </w:r>
      <w:r>
        <w:rPr/>
        <w:t>reafirmar</w:t>
      </w:r>
      <w:r>
        <w:rPr>
          <w:spacing w:val="40"/>
        </w:rPr>
        <w:t> </w:t>
      </w:r>
      <w:r>
        <w:rPr/>
        <w:t>nuestra</w:t>
      </w:r>
      <w:r>
        <w:rPr>
          <w:spacing w:val="40"/>
        </w:rPr>
        <w:t> </w:t>
      </w:r>
      <w:r>
        <w:rPr/>
        <w:t>adhesión</w:t>
      </w:r>
      <w:r>
        <w:rPr>
          <w:spacing w:val="40"/>
        </w:rPr>
        <w:t> </w:t>
      </w:r>
      <w:r>
        <w:rPr/>
        <w:t>a</w:t>
      </w:r>
      <w:r>
        <w:rPr>
          <w:spacing w:val="40"/>
        </w:rPr>
        <w:t> </w:t>
      </w:r>
      <w:r>
        <w:rPr/>
        <w:t>los</w:t>
      </w:r>
      <w:r>
        <w:rPr>
          <w:spacing w:val="40"/>
        </w:rPr>
        <w:t> </w:t>
      </w:r>
      <w:r>
        <w:rPr/>
        <w:t>10</w:t>
      </w:r>
      <w:r>
        <w:rPr>
          <w:spacing w:val="40"/>
        </w:rPr>
        <w:t> </w:t>
      </w:r>
      <w:r>
        <w:rPr/>
        <w:t>Principios</w:t>
      </w:r>
      <w:r>
        <w:rPr>
          <w:spacing w:val="40"/>
        </w:rPr>
        <w:t> </w:t>
      </w:r>
      <w:r>
        <w:rPr/>
        <w:t>del</w:t>
      </w:r>
      <w:r>
        <w:rPr>
          <w:spacing w:val="40"/>
        </w:rPr>
        <w:t> </w:t>
      </w:r>
      <w:r>
        <w:rPr/>
        <w:t>Pacto</w:t>
        <w:tab/>
        <w:t>undial,</w:t>
      </w:r>
      <w:r>
        <w:rPr>
          <w:spacing w:val="27"/>
        </w:rPr>
        <w:t> </w:t>
      </w:r>
      <w:r>
        <w:rPr/>
        <w:t>Guaguas Municipales,</w:t>
      </w:r>
      <w:r>
        <w:rPr>
          <w:spacing w:val="45"/>
        </w:rPr>
        <w:t> </w:t>
      </w:r>
      <w:r>
        <w:rPr/>
        <w:t>en</w:t>
      </w:r>
      <w:r>
        <w:rPr>
          <w:spacing w:val="48"/>
        </w:rPr>
        <w:t> </w:t>
      </w:r>
      <w:r>
        <w:rPr/>
        <w:t>coordinación</w:t>
      </w:r>
      <w:r>
        <w:rPr>
          <w:spacing w:val="47"/>
        </w:rPr>
        <w:t> </w:t>
      </w:r>
      <w:r>
        <w:rPr/>
        <w:t>con</w:t>
      </w:r>
      <w:r>
        <w:rPr>
          <w:spacing w:val="46"/>
        </w:rPr>
        <w:t> </w:t>
      </w:r>
      <w:r>
        <w:rPr/>
        <w:t>la</w:t>
      </w:r>
      <w:r>
        <w:rPr>
          <w:spacing w:val="46"/>
        </w:rPr>
        <w:t> </w:t>
      </w:r>
      <w:r>
        <w:rPr/>
        <w:t>estrategia</w:t>
      </w:r>
      <w:r>
        <w:rPr>
          <w:spacing w:val="45"/>
        </w:rPr>
        <w:t> </w:t>
      </w:r>
      <w:r>
        <w:rPr/>
        <w:t>del</w:t>
      </w:r>
      <w:r>
        <w:rPr>
          <w:spacing w:val="46"/>
        </w:rPr>
        <w:t> </w:t>
      </w:r>
      <w:r>
        <w:rPr/>
        <w:t>Ayuntamiento</w:t>
      </w:r>
      <w:r>
        <w:rPr>
          <w:spacing w:val="46"/>
        </w:rPr>
        <w:t> </w:t>
      </w:r>
      <w:r>
        <w:rPr/>
        <w:t>de</w:t>
      </w:r>
      <w:r>
        <w:rPr>
          <w:spacing w:val="49"/>
        </w:rPr>
        <w:t> </w:t>
      </w:r>
      <w:r>
        <w:rPr/>
        <w:t>Las</w:t>
      </w:r>
      <w:r>
        <w:rPr>
          <w:spacing w:val="48"/>
        </w:rPr>
        <w:t> </w:t>
      </w:r>
      <w:r>
        <w:rPr/>
        <w:t>Palmas</w:t>
      </w:r>
      <w:r>
        <w:rPr>
          <w:spacing w:val="48"/>
        </w:rPr>
        <w:t> </w:t>
      </w:r>
      <w:r>
        <w:rPr/>
        <w:t>de</w:t>
      </w:r>
      <w:r>
        <w:rPr>
          <w:spacing w:val="48"/>
        </w:rPr>
        <w:t> </w:t>
      </w:r>
      <w:r>
        <w:rPr>
          <w:spacing w:val="-4"/>
        </w:rPr>
        <w:t>Gran</w:t>
      </w:r>
    </w:p>
    <w:p>
      <w:pPr>
        <w:pStyle w:val="BodyText"/>
        <w:spacing w:before="3"/>
        <w:ind w:right="1"/>
        <w:jc w:val="center"/>
      </w:pPr>
      <w:r>
        <w:rPr/>
        <w:t>Canaria,</w:t>
      </w:r>
      <w:r>
        <w:rPr>
          <w:spacing w:val="48"/>
        </w:rPr>
        <w:t> </w:t>
      </w:r>
      <w:r>
        <w:rPr/>
        <w:t>ha</w:t>
      </w:r>
      <w:r>
        <w:rPr>
          <w:spacing w:val="50"/>
        </w:rPr>
        <w:t> </w:t>
      </w:r>
      <w:r>
        <w:rPr/>
        <w:t>integrado</w:t>
      </w:r>
      <w:r>
        <w:rPr>
          <w:spacing w:val="49"/>
        </w:rPr>
        <w:t> </w:t>
      </w:r>
      <w:r>
        <w:rPr/>
        <w:t>como</w:t>
      </w:r>
      <w:r>
        <w:rPr>
          <w:spacing w:val="52"/>
        </w:rPr>
        <w:t> </w:t>
      </w:r>
      <w:r>
        <w:rPr/>
        <w:t>prioritario</w:t>
      </w:r>
      <w:r>
        <w:rPr>
          <w:spacing w:val="52"/>
        </w:rPr>
        <w:t> </w:t>
      </w:r>
      <w:r>
        <w:rPr/>
        <w:t>el</w:t>
      </w:r>
      <w:r>
        <w:rPr>
          <w:spacing w:val="49"/>
        </w:rPr>
        <w:t> </w:t>
      </w:r>
      <w:r>
        <w:rPr/>
        <w:t>concepto</w:t>
      </w:r>
      <w:r>
        <w:rPr>
          <w:spacing w:val="51"/>
        </w:rPr>
        <w:t> </w:t>
      </w:r>
      <w:r>
        <w:rPr/>
        <w:t>de</w:t>
      </w:r>
      <w:r>
        <w:rPr>
          <w:spacing w:val="49"/>
        </w:rPr>
        <w:t> </w:t>
      </w:r>
      <w:r>
        <w:rPr/>
        <w:t>Sostenibilidad</w:t>
      </w:r>
      <w:r>
        <w:rPr>
          <w:spacing w:val="49"/>
        </w:rPr>
        <w:t> </w:t>
      </w:r>
      <w:r>
        <w:rPr/>
        <w:t>en</w:t>
      </w:r>
      <w:r>
        <w:rPr>
          <w:spacing w:val="50"/>
        </w:rPr>
        <w:t> </w:t>
      </w:r>
      <w:r>
        <w:rPr/>
        <w:t>la</w:t>
      </w:r>
      <w:r>
        <w:rPr>
          <w:spacing w:val="51"/>
        </w:rPr>
        <w:t> </w:t>
      </w:r>
      <w:r>
        <w:rPr/>
        <w:t>visión,</w:t>
      </w:r>
      <w:r>
        <w:rPr>
          <w:spacing w:val="51"/>
        </w:rPr>
        <w:t> </w:t>
      </w:r>
      <w:r>
        <w:rPr>
          <w:spacing w:val="-2"/>
        </w:rPr>
        <w:t>misión,</w:t>
      </w:r>
    </w:p>
    <w:p>
      <w:pPr>
        <w:pStyle w:val="BodyText"/>
        <w:spacing w:before="116"/>
        <w:ind w:left="5"/>
        <w:jc w:val="center"/>
      </w:pPr>
      <w:r>
        <w:rPr/>
        <w:t>valores</w:t>
      </w:r>
      <w:r>
        <w:rPr>
          <w:spacing w:val="6"/>
        </w:rPr>
        <w:t> </w:t>
      </w:r>
      <w:r>
        <w:rPr/>
        <w:t>y</w:t>
      </w:r>
      <w:r>
        <w:rPr>
          <w:spacing w:val="1"/>
        </w:rPr>
        <w:t> </w:t>
      </w:r>
      <w:r>
        <w:rPr/>
        <w:t>estrategia</w:t>
      </w:r>
      <w:r>
        <w:rPr>
          <w:spacing w:val="3"/>
        </w:rPr>
        <w:t> </w:t>
      </w:r>
      <w:r>
        <w:rPr/>
        <w:t>de</w:t>
      </w:r>
      <w:r>
        <w:rPr>
          <w:spacing w:val="4"/>
        </w:rPr>
        <w:t> </w:t>
      </w:r>
      <w:r>
        <w:rPr/>
        <w:t>empresa,</w:t>
      </w:r>
      <w:r>
        <w:rPr>
          <w:spacing w:val="5"/>
        </w:rPr>
        <w:t> </w:t>
      </w:r>
      <w:r>
        <w:rPr/>
        <w:t>de</w:t>
      </w:r>
      <w:r>
        <w:rPr>
          <w:spacing w:val="3"/>
        </w:rPr>
        <w:t> </w:t>
      </w:r>
      <w:r>
        <w:rPr/>
        <w:t>tal</w:t>
      </w:r>
      <w:r>
        <w:rPr>
          <w:spacing w:val="2"/>
        </w:rPr>
        <w:t> </w:t>
      </w:r>
      <w:r>
        <w:rPr/>
        <w:t>forma</w:t>
      </w:r>
      <w:r>
        <w:rPr>
          <w:spacing w:val="1"/>
        </w:rPr>
        <w:t> </w:t>
      </w:r>
      <w:r>
        <w:rPr/>
        <w:t>que</w:t>
      </w:r>
      <w:r>
        <w:rPr>
          <w:spacing w:val="3"/>
        </w:rPr>
        <w:t> </w:t>
      </w:r>
      <w:r>
        <w:rPr/>
        <w:t>la</w:t>
      </w:r>
      <w:r>
        <w:rPr>
          <w:spacing w:val="3"/>
        </w:rPr>
        <w:t> </w:t>
      </w:r>
      <w:r>
        <w:rPr/>
        <w:t>aspiración</w:t>
      </w:r>
      <w:r>
        <w:rPr>
          <w:spacing w:val="2"/>
        </w:rPr>
        <w:t> </w:t>
      </w:r>
      <w:r>
        <w:rPr/>
        <w:t>de</w:t>
      </w:r>
      <w:r>
        <w:rPr>
          <w:spacing w:val="5"/>
        </w:rPr>
        <w:t> </w:t>
      </w:r>
      <w:r>
        <w:rPr/>
        <w:t>la</w:t>
      </w:r>
      <w:r>
        <w:rPr>
          <w:spacing w:val="5"/>
        </w:rPr>
        <w:t> </w:t>
      </w:r>
      <w:r>
        <w:rPr/>
        <w:t>compañía</w:t>
      </w:r>
      <w:r>
        <w:rPr>
          <w:spacing w:val="6"/>
        </w:rPr>
        <w:t> </w:t>
      </w:r>
      <w:r>
        <w:rPr/>
        <w:t>se</w:t>
      </w:r>
      <w:r>
        <w:rPr>
          <w:spacing w:val="5"/>
        </w:rPr>
        <w:t> </w:t>
      </w:r>
      <w:r>
        <w:rPr>
          <w:spacing w:val="-2"/>
        </w:rPr>
        <w:t>fundamenta</w:t>
      </w:r>
    </w:p>
    <w:p>
      <w:pPr>
        <w:pStyle w:val="BodyText"/>
        <w:spacing w:before="116"/>
        <w:ind w:left="3"/>
        <w:jc w:val="center"/>
      </w:pPr>
      <w:r>
        <w:rPr/>
        <w:t>en</w:t>
      </w:r>
      <w:r>
        <w:rPr>
          <w:spacing w:val="74"/>
        </w:rPr>
        <w:t> </w:t>
      </w:r>
      <w:r>
        <w:rPr/>
        <w:t>ofrecer</w:t>
      </w:r>
      <w:r>
        <w:rPr>
          <w:spacing w:val="74"/>
        </w:rPr>
        <w:t> </w:t>
      </w:r>
      <w:r>
        <w:rPr/>
        <w:t>a</w:t>
      </w:r>
      <w:r>
        <w:rPr>
          <w:spacing w:val="74"/>
        </w:rPr>
        <w:t> </w:t>
      </w:r>
      <w:r>
        <w:rPr/>
        <w:t>la</w:t>
      </w:r>
      <w:r>
        <w:rPr>
          <w:spacing w:val="71"/>
        </w:rPr>
        <w:t> </w:t>
      </w:r>
      <w:r>
        <w:rPr/>
        <w:t>sociedad</w:t>
      </w:r>
      <w:r>
        <w:rPr>
          <w:spacing w:val="75"/>
        </w:rPr>
        <w:t> </w:t>
      </w:r>
      <w:r>
        <w:rPr/>
        <w:t>un</w:t>
      </w:r>
      <w:r>
        <w:rPr>
          <w:spacing w:val="73"/>
        </w:rPr>
        <w:t> </w:t>
      </w:r>
      <w:r>
        <w:rPr/>
        <w:t>transporte</w:t>
      </w:r>
      <w:r>
        <w:rPr>
          <w:spacing w:val="73"/>
        </w:rPr>
        <w:t> </w:t>
      </w:r>
      <w:r>
        <w:rPr/>
        <w:t>público</w:t>
      </w:r>
      <w:r>
        <w:rPr>
          <w:spacing w:val="76"/>
        </w:rPr>
        <w:t> </w:t>
      </w:r>
      <w:r>
        <w:rPr/>
        <w:t>seguro,</w:t>
      </w:r>
      <w:r>
        <w:rPr>
          <w:spacing w:val="74"/>
        </w:rPr>
        <w:t> </w:t>
      </w:r>
      <w:r>
        <w:rPr/>
        <w:t>accesible,</w:t>
      </w:r>
      <w:r>
        <w:rPr>
          <w:spacing w:val="72"/>
        </w:rPr>
        <w:t> </w:t>
      </w:r>
      <w:r>
        <w:rPr/>
        <w:t>puntual,</w:t>
      </w:r>
      <w:r>
        <w:rPr>
          <w:spacing w:val="72"/>
        </w:rPr>
        <w:t> </w:t>
      </w:r>
      <w:r>
        <w:rPr/>
        <w:t>frecuente</w:t>
      </w:r>
      <w:r>
        <w:rPr>
          <w:spacing w:val="76"/>
        </w:rPr>
        <w:t> </w:t>
      </w:r>
      <w:r>
        <w:rPr>
          <w:spacing w:val="-10"/>
        </w:rPr>
        <w:t>y</w:t>
      </w:r>
    </w:p>
    <w:p>
      <w:pPr>
        <w:pStyle w:val="BodyText"/>
        <w:spacing w:line="362" w:lineRule="auto" w:before="113"/>
        <w:ind w:left="1341" w:right="1308"/>
      </w:pPr>
      <w:r>
        <w:rPr/>
        <w:t>sostenible. En el año 2025 se ha presentado el informe de seguimiento del Pacto de Naciones Unidas y se ha publicado el Informe de Sostenibilidad 2024.</w:t>
      </w:r>
    </w:p>
    <w:p>
      <w:pPr>
        <w:pStyle w:val="BodyText"/>
        <w:spacing w:line="362" w:lineRule="auto" w:before="196"/>
        <w:ind w:left="1341" w:right="1308"/>
      </w:pPr>
      <w:r>
        <w:rPr/>
        <mc:AlternateContent>
          <mc:Choice Requires="wps">
            <w:drawing>
              <wp:anchor distT="0" distB="0" distL="0" distR="0" allowOverlap="1" layoutInCell="1" locked="0" behindDoc="0" simplePos="0" relativeHeight="15791616">
                <wp:simplePos x="0" y="0"/>
                <wp:positionH relativeFrom="page">
                  <wp:posOffset>6966436</wp:posOffset>
                </wp:positionH>
                <wp:positionV relativeFrom="paragraph">
                  <wp:posOffset>198096</wp:posOffset>
                </wp:positionV>
                <wp:extent cx="263525" cy="327596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5.598164pt;width:20.75pt;height:257.95pt;mso-position-horizontal-relative:page;mso-position-vertical-relative:paragraph;z-index:15791616" type="#_x0000_t202" id="docshape18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El</w:t>
      </w:r>
      <w:r>
        <w:rPr>
          <w:spacing w:val="24"/>
        </w:rPr>
        <w:t> </w:t>
      </w:r>
      <w:r>
        <w:rPr/>
        <w:t>informe</w:t>
      </w:r>
      <w:r>
        <w:rPr>
          <w:spacing w:val="23"/>
        </w:rPr>
        <w:t> </w:t>
      </w:r>
      <w:r>
        <w:rPr/>
        <w:t>de</w:t>
      </w:r>
      <w:r>
        <w:rPr>
          <w:spacing w:val="24"/>
        </w:rPr>
        <w:t> </w:t>
      </w:r>
      <w:r>
        <w:rPr/>
        <w:t>sostenibilidad</w:t>
      </w:r>
      <w:r>
        <w:rPr>
          <w:spacing w:val="26"/>
        </w:rPr>
        <w:t> </w:t>
      </w:r>
      <w:r>
        <w:rPr/>
        <w:t>se</w:t>
      </w:r>
      <w:r>
        <w:rPr>
          <w:spacing w:val="24"/>
        </w:rPr>
        <w:t> </w:t>
      </w:r>
      <w:r>
        <w:rPr/>
        <w:t>vertebra en</w:t>
      </w:r>
      <w:r>
        <w:rPr>
          <w:spacing w:val="24"/>
        </w:rPr>
        <w:t> </w:t>
      </w:r>
      <w:r>
        <w:rPr/>
        <w:t>cuatro</w:t>
      </w:r>
      <w:r>
        <w:rPr>
          <w:spacing w:val="24"/>
        </w:rPr>
        <w:t> </w:t>
      </w:r>
      <w:r>
        <w:rPr/>
        <w:t>ejes</w:t>
      </w:r>
      <w:r>
        <w:rPr>
          <w:spacing w:val="25"/>
        </w:rPr>
        <w:t> </w:t>
      </w:r>
      <w:r>
        <w:rPr/>
        <w:t>de</w:t>
      </w:r>
      <w:r>
        <w:rPr>
          <w:spacing w:val="24"/>
        </w:rPr>
        <w:t> </w:t>
      </w:r>
      <w:r>
        <w:rPr/>
        <w:t>actuación</w:t>
      </w:r>
      <w:r>
        <w:rPr>
          <w:spacing w:val="24"/>
        </w:rPr>
        <w:t> </w:t>
      </w:r>
      <w:r>
        <w:rPr/>
        <w:t>para</w:t>
      </w:r>
      <w:r>
        <w:rPr>
          <w:spacing w:val="24"/>
        </w:rPr>
        <w:t> </w:t>
      </w:r>
      <w:r>
        <w:rPr/>
        <w:t>consolidar</w:t>
      </w:r>
      <w:r>
        <w:rPr>
          <w:spacing w:val="24"/>
        </w:rPr>
        <w:t> </w:t>
      </w:r>
      <w:r>
        <w:rPr/>
        <w:t>nuestra posición de liderazgo en la movilidad de Las Palmas de Gran Canaria:</w:t>
      </w:r>
    </w:p>
    <w:p>
      <w:pPr>
        <w:pStyle w:val="ListParagraph"/>
        <w:numPr>
          <w:ilvl w:val="0"/>
          <w:numId w:val="34"/>
        </w:numPr>
        <w:tabs>
          <w:tab w:pos="2062" w:val="left" w:leader="none"/>
        </w:tabs>
        <w:spacing w:line="240" w:lineRule="auto" w:before="196" w:after="0"/>
        <w:ind w:left="2062" w:right="0" w:hanging="361"/>
        <w:jc w:val="left"/>
        <w:rPr>
          <w:sz w:val="20"/>
        </w:rPr>
      </w:pPr>
      <w:r>
        <w:rPr>
          <w:spacing w:val="-2"/>
          <w:sz w:val="20"/>
        </w:rPr>
        <w:t>Descarbonización</w:t>
      </w:r>
    </w:p>
    <w:p>
      <w:pPr>
        <w:pStyle w:val="ListParagraph"/>
        <w:numPr>
          <w:ilvl w:val="0"/>
          <w:numId w:val="34"/>
        </w:numPr>
        <w:tabs>
          <w:tab w:pos="2061" w:val="left" w:leader="none"/>
        </w:tabs>
        <w:spacing w:line="240" w:lineRule="auto" w:before="115" w:after="0"/>
        <w:ind w:left="2061" w:right="0" w:hanging="360"/>
        <w:jc w:val="left"/>
        <w:rPr>
          <w:sz w:val="20"/>
        </w:rPr>
      </w:pPr>
      <w:r>
        <w:rPr>
          <w:sz w:val="20"/>
        </w:rPr>
        <w:t>Modelo</w:t>
      </w:r>
      <w:r>
        <w:rPr>
          <w:spacing w:val="-4"/>
          <w:sz w:val="20"/>
        </w:rPr>
        <w:t> </w:t>
      </w:r>
      <w:r>
        <w:rPr>
          <w:sz w:val="20"/>
        </w:rPr>
        <w:t>de</w:t>
      </w:r>
      <w:r>
        <w:rPr>
          <w:spacing w:val="-6"/>
          <w:sz w:val="20"/>
        </w:rPr>
        <w:t> </w:t>
      </w:r>
      <w:r>
        <w:rPr>
          <w:sz w:val="20"/>
        </w:rPr>
        <w:t>red</w:t>
      </w:r>
      <w:r>
        <w:rPr>
          <w:spacing w:val="-7"/>
          <w:sz w:val="20"/>
        </w:rPr>
        <w:t> </w:t>
      </w:r>
      <w:r>
        <w:rPr>
          <w:spacing w:val="-2"/>
          <w:sz w:val="20"/>
        </w:rPr>
        <w:t>sostenible</w:t>
      </w:r>
    </w:p>
    <w:p>
      <w:pPr>
        <w:pStyle w:val="ListParagraph"/>
        <w:numPr>
          <w:ilvl w:val="0"/>
          <w:numId w:val="34"/>
        </w:numPr>
        <w:tabs>
          <w:tab w:pos="2062" w:val="left" w:leader="none"/>
        </w:tabs>
        <w:spacing w:line="240" w:lineRule="auto" w:before="114" w:after="0"/>
        <w:ind w:left="2062" w:right="0" w:hanging="361"/>
        <w:jc w:val="left"/>
        <w:rPr>
          <w:sz w:val="20"/>
        </w:rPr>
      </w:pPr>
      <w:r>
        <w:rPr>
          <w:spacing w:val="-2"/>
          <w:sz w:val="20"/>
        </w:rPr>
        <w:t>Equilibrio</w:t>
      </w:r>
      <w:r>
        <w:rPr>
          <w:spacing w:val="4"/>
          <w:sz w:val="20"/>
        </w:rPr>
        <w:t> </w:t>
      </w:r>
      <w:r>
        <w:rPr>
          <w:spacing w:val="-2"/>
          <w:sz w:val="20"/>
        </w:rPr>
        <w:t>financiero</w:t>
      </w:r>
    </w:p>
    <w:p>
      <w:pPr>
        <w:pStyle w:val="ListParagraph"/>
        <w:numPr>
          <w:ilvl w:val="0"/>
          <w:numId w:val="34"/>
        </w:numPr>
        <w:tabs>
          <w:tab w:pos="2061" w:val="left" w:leader="none"/>
        </w:tabs>
        <w:spacing w:line="240" w:lineRule="auto" w:before="118" w:after="0"/>
        <w:ind w:left="2061" w:right="0" w:hanging="360"/>
        <w:jc w:val="left"/>
        <w:rPr>
          <w:sz w:val="20"/>
        </w:rPr>
      </w:pPr>
      <w:r>
        <w:rPr>
          <w:sz w:val="20"/>
        </w:rPr>
        <w:t>Talento,</w:t>
      </w:r>
      <w:r>
        <w:rPr>
          <w:spacing w:val="-9"/>
          <w:sz w:val="20"/>
        </w:rPr>
        <w:t> </w:t>
      </w:r>
      <w:r>
        <w:rPr>
          <w:sz w:val="20"/>
        </w:rPr>
        <w:t>conocimiento</w:t>
      </w:r>
      <w:r>
        <w:rPr>
          <w:spacing w:val="-3"/>
          <w:sz w:val="20"/>
        </w:rPr>
        <w:t> </w:t>
      </w:r>
      <w:r>
        <w:rPr>
          <w:sz w:val="20"/>
        </w:rPr>
        <w:t>y</w:t>
      </w:r>
      <w:r>
        <w:rPr>
          <w:spacing w:val="-10"/>
          <w:sz w:val="20"/>
        </w:rPr>
        <w:t> </w:t>
      </w:r>
      <w:r>
        <w:rPr>
          <w:spacing w:val="-2"/>
          <w:sz w:val="20"/>
        </w:rPr>
        <w:t>bienestar</w:t>
      </w:r>
    </w:p>
    <w:p>
      <w:pPr>
        <w:pStyle w:val="BodyText"/>
        <w:spacing w:before="82"/>
      </w:pPr>
    </w:p>
    <w:p>
      <w:pPr>
        <w:pStyle w:val="BodyText"/>
        <w:ind w:right="1"/>
        <w:jc w:val="center"/>
      </w:pPr>
      <w:r>
        <w:rPr/>
        <w:t>El</w:t>
      </w:r>
      <w:r>
        <w:rPr>
          <w:spacing w:val="44"/>
        </w:rPr>
        <w:t> </w:t>
      </w:r>
      <w:r>
        <w:rPr/>
        <w:t>apoyo</w:t>
      </w:r>
      <w:r>
        <w:rPr>
          <w:spacing w:val="43"/>
        </w:rPr>
        <w:t> </w:t>
      </w:r>
      <w:r>
        <w:rPr/>
        <w:t>político</w:t>
      </w:r>
      <w:r>
        <w:rPr>
          <w:spacing w:val="46"/>
        </w:rPr>
        <w:t> </w:t>
      </w:r>
      <w:r>
        <w:rPr/>
        <w:t>y</w:t>
      </w:r>
      <w:r>
        <w:rPr>
          <w:spacing w:val="40"/>
        </w:rPr>
        <w:t> </w:t>
      </w:r>
      <w:r>
        <w:rPr/>
        <w:t>el</w:t>
      </w:r>
      <w:r>
        <w:rPr>
          <w:spacing w:val="44"/>
        </w:rPr>
        <w:t> </w:t>
      </w:r>
      <w:r>
        <w:rPr/>
        <w:t>cambio</w:t>
      </w:r>
      <w:r>
        <w:rPr>
          <w:spacing w:val="43"/>
        </w:rPr>
        <w:t> </w:t>
      </w:r>
      <w:r>
        <w:rPr/>
        <w:t>en</w:t>
      </w:r>
      <w:r>
        <w:rPr>
          <w:spacing w:val="44"/>
        </w:rPr>
        <w:t> </w:t>
      </w:r>
      <w:r>
        <w:rPr/>
        <w:t>la</w:t>
      </w:r>
      <w:r>
        <w:rPr>
          <w:spacing w:val="43"/>
        </w:rPr>
        <w:t> </w:t>
      </w:r>
      <w:r>
        <w:rPr/>
        <w:t>cultura</w:t>
      </w:r>
      <w:r>
        <w:rPr>
          <w:spacing w:val="43"/>
        </w:rPr>
        <w:t> </w:t>
      </w:r>
      <w:r>
        <w:rPr/>
        <w:t>de</w:t>
      </w:r>
      <w:r>
        <w:rPr>
          <w:spacing w:val="44"/>
        </w:rPr>
        <w:t> </w:t>
      </w:r>
      <w:r>
        <w:rPr/>
        <w:t>la</w:t>
      </w:r>
      <w:r>
        <w:rPr>
          <w:spacing w:val="45"/>
        </w:rPr>
        <w:t> </w:t>
      </w:r>
      <w:r>
        <w:rPr/>
        <w:t>movilidad,</w:t>
      </w:r>
      <w:r>
        <w:rPr>
          <w:spacing w:val="44"/>
        </w:rPr>
        <w:t> </w:t>
      </w:r>
      <w:r>
        <w:rPr/>
        <w:t>promueven</w:t>
      </w:r>
      <w:r>
        <w:rPr>
          <w:spacing w:val="44"/>
        </w:rPr>
        <w:t> </w:t>
      </w:r>
      <w:r>
        <w:rPr/>
        <w:t>el</w:t>
      </w:r>
      <w:r>
        <w:rPr>
          <w:spacing w:val="46"/>
        </w:rPr>
        <w:t> </w:t>
      </w:r>
      <w:r>
        <w:rPr/>
        <w:t>aumento</w:t>
      </w:r>
      <w:r>
        <w:rPr>
          <w:spacing w:val="43"/>
        </w:rPr>
        <w:t> </w:t>
      </w:r>
      <w:r>
        <w:rPr/>
        <w:t>de</w:t>
      </w:r>
      <w:r>
        <w:rPr>
          <w:spacing w:val="45"/>
        </w:rPr>
        <w:t> </w:t>
      </w:r>
      <w:r>
        <w:rPr>
          <w:spacing w:val="-5"/>
        </w:rPr>
        <w:t>la</w:t>
      </w:r>
    </w:p>
    <w:p>
      <w:pPr>
        <w:pStyle w:val="BodyText"/>
        <w:spacing w:line="362" w:lineRule="auto" w:before="116"/>
        <w:ind w:left="1341" w:right="1388"/>
      </w:pPr>
      <w:r>
        <w:rPr/>
        <w:t>demanda del transporte público posicionando a Guaguas en una situación muy favorable para la óptima prestación del servicio a medio/largo plazo.</w:t>
      </w:r>
    </w:p>
    <w:p>
      <w:pPr>
        <w:pStyle w:val="BodyText"/>
        <w:spacing w:line="360" w:lineRule="auto" w:before="195"/>
        <w:ind w:left="1341" w:right="1334"/>
        <w:jc w:val="both"/>
      </w:pPr>
      <w:r>
        <w:rPr/>
        <w:t>La empresa tiene la oportunidad de avanzar en el camino de la polivalencia, con el fin de mejorar la pro-actividad hacia la resolución de problemas y la comunicación interna, así como, el desarrollo del plan de sucesión que garantice la transmisión del conocimiento de la empresa y promueva la carrera profesional de las personas con talento en el corto y medio plazo.</w:t>
      </w:r>
    </w:p>
    <w:p>
      <w:pPr>
        <w:pStyle w:val="BodyText"/>
        <w:spacing w:after="0" w:line="360" w:lineRule="auto"/>
        <w:jc w:val="both"/>
        <w:sectPr>
          <w:pgSz w:w="11910" w:h="16840"/>
          <w:pgMar w:header="384" w:footer="1060" w:top="1200" w:bottom="1260" w:left="360" w:right="360"/>
        </w:sectPr>
      </w:pPr>
    </w:p>
    <w:p>
      <w:pPr>
        <w:pStyle w:val="Heading3"/>
        <w:numPr>
          <w:ilvl w:val="1"/>
          <w:numId w:val="31"/>
        </w:numPr>
        <w:tabs>
          <w:tab w:pos="1670" w:val="left" w:leader="none"/>
        </w:tabs>
        <w:spacing w:line="240" w:lineRule="auto" w:before="215" w:after="0"/>
        <w:ind w:left="1670" w:right="0" w:hanging="329"/>
        <w:jc w:val="left"/>
      </w:pPr>
      <w:bookmarkStart w:name="_TOC_250041" w:id="11"/>
      <w:r>
        <w:rPr/>
        <w:t>Desafíos</w:t>
      </w:r>
      <w:r>
        <w:rPr>
          <w:spacing w:val="-3"/>
        </w:rPr>
        <w:t> </w:t>
      </w:r>
      <w:r>
        <w:rPr/>
        <w:t>e</w:t>
      </w:r>
      <w:r>
        <w:rPr>
          <w:spacing w:val="-7"/>
        </w:rPr>
        <w:t> </w:t>
      </w:r>
      <w:bookmarkEnd w:id="11"/>
      <w:r>
        <w:rPr>
          <w:spacing w:val="-2"/>
        </w:rPr>
        <w:t>incertidumbres</w:t>
      </w:r>
    </w:p>
    <w:p>
      <w:pPr>
        <w:pStyle w:val="BodyText"/>
        <w:spacing w:before="29"/>
        <w:rPr>
          <w:b/>
        </w:rPr>
      </w:pPr>
    </w:p>
    <w:p>
      <w:pPr>
        <w:spacing w:line="345" w:lineRule="auto" w:before="0"/>
        <w:ind w:left="1341" w:right="1308" w:firstLine="0"/>
        <w:jc w:val="left"/>
        <w:rPr>
          <w:rFonts w:ascii="Tahoma" w:hAnsi="Tahoma"/>
          <w:i/>
          <w:sz w:val="20"/>
        </w:rPr>
      </w:pPr>
      <w:r>
        <w:rPr>
          <w:rFonts w:ascii="Tahoma" w:hAnsi="Tahoma"/>
          <w:i/>
          <w:sz w:val="20"/>
        </w:rPr>
        <w:t>Detalles</w:t>
      </w:r>
      <w:r>
        <w:rPr>
          <w:rFonts w:ascii="Tahoma" w:hAnsi="Tahoma"/>
          <w:i/>
          <w:spacing w:val="40"/>
          <w:sz w:val="20"/>
        </w:rPr>
        <w:t> </w:t>
      </w:r>
      <w:r>
        <w:rPr>
          <w:rFonts w:ascii="Tahoma" w:hAnsi="Tahoma"/>
          <w:i/>
          <w:sz w:val="20"/>
        </w:rPr>
        <w:t>sobre</w:t>
      </w:r>
      <w:r>
        <w:rPr>
          <w:rFonts w:ascii="Tahoma" w:hAnsi="Tahoma"/>
          <w:i/>
          <w:spacing w:val="40"/>
          <w:sz w:val="20"/>
        </w:rPr>
        <w:t> </w:t>
      </w:r>
      <w:r>
        <w:rPr>
          <w:rFonts w:ascii="Tahoma" w:hAnsi="Tahoma"/>
          <w:i/>
          <w:sz w:val="20"/>
        </w:rPr>
        <w:t>las</w:t>
      </w:r>
      <w:r>
        <w:rPr>
          <w:rFonts w:ascii="Tahoma" w:hAnsi="Tahoma"/>
          <w:i/>
          <w:spacing w:val="40"/>
          <w:sz w:val="20"/>
        </w:rPr>
        <w:t> </w:t>
      </w:r>
      <w:r>
        <w:rPr>
          <w:rFonts w:ascii="Tahoma" w:hAnsi="Tahoma"/>
          <w:i/>
          <w:sz w:val="20"/>
        </w:rPr>
        <w:t>principales</w:t>
      </w:r>
      <w:r>
        <w:rPr>
          <w:rFonts w:ascii="Tahoma" w:hAnsi="Tahoma"/>
          <w:i/>
          <w:spacing w:val="40"/>
          <w:sz w:val="20"/>
        </w:rPr>
        <w:t> </w:t>
      </w:r>
      <w:r>
        <w:rPr>
          <w:rFonts w:ascii="Tahoma" w:hAnsi="Tahoma"/>
          <w:i/>
          <w:sz w:val="20"/>
        </w:rPr>
        <w:t>expectativas,</w:t>
      </w:r>
      <w:r>
        <w:rPr>
          <w:rFonts w:ascii="Tahoma" w:hAnsi="Tahoma"/>
          <w:i/>
          <w:spacing w:val="40"/>
          <w:sz w:val="20"/>
        </w:rPr>
        <w:t> </w:t>
      </w:r>
      <w:r>
        <w:rPr>
          <w:rFonts w:ascii="Tahoma" w:hAnsi="Tahoma"/>
          <w:i/>
          <w:sz w:val="20"/>
        </w:rPr>
        <w:t>datos</w:t>
      </w:r>
      <w:r>
        <w:rPr>
          <w:rFonts w:ascii="Tahoma" w:hAnsi="Tahoma"/>
          <w:i/>
          <w:spacing w:val="40"/>
          <w:sz w:val="20"/>
        </w:rPr>
        <w:t> </w:t>
      </w:r>
      <w:r>
        <w:rPr>
          <w:rFonts w:ascii="Tahoma" w:hAnsi="Tahoma"/>
          <w:i/>
          <w:sz w:val="20"/>
        </w:rPr>
        <w:t>esperados</w:t>
      </w:r>
      <w:r>
        <w:rPr>
          <w:rFonts w:ascii="Tahoma" w:hAnsi="Tahoma"/>
          <w:i/>
          <w:spacing w:val="40"/>
          <w:sz w:val="20"/>
        </w:rPr>
        <w:t> </w:t>
      </w:r>
      <w:r>
        <w:rPr>
          <w:rFonts w:ascii="Tahoma" w:hAnsi="Tahoma"/>
          <w:i/>
          <w:sz w:val="20"/>
        </w:rPr>
        <w:t>sobre</w:t>
      </w:r>
      <w:r>
        <w:rPr>
          <w:rFonts w:ascii="Tahoma" w:hAnsi="Tahoma"/>
          <w:i/>
          <w:spacing w:val="40"/>
          <w:sz w:val="20"/>
        </w:rPr>
        <w:t> </w:t>
      </w:r>
      <w:r>
        <w:rPr>
          <w:rFonts w:ascii="Tahoma" w:hAnsi="Tahoma"/>
          <w:i/>
          <w:sz w:val="20"/>
        </w:rPr>
        <w:t>la</w:t>
      </w:r>
      <w:r>
        <w:rPr>
          <w:rFonts w:ascii="Tahoma" w:hAnsi="Tahoma"/>
          <w:i/>
          <w:spacing w:val="40"/>
          <w:sz w:val="20"/>
        </w:rPr>
        <w:t> </w:t>
      </w:r>
      <w:r>
        <w:rPr>
          <w:rFonts w:ascii="Tahoma" w:hAnsi="Tahoma"/>
          <w:i/>
          <w:sz w:val="20"/>
        </w:rPr>
        <w:t>evolución</w:t>
      </w:r>
      <w:r>
        <w:rPr>
          <w:rFonts w:ascii="Tahoma" w:hAnsi="Tahoma"/>
          <w:i/>
          <w:spacing w:val="40"/>
          <w:sz w:val="20"/>
        </w:rPr>
        <w:t> </w:t>
      </w:r>
      <w:r>
        <w:rPr>
          <w:rFonts w:ascii="Tahoma" w:hAnsi="Tahoma"/>
          <w:i/>
          <w:sz w:val="20"/>
        </w:rPr>
        <w:t>del</w:t>
      </w:r>
      <w:r>
        <w:rPr>
          <w:rFonts w:ascii="Tahoma" w:hAnsi="Tahoma"/>
          <w:i/>
          <w:spacing w:val="40"/>
          <w:sz w:val="20"/>
        </w:rPr>
        <w:t> </w:t>
      </w:r>
      <w:r>
        <w:rPr>
          <w:rFonts w:ascii="Tahoma" w:hAnsi="Tahoma"/>
          <w:i/>
          <w:sz w:val="20"/>
        </w:rPr>
        <w:t>entorno externo o posibles circunstancias futuras que afecten a la disponibilidad de recursos clave.</w:t>
      </w:r>
    </w:p>
    <w:p>
      <w:pPr>
        <w:pStyle w:val="BodyText"/>
        <w:spacing w:before="210"/>
        <w:jc w:val="center"/>
      </w:pPr>
      <w:r>
        <w:rPr/>
        <w:t>Los</w:t>
      </w:r>
      <w:r>
        <w:rPr>
          <w:spacing w:val="51"/>
        </w:rPr>
        <w:t> </w:t>
      </w:r>
      <w:r>
        <w:rPr/>
        <w:t>riesgos</w:t>
      </w:r>
      <w:r>
        <w:rPr>
          <w:spacing w:val="53"/>
        </w:rPr>
        <w:t> </w:t>
      </w:r>
      <w:r>
        <w:rPr/>
        <w:t>identificados</w:t>
      </w:r>
      <w:r>
        <w:rPr>
          <w:spacing w:val="56"/>
        </w:rPr>
        <w:t> </w:t>
      </w:r>
      <w:r>
        <w:rPr/>
        <w:t>por</w:t>
      </w:r>
      <w:r>
        <w:rPr>
          <w:spacing w:val="50"/>
        </w:rPr>
        <w:t> </w:t>
      </w:r>
      <w:r>
        <w:rPr/>
        <w:t>la</w:t>
      </w:r>
      <w:r>
        <w:rPr>
          <w:spacing w:val="52"/>
        </w:rPr>
        <w:t> </w:t>
      </w:r>
      <w:r>
        <w:rPr/>
        <w:t>empresa</w:t>
      </w:r>
      <w:r>
        <w:rPr>
          <w:spacing w:val="50"/>
        </w:rPr>
        <w:t> </w:t>
      </w:r>
      <w:r>
        <w:rPr/>
        <w:t>se</w:t>
      </w:r>
      <w:r>
        <w:rPr>
          <w:spacing w:val="51"/>
        </w:rPr>
        <w:t> </w:t>
      </w:r>
      <w:r>
        <w:rPr/>
        <w:t>centran</w:t>
      </w:r>
      <w:r>
        <w:rPr>
          <w:spacing w:val="50"/>
        </w:rPr>
        <w:t> </w:t>
      </w:r>
      <w:r>
        <w:rPr/>
        <w:t>en</w:t>
      </w:r>
      <w:r>
        <w:rPr>
          <w:spacing w:val="53"/>
        </w:rPr>
        <w:t> </w:t>
      </w:r>
      <w:r>
        <w:rPr/>
        <w:t>dos</w:t>
      </w:r>
      <w:r>
        <w:rPr>
          <w:spacing w:val="52"/>
        </w:rPr>
        <w:t> </w:t>
      </w:r>
      <w:r>
        <w:rPr/>
        <w:t>ámbitos,</w:t>
      </w:r>
      <w:r>
        <w:rPr>
          <w:spacing w:val="51"/>
        </w:rPr>
        <w:t> </w:t>
      </w:r>
      <w:r>
        <w:rPr/>
        <w:t>por</w:t>
      </w:r>
      <w:r>
        <w:rPr>
          <w:spacing w:val="53"/>
        </w:rPr>
        <w:t> </w:t>
      </w:r>
      <w:r>
        <w:rPr/>
        <w:t>un</w:t>
      </w:r>
      <w:r>
        <w:rPr>
          <w:spacing w:val="51"/>
        </w:rPr>
        <w:t> </w:t>
      </w:r>
      <w:r>
        <w:rPr/>
        <w:t>lado,</w:t>
      </w:r>
      <w:r>
        <w:rPr>
          <w:spacing w:val="54"/>
        </w:rPr>
        <w:t> </w:t>
      </w:r>
      <w:r>
        <w:rPr/>
        <w:t>en</w:t>
      </w:r>
      <w:r>
        <w:rPr>
          <w:spacing w:val="53"/>
        </w:rPr>
        <w:t> </w:t>
      </w:r>
      <w:r>
        <w:rPr>
          <w:spacing w:val="-5"/>
        </w:rPr>
        <w:t>la</w:t>
      </w:r>
    </w:p>
    <w:p>
      <w:pPr>
        <w:pStyle w:val="BodyText"/>
        <w:spacing w:before="116"/>
        <w:jc w:val="center"/>
      </w:pPr>
      <w:r>
        <w:rPr/>
        <w:t>perspectiva</w:t>
      </w:r>
      <w:r>
        <w:rPr>
          <w:spacing w:val="53"/>
        </w:rPr>
        <w:t> </w:t>
      </w:r>
      <w:r>
        <w:rPr/>
        <w:t>económica,</w:t>
      </w:r>
      <w:r>
        <w:rPr>
          <w:spacing w:val="51"/>
        </w:rPr>
        <w:t> </w:t>
      </w:r>
      <w:r>
        <w:rPr/>
        <w:t>en</w:t>
      </w:r>
      <w:r>
        <w:rPr>
          <w:spacing w:val="53"/>
        </w:rPr>
        <w:t> </w:t>
      </w:r>
      <w:r>
        <w:rPr/>
        <w:t>concreto</w:t>
      </w:r>
      <w:r>
        <w:rPr>
          <w:spacing w:val="51"/>
        </w:rPr>
        <w:t> </w:t>
      </w:r>
      <w:r>
        <w:rPr/>
        <w:t>en</w:t>
      </w:r>
      <w:r>
        <w:rPr>
          <w:spacing w:val="51"/>
        </w:rPr>
        <w:t> </w:t>
      </w:r>
      <w:r>
        <w:rPr/>
        <w:t>el</w:t>
      </w:r>
      <w:r>
        <w:rPr>
          <w:spacing w:val="50"/>
        </w:rPr>
        <w:t> </w:t>
      </w:r>
      <w:r>
        <w:rPr/>
        <w:t>riesgo</w:t>
      </w:r>
      <w:r>
        <w:rPr>
          <w:spacing w:val="53"/>
        </w:rPr>
        <w:t> </w:t>
      </w:r>
      <w:r>
        <w:rPr/>
        <w:t>de</w:t>
      </w:r>
      <w:r>
        <w:rPr>
          <w:spacing w:val="52"/>
        </w:rPr>
        <w:t> </w:t>
      </w:r>
      <w:r>
        <w:rPr/>
        <w:t>un</w:t>
      </w:r>
      <w:r>
        <w:rPr>
          <w:spacing w:val="52"/>
        </w:rPr>
        <w:t> </w:t>
      </w:r>
      <w:r>
        <w:rPr/>
        <w:t>desequilibrio</w:t>
      </w:r>
      <w:r>
        <w:rPr>
          <w:spacing w:val="53"/>
        </w:rPr>
        <w:t> </w:t>
      </w:r>
      <w:r>
        <w:rPr/>
        <w:t>de</w:t>
      </w:r>
      <w:r>
        <w:rPr>
          <w:spacing w:val="53"/>
        </w:rPr>
        <w:t> </w:t>
      </w:r>
      <w:r>
        <w:rPr/>
        <w:t>las</w:t>
      </w:r>
      <w:r>
        <w:rPr>
          <w:spacing w:val="53"/>
        </w:rPr>
        <w:t> </w:t>
      </w:r>
      <w:r>
        <w:rPr>
          <w:spacing w:val="-2"/>
        </w:rPr>
        <w:t>aportaciones</w:t>
      </w:r>
    </w:p>
    <w:p>
      <w:pPr>
        <w:pStyle w:val="BodyText"/>
        <w:spacing w:line="362" w:lineRule="auto" w:before="113"/>
        <w:ind w:left="1341" w:right="1308"/>
      </w:pPr>
      <w:r>
        <w:rPr/>
        <w:t>públicas</w:t>
      </w:r>
      <w:r>
        <w:rPr>
          <w:spacing w:val="30"/>
        </w:rPr>
        <w:t> </w:t>
      </w:r>
      <w:r>
        <w:rPr/>
        <w:t>y</w:t>
      </w:r>
      <w:r>
        <w:rPr>
          <w:spacing w:val="24"/>
        </w:rPr>
        <w:t> </w:t>
      </w:r>
      <w:r>
        <w:rPr/>
        <w:t>privadas,</w:t>
      </w:r>
      <w:r>
        <w:rPr>
          <w:spacing w:val="28"/>
        </w:rPr>
        <w:t> </w:t>
      </w:r>
      <w:r>
        <w:rPr/>
        <w:t>y</w:t>
      </w:r>
      <w:r>
        <w:rPr>
          <w:spacing w:val="24"/>
        </w:rPr>
        <w:t> </w:t>
      </w:r>
      <w:r>
        <w:rPr/>
        <w:t>por</w:t>
      </w:r>
      <w:r>
        <w:rPr>
          <w:spacing w:val="31"/>
        </w:rPr>
        <w:t> </w:t>
      </w:r>
      <w:r>
        <w:rPr/>
        <w:t>o</w:t>
      </w:r>
      <w:r>
        <w:rPr>
          <w:b/>
        </w:rPr>
        <w:t>t</w:t>
      </w:r>
      <w:r>
        <w:rPr/>
        <w:t>ra</w:t>
      </w:r>
      <w:r>
        <w:rPr>
          <w:spacing w:val="27"/>
        </w:rPr>
        <w:t> </w:t>
      </w:r>
      <w:r>
        <w:rPr/>
        <w:t>en</w:t>
      </w:r>
      <w:r>
        <w:rPr>
          <w:spacing w:val="27"/>
        </w:rPr>
        <w:t> </w:t>
      </w:r>
      <w:r>
        <w:rPr/>
        <w:t>perspectiva</w:t>
      </w:r>
      <w:r>
        <w:rPr>
          <w:spacing w:val="25"/>
        </w:rPr>
        <w:t> </w:t>
      </w:r>
      <w:r>
        <w:rPr/>
        <w:t>de</w:t>
      </w:r>
      <w:r>
        <w:rPr>
          <w:spacing w:val="26"/>
        </w:rPr>
        <w:t> </w:t>
      </w:r>
      <w:r>
        <w:rPr/>
        <w:t>usuario</w:t>
      </w:r>
      <w:r>
        <w:rPr>
          <w:spacing w:val="25"/>
        </w:rPr>
        <w:t> </w:t>
      </w:r>
      <w:r>
        <w:rPr/>
        <w:t>o</w:t>
      </w:r>
      <w:r>
        <w:rPr>
          <w:spacing w:val="26"/>
        </w:rPr>
        <w:t> </w:t>
      </w:r>
      <w:r>
        <w:rPr/>
        <w:t>sociedad,</w:t>
      </w:r>
      <w:r>
        <w:rPr>
          <w:spacing w:val="26"/>
        </w:rPr>
        <w:t> </w:t>
      </w:r>
      <w:r>
        <w:rPr/>
        <w:t>en</w:t>
      </w:r>
      <w:r>
        <w:rPr>
          <w:spacing w:val="26"/>
        </w:rPr>
        <w:t> </w:t>
      </w:r>
      <w:r>
        <w:rPr/>
        <w:t>cuanto</w:t>
      </w:r>
      <w:r>
        <w:rPr>
          <w:spacing w:val="28"/>
        </w:rPr>
        <w:t> </w:t>
      </w:r>
      <w:r>
        <w:rPr/>
        <w:t>a</w:t>
      </w:r>
      <w:r>
        <w:rPr>
          <w:spacing w:val="25"/>
        </w:rPr>
        <w:t> </w:t>
      </w:r>
      <w:r>
        <w:rPr/>
        <w:t>no</w:t>
      </w:r>
      <w:r>
        <w:rPr>
          <w:spacing w:val="26"/>
        </w:rPr>
        <w:t> </w:t>
      </w:r>
      <w:r>
        <w:rPr/>
        <w:t>poder satisfacer la demanda de acuerdo con las expectativas que en nosotros tienen depositadas.</w:t>
      </w:r>
    </w:p>
    <w:p>
      <w:pPr>
        <w:pStyle w:val="BodyText"/>
      </w:pPr>
    </w:p>
    <w:p>
      <w:pPr>
        <w:pStyle w:val="BodyText"/>
        <w:spacing w:before="14"/>
      </w:pPr>
    </w:p>
    <w:p>
      <w:pPr>
        <w:pStyle w:val="Heading3"/>
        <w:numPr>
          <w:ilvl w:val="0"/>
          <w:numId w:val="31"/>
        </w:numPr>
        <w:tabs>
          <w:tab w:pos="1559" w:val="left" w:leader="none"/>
        </w:tabs>
        <w:spacing w:line="240" w:lineRule="auto" w:before="1" w:after="0"/>
        <w:ind w:left="1559" w:right="0" w:hanging="218"/>
        <w:jc w:val="left"/>
      </w:pPr>
      <w:bookmarkStart w:name="_TOC_250040" w:id="12"/>
      <w:r>
        <w:rPr/>
        <w:t>Objetivos</w:t>
      </w:r>
      <w:r>
        <w:rPr>
          <w:spacing w:val="-9"/>
        </w:rPr>
        <w:t> </w:t>
      </w:r>
      <w:bookmarkEnd w:id="12"/>
      <w:r>
        <w:rPr>
          <w:spacing w:val="-2"/>
        </w:rPr>
        <w:t>estratégicos</w:t>
      </w:r>
    </w:p>
    <w:p>
      <w:pPr>
        <w:pStyle w:val="BodyText"/>
        <w:spacing w:before="5"/>
        <w:rPr>
          <w:b/>
        </w:rPr>
      </w:pPr>
    </w:p>
    <w:p>
      <w:pPr>
        <w:pStyle w:val="Heading3"/>
        <w:numPr>
          <w:ilvl w:val="1"/>
          <w:numId w:val="31"/>
        </w:numPr>
        <w:tabs>
          <w:tab w:pos="1670" w:val="left" w:leader="none"/>
        </w:tabs>
        <w:spacing w:line="240" w:lineRule="auto" w:before="0" w:after="0"/>
        <w:ind w:left="1670" w:right="0" w:hanging="329"/>
        <w:jc w:val="left"/>
      </w:pPr>
      <w:bookmarkStart w:name="_TOC_250039" w:id="13"/>
      <w:r>
        <w:rPr/>
        <w:t>Definición</w:t>
      </w:r>
      <w:r>
        <w:rPr>
          <w:spacing w:val="-9"/>
        </w:rPr>
        <w:t> </w:t>
      </w:r>
      <w:r>
        <w:rPr/>
        <w:t>de</w:t>
      </w:r>
      <w:r>
        <w:rPr>
          <w:spacing w:val="-7"/>
        </w:rPr>
        <w:t> </w:t>
      </w:r>
      <w:bookmarkEnd w:id="13"/>
      <w:r>
        <w:rPr>
          <w:spacing w:val="-2"/>
        </w:rPr>
        <w:t>objetivos</w:t>
      </w:r>
    </w:p>
    <w:p>
      <w:pPr>
        <w:pStyle w:val="BodyText"/>
        <w:spacing w:before="34"/>
        <w:rPr>
          <w:b/>
        </w:rPr>
      </w:pPr>
    </w:p>
    <w:p>
      <w:pPr>
        <w:spacing w:before="0"/>
        <w:ind w:left="1341" w:right="0" w:firstLine="0"/>
        <w:jc w:val="left"/>
        <w:rPr>
          <w:rFonts w:ascii="Tahoma"/>
          <w:i/>
          <w:sz w:val="20"/>
        </w:rPr>
      </w:pPr>
      <w:r>
        <w:rPr>
          <w:rFonts w:ascii="Tahoma"/>
          <w:i/>
          <w:sz w:val="20"/>
        </w:rPr>
        <w:t>Detalle</w:t>
      </w:r>
      <w:r>
        <w:rPr>
          <w:rFonts w:ascii="Tahoma"/>
          <w:i/>
          <w:spacing w:val="-3"/>
          <w:sz w:val="20"/>
        </w:rPr>
        <w:t> </w:t>
      </w:r>
      <w:r>
        <w:rPr>
          <w:rFonts w:ascii="Tahoma"/>
          <w:i/>
          <w:sz w:val="20"/>
        </w:rPr>
        <w:t>de</w:t>
      </w:r>
      <w:r>
        <w:rPr>
          <w:rFonts w:ascii="Tahoma"/>
          <w:i/>
          <w:spacing w:val="-2"/>
          <w:sz w:val="20"/>
        </w:rPr>
        <w:t> objetivos</w:t>
      </w:r>
    </w:p>
    <w:p>
      <w:pPr>
        <w:pStyle w:val="BodyText"/>
        <w:spacing w:before="75"/>
        <w:rPr>
          <w:rFonts w:ascii="Tahoma"/>
          <w:i/>
        </w:rPr>
      </w:pPr>
    </w:p>
    <w:p>
      <w:pPr>
        <w:pStyle w:val="BodyText"/>
        <w:spacing w:line="357" w:lineRule="auto"/>
        <w:ind w:left="1341" w:right="1308"/>
      </w:pPr>
      <w:r>
        <w:rPr/>
        <w:t>El</w:t>
      </w:r>
      <w:r>
        <w:rPr>
          <w:spacing w:val="40"/>
        </w:rPr>
        <w:t> </w:t>
      </w:r>
      <w:r>
        <w:rPr/>
        <w:t>mapa</w:t>
      </w:r>
      <w:r>
        <w:rPr>
          <w:spacing w:val="40"/>
        </w:rPr>
        <w:t> </w:t>
      </w:r>
      <w:r>
        <w:rPr/>
        <w:t>estratégico</w:t>
      </w:r>
      <w:r>
        <w:rPr>
          <w:spacing w:val="40"/>
        </w:rPr>
        <w:t> </w:t>
      </w:r>
      <w:r>
        <w:rPr/>
        <w:t>de</w:t>
      </w:r>
      <w:r>
        <w:rPr>
          <w:spacing w:val="40"/>
        </w:rPr>
        <w:t> </w:t>
      </w:r>
      <w:r>
        <w:rPr/>
        <w:t>Guaguas,</w:t>
      </w:r>
      <w:r>
        <w:rPr>
          <w:spacing w:val="40"/>
        </w:rPr>
        <w:t> </w:t>
      </w:r>
      <w:r>
        <w:rPr/>
        <w:t>realizado</w:t>
      </w:r>
      <w:r>
        <w:rPr>
          <w:spacing w:val="40"/>
        </w:rPr>
        <w:t> </w:t>
      </w:r>
      <w:r>
        <w:rPr/>
        <w:t>mediante</w:t>
      </w:r>
      <w:r>
        <w:rPr>
          <w:spacing w:val="40"/>
        </w:rPr>
        <w:t> </w:t>
      </w:r>
      <w:r>
        <w:rPr/>
        <w:t>la</w:t>
      </w:r>
      <w:r>
        <w:rPr>
          <w:spacing w:val="40"/>
        </w:rPr>
        <w:t> </w:t>
      </w:r>
      <w:r>
        <w:rPr/>
        <w:t>técnica</w:t>
      </w:r>
      <w:r>
        <w:rPr>
          <w:spacing w:val="40"/>
        </w:rPr>
        <w:t> </w:t>
      </w:r>
      <w:r>
        <w:rPr/>
        <w:t>del</w:t>
      </w:r>
      <w:r>
        <w:rPr>
          <w:spacing w:val="40"/>
        </w:rPr>
        <w:t> </w:t>
      </w:r>
      <w:r>
        <w:rPr/>
        <w:t>Balanced</w:t>
      </w:r>
      <w:r>
        <w:rPr>
          <w:spacing w:val="40"/>
        </w:rPr>
        <w:t> </w:t>
      </w:r>
      <w:r>
        <w:rPr/>
        <w:t>Scorecard</w:t>
      </w:r>
      <w:r>
        <w:rPr>
          <w:spacing w:val="40"/>
        </w:rPr>
        <w:t> </w:t>
      </w:r>
      <w:r>
        <w:rPr/>
        <w:t>(Cuadro</w:t>
      </w:r>
      <w:r>
        <w:rPr>
          <w:spacing w:val="-4"/>
        </w:rPr>
        <w:t> </w:t>
      </w:r>
      <w:r>
        <w:rPr/>
        <w:t>de</w:t>
      </w:r>
      <w:r>
        <w:rPr>
          <w:spacing w:val="-6"/>
        </w:rPr>
        <w:t> </w:t>
      </w:r>
      <w:r>
        <w:rPr/>
        <w:t>Mando</w:t>
      </w:r>
      <w:r>
        <w:rPr>
          <w:spacing w:val="-4"/>
        </w:rPr>
        <w:t> </w:t>
      </w:r>
      <w:r>
        <w:rPr/>
        <w:t>Integral,</w:t>
      </w:r>
      <w:r>
        <w:rPr>
          <w:spacing w:val="-4"/>
        </w:rPr>
        <w:t> </w:t>
      </w:r>
      <w:r>
        <w:rPr/>
        <w:t>o</w:t>
      </w:r>
      <w:r>
        <w:rPr>
          <w:spacing w:val="-4"/>
        </w:rPr>
        <w:t> </w:t>
      </w:r>
      <w:r>
        <w:rPr/>
        <w:t>CMI),</w:t>
      </w:r>
      <w:r>
        <w:rPr>
          <w:spacing w:val="-4"/>
        </w:rPr>
        <w:t> </w:t>
      </w:r>
      <w:r>
        <w:rPr/>
        <w:t>ofrece</w:t>
      </w:r>
      <w:r>
        <w:rPr>
          <w:spacing w:val="-8"/>
        </w:rPr>
        <w:t> </w:t>
      </w:r>
      <w:r>
        <w:rPr/>
        <w:t>una</w:t>
      </w:r>
      <w:r>
        <w:rPr>
          <w:spacing w:val="-2"/>
        </w:rPr>
        <w:t> </w:t>
      </w:r>
      <w:r>
        <w:rPr/>
        <w:t>visual</w:t>
      </w:r>
      <w:r>
        <w:rPr>
          <w:spacing w:val="-7"/>
        </w:rPr>
        <w:t> </w:t>
      </w:r>
      <w:r>
        <w:rPr/>
        <w:t>de</w:t>
      </w:r>
      <w:r>
        <w:rPr>
          <w:spacing w:val="-6"/>
        </w:rPr>
        <w:t> </w:t>
      </w:r>
      <w:r>
        <w:rPr/>
        <w:t>los</w:t>
      </w:r>
      <w:r>
        <w:rPr>
          <w:spacing w:val="-6"/>
        </w:rPr>
        <w:t> </w:t>
      </w:r>
      <w:r>
        <w:rPr/>
        <w:t>objetivos</w:t>
      </w:r>
      <w:r>
        <w:rPr>
          <w:spacing w:val="-6"/>
        </w:rPr>
        <w:t> </w:t>
      </w:r>
      <w:r>
        <w:rPr/>
        <w:t>estratégicos</w:t>
      </w:r>
      <w:r>
        <w:rPr>
          <w:spacing w:val="-5"/>
        </w:rPr>
        <w:t> </w:t>
      </w:r>
      <w:r>
        <w:rPr/>
        <w:t>de</w:t>
      </w:r>
      <w:r>
        <w:rPr>
          <w:spacing w:val="-4"/>
        </w:rPr>
        <w:t> </w:t>
      </w:r>
      <w:r>
        <w:rPr/>
        <w:t>la</w:t>
      </w:r>
      <w:r>
        <w:rPr>
          <w:spacing w:val="-7"/>
        </w:rPr>
        <w:t> </w:t>
      </w:r>
      <w:r>
        <w:rPr>
          <w:spacing w:val="-2"/>
        </w:rPr>
        <w:t>entidad</w:t>
      </w:r>
    </w:p>
    <w:p>
      <w:pPr>
        <w:pStyle w:val="BodyText"/>
        <w:spacing w:before="3"/>
        <w:ind w:left="2"/>
        <w:jc w:val="center"/>
      </w:pPr>
      <w:r>
        <w:rPr/>
        <w:t>atendiendo</w:t>
      </w:r>
      <w:r>
        <w:rPr>
          <w:spacing w:val="57"/>
        </w:rPr>
        <w:t> </w:t>
      </w:r>
      <w:r>
        <w:rPr/>
        <w:t>a</w:t>
      </w:r>
      <w:r>
        <w:rPr>
          <w:spacing w:val="56"/>
        </w:rPr>
        <w:t> </w:t>
      </w:r>
      <w:r>
        <w:rPr/>
        <w:t>la</w:t>
      </w:r>
      <w:r>
        <w:rPr>
          <w:spacing w:val="54"/>
        </w:rPr>
        <w:t> </w:t>
      </w:r>
      <w:r>
        <w:rPr/>
        <w:t>perspectiva</w:t>
      </w:r>
      <w:r>
        <w:rPr>
          <w:spacing w:val="58"/>
        </w:rPr>
        <w:t> </w:t>
      </w:r>
      <w:r>
        <w:rPr/>
        <w:t>en</w:t>
      </w:r>
      <w:r>
        <w:rPr>
          <w:spacing w:val="54"/>
        </w:rPr>
        <w:t> </w:t>
      </w:r>
      <w:r>
        <w:rPr/>
        <w:t>la</w:t>
      </w:r>
      <w:r>
        <w:rPr>
          <w:spacing w:val="56"/>
        </w:rPr>
        <w:t> </w:t>
      </w:r>
      <w:r>
        <w:rPr/>
        <w:t>que</w:t>
      </w:r>
      <w:r>
        <w:rPr>
          <w:spacing w:val="54"/>
        </w:rPr>
        <w:t> </w:t>
      </w:r>
      <w:r>
        <w:rPr/>
        <w:t>se</w:t>
      </w:r>
      <w:r>
        <w:rPr>
          <w:spacing w:val="55"/>
        </w:rPr>
        <w:t> </w:t>
      </w:r>
      <w:r>
        <w:rPr/>
        <w:t>encuentran:</w:t>
      </w:r>
      <w:r>
        <w:rPr>
          <w:spacing w:val="56"/>
        </w:rPr>
        <w:t> </w:t>
      </w:r>
      <w:r>
        <w:rPr/>
        <w:t>Perspectiva</w:t>
      </w:r>
      <w:r>
        <w:rPr>
          <w:spacing w:val="54"/>
        </w:rPr>
        <w:t> </w:t>
      </w:r>
      <w:r>
        <w:rPr/>
        <w:t>de</w:t>
      </w:r>
      <w:r>
        <w:rPr>
          <w:spacing w:val="55"/>
        </w:rPr>
        <w:t> </w:t>
      </w:r>
      <w:r>
        <w:rPr/>
        <w:t>Resultados</w:t>
      </w:r>
      <w:r>
        <w:rPr>
          <w:spacing w:val="57"/>
        </w:rPr>
        <w:t> </w:t>
      </w:r>
      <w:r>
        <w:rPr>
          <w:spacing w:val="-2"/>
        </w:rPr>
        <w:t>Clave,</w:t>
      </w:r>
    </w:p>
    <w:p>
      <w:pPr>
        <w:pStyle w:val="BodyText"/>
        <w:spacing w:line="362" w:lineRule="auto" w:before="116"/>
        <w:ind w:left="1341" w:right="1308"/>
      </w:pPr>
      <w:r>
        <w:rPr/>
        <w:t>Perspectiva</w:t>
      </w:r>
      <w:r>
        <w:rPr>
          <w:spacing w:val="40"/>
        </w:rPr>
        <w:t> </w:t>
      </w:r>
      <w:r>
        <w:rPr/>
        <w:t>del</w:t>
      </w:r>
      <w:r>
        <w:rPr>
          <w:spacing w:val="40"/>
        </w:rPr>
        <w:t> </w:t>
      </w:r>
      <w:r>
        <w:rPr/>
        <w:t>Cliente</w:t>
      </w:r>
      <w:r>
        <w:rPr>
          <w:spacing w:val="40"/>
        </w:rPr>
        <w:t> </w:t>
      </w:r>
      <w:r>
        <w:rPr/>
        <w:t>o</w:t>
      </w:r>
      <w:r>
        <w:rPr>
          <w:spacing w:val="40"/>
        </w:rPr>
        <w:t> </w:t>
      </w:r>
      <w:r>
        <w:rPr/>
        <w:t>Sociedad,</w:t>
      </w:r>
      <w:r>
        <w:rPr>
          <w:spacing w:val="40"/>
        </w:rPr>
        <w:t> </w:t>
      </w:r>
      <w:r>
        <w:rPr/>
        <w:t>Perspectiva</w:t>
      </w:r>
      <w:r>
        <w:rPr>
          <w:spacing w:val="40"/>
        </w:rPr>
        <w:t> </w:t>
      </w:r>
      <w:r>
        <w:rPr/>
        <w:t>Interna,</w:t>
      </w:r>
      <w:r>
        <w:rPr>
          <w:spacing w:val="40"/>
        </w:rPr>
        <w:t> </w:t>
      </w:r>
      <w:r>
        <w:rPr/>
        <w:t>y</w:t>
      </w:r>
      <w:r>
        <w:rPr>
          <w:spacing w:val="40"/>
        </w:rPr>
        <w:t> </w:t>
      </w:r>
      <w:r>
        <w:rPr/>
        <w:t>Perspectiva</w:t>
      </w:r>
      <w:r>
        <w:rPr>
          <w:spacing w:val="40"/>
        </w:rPr>
        <w:t> </w:t>
      </w:r>
      <w:r>
        <w:rPr/>
        <w:t>del</w:t>
      </w:r>
      <w:r>
        <w:rPr>
          <w:spacing w:val="40"/>
        </w:rPr>
        <w:t> </w:t>
      </w:r>
      <w:r>
        <w:rPr/>
        <w:t>Aprendizaje</w:t>
      </w:r>
      <w:r>
        <w:rPr>
          <w:spacing w:val="40"/>
        </w:rPr>
        <w:t> </w:t>
      </w:r>
      <w:r>
        <w:rPr/>
        <w:t>y </w:t>
      </w:r>
      <w:r>
        <w:rPr>
          <w:spacing w:val="-2"/>
        </w:rPr>
        <w:t>Crecimiento.</w:t>
      </w:r>
    </w:p>
    <w:p>
      <w:pPr>
        <w:pStyle w:val="BodyText"/>
        <w:spacing w:before="2"/>
        <w:rPr>
          <w:sz w:val="15"/>
        </w:rPr>
      </w:pPr>
      <w:r>
        <w:rPr>
          <w:sz w:val="15"/>
        </w:rPr>
        <mc:AlternateContent>
          <mc:Choice Requires="wps">
            <w:drawing>
              <wp:anchor distT="0" distB="0" distL="0" distR="0" allowOverlap="1" layoutInCell="1" locked="0" behindDoc="1" simplePos="0" relativeHeight="487651328">
                <wp:simplePos x="0" y="0"/>
                <wp:positionH relativeFrom="page">
                  <wp:posOffset>1080516</wp:posOffset>
                </wp:positionH>
                <wp:positionV relativeFrom="paragraph">
                  <wp:posOffset>126192</wp:posOffset>
                </wp:positionV>
                <wp:extent cx="5374005" cy="3529965"/>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5374005" cy="3529965"/>
                          <a:chExt cx="5374005" cy="3529965"/>
                        </a:xfrm>
                      </wpg:grpSpPr>
                      <pic:pic>
                        <pic:nvPicPr>
                          <pic:cNvPr id="248" name="Image 248"/>
                          <pic:cNvPicPr/>
                        </pic:nvPicPr>
                        <pic:blipFill>
                          <a:blip r:embed="rId30" cstate="print"/>
                          <a:stretch>
                            <a:fillRect/>
                          </a:stretch>
                        </pic:blipFill>
                        <pic:spPr>
                          <a:xfrm>
                            <a:off x="0" y="0"/>
                            <a:ext cx="1652015" cy="3529584"/>
                          </a:xfrm>
                          <a:prstGeom prst="rect">
                            <a:avLst/>
                          </a:prstGeom>
                        </pic:spPr>
                      </pic:pic>
                      <pic:pic>
                        <pic:nvPicPr>
                          <pic:cNvPr id="249" name="Image 249"/>
                          <pic:cNvPicPr/>
                        </pic:nvPicPr>
                        <pic:blipFill>
                          <a:blip r:embed="rId31" cstate="print"/>
                          <a:stretch>
                            <a:fillRect/>
                          </a:stretch>
                        </pic:blipFill>
                        <pic:spPr>
                          <a:xfrm>
                            <a:off x="1652016" y="0"/>
                            <a:ext cx="2732532" cy="3529584"/>
                          </a:xfrm>
                          <a:prstGeom prst="rect">
                            <a:avLst/>
                          </a:prstGeom>
                        </pic:spPr>
                      </pic:pic>
                      <pic:pic>
                        <pic:nvPicPr>
                          <pic:cNvPr id="250" name="Image 250"/>
                          <pic:cNvPicPr/>
                        </pic:nvPicPr>
                        <pic:blipFill>
                          <a:blip r:embed="rId32" cstate="print"/>
                          <a:stretch>
                            <a:fillRect/>
                          </a:stretch>
                        </pic:blipFill>
                        <pic:spPr>
                          <a:xfrm>
                            <a:off x="4384547" y="0"/>
                            <a:ext cx="989076" cy="3529584"/>
                          </a:xfrm>
                          <a:prstGeom prst="rect">
                            <a:avLst/>
                          </a:prstGeom>
                        </pic:spPr>
                      </pic:pic>
                    </wpg:wgp>
                  </a:graphicData>
                </a:graphic>
              </wp:anchor>
            </w:drawing>
          </mc:Choice>
          <mc:Fallback>
            <w:pict>
              <v:group style="position:absolute;margin-left:85.080002pt;margin-top:9.936426pt;width:423.15pt;height:277.95pt;mso-position-horizontal-relative:page;mso-position-vertical-relative:paragraph;z-index:-15665152;mso-wrap-distance-left:0;mso-wrap-distance-right:0" id="docshapegroup185" coordorigin="1702,199" coordsize="8463,5559">
                <v:shape style="position:absolute;left:1701;top:198;width:2602;height:5559" type="#_x0000_t75" id="docshape186" stroked="false">
                  <v:imagedata r:id="rId30" o:title=""/>
                </v:shape>
                <v:shape style="position:absolute;left:4303;top:198;width:4304;height:5559" type="#_x0000_t75" id="docshape187" stroked="false">
                  <v:imagedata r:id="rId31" o:title=""/>
                </v:shape>
                <v:shape style="position:absolute;left:8606;top:198;width:1558;height:5559" type="#_x0000_t75" id="docshape188" stroked="false">
                  <v:imagedata r:id="rId32" o:title=""/>
                </v:shape>
                <w10:wrap type="topAndBottom"/>
              </v:group>
            </w:pict>
          </mc:Fallback>
        </mc:AlternateContent>
      </w:r>
    </w:p>
    <w:p>
      <w:pPr>
        <w:pStyle w:val="BodyText"/>
        <w:spacing w:before="81"/>
      </w:pPr>
    </w:p>
    <w:p>
      <w:pPr>
        <w:pStyle w:val="BodyText"/>
        <w:ind w:left="1"/>
        <w:jc w:val="center"/>
      </w:pPr>
      <w:r>
        <w:rPr/>
        <mc:AlternateContent>
          <mc:Choice Requires="wps">
            <w:drawing>
              <wp:anchor distT="0" distB="0" distL="0" distR="0" allowOverlap="1" layoutInCell="1" locked="0" behindDoc="0" simplePos="0" relativeHeight="15792640">
                <wp:simplePos x="0" y="0"/>
                <wp:positionH relativeFrom="page">
                  <wp:posOffset>6966436</wp:posOffset>
                </wp:positionH>
                <wp:positionV relativeFrom="paragraph">
                  <wp:posOffset>-2324813</wp:posOffset>
                </wp:positionV>
                <wp:extent cx="263525" cy="327596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83.056168pt;width:20.75pt;height:257.95pt;mso-position-horizontal-relative:page;mso-position-vertical-relative:paragraph;z-index:15792640" type="#_x0000_t202" id="docshape18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Guaguas</w:t>
      </w:r>
      <w:r>
        <w:rPr>
          <w:spacing w:val="26"/>
        </w:rPr>
        <w:t> </w:t>
      </w:r>
      <w:r>
        <w:rPr/>
        <w:t>liderará</w:t>
      </w:r>
      <w:r>
        <w:rPr>
          <w:spacing w:val="28"/>
        </w:rPr>
        <w:t> </w:t>
      </w:r>
      <w:r>
        <w:rPr/>
        <w:t>la</w:t>
      </w:r>
      <w:r>
        <w:rPr>
          <w:spacing w:val="23"/>
        </w:rPr>
        <w:t> </w:t>
      </w:r>
      <w:r>
        <w:rPr/>
        <w:t>movilidad</w:t>
      </w:r>
      <w:r>
        <w:rPr>
          <w:spacing w:val="27"/>
        </w:rPr>
        <w:t> </w:t>
      </w:r>
      <w:r>
        <w:rPr/>
        <w:t>sostenible</w:t>
      </w:r>
      <w:r>
        <w:rPr>
          <w:spacing w:val="27"/>
        </w:rPr>
        <w:t> </w:t>
      </w:r>
      <w:r>
        <w:rPr/>
        <w:t>a</w:t>
      </w:r>
      <w:r>
        <w:rPr>
          <w:spacing w:val="26"/>
        </w:rPr>
        <w:t> </w:t>
      </w:r>
      <w:r>
        <w:rPr/>
        <w:t>través</w:t>
      </w:r>
      <w:r>
        <w:rPr>
          <w:spacing w:val="26"/>
        </w:rPr>
        <w:t> </w:t>
      </w:r>
      <w:r>
        <w:rPr/>
        <w:t>de</w:t>
      </w:r>
      <w:r>
        <w:rPr>
          <w:spacing w:val="26"/>
        </w:rPr>
        <w:t> </w:t>
      </w:r>
      <w:r>
        <w:rPr/>
        <w:t>un</w:t>
      </w:r>
      <w:r>
        <w:rPr>
          <w:spacing w:val="27"/>
        </w:rPr>
        <w:t> </w:t>
      </w:r>
      <w:r>
        <w:rPr/>
        <w:t>proceso</w:t>
      </w:r>
      <w:r>
        <w:rPr>
          <w:spacing w:val="25"/>
        </w:rPr>
        <w:t> </w:t>
      </w:r>
      <w:r>
        <w:rPr/>
        <w:t>de</w:t>
      </w:r>
      <w:r>
        <w:rPr>
          <w:spacing w:val="29"/>
        </w:rPr>
        <w:t> </w:t>
      </w:r>
      <w:r>
        <w:rPr/>
        <w:t>descarbonización</w:t>
      </w:r>
      <w:r>
        <w:rPr>
          <w:spacing w:val="25"/>
        </w:rPr>
        <w:t> </w:t>
      </w:r>
      <w:r>
        <w:rPr/>
        <w:t>de</w:t>
      </w:r>
      <w:r>
        <w:rPr>
          <w:spacing w:val="29"/>
        </w:rPr>
        <w:t> </w:t>
      </w:r>
      <w:r>
        <w:rPr>
          <w:spacing w:val="-5"/>
        </w:rPr>
        <w:t>la</w:t>
      </w:r>
    </w:p>
    <w:p>
      <w:pPr>
        <w:pStyle w:val="BodyText"/>
        <w:spacing w:line="362" w:lineRule="auto" w:before="116"/>
        <w:ind w:left="1341" w:right="1308"/>
      </w:pPr>
      <w:r>
        <w:rPr/>
        <w:t>flota</w:t>
      </w:r>
      <w:r>
        <w:rPr>
          <w:spacing w:val="40"/>
        </w:rPr>
        <w:t> </w:t>
      </w:r>
      <w:r>
        <w:rPr/>
        <w:t>que</w:t>
      </w:r>
      <w:r>
        <w:rPr>
          <w:spacing w:val="40"/>
        </w:rPr>
        <w:t> </w:t>
      </w:r>
      <w:r>
        <w:rPr/>
        <w:t>debe</w:t>
      </w:r>
      <w:r>
        <w:rPr>
          <w:spacing w:val="40"/>
        </w:rPr>
        <w:t> </w:t>
      </w:r>
      <w:r>
        <w:rPr/>
        <w:t>estar</w:t>
      </w:r>
      <w:r>
        <w:rPr>
          <w:spacing w:val="40"/>
        </w:rPr>
        <w:t> </w:t>
      </w:r>
      <w:r>
        <w:rPr/>
        <w:t>sustentado</w:t>
      </w:r>
      <w:r>
        <w:rPr>
          <w:spacing w:val="40"/>
        </w:rPr>
        <w:t> </w:t>
      </w:r>
      <w:r>
        <w:rPr/>
        <w:t>en</w:t>
      </w:r>
      <w:r>
        <w:rPr>
          <w:spacing w:val="40"/>
        </w:rPr>
        <w:t> </w:t>
      </w:r>
      <w:r>
        <w:rPr/>
        <w:t>un</w:t>
      </w:r>
      <w:r>
        <w:rPr>
          <w:spacing w:val="40"/>
        </w:rPr>
        <w:t> </w:t>
      </w:r>
      <w:r>
        <w:rPr/>
        <w:t>equilibrio</w:t>
      </w:r>
      <w:r>
        <w:rPr>
          <w:spacing w:val="40"/>
        </w:rPr>
        <w:t> </w:t>
      </w:r>
      <w:r>
        <w:rPr/>
        <w:t>financiero</w:t>
      </w:r>
      <w:r>
        <w:rPr>
          <w:spacing w:val="40"/>
        </w:rPr>
        <w:t> </w:t>
      </w:r>
      <w:r>
        <w:rPr/>
        <w:t>que</w:t>
      </w:r>
      <w:r>
        <w:rPr>
          <w:spacing w:val="40"/>
        </w:rPr>
        <w:t> </w:t>
      </w:r>
      <w:r>
        <w:rPr/>
        <w:t>permite</w:t>
      </w:r>
      <w:r>
        <w:rPr>
          <w:spacing w:val="40"/>
        </w:rPr>
        <w:t> </w:t>
      </w:r>
      <w:r>
        <w:rPr/>
        <w:t>aunar</w:t>
      </w:r>
      <w:r>
        <w:rPr>
          <w:spacing w:val="40"/>
        </w:rPr>
        <w:t> </w:t>
      </w:r>
      <w:r>
        <w:rPr/>
        <w:t>estos</w:t>
      </w:r>
      <w:r>
        <w:rPr>
          <w:spacing w:val="40"/>
        </w:rPr>
        <w:t> </w:t>
      </w:r>
      <w:r>
        <w:rPr/>
        <w:t>dos</w:t>
      </w:r>
      <w:r>
        <w:rPr>
          <w:spacing w:val="40"/>
        </w:rPr>
        <w:t> </w:t>
      </w:r>
      <w:r>
        <w:rPr/>
        <w:t>objetivos económicos.</w:t>
      </w:r>
    </w:p>
    <w:p>
      <w:pPr>
        <w:pStyle w:val="BodyText"/>
        <w:spacing w:after="0" w:line="362" w:lineRule="auto"/>
        <w:sectPr>
          <w:pgSz w:w="11910" w:h="16840"/>
          <w:pgMar w:header="384" w:footer="1060" w:top="1200" w:bottom="1260" w:left="360" w:right="360"/>
        </w:sectPr>
      </w:pPr>
    </w:p>
    <w:p>
      <w:pPr>
        <w:pStyle w:val="BodyText"/>
        <w:spacing w:line="360" w:lineRule="auto" w:before="215"/>
        <w:ind w:left="1341" w:right="1334"/>
        <w:jc w:val="both"/>
      </w:pPr>
      <w:r>
        <w:rPr/>
        <w:t>La empresa trabaja en aras de seguir ganando reputación como empresa socialmente responsable, moderna, atractiva e innovadora, que le permita ofrecer una experiencia global excelente a sus clientes y con interés en la fidelización de los mismos. Para ello es importante reforzar la</w:t>
      </w:r>
      <w:r>
        <w:rPr>
          <w:spacing w:val="-4"/>
        </w:rPr>
        <w:t> </w:t>
      </w:r>
      <w:r>
        <w:rPr/>
        <w:t>comunicación y</w:t>
      </w:r>
      <w:r>
        <w:rPr>
          <w:spacing w:val="-4"/>
        </w:rPr>
        <w:t> </w:t>
      </w:r>
      <w:r>
        <w:rPr/>
        <w:t>coordinación</w:t>
      </w:r>
      <w:r>
        <w:rPr>
          <w:spacing w:val="-2"/>
        </w:rPr>
        <w:t> </w:t>
      </w:r>
      <w:r>
        <w:rPr/>
        <w:t>con</w:t>
      </w:r>
      <w:r>
        <w:rPr>
          <w:spacing w:val="-2"/>
        </w:rPr>
        <w:t> </w:t>
      </w:r>
      <w:r>
        <w:rPr/>
        <w:t>las administraciones públicas y</w:t>
      </w:r>
      <w:r>
        <w:rPr>
          <w:spacing w:val="-6"/>
        </w:rPr>
        <w:t> </w:t>
      </w:r>
      <w:r>
        <w:rPr/>
        <w:t>los distintos grupos de interés.</w:t>
      </w:r>
    </w:p>
    <w:p>
      <w:pPr>
        <w:pStyle w:val="BodyText"/>
        <w:spacing w:before="203"/>
        <w:ind w:left="1341"/>
        <w:jc w:val="both"/>
      </w:pPr>
      <w:r>
        <w:rPr/>
        <w:t>Otros</w:t>
      </w:r>
      <w:r>
        <w:rPr>
          <w:spacing w:val="-6"/>
        </w:rPr>
        <w:t> </w:t>
      </w:r>
      <w:r>
        <w:rPr/>
        <w:t>objetivos</w:t>
      </w:r>
      <w:r>
        <w:rPr>
          <w:spacing w:val="-4"/>
        </w:rPr>
        <w:t> </w:t>
      </w:r>
      <w:r>
        <w:rPr/>
        <w:t>relevantes</w:t>
      </w:r>
      <w:r>
        <w:rPr>
          <w:spacing w:val="-5"/>
        </w:rPr>
        <w:t> </w:t>
      </w:r>
      <w:r>
        <w:rPr/>
        <w:t>de</w:t>
      </w:r>
      <w:r>
        <w:rPr>
          <w:spacing w:val="-3"/>
        </w:rPr>
        <w:t> </w:t>
      </w:r>
      <w:r>
        <w:rPr/>
        <w:t>GMSA</w:t>
      </w:r>
      <w:r>
        <w:rPr>
          <w:spacing w:val="-8"/>
        </w:rPr>
        <w:t> </w:t>
      </w:r>
      <w:r>
        <w:rPr/>
        <w:t>son</w:t>
      </w:r>
      <w:r>
        <w:rPr>
          <w:spacing w:val="-7"/>
        </w:rPr>
        <w:t> </w:t>
      </w:r>
      <w:r>
        <w:rPr/>
        <w:t>los</w:t>
      </w:r>
      <w:r>
        <w:rPr>
          <w:spacing w:val="-4"/>
        </w:rPr>
        <w:t> </w:t>
      </w:r>
      <w:r>
        <w:rPr>
          <w:spacing w:val="-2"/>
        </w:rPr>
        <w:t>siguientes:</w:t>
      </w:r>
    </w:p>
    <w:p>
      <w:pPr>
        <w:pStyle w:val="BodyText"/>
        <w:spacing w:before="96"/>
      </w:pPr>
    </w:p>
    <w:p>
      <w:pPr>
        <w:pStyle w:val="ListParagraph"/>
        <w:numPr>
          <w:ilvl w:val="0"/>
          <w:numId w:val="35"/>
        </w:numPr>
        <w:tabs>
          <w:tab w:pos="2061" w:val="left" w:leader="none"/>
        </w:tabs>
        <w:spacing w:line="240" w:lineRule="auto" w:before="0" w:after="0"/>
        <w:ind w:left="2061" w:right="0" w:hanging="360"/>
        <w:jc w:val="left"/>
        <w:rPr>
          <w:sz w:val="20"/>
        </w:rPr>
      </w:pPr>
      <w:r>
        <w:rPr>
          <w:sz w:val="20"/>
        </w:rPr>
        <w:t>Dotar</w:t>
      </w:r>
      <w:r>
        <w:rPr>
          <w:spacing w:val="-4"/>
          <w:sz w:val="20"/>
        </w:rPr>
        <w:t> </w:t>
      </w:r>
      <w:r>
        <w:rPr>
          <w:sz w:val="20"/>
        </w:rPr>
        <w:t>de</w:t>
      </w:r>
      <w:r>
        <w:rPr>
          <w:spacing w:val="-7"/>
          <w:sz w:val="20"/>
        </w:rPr>
        <w:t> </w:t>
      </w:r>
      <w:r>
        <w:rPr>
          <w:sz w:val="20"/>
        </w:rPr>
        <w:t>flota</w:t>
      </w:r>
      <w:r>
        <w:rPr>
          <w:spacing w:val="-2"/>
          <w:sz w:val="20"/>
        </w:rPr>
        <w:t> </w:t>
      </w:r>
      <w:r>
        <w:rPr>
          <w:sz w:val="20"/>
        </w:rPr>
        <w:t>e</w:t>
      </w:r>
      <w:r>
        <w:rPr>
          <w:spacing w:val="-7"/>
          <w:sz w:val="20"/>
        </w:rPr>
        <w:t> </w:t>
      </w:r>
      <w:r>
        <w:rPr>
          <w:sz w:val="20"/>
        </w:rPr>
        <w:t>infraestructura</w:t>
      </w:r>
      <w:r>
        <w:rPr>
          <w:spacing w:val="-6"/>
          <w:sz w:val="20"/>
        </w:rPr>
        <w:t> </w:t>
      </w:r>
      <w:r>
        <w:rPr>
          <w:sz w:val="20"/>
        </w:rPr>
        <w:t>adecuada</w:t>
      </w:r>
      <w:r>
        <w:rPr>
          <w:spacing w:val="-3"/>
          <w:sz w:val="20"/>
        </w:rPr>
        <w:t> </w:t>
      </w:r>
      <w:r>
        <w:rPr>
          <w:sz w:val="20"/>
        </w:rPr>
        <w:t>y</w:t>
      </w:r>
      <w:r>
        <w:rPr>
          <w:spacing w:val="-9"/>
          <w:sz w:val="20"/>
        </w:rPr>
        <w:t> </w:t>
      </w:r>
      <w:r>
        <w:rPr>
          <w:sz w:val="20"/>
        </w:rPr>
        <w:t>mejorar</w:t>
      </w:r>
      <w:r>
        <w:rPr>
          <w:spacing w:val="-3"/>
          <w:sz w:val="20"/>
        </w:rPr>
        <w:t> </w:t>
      </w:r>
      <w:r>
        <w:rPr>
          <w:sz w:val="20"/>
        </w:rPr>
        <w:t>su</w:t>
      </w:r>
      <w:r>
        <w:rPr>
          <w:spacing w:val="-6"/>
          <w:sz w:val="20"/>
        </w:rPr>
        <w:t> </w:t>
      </w:r>
      <w:r>
        <w:rPr>
          <w:spacing w:val="-2"/>
          <w:sz w:val="20"/>
        </w:rPr>
        <w:t>mantenimiento</w:t>
      </w:r>
    </w:p>
    <w:p>
      <w:pPr>
        <w:pStyle w:val="ListParagraph"/>
        <w:numPr>
          <w:ilvl w:val="0"/>
          <w:numId w:val="35"/>
        </w:numPr>
        <w:tabs>
          <w:tab w:pos="2061" w:val="left" w:leader="none"/>
        </w:tabs>
        <w:spacing w:line="240" w:lineRule="auto" w:before="127" w:after="0"/>
        <w:ind w:left="2061" w:right="0" w:hanging="360"/>
        <w:jc w:val="left"/>
        <w:rPr>
          <w:sz w:val="20"/>
        </w:rPr>
      </w:pPr>
      <w:r>
        <w:rPr>
          <w:sz w:val="20"/>
        </w:rPr>
        <w:t>Implantar</w:t>
      </w:r>
      <w:r>
        <w:rPr>
          <w:spacing w:val="-6"/>
          <w:sz w:val="20"/>
        </w:rPr>
        <w:t> </w:t>
      </w:r>
      <w:r>
        <w:rPr>
          <w:sz w:val="20"/>
        </w:rPr>
        <w:t>un</w:t>
      </w:r>
      <w:r>
        <w:rPr>
          <w:spacing w:val="-5"/>
          <w:sz w:val="20"/>
        </w:rPr>
        <w:t> </w:t>
      </w:r>
      <w:r>
        <w:rPr>
          <w:sz w:val="20"/>
        </w:rPr>
        <w:t>nuevo</w:t>
      </w:r>
      <w:r>
        <w:rPr>
          <w:spacing w:val="-5"/>
          <w:sz w:val="20"/>
        </w:rPr>
        <w:t> </w:t>
      </w:r>
      <w:r>
        <w:rPr>
          <w:sz w:val="20"/>
        </w:rPr>
        <w:t>modelo</w:t>
      </w:r>
      <w:r>
        <w:rPr>
          <w:spacing w:val="-7"/>
          <w:sz w:val="20"/>
        </w:rPr>
        <w:t> </w:t>
      </w:r>
      <w:r>
        <w:rPr>
          <w:sz w:val="20"/>
        </w:rPr>
        <w:t>de</w:t>
      </w:r>
      <w:r>
        <w:rPr>
          <w:spacing w:val="-7"/>
          <w:sz w:val="20"/>
        </w:rPr>
        <w:t> </w:t>
      </w:r>
      <w:r>
        <w:rPr>
          <w:sz w:val="20"/>
        </w:rPr>
        <w:t>movilidad</w:t>
      </w:r>
      <w:r>
        <w:rPr>
          <w:spacing w:val="-5"/>
          <w:sz w:val="20"/>
        </w:rPr>
        <w:t> </w:t>
      </w:r>
      <w:r>
        <w:rPr>
          <w:sz w:val="20"/>
        </w:rPr>
        <w:t>de</w:t>
      </w:r>
      <w:r>
        <w:rPr>
          <w:spacing w:val="-8"/>
          <w:sz w:val="20"/>
        </w:rPr>
        <w:t> </w:t>
      </w:r>
      <w:r>
        <w:rPr>
          <w:sz w:val="20"/>
        </w:rPr>
        <w:t>alta</w:t>
      </w:r>
      <w:r>
        <w:rPr>
          <w:spacing w:val="-7"/>
          <w:sz w:val="20"/>
        </w:rPr>
        <w:t> </w:t>
      </w:r>
      <w:r>
        <w:rPr>
          <w:sz w:val="20"/>
        </w:rPr>
        <w:t>calidad,</w:t>
      </w:r>
      <w:r>
        <w:rPr>
          <w:spacing w:val="-8"/>
          <w:sz w:val="20"/>
        </w:rPr>
        <w:t> </w:t>
      </w:r>
      <w:r>
        <w:rPr>
          <w:sz w:val="20"/>
        </w:rPr>
        <w:t>velocidad</w:t>
      </w:r>
      <w:r>
        <w:rPr>
          <w:spacing w:val="-4"/>
          <w:sz w:val="20"/>
        </w:rPr>
        <w:t> </w:t>
      </w:r>
      <w:r>
        <w:rPr>
          <w:sz w:val="20"/>
        </w:rPr>
        <w:t>y</w:t>
      </w:r>
      <w:r>
        <w:rPr>
          <w:spacing w:val="-12"/>
          <w:sz w:val="20"/>
        </w:rPr>
        <w:t> </w:t>
      </w:r>
      <w:r>
        <w:rPr>
          <w:spacing w:val="-2"/>
          <w:sz w:val="20"/>
        </w:rPr>
        <w:t>capacidad.</w:t>
      </w:r>
    </w:p>
    <w:p>
      <w:pPr>
        <w:pStyle w:val="ListParagraph"/>
        <w:numPr>
          <w:ilvl w:val="0"/>
          <w:numId w:val="35"/>
        </w:numPr>
        <w:tabs>
          <w:tab w:pos="2061" w:val="left" w:leader="none"/>
        </w:tabs>
        <w:spacing w:line="240" w:lineRule="auto" w:before="129" w:after="0"/>
        <w:ind w:left="2061" w:right="0" w:hanging="360"/>
        <w:jc w:val="left"/>
        <w:rPr>
          <w:sz w:val="20"/>
        </w:rPr>
      </w:pPr>
      <w:r>
        <w:rPr>
          <w:sz w:val="20"/>
        </w:rPr>
        <w:t>Proporcionar</w:t>
      </w:r>
      <w:r>
        <w:rPr>
          <w:spacing w:val="-5"/>
          <w:sz w:val="20"/>
        </w:rPr>
        <w:t> </w:t>
      </w:r>
      <w:r>
        <w:rPr>
          <w:sz w:val="20"/>
        </w:rPr>
        <w:t>información</w:t>
      </w:r>
      <w:r>
        <w:rPr>
          <w:spacing w:val="-10"/>
          <w:sz w:val="20"/>
        </w:rPr>
        <w:t> </w:t>
      </w:r>
      <w:r>
        <w:rPr>
          <w:sz w:val="20"/>
        </w:rPr>
        <w:t>eficaz</w:t>
      </w:r>
      <w:r>
        <w:rPr>
          <w:spacing w:val="-6"/>
          <w:sz w:val="20"/>
        </w:rPr>
        <w:t> </w:t>
      </w:r>
      <w:r>
        <w:rPr>
          <w:sz w:val="20"/>
        </w:rPr>
        <w:t>y</w:t>
      </w:r>
      <w:r>
        <w:rPr>
          <w:spacing w:val="-12"/>
          <w:sz w:val="20"/>
        </w:rPr>
        <w:t> </w:t>
      </w:r>
      <w:r>
        <w:rPr>
          <w:spacing w:val="-2"/>
          <w:sz w:val="20"/>
        </w:rPr>
        <w:t>relevante.</w:t>
      </w:r>
    </w:p>
    <w:p>
      <w:pPr>
        <w:pStyle w:val="ListParagraph"/>
        <w:numPr>
          <w:ilvl w:val="0"/>
          <w:numId w:val="35"/>
        </w:numPr>
        <w:tabs>
          <w:tab w:pos="2061" w:val="left" w:leader="none"/>
        </w:tabs>
        <w:spacing w:line="240" w:lineRule="auto" w:before="127" w:after="0"/>
        <w:ind w:left="2061" w:right="0" w:hanging="360"/>
        <w:jc w:val="left"/>
        <w:rPr>
          <w:sz w:val="20"/>
        </w:rPr>
      </w:pPr>
      <w:r>
        <w:rPr>
          <w:sz w:val="20"/>
        </w:rPr>
        <w:t>Alinear</w:t>
      </w:r>
      <w:r>
        <w:rPr>
          <w:spacing w:val="-7"/>
          <w:sz w:val="20"/>
        </w:rPr>
        <w:t> </w:t>
      </w:r>
      <w:r>
        <w:rPr>
          <w:sz w:val="20"/>
        </w:rPr>
        <w:t>perfiles,</w:t>
      </w:r>
      <w:r>
        <w:rPr>
          <w:spacing w:val="-6"/>
          <w:sz w:val="20"/>
        </w:rPr>
        <w:t> </w:t>
      </w:r>
      <w:r>
        <w:rPr>
          <w:sz w:val="20"/>
        </w:rPr>
        <w:t>competencias</w:t>
      </w:r>
      <w:r>
        <w:rPr>
          <w:spacing w:val="-5"/>
          <w:sz w:val="20"/>
        </w:rPr>
        <w:t> </w:t>
      </w:r>
      <w:r>
        <w:rPr>
          <w:sz w:val="20"/>
        </w:rPr>
        <w:t>y</w:t>
      </w:r>
      <w:r>
        <w:rPr>
          <w:spacing w:val="-10"/>
          <w:sz w:val="20"/>
        </w:rPr>
        <w:t> </w:t>
      </w:r>
      <w:r>
        <w:rPr>
          <w:sz w:val="20"/>
        </w:rPr>
        <w:t>modelo</w:t>
      </w:r>
      <w:r>
        <w:rPr>
          <w:spacing w:val="-7"/>
          <w:sz w:val="20"/>
        </w:rPr>
        <w:t> </w:t>
      </w:r>
      <w:r>
        <w:rPr>
          <w:sz w:val="20"/>
        </w:rPr>
        <w:t>de</w:t>
      </w:r>
      <w:r>
        <w:rPr>
          <w:spacing w:val="-8"/>
          <w:sz w:val="20"/>
        </w:rPr>
        <w:t> </w:t>
      </w:r>
      <w:r>
        <w:rPr>
          <w:sz w:val="20"/>
        </w:rPr>
        <w:t>organización</w:t>
      </w:r>
      <w:r>
        <w:rPr>
          <w:spacing w:val="-7"/>
          <w:sz w:val="20"/>
        </w:rPr>
        <w:t> </w:t>
      </w:r>
      <w:r>
        <w:rPr>
          <w:sz w:val="20"/>
        </w:rPr>
        <w:t>con</w:t>
      </w:r>
      <w:r>
        <w:rPr>
          <w:spacing w:val="-4"/>
          <w:sz w:val="20"/>
        </w:rPr>
        <w:t> </w:t>
      </w:r>
      <w:r>
        <w:rPr>
          <w:sz w:val="20"/>
        </w:rPr>
        <w:t>la</w:t>
      </w:r>
      <w:r>
        <w:rPr>
          <w:spacing w:val="-6"/>
          <w:sz w:val="20"/>
        </w:rPr>
        <w:t> </w:t>
      </w:r>
      <w:r>
        <w:rPr>
          <w:spacing w:val="-2"/>
          <w:sz w:val="20"/>
        </w:rPr>
        <w:t>estrategia</w:t>
      </w:r>
    </w:p>
    <w:p>
      <w:pPr>
        <w:pStyle w:val="ListParagraph"/>
        <w:numPr>
          <w:ilvl w:val="0"/>
          <w:numId w:val="35"/>
        </w:numPr>
        <w:tabs>
          <w:tab w:pos="2061" w:val="left" w:leader="none"/>
        </w:tabs>
        <w:spacing w:line="240" w:lineRule="auto" w:before="127" w:after="0"/>
        <w:ind w:left="2061" w:right="0" w:hanging="360"/>
        <w:jc w:val="left"/>
        <w:rPr>
          <w:sz w:val="20"/>
        </w:rPr>
      </w:pPr>
      <w:r>
        <w:rPr>
          <w:sz w:val="20"/>
        </w:rPr>
        <w:t>Desplegar</w:t>
      </w:r>
      <w:r>
        <w:rPr>
          <w:spacing w:val="-8"/>
          <w:sz w:val="20"/>
        </w:rPr>
        <w:t> </w:t>
      </w:r>
      <w:r>
        <w:rPr>
          <w:sz w:val="20"/>
        </w:rPr>
        <w:t>un</w:t>
      </w:r>
      <w:r>
        <w:rPr>
          <w:spacing w:val="-8"/>
          <w:sz w:val="20"/>
        </w:rPr>
        <w:t> </w:t>
      </w:r>
      <w:r>
        <w:rPr>
          <w:sz w:val="20"/>
        </w:rPr>
        <w:t>modelo</w:t>
      </w:r>
      <w:r>
        <w:rPr>
          <w:spacing w:val="-4"/>
          <w:sz w:val="20"/>
        </w:rPr>
        <w:t> </w:t>
      </w:r>
      <w:r>
        <w:rPr>
          <w:sz w:val="20"/>
        </w:rPr>
        <w:t>de</w:t>
      </w:r>
      <w:r>
        <w:rPr>
          <w:spacing w:val="-7"/>
          <w:sz w:val="20"/>
        </w:rPr>
        <w:t> </w:t>
      </w:r>
      <w:r>
        <w:rPr>
          <w:sz w:val="20"/>
        </w:rPr>
        <w:t>cultura</w:t>
      </w:r>
      <w:r>
        <w:rPr>
          <w:spacing w:val="-7"/>
          <w:sz w:val="20"/>
        </w:rPr>
        <w:t> </w:t>
      </w:r>
      <w:r>
        <w:rPr>
          <w:sz w:val="20"/>
        </w:rPr>
        <w:t>colaborativa</w:t>
      </w:r>
      <w:r>
        <w:rPr>
          <w:spacing w:val="-5"/>
          <w:sz w:val="20"/>
        </w:rPr>
        <w:t> </w:t>
      </w:r>
      <w:r>
        <w:rPr>
          <w:sz w:val="20"/>
        </w:rPr>
        <w:t>y</w:t>
      </w:r>
      <w:r>
        <w:rPr>
          <w:spacing w:val="-10"/>
          <w:sz w:val="20"/>
        </w:rPr>
        <w:t> </w:t>
      </w:r>
      <w:r>
        <w:rPr>
          <w:sz w:val="20"/>
        </w:rPr>
        <w:t>comunicación</w:t>
      </w:r>
      <w:r>
        <w:rPr>
          <w:spacing w:val="-8"/>
          <w:sz w:val="20"/>
        </w:rPr>
        <w:t> </w:t>
      </w:r>
      <w:r>
        <w:rPr>
          <w:spacing w:val="-4"/>
          <w:sz w:val="20"/>
        </w:rPr>
        <w:t>ágil</w:t>
      </w:r>
    </w:p>
    <w:p>
      <w:pPr>
        <w:pStyle w:val="ListParagraph"/>
        <w:numPr>
          <w:ilvl w:val="0"/>
          <w:numId w:val="35"/>
        </w:numPr>
        <w:tabs>
          <w:tab w:pos="2061" w:val="left" w:leader="none"/>
        </w:tabs>
        <w:spacing w:line="240" w:lineRule="auto" w:before="129" w:after="0"/>
        <w:ind w:left="2061" w:right="0" w:hanging="360"/>
        <w:jc w:val="left"/>
        <w:rPr>
          <w:sz w:val="20"/>
        </w:rPr>
      </w:pPr>
      <w:r>
        <w:rPr>
          <w:sz w:val="20"/>
        </w:rPr>
        <w:t>Proporcionar</w:t>
      </w:r>
      <w:r>
        <w:rPr>
          <w:spacing w:val="-6"/>
          <w:sz w:val="20"/>
        </w:rPr>
        <w:t> </w:t>
      </w:r>
      <w:r>
        <w:rPr>
          <w:sz w:val="20"/>
        </w:rPr>
        <w:t>seguridad</w:t>
      </w:r>
      <w:r>
        <w:rPr>
          <w:spacing w:val="-3"/>
          <w:sz w:val="20"/>
        </w:rPr>
        <w:t> </w:t>
      </w:r>
      <w:r>
        <w:rPr>
          <w:sz w:val="20"/>
        </w:rPr>
        <w:t>y</w:t>
      </w:r>
      <w:r>
        <w:rPr>
          <w:spacing w:val="-9"/>
          <w:sz w:val="20"/>
        </w:rPr>
        <w:t> </w:t>
      </w:r>
      <w:r>
        <w:rPr>
          <w:sz w:val="20"/>
        </w:rPr>
        <w:t>bienestar</w:t>
      </w:r>
      <w:r>
        <w:rPr>
          <w:spacing w:val="-5"/>
          <w:sz w:val="20"/>
        </w:rPr>
        <w:t> </w:t>
      </w:r>
      <w:r>
        <w:rPr>
          <w:sz w:val="20"/>
        </w:rPr>
        <w:t>a</w:t>
      </w:r>
      <w:r>
        <w:rPr>
          <w:spacing w:val="-5"/>
          <w:sz w:val="20"/>
        </w:rPr>
        <w:t> </w:t>
      </w:r>
      <w:r>
        <w:rPr>
          <w:sz w:val="20"/>
        </w:rPr>
        <w:t>los</w:t>
      </w:r>
      <w:r>
        <w:rPr>
          <w:spacing w:val="-7"/>
          <w:sz w:val="20"/>
        </w:rPr>
        <w:t> </w:t>
      </w:r>
      <w:r>
        <w:rPr>
          <w:spacing w:val="-2"/>
          <w:sz w:val="20"/>
        </w:rPr>
        <w:t>trabajadores</w:t>
      </w:r>
    </w:p>
    <w:p>
      <w:pPr>
        <w:pStyle w:val="ListParagraph"/>
        <w:numPr>
          <w:ilvl w:val="0"/>
          <w:numId w:val="35"/>
        </w:numPr>
        <w:tabs>
          <w:tab w:pos="2061" w:val="left" w:leader="none"/>
        </w:tabs>
        <w:spacing w:line="240" w:lineRule="auto" w:before="127" w:after="0"/>
        <w:ind w:left="2061" w:right="0" w:hanging="360"/>
        <w:jc w:val="left"/>
        <w:rPr>
          <w:sz w:val="20"/>
        </w:rPr>
      </w:pPr>
      <w:r>
        <w:rPr>
          <w:sz w:val="20"/>
        </w:rPr>
        <w:t>Optimizar</w:t>
      </w:r>
      <w:r>
        <w:rPr>
          <w:spacing w:val="-7"/>
          <w:sz w:val="20"/>
        </w:rPr>
        <w:t> </w:t>
      </w:r>
      <w:r>
        <w:rPr>
          <w:sz w:val="20"/>
        </w:rPr>
        <w:t>los</w:t>
      </w:r>
      <w:r>
        <w:rPr>
          <w:spacing w:val="-5"/>
          <w:sz w:val="20"/>
        </w:rPr>
        <w:t> </w:t>
      </w:r>
      <w:r>
        <w:rPr>
          <w:sz w:val="20"/>
        </w:rPr>
        <w:t>sistemas</w:t>
      </w:r>
      <w:r>
        <w:rPr>
          <w:spacing w:val="-5"/>
          <w:sz w:val="20"/>
        </w:rPr>
        <w:t> </w:t>
      </w:r>
      <w:r>
        <w:rPr>
          <w:sz w:val="20"/>
        </w:rPr>
        <w:t>de</w:t>
      </w:r>
      <w:r>
        <w:rPr>
          <w:spacing w:val="-6"/>
          <w:sz w:val="20"/>
        </w:rPr>
        <w:t> </w:t>
      </w:r>
      <w:r>
        <w:rPr>
          <w:sz w:val="20"/>
        </w:rPr>
        <w:t>gestión</w:t>
      </w:r>
      <w:r>
        <w:rPr>
          <w:spacing w:val="-6"/>
          <w:sz w:val="20"/>
        </w:rPr>
        <w:t> </w:t>
      </w:r>
      <w:r>
        <w:rPr>
          <w:sz w:val="20"/>
        </w:rPr>
        <w:t>de</w:t>
      </w:r>
      <w:r>
        <w:rPr>
          <w:spacing w:val="-7"/>
          <w:sz w:val="20"/>
        </w:rPr>
        <w:t> </w:t>
      </w:r>
      <w:r>
        <w:rPr>
          <w:sz w:val="20"/>
        </w:rPr>
        <w:t>la</w:t>
      </w:r>
      <w:r>
        <w:rPr>
          <w:spacing w:val="-6"/>
          <w:sz w:val="20"/>
        </w:rPr>
        <w:t> </w:t>
      </w:r>
      <w:r>
        <w:rPr>
          <w:sz w:val="20"/>
        </w:rPr>
        <w:t>información</w:t>
      </w:r>
      <w:r>
        <w:rPr>
          <w:spacing w:val="-5"/>
          <w:sz w:val="20"/>
        </w:rPr>
        <w:t> </w:t>
      </w:r>
      <w:r>
        <w:rPr>
          <w:sz w:val="20"/>
        </w:rPr>
        <w:t>y</w:t>
      </w:r>
      <w:r>
        <w:rPr>
          <w:spacing w:val="-4"/>
          <w:sz w:val="20"/>
        </w:rPr>
        <w:t> </w:t>
      </w:r>
      <w:r>
        <w:rPr>
          <w:sz w:val="20"/>
        </w:rPr>
        <w:t>desarrollo</w:t>
      </w:r>
      <w:r>
        <w:rPr>
          <w:spacing w:val="-7"/>
          <w:sz w:val="20"/>
        </w:rPr>
        <w:t> </w:t>
      </w:r>
      <w:r>
        <w:rPr>
          <w:spacing w:val="-2"/>
          <w:sz w:val="20"/>
        </w:rPr>
        <w:t>tecnológico.</w:t>
      </w:r>
    </w:p>
    <w:p>
      <w:pPr>
        <w:pStyle w:val="BodyText"/>
        <w:spacing w:before="84"/>
      </w:pPr>
    </w:p>
    <w:p>
      <w:pPr>
        <w:pStyle w:val="Heading3"/>
        <w:numPr>
          <w:ilvl w:val="1"/>
          <w:numId w:val="31"/>
        </w:numPr>
        <w:tabs>
          <w:tab w:pos="1673" w:val="left" w:leader="none"/>
        </w:tabs>
        <w:spacing w:line="240" w:lineRule="auto" w:before="0" w:after="0"/>
        <w:ind w:left="1673" w:right="0" w:hanging="332"/>
        <w:jc w:val="left"/>
      </w:pPr>
      <w:bookmarkStart w:name="_TOC_250038" w:id="14"/>
      <w:bookmarkEnd w:id="14"/>
      <w:r>
        <w:rPr>
          <w:spacing w:val="-2"/>
        </w:rPr>
        <w:t>Estrategias</w:t>
      </w:r>
    </w:p>
    <w:p>
      <w:pPr>
        <w:pStyle w:val="BodyText"/>
        <w:spacing w:before="29"/>
        <w:rPr>
          <w:b/>
        </w:rPr>
      </w:pPr>
    </w:p>
    <w:p>
      <w:pPr>
        <w:spacing w:line="345" w:lineRule="auto" w:before="0"/>
        <w:ind w:left="1341" w:right="1308" w:firstLine="0"/>
        <w:jc w:val="left"/>
        <w:rPr>
          <w:rFonts w:ascii="Tahoma"/>
          <w:i/>
          <w:sz w:val="20"/>
        </w:rPr>
      </w:pPr>
      <w:r>
        <w:rPr>
          <w:rFonts w:ascii="Tahoma"/>
          <w:i/>
          <w:sz w:val="20"/>
        </w:rPr>
        <w:t>Detalle</w:t>
      </w:r>
      <w:r>
        <w:rPr>
          <w:rFonts w:ascii="Tahoma"/>
          <w:i/>
          <w:spacing w:val="76"/>
          <w:sz w:val="20"/>
        </w:rPr>
        <w:t> </w:t>
      </w:r>
      <w:r>
        <w:rPr>
          <w:rFonts w:ascii="Tahoma"/>
          <w:i/>
          <w:sz w:val="20"/>
        </w:rPr>
        <w:t>de</w:t>
      </w:r>
      <w:r>
        <w:rPr>
          <w:rFonts w:ascii="Tahoma"/>
          <w:i/>
          <w:spacing w:val="74"/>
          <w:sz w:val="20"/>
        </w:rPr>
        <w:t> </w:t>
      </w:r>
      <w:r>
        <w:rPr>
          <w:rFonts w:ascii="Tahoma"/>
          <w:i/>
          <w:sz w:val="20"/>
        </w:rPr>
        <w:t>acciones</w:t>
      </w:r>
      <w:r>
        <w:rPr>
          <w:rFonts w:ascii="Tahoma"/>
          <w:i/>
          <w:spacing w:val="76"/>
          <w:sz w:val="20"/>
        </w:rPr>
        <w:t> </w:t>
      </w:r>
      <w:r>
        <w:rPr>
          <w:rFonts w:ascii="Tahoma"/>
          <w:i/>
          <w:sz w:val="20"/>
        </w:rPr>
        <w:t>y</w:t>
      </w:r>
      <w:r>
        <w:rPr>
          <w:rFonts w:ascii="Tahoma"/>
          <w:i/>
          <w:spacing w:val="74"/>
          <w:sz w:val="20"/>
        </w:rPr>
        <w:t> </w:t>
      </w:r>
      <w:r>
        <w:rPr>
          <w:rFonts w:ascii="Tahoma"/>
          <w:i/>
          <w:sz w:val="20"/>
        </w:rPr>
        <w:t>estrategias</w:t>
      </w:r>
      <w:r>
        <w:rPr>
          <w:rFonts w:ascii="Tahoma"/>
          <w:i/>
          <w:spacing w:val="76"/>
          <w:sz w:val="20"/>
        </w:rPr>
        <w:t> </w:t>
      </w:r>
      <w:r>
        <w:rPr>
          <w:rFonts w:ascii="Tahoma"/>
          <w:i/>
          <w:sz w:val="20"/>
        </w:rPr>
        <w:t>implantadas</w:t>
      </w:r>
      <w:r>
        <w:rPr>
          <w:rFonts w:ascii="Tahoma"/>
          <w:i/>
          <w:spacing w:val="76"/>
          <w:sz w:val="20"/>
        </w:rPr>
        <w:t> </w:t>
      </w:r>
      <w:r>
        <w:rPr>
          <w:rFonts w:ascii="Tahoma"/>
          <w:i/>
          <w:sz w:val="20"/>
        </w:rPr>
        <w:t>para</w:t>
      </w:r>
      <w:r>
        <w:rPr>
          <w:rFonts w:ascii="Tahoma"/>
          <w:i/>
          <w:spacing w:val="74"/>
          <w:sz w:val="20"/>
        </w:rPr>
        <w:t> </w:t>
      </w:r>
      <w:r>
        <w:rPr>
          <w:rFonts w:ascii="Tahoma"/>
          <w:i/>
          <w:sz w:val="20"/>
        </w:rPr>
        <w:t>alcanzar</w:t>
      </w:r>
      <w:r>
        <w:rPr>
          <w:rFonts w:ascii="Tahoma"/>
          <w:i/>
          <w:spacing w:val="75"/>
          <w:sz w:val="20"/>
        </w:rPr>
        <w:t> </w:t>
      </w:r>
      <w:r>
        <w:rPr>
          <w:rFonts w:ascii="Tahoma"/>
          <w:i/>
          <w:sz w:val="20"/>
        </w:rPr>
        <w:t>cada</w:t>
      </w:r>
      <w:r>
        <w:rPr>
          <w:rFonts w:ascii="Tahoma"/>
          <w:i/>
          <w:spacing w:val="73"/>
          <w:sz w:val="20"/>
        </w:rPr>
        <w:t> </w:t>
      </w:r>
      <w:r>
        <w:rPr>
          <w:rFonts w:ascii="Tahoma"/>
          <w:i/>
          <w:sz w:val="20"/>
        </w:rPr>
        <w:t>uno</w:t>
      </w:r>
      <w:r>
        <w:rPr>
          <w:rFonts w:ascii="Tahoma"/>
          <w:i/>
          <w:spacing w:val="73"/>
          <w:sz w:val="20"/>
        </w:rPr>
        <w:t> </w:t>
      </w:r>
      <w:r>
        <w:rPr>
          <w:rFonts w:ascii="Tahoma"/>
          <w:i/>
          <w:sz w:val="20"/>
        </w:rPr>
        <w:t>de</w:t>
      </w:r>
      <w:r>
        <w:rPr>
          <w:rFonts w:ascii="Tahoma"/>
          <w:i/>
          <w:spacing w:val="77"/>
          <w:sz w:val="20"/>
        </w:rPr>
        <w:t> </w:t>
      </w:r>
      <w:r>
        <w:rPr>
          <w:rFonts w:ascii="Tahoma"/>
          <w:i/>
          <w:sz w:val="20"/>
        </w:rPr>
        <w:t>los</w:t>
      </w:r>
      <w:r>
        <w:rPr>
          <w:rFonts w:ascii="Tahoma"/>
          <w:i/>
          <w:spacing w:val="76"/>
          <w:sz w:val="20"/>
        </w:rPr>
        <w:t> </w:t>
      </w:r>
      <w:r>
        <w:rPr>
          <w:rFonts w:ascii="Tahoma"/>
          <w:i/>
          <w:sz w:val="20"/>
        </w:rPr>
        <w:t>objetivos </w:t>
      </w:r>
      <w:r>
        <w:rPr>
          <w:rFonts w:ascii="Tahoma"/>
          <w:i/>
          <w:spacing w:val="-2"/>
          <w:sz w:val="20"/>
        </w:rPr>
        <w:t>marcados.</w:t>
      </w:r>
    </w:p>
    <w:p>
      <w:pPr>
        <w:pStyle w:val="BodyText"/>
        <w:spacing w:line="360" w:lineRule="auto" w:before="210"/>
        <w:ind w:left="1341" w:right="1336"/>
        <w:jc w:val="both"/>
      </w:pPr>
      <w:r>
        <w:rPr/>
        <w:t>El Plan Estratégico para el periodo 2024- 2027 define la agenda de cambio para visualizar la transformación que pretendemos alcanzar y permite identificar los factores clave que deben cambiar en la organización. Para ello se han analizado los “gaps” que tiene la organización en</w:t>
      </w:r>
      <w:r>
        <w:rPr>
          <w:spacing w:val="40"/>
        </w:rPr>
        <w:t> </w:t>
      </w:r>
      <w:r>
        <w:rPr/>
        <w:t>6 ámbitos para alcanzar su visión estratégica: gap de desempeño, gap de imagen, gap de aproximación al cliente gap de innovación, gap en la cultura y gap en las personas.</w:t>
      </w:r>
    </w:p>
    <w:p>
      <w:pPr>
        <w:pStyle w:val="BodyText"/>
        <w:spacing w:before="203"/>
        <w:ind w:left="1341"/>
      </w:pPr>
      <w:r>
        <w:rPr/>
        <w:t>Algunas</w:t>
      </w:r>
      <w:r>
        <w:rPr>
          <w:spacing w:val="-6"/>
        </w:rPr>
        <w:t> </w:t>
      </w:r>
      <w:r>
        <w:rPr/>
        <w:t>de</w:t>
      </w:r>
      <w:r>
        <w:rPr>
          <w:spacing w:val="-4"/>
        </w:rPr>
        <w:t> </w:t>
      </w:r>
      <w:r>
        <w:rPr/>
        <w:t>las</w:t>
      </w:r>
      <w:r>
        <w:rPr>
          <w:spacing w:val="-6"/>
        </w:rPr>
        <w:t> </w:t>
      </w:r>
      <w:r>
        <w:rPr/>
        <w:t>metas</w:t>
      </w:r>
      <w:r>
        <w:rPr>
          <w:spacing w:val="-6"/>
        </w:rPr>
        <w:t> </w:t>
      </w:r>
      <w:r>
        <w:rPr/>
        <w:t>que</w:t>
      </w:r>
      <w:r>
        <w:rPr>
          <w:spacing w:val="-3"/>
        </w:rPr>
        <w:t> </w:t>
      </w:r>
      <w:r>
        <w:rPr/>
        <w:t>se</w:t>
      </w:r>
      <w:r>
        <w:rPr>
          <w:spacing w:val="-6"/>
        </w:rPr>
        <w:t> </w:t>
      </w:r>
      <w:r>
        <w:rPr/>
        <w:t>contemplan</w:t>
      </w:r>
      <w:r>
        <w:rPr>
          <w:spacing w:val="-4"/>
        </w:rPr>
        <w:t> </w:t>
      </w:r>
      <w:r>
        <w:rPr/>
        <w:t>en</w:t>
      </w:r>
      <w:r>
        <w:rPr>
          <w:spacing w:val="-6"/>
        </w:rPr>
        <w:t> </w:t>
      </w:r>
      <w:r>
        <w:rPr/>
        <w:t>el</w:t>
      </w:r>
      <w:r>
        <w:rPr>
          <w:spacing w:val="-6"/>
        </w:rPr>
        <w:t> </w:t>
      </w:r>
      <w:r>
        <w:rPr/>
        <w:t>Plan</w:t>
      </w:r>
      <w:r>
        <w:rPr>
          <w:spacing w:val="-4"/>
        </w:rPr>
        <w:t> </w:t>
      </w:r>
      <w:r>
        <w:rPr/>
        <w:t>Estratégico</w:t>
      </w:r>
      <w:r>
        <w:rPr>
          <w:spacing w:val="-6"/>
        </w:rPr>
        <w:t> </w:t>
      </w:r>
      <w:r>
        <w:rPr/>
        <w:t>2024</w:t>
      </w:r>
      <w:r>
        <w:rPr>
          <w:spacing w:val="-6"/>
        </w:rPr>
        <w:t> </w:t>
      </w:r>
      <w:r>
        <w:rPr/>
        <w:t>2027</w:t>
      </w:r>
      <w:r>
        <w:rPr>
          <w:spacing w:val="-5"/>
        </w:rPr>
        <w:t> </w:t>
      </w:r>
      <w:r>
        <w:rPr>
          <w:spacing w:val="-4"/>
        </w:rPr>
        <w:t>son:</w:t>
      </w:r>
    </w:p>
    <w:p>
      <w:pPr>
        <w:pStyle w:val="BodyText"/>
        <w:spacing w:before="96"/>
      </w:pPr>
    </w:p>
    <w:p>
      <w:pPr>
        <w:pStyle w:val="ListParagraph"/>
        <w:numPr>
          <w:ilvl w:val="0"/>
          <w:numId w:val="36"/>
        </w:numPr>
        <w:tabs>
          <w:tab w:pos="2061" w:val="left" w:leader="none"/>
        </w:tabs>
        <w:spacing w:line="240" w:lineRule="auto" w:before="0" w:after="0"/>
        <w:ind w:left="2061" w:right="0" w:hanging="360"/>
        <w:jc w:val="left"/>
        <w:rPr>
          <w:sz w:val="20"/>
        </w:rPr>
      </w:pPr>
      <w:r>
        <w:rPr>
          <w:sz w:val="20"/>
        </w:rPr>
        <mc:AlternateContent>
          <mc:Choice Requires="wps">
            <w:drawing>
              <wp:anchor distT="0" distB="0" distL="0" distR="0" allowOverlap="1" layoutInCell="1" locked="0" behindDoc="0" simplePos="0" relativeHeight="15793152">
                <wp:simplePos x="0" y="0"/>
                <wp:positionH relativeFrom="page">
                  <wp:posOffset>6966436</wp:posOffset>
                </wp:positionH>
                <wp:positionV relativeFrom="paragraph">
                  <wp:posOffset>-96613</wp:posOffset>
                </wp:positionV>
                <wp:extent cx="263525" cy="327596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7.607334pt;width:20.75pt;height:257.95pt;mso-position-horizontal-relative:page;mso-position-vertical-relative:paragraph;z-index:15793152" type="#_x0000_t202" id="docshape19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En</w:t>
      </w:r>
      <w:r>
        <w:rPr>
          <w:spacing w:val="-6"/>
          <w:sz w:val="20"/>
        </w:rPr>
        <w:t> </w:t>
      </w:r>
      <w:r>
        <w:rPr>
          <w:sz w:val="20"/>
        </w:rPr>
        <w:t>2027,</w:t>
      </w:r>
      <w:r>
        <w:rPr>
          <w:spacing w:val="-5"/>
          <w:sz w:val="20"/>
        </w:rPr>
        <w:t> </w:t>
      </w:r>
      <w:r>
        <w:rPr>
          <w:sz w:val="20"/>
        </w:rPr>
        <w:t>Guaguas</w:t>
      </w:r>
      <w:r>
        <w:rPr>
          <w:spacing w:val="-3"/>
          <w:sz w:val="20"/>
        </w:rPr>
        <w:t> </w:t>
      </w:r>
      <w:r>
        <w:rPr>
          <w:sz w:val="20"/>
        </w:rPr>
        <w:t>alcanzará</w:t>
      </w:r>
      <w:r>
        <w:rPr>
          <w:spacing w:val="-7"/>
          <w:sz w:val="20"/>
        </w:rPr>
        <w:t> </w:t>
      </w:r>
      <w:r>
        <w:rPr>
          <w:sz w:val="20"/>
        </w:rPr>
        <w:t>el</w:t>
      </w:r>
      <w:r>
        <w:rPr>
          <w:spacing w:val="-2"/>
          <w:sz w:val="20"/>
        </w:rPr>
        <w:t> </w:t>
      </w:r>
      <w:r>
        <w:rPr>
          <w:sz w:val="20"/>
        </w:rPr>
        <w:t>20%</w:t>
      </w:r>
      <w:r>
        <w:rPr>
          <w:spacing w:val="-4"/>
          <w:sz w:val="20"/>
        </w:rPr>
        <w:t> </w:t>
      </w:r>
      <w:r>
        <w:rPr>
          <w:sz w:val="20"/>
        </w:rPr>
        <w:t>de</w:t>
      </w:r>
      <w:r>
        <w:rPr>
          <w:spacing w:val="-5"/>
          <w:sz w:val="20"/>
        </w:rPr>
        <w:t> </w:t>
      </w:r>
      <w:r>
        <w:rPr>
          <w:sz w:val="20"/>
        </w:rPr>
        <w:t>cuota</w:t>
      </w:r>
      <w:r>
        <w:rPr>
          <w:spacing w:val="-6"/>
          <w:sz w:val="20"/>
        </w:rPr>
        <w:t> </w:t>
      </w:r>
      <w:r>
        <w:rPr>
          <w:sz w:val="20"/>
        </w:rPr>
        <w:t>en</w:t>
      </w:r>
      <w:r>
        <w:rPr>
          <w:spacing w:val="-6"/>
          <w:sz w:val="20"/>
        </w:rPr>
        <w:t> </w:t>
      </w:r>
      <w:r>
        <w:rPr>
          <w:sz w:val="20"/>
        </w:rPr>
        <w:t>el</w:t>
      </w:r>
      <w:r>
        <w:rPr>
          <w:spacing w:val="-7"/>
          <w:sz w:val="20"/>
        </w:rPr>
        <w:t> </w:t>
      </w:r>
      <w:r>
        <w:rPr>
          <w:sz w:val="20"/>
        </w:rPr>
        <w:t>reparto</w:t>
      </w:r>
      <w:r>
        <w:rPr>
          <w:spacing w:val="-6"/>
          <w:sz w:val="20"/>
        </w:rPr>
        <w:t> </w:t>
      </w:r>
      <w:r>
        <w:rPr>
          <w:spacing w:val="-2"/>
          <w:sz w:val="20"/>
        </w:rPr>
        <w:t>modal.</w:t>
      </w:r>
    </w:p>
    <w:p>
      <w:pPr>
        <w:pStyle w:val="BodyText"/>
        <w:spacing w:before="99"/>
      </w:pPr>
    </w:p>
    <w:p>
      <w:pPr>
        <w:pStyle w:val="ListParagraph"/>
        <w:numPr>
          <w:ilvl w:val="0"/>
          <w:numId w:val="36"/>
        </w:numPr>
        <w:tabs>
          <w:tab w:pos="2061" w:val="left" w:leader="none"/>
          <w:tab w:pos="2244" w:val="left" w:leader="none"/>
        </w:tabs>
        <w:spacing w:line="360" w:lineRule="auto" w:before="0" w:after="0"/>
        <w:ind w:left="2061" w:right="1338" w:hanging="360"/>
        <w:jc w:val="both"/>
        <w:rPr>
          <w:sz w:val="20"/>
        </w:rPr>
      </w:pPr>
      <w:r>
        <w:rPr>
          <w:sz w:val="20"/>
        </w:rPr>
        <w:tab/>
        <w:t>En</w:t>
      </w:r>
      <w:r>
        <w:rPr>
          <w:spacing w:val="-13"/>
          <w:sz w:val="20"/>
        </w:rPr>
        <w:t> </w:t>
      </w:r>
      <w:r>
        <w:rPr>
          <w:sz w:val="20"/>
        </w:rPr>
        <w:t>2027,</w:t>
      </w:r>
      <w:r>
        <w:rPr>
          <w:spacing w:val="-10"/>
          <w:sz w:val="20"/>
        </w:rPr>
        <w:t> </w:t>
      </w:r>
      <w:r>
        <w:rPr>
          <w:sz w:val="20"/>
        </w:rPr>
        <w:t>las</w:t>
      </w:r>
      <w:r>
        <w:rPr>
          <w:spacing w:val="-11"/>
          <w:sz w:val="20"/>
        </w:rPr>
        <w:t> </w:t>
      </w:r>
      <w:r>
        <w:rPr>
          <w:sz w:val="20"/>
        </w:rPr>
        <w:t>emisiones</w:t>
      </w:r>
      <w:r>
        <w:rPr>
          <w:spacing w:val="-11"/>
          <w:sz w:val="20"/>
        </w:rPr>
        <w:t> </w:t>
      </w:r>
      <w:r>
        <w:rPr>
          <w:sz w:val="20"/>
        </w:rPr>
        <w:t>de</w:t>
      </w:r>
      <w:r>
        <w:rPr>
          <w:spacing w:val="-10"/>
          <w:sz w:val="20"/>
        </w:rPr>
        <w:t> </w:t>
      </w:r>
      <w:r>
        <w:rPr>
          <w:sz w:val="20"/>
        </w:rPr>
        <w:t>gases</w:t>
      </w:r>
      <w:r>
        <w:rPr>
          <w:spacing w:val="-11"/>
          <w:sz w:val="20"/>
        </w:rPr>
        <w:t> </w:t>
      </w:r>
      <w:r>
        <w:rPr>
          <w:sz w:val="20"/>
        </w:rPr>
        <w:t>de</w:t>
      </w:r>
      <w:r>
        <w:rPr>
          <w:spacing w:val="-13"/>
          <w:sz w:val="20"/>
        </w:rPr>
        <w:t> </w:t>
      </w:r>
      <w:r>
        <w:rPr>
          <w:sz w:val="20"/>
        </w:rPr>
        <w:t>efecto</w:t>
      </w:r>
      <w:r>
        <w:rPr>
          <w:spacing w:val="-13"/>
          <w:sz w:val="20"/>
        </w:rPr>
        <w:t> </w:t>
      </w:r>
      <w:r>
        <w:rPr>
          <w:sz w:val="20"/>
        </w:rPr>
        <w:t>invernadero</w:t>
      </w:r>
      <w:r>
        <w:rPr>
          <w:spacing w:val="-13"/>
          <w:sz w:val="20"/>
        </w:rPr>
        <w:t> </w:t>
      </w:r>
      <w:r>
        <w:rPr>
          <w:sz w:val="20"/>
        </w:rPr>
        <w:t>de</w:t>
      </w:r>
      <w:r>
        <w:rPr>
          <w:spacing w:val="-13"/>
          <w:sz w:val="20"/>
        </w:rPr>
        <w:t> </w:t>
      </w:r>
      <w:r>
        <w:rPr>
          <w:sz w:val="20"/>
        </w:rPr>
        <w:t>Guaguas</w:t>
      </w:r>
      <w:r>
        <w:rPr>
          <w:spacing w:val="-11"/>
          <w:sz w:val="20"/>
        </w:rPr>
        <w:t> </w:t>
      </w:r>
      <w:r>
        <w:rPr>
          <w:sz w:val="20"/>
        </w:rPr>
        <w:t>estarán</w:t>
      </w:r>
      <w:r>
        <w:rPr>
          <w:spacing w:val="-13"/>
          <w:sz w:val="20"/>
        </w:rPr>
        <w:t> </w:t>
      </w:r>
      <w:r>
        <w:rPr>
          <w:sz w:val="20"/>
        </w:rPr>
        <w:t>alineadas con el Acuerdo de París sobre reducción del calentamiento global, contribuyendo así a limitar el cambio climático.</w:t>
      </w:r>
    </w:p>
    <w:p>
      <w:pPr>
        <w:pStyle w:val="ListParagraph"/>
        <w:numPr>
          <w:ilvl w:val="0"/>
          <w:numId w:val="36"/>
        </w:numPr>
        <w:tabs>
          <w:tab w:pos="720" w:val="left" w:leader="none"/>
        </w:tabs>
        <w:spacing w:line="240" w:lineRule="auto" w:before="212" w:after="0"/>
        <w:ind w:left="720" w:right="0" w:hanging="360"/>
        <w:jc w:val="center"/>
        <w:rPr>
          <w:sz w:val="20"/>
        </w:rPr>
      </w:pPr>
      <w:r>
        <w:rPr>
          <w:sz w:val="20"/>
        </w:rPr>
        <w:t>En</w:t>
      </w:r>
      <w:r>
        <w:rPr>
          <w:spacing w:val="38"/>
          <w:sz w:val="20"/>
        </w:rPr>
        <w:t> </w:t>
      </w:r>
      <w:r>
        <w:rPr>
          <w:sz w:val="20"/>
        </w:rPr>
        <w:t>2027,</w:t>
      </w:r>
      <w:r>
        <w:rPr>
          <w:spacing w:val="37"/>
          <w:sz w:val="20"/>
        </w:rPr>
        <w:t> </w:t>
      </w:r>
      <w:r>
        <w:rPr>
          <w:sz w:val="20"/>
        </w:rPr>
        <w:t>Guaguas</w:t>
      </w:r>
      <w:r>
        <w:rPr>
          <w:spacing w:val="42"/>
          <w:sz w:val="20"/>
        </w:rPr>
        <w:t> </w:t>
      </w:r>
      <w:r>
        <w:rPr>
          <w:sz w:val="20"/>
        </w:rPr>
        <w:t>mantendrá</w:t>
      </w:r>
      <w:r>
        <w:rPr>
          <w:spacing w:val="38"/>
          <w:sz w:val="20"/>
        </w:rPr>
        <w:t> </w:t>
      </w:r>
      <w:r>
        <w:rPr>
          <w:sz w:val="20"/>
        </w:rPr>
        <w:t>sus</w:t>
      </w:r>
      <w:r>
        <w:rPr>
          <w:spacing w:val="39"/>
          <w:sz w:val="20"/>
        </w:rPr>
        <w:t> </w:t>
      </w:r>
      <w:r>
        <w:rPr>
          <w:sz w:val="20"/>
        </w:rPr>
        <w:t>ratios</w:t>
      </w:r>
      <w:r>
        <w:rPr>
          <w:spacing w:val="38"/>
          <w:sz w:val="20"/>
        </w:rPr>
        <w:t> </w:t>
      </w:r>
      <w:r>
        <w:rPr>
          <w:sz w:val="20"/>
        </w:rPr>
        <w:t>financieras</w:t>
      </w:r>
      <w:r>
        <w:rPr>
          <w:spacing w:val="41"/>
          <w:sz w:val="20"/>
        </w:rPr>
        <w:t> </w:t>
      </w:r>
      <w:r>
        <w:rPr>
          <w:sz w:val="20"/>
        </w:rPr>
        <w:t>de</w:t>
      </w:r>
      <w:r>
        <w:rPr>
          <w:spacing w:val="39"/>
          <w:sz w:val="20"/>
        </w:rPr>
        <w:t> </w:t>
      </w:r>
      <w:r>
        <w:rPr>
          <w:sz w:val="20"/>
        </w:rPr>
        <w:t>forma</w:t>
      </w:r>
      <w:r>
        <w:rPr>
          <w:spacing w:val="37"/>
          <w:sz w:val="20"/>
        </w:rPr>
        <w:t> </w:t>
      </w:r>
      <w:r>
        <w:rPr>
          <w:sz w:val="20"/>
        </w:rPr>
        <w:t>que</w:t>
      </w:r>
      <w:r>
        <w:rPr>
          <w:spacing w:val="39"/>
          <w:sz w:val="20"/>
        </w:rPr>
        <w:t> </w:t>
      </w:r>
      <w:r>
        <w:rPr>
          <w:sz w:val="20"/>
        </w:rPr>
        <w:t>se</w:t>
      </w:r>
      <w:r>
        <w:rPr>
          <w:spacing w:val="39"/>
          <w:sz w:val="20"/>
        </w:rPr>
        <w:t> </w:t>
      </w:r>
      <w:r>
        <w:rPr>
          <w:sz w:val="20"/>
        </w:rPr>
        <w:t>cumplan</w:t>
      </w:r>
      <w:r>
        <w:rPr>
          <w:spacing w:val="37"/>
          <w:sz w:val="20"/>
        </w:rPr>
        <w:t> </w:t>
      </w:r>
      <w:r>
        <w:rPr>
          <w:spacing w:val="-5"/>
          <w:sz w:val="20"/>
        </w:rPr>
        <w:t>los</w:t>
      </w:r>
    </w:p>
    <w:p>
      <w:pPr>
        <w:pStyle w:val="BodyText"/>
        <w:spacing w:line="362" w:lineRule="auto" w:before="113"/>
        <w:ind w:left="2061" w:right="1308"/>
      </w:pPr>
      <w:r>
        <w:rPr/>
        <w:t>compromisos</w:t>
      </w:r>
      <w:r>
        <w:rPr>
          <w:spacing w:val="36"/>
        </w:rPr>
        <w:t> </w:t>
      </w:r>
      <w:r>
        <w:rPr/>
        <w:t>con</w:t>
      </w:r>
      <w:r>
        <w:rPr>
          <w:spacing w:val="33"/>
        </w:rPr>
        <w:t> </w:t>
      </w:r>
      <w:r>
        <w:rPr/>
        <w:t>el</w:t>
      </w:r>
      <w:r>
        <w:rPr>
          <w:spacing w:val="38"/>
        </w:rPr>
        <w:t> </w:t>
      </w:r>
      <w:r>
        <w:rPr/>
        <w:t>Banco</w:t>
      </w:r>
      <w:r>
        <w:rPr>
          <w:spacing w:val="33"/>
        </w:rPr>
        <w:t> </w:t>
      </w:r>
      <w:r>
        <w:rPr/>
        <w:t>Europeo</w:t>
      </w:r>
      <w:r>
        <w:rPr>
          <w:spacing w:val="33"/>
        </w:rPr>
        <w:t> </w:t>
      </w:r>
      <w:r>
        <w:rPr/>
        <w:t>de</w:t>
      </w:r>
      <w:r>
        <w:rPr>
          <w:spacing w:val="33"/>
        </w:rPr>
        <w:t> </w:t>
      </w:r>
      <w:r>
        <w:rPr/>
        <w:t>Inversiones</w:t>
      </w:r>
      <w:r>
        <w:rPr>
          <w:spacing w:val="40"/>
        </w:rPr>
        <w:t> </w:t>
      </w:r>
      <w:r>
        <w:rPr/>
        <w:t>y</w:t>
      </w:r>
      <w:r>
        <w:rPr>
          <w:spacing w:val="30"/>
        </w:rPr>
        <w:t> </w:t>
      </w:r>
      <w:r>
        <w:rPr/>
        <w:t>se</w:t>
      </w:r>
      <w:r>
        <w:rPr>
          <w:spacing w:val="36"/>
        </w:rPr>
        <w:t> </w:t>
      </w:r>
      <w:r>
        <w:rPr/>
        <w:t>garanticen</w:t>
      </w:r>
      <w:r>
        <w:rPr>
          <w:spacing w:val="33"/>
        </w:rPr>
        <w:t> </w:t>
      </w:r>
      <w:r>
        <w:rPr/>
        <w:t>las</w:t>
      </w:r>
      <w:r>
        <w:rPr>
          <w:spacing w:val="36"/>
        </w:rPr>
        <w:t> </w:t>
      </w:r>
      <w:r>
        <w:rPr/>
        <w:t>inversiones para los grandes proyectos de Guaguas en este periodo.</w:t>
      </w:r>
    </w:p>
    <w:p>
      <w:pPr>
        <w:pStyle w:val="ListParagraph"/>
        <w:numPr>
          <w:ilvl w:val="0"/>
          <w:numId w:val="36"/>
        </w:numPr>
        <w:tabs>
          <w:tab w:pos="2061" w:val="left" w:leader="none"/>
          <w:tab w:pos="2244" w:val="left" w:leader="none"/>
        </w:tabs>
        <w:spacing w:line="360" w:lineRule="auto" w:before="210" w:after="0"/>
        <w:ind w:left="2061" w:right="1334" w:hanging="360"/>
        <w:jc w:val="both"/>
        <w:rPr>
          <w:sz w:val="20"/>
        </w:rPr>
      </w:pPr>
      <w:r>
        <w:rPr>
          <w:sz w:val="20"/>
        </w:rPr>
        <w:tab/>
        <w:t>En 2027, Guaguas superará el 90% de puntuación en su estudio de marca, </w:t>
      </w:r>
      <w:r>
        <w:rPr>
          <w:sz w:val="20"/>
        </w:rPr>
        <w:t>cumplirá sus controles de cumplimiento entre el 95% y el 100% y mantendrá los niveles</w:t>
      </w:r>
      <w:r>
        <w:rPr>
          <w:spacing w:val="40"/>
          <w:sz w:val="20"/>
        </w:rPr>
        <w:t> </w:t>
      </w:r>
      <w:r>
        <w:rPr>
          <w:sz w:val="20"/>
        </w:rPr>
        <w:t>máximos de puntuación de transparencia por parte del Comisionado</w:t>
      </w:r>
    </w:p>
    <w:p>
      <w:pPr>
        <w:pStyle w:val="ListParagraph"/>
        <w:numPr>
          <w:ilvl w:val="0"/>
          <w:numId w:val="36"/>
        </w:numPr>
        <w:tabs>
          <w:tab w:pos="2061" w:val="left" w:leader="none"/>
        </w:tabs>
        <w:spacing w:line="360" w:lineRule="auto" w:before="212" w:after="0"/>
        <w:ind w:left="2061" w:right="1337" w:hanging="360"/>
        <w:jc w:val="left"/>
        <w:rPr>
          <w:sz w:val="20"/>
        </w:rPr>
      </w:pPr>
      <w:r>
        <w:rPr>
          <w:sz w:val="20"/>
        </w:rPr>
        <w:t>En 2027, Guaguas mantendrá su índice de satisfacción por encima de 8 y el NPS (Net Promoter Score) se situará entre 8 y 9.</w:t>
      </w:r>
    </w:p>
    <w:p>
      <w:pPr>
        <w:pStyle w:val="ListParagraph"/>
        <w:spacing w:after="0" w:line="360" w:lineRule="auto"/>
        <w:jc w:val="left"/>
        <w:rPr>
          <w:sz w:val="20"/>
        </w:rPr>
        <w:sectPr>
          <w:pgSz w:w="11910" w:h="16840"/>
          <w:pgMar w:header="384" w:footer="1060" w:top="1200" w:bottom="1260" w:left="360" w:right="360"/>
        </w:sectPr>
      </w:pPr>
    </w:p>
    <w:p>
      <w:pPr>
        <w:pStyle w:val="BodyText"/>
      </w:pPr>
    </w:p>
    <w:p>
      <w:pPr>
        <w:pStyle w:val="ListParagraph"/>
        <w:numPr>
          <w:ilvl w:val="0"/>
          <w:numId w:val="36"/>
        </w:numPr>
        <w:tabs>
          <w:tab w:pos="720" w:val="left" w:leader="none"/>
        </w:tabs>
        <w:spacing w:line="240" w:lineRule="auto" w:before="0" w:after="0"/>
        <w:ind w:left="720" w:right="0" w:hanging="360"/>
        <w:jc w:val="center"/>
        <w:rPr>
          <w:sz w:val="20"/>
        </w:rPr>
      </w:pPr>
      <w:r>
        <w:rPr>
          <w:sz w:val="20"/>
        </w:rPr>
        <w:t>En</w:t>
      </w:r>
      <w:r>
        <w:rPr>
          <w:spacing w:val="30"/>
          <w:sz w:val="20"/>
        </w:rPr>
        <w:t> </w:t>
      </w:r>
      <w:r>
        <w:rPr>
          <w:sz w:val="20"/>
        </w:rPr>
        <w:t>2027,</w:t>
      </w:r>
      <w:r>
        <w:rPr>
          <w:spacing w:val="31"/>
          <w:sz w:val="20"/>
        </w:rPr>
        <w:t> </w:t>
      </w:r>
      <w:r>
        <w:rPr>
          <w:sz w:val="20"/>
        </w:rPr>
        <w:t>la</w:t>
      </w:r>
      <w:r>
        <w:rPr>
          <w:spacing w:val="30"/>
          <w:sz w:val="20"/>
        </w:rPr>
        <w:t> </w:t>
      </w:r>
      <w:r>
        <w:rPr>
          <w:sz w:val="20"/>
        </w:rPr>
        <w:t>red</w:t>
      </w:r>
      <w:r>
        <w:rPr>
          <w:spacing w:val="30"/>
          <w:sz w:val="20"/>
        </w:rPr>
        <w:t> </w:t>
      </w:r>
      <w:r>
        <w:rPr>
          <w:sz w:val="20"/>
        </w:rPr>
        <w:t>de</w:t>
      </w:r>
      <w:r>
        <w:rPr>
          <w:spacing w:val="34"/>
          <w:sz w:val="20"/>
        </w:rPr>
        <w:t> </w:t>
      </w:r>
      <w:r>
        <w:rPr>
          <w:sz w:val="20"/>
        </w:rPr>
        <w:t>líneas</w:t>
      </w:r>
      <w:r>
        <w:rPr>
          <w:spacing w:val="34"/>
          <w:sz w:val="20"/>
        </w:rPr>
        <w:t> </w:t>
      </w:r>
      <w:r>
        <w:rPr>
          <w:sz w:val="20"/>
        </w:rPr>
        <w:t>de</w:t>
      </w:r>
      <w:r>
        <w:rPr>
          <w:spacing w:val="30"/>
          <w:sz w:val="20"/>
        </w:rPr>
        <w:t> </w:t>
      </w:r>
      <w:r>
        <w:rPr>
          <w:sz w:val="20"/>
        </w:rPr>
        <w:t>Guaguas</w:t>
      </w:r>
      <w:r>
        <w:rPr>
          <w:spacing w:val="32"/>
          <w:sz w:val="20"/>
        </w:rPr>
        <w:t> </w:t>
      </w:r>
      <w:r>
        <w:rPr>
          <w:sz w:val="20"/>
        </w:rPr>
        <w:t>operará</w:t>
      </w:r>
      <w:r>
        <w:rPr>
          <w:spacing w:val="30"/>
          <w:sz w:val="20"/>
        </w:rPr>
        <w:t> </w:t>
      </w:r>
      <w:r>
        <w:rPr>
          <w:sz w:val="20"/>
        </w:rPr>
        <w:t>con</w:t>
      </w:r>
      <w:r>
        <w:rPr>
          <w:spacing w:val="33"/>
          <w:sz w:val="20"/>
        </w:rPr>
        <w:t> </w:t>
      </w:r>
      <w:r>
        <w:rPr>
          <w:sz w:val="20"/>
        </w:rPr>
        <w:t>altos</w:t>
      </w:r>
      <w:r>
        <w:rPr>
          <w:spacing w:val="32"/>
          <w:sz w:val="20"/>
        </w:rPr>
        <w:t> </w:t>
      </w:r>
      <w:r>
        <w:rPr>
          <w:sz w:val="20"/>
        </w:rPr>
        <w:t>estándares</w:t>
      </w:r>
      <w:r>
        <w:rPr>
          <w:spacing w:val="33"/>
          <w:sz w:val="20"/>
        </w:rPr>
        <w:t> </w:t>
      </w:r>
      <w:r>
        <w:rPr>
          <w:sz w:val="20"/>
        </w:rPr>
        <w:t>de</w:t>
      </w:r>
      <w:r>
        <w:rPr>
          <w:spacing w:val="30"/>
          <w:sz w:val="20"/>
        </w:rPr>
        <w:t> </w:t>
      </w:r>
      <w:r>
        <w:rPr>
          <w:sz w:val="20"/>
        </w:rPr>
        <w:t>calidad</w:t>
      </w:r>
      <w:r>
        <w:rPr>
          <w:spacing w:val="31"/>
          <w:sz w:val="20"/>
        </w:rPr>
        <w:t> </w:t>
      </w:r>
      <w:r>
        <w:rPr>
          <w:spacing w:val="-5"/>
          <w:sz w:val="20"/>
        </w:rPr>
        <w:t>en</w:t>
      </w:r>
    </w:p>
    <w:p>
      <w:pPr>
        <w:pStyle w:val="BodyText"/>
        <w:spacing w:before="112"/>
        <w:ind w:left="2061"/>
      </w:pPr>
      <w:r>
        <w:rPr/>
        <w:t>cuanto</w:t>
      </w:r>
      <w:r>
        <w:rPr>
          <w:spacing w:val="72"/>
          <w:w w:val="150"/>
        </w:rPr>
        <w:t> </w:t>
      </w:r>
      <w:r>
        <w:rPr/>
        <w:t>a</w:t>
      </w:r>
      <w:r>
        <w:rPr>
          <w:spacing w:val="72"/>
          <w:w w:val="150"/>
        </w:rPr>
        <w:t> </w:t>
      </w:r>
      <w:r>
        <w:rPr/>
        <w:t>puntualidad</w:t>
      </w:r>
      <w:r>
        <w:rPr>
          <w:spacing w:val="74"/>
          <w:w w:val="150"/>
        </w:rPr>
        <w:t> </w:t>
      </w:r>
      <w:r>
        <w:rPr/>
        <w:t>y</w:t>
      </w:r>
      <w:r>
        <w:rPr>
          <w:spacing w:val="73"/>
          <w:w w:val="150"/>
        </w:rPr>
        <w:t> </w:t>
      </w:r>
      <w:r>
        <w:rPr/>
        <w:t>velocidad</w:t>
      </w:r>
      <w:r>
        <w:rPr>
          <w:spacing w:val="71"/>
          <w:w w:val="150"/>
        </w:rPr>
        <w:t> </w:t>
      </w:r>
      <w:r>
        <w:rPr/>
        <w:t>comercial,</w:t>
      </w:r>
      <w:r>
        <w:rPr>
          <w:spacing w:val="72"/>
          <w:w w:val="150"/>
        </w:rPr>
        <w:t> </w:t>
      </w:r>
      <w:r>
        <w:rPr/>
        <w:t>consolidando</w:t>
      </w:r>
      <w:r>
        <w:rPr>
          <w:spacing w:val="73"/>
          <w:w w:val="150"/>
        </w:rPr>
        <w:t> </w:t>
      </w:r>
      <w:r>
        <w:rPr/>
        <w:t>el</w:t>
      </w:r>
      <w:r>
        <w:rPr>
          <w:spacing w:val="70"/>
          <w:w w:val="150"/>
        </w:rPr>
        <w:t> </w:t>
      </w:r>
      <w:r>
        <w:rPr/>
        <w:t>modelo</w:t>
      </w:r>
      <w:r>
        <w:rPr>
          <w:spacing w:val="72"/>
          <w:w w:val="150"/>
        </w:rPr>
        <w:t> </w:t>
      </w:r>
      <w:r>
        <w:rPr/>
        <w:t>de</w:t>
      </w:r>
      <w:r>
        <w:rPr>
          <w:spacing w:val="72"/>
          <w:w w:val="150"/>
        </w:rPr>
        <w:t> </w:t>
      </w:r>
      <w:r>
        <w:rPr>
          <w:spacing w:val="-4"/>
        </w:rPr>
        <w:t>red,</w:t>
      </w:r>
    </w:p>
    <w:p>
      <w:pPr>
        <w:pStyle w:val="BodyText"/>
        <w:spacing w:before="118"/>
        <w:ind w:left="2061"/>
      </w:pPr>
      <w:r>
        <w:rPr/>
        <w:t>disponiendo</w:t>
      </w:r>
      <w:r>
        <w:rPr>
          <w:spacing w:val="-4"/>
        </w:rPr>
        <w:t> </w:t>
      </w:r>
      <w:r>
        <w:rPr/>
        <w:t>de,</w:t>
      </w:r>
      <w:r>
        <w:rPr>
          <w:spacing w:val="-6"/>
        </w:rPr>
        <w:t> </w:t>
      </w:r>
      <w:r>
        <w:rPr/>
        <w:t>al</w:t>
      </w:r>
      <w:r>
        <w:rPr>
          <w:spacing w:val="-7"/>
        </w:rPr>
        <w:t> </w:t>
      </w:r>
      <w:r>
        <w:rPr/>
        <w:t>menos,</w:t>
      </w:r>
      <w:r>
        <w:rPr>
          <w:spacing w:val="-6"/>
        </w:rPr>
        <w:t> </w:t>
      </w:r>
      <w:r>
        <w:rPr/>
        <w:t>una</w:t>
      </w:r>
      <w:r>
        <w:rPr>
          <w:spacing w:val="-5"/>
        </w:rPr>
        <w:t> </w:t>
      </w:r>
      <w:r>
        <w:rPr/>
        <w:t>línea</w:t>
      </w:r>
      <w:r>
        <w:rPr>
          <w:spacing w:val="-6"/>
        </w:rPr>
        <w:t> </w:t>
      </w:r>
      <w:r>
        <w:rPr/>
        <w:t>de</w:t>
      </w:r>
      <w:r>
        <w:rPr>
          <w:spacing w:val="-7"/>
        </w:rPr>
        <w:t> </w:t>
      </w:r>
      <w:r>
        <w:rPr/>
        <w:t>alta</w:t>
      </w:r>
      <w:r>
        <w:rPr>
          <w:spacing w:val="-7"/>
        </w:rPr>
        <w:t> </w:t>
      </w:r>
      <w:r>
        <w:rPr/>
        <w:t>capacidad</w:t>
      </w:r>
      <w:r>
        <w:rPr>
          <w:spacing w:val="-1"/>
        </w:rPr>
        <w:t> </w:t>
      </w:r>
      <w:r>
        <w:rPr/>
        <w:t>y</w:t>
      </w:r>
      <w:r>
        <w:rPr>
          <w:spacing w:val="-10"/>
        </w:rPr>
        <w:t> </w:t>
      </w:r>
      <w:r>
        <w:rPr/>
        <w:t>operando</w:t>
      </w:r>
      <w:r>
        <w:rPr>
          <w:spacing w:val="-5"/>
        </w:rPr>
        <w:t> </w:t>
      </w:r>
      <w:r>
        <w:rPr/>
        <w:t>de</w:t>
      </w:r>
      <w:r>
        <w:rPr>
          <w:spacing w:val="-5"/>
        </w:rPr>
        <w:t> </w:t>
      </w:r>
      <w:r>
        <w:rPr/>
        <w:t>forma</w:t>
      </w:r>
      <w:r>
        <w:rPr>
          <w:spacing w:val="-7"/>
        </w:rPr>
        <w:t> </w:t>
      </w:r>
      <w:r>
        <w:rPr>
          <w:spacing w:val="-2"/>
        </w:rPr>
        <w:t>eficiente.</w:t>
      </w:r>
    </w:p>
    <w:p>
      <w:pPr>
        <w:pStyle w:val="BodyText"/>
        <w:spacing w:before="97"/>
      </w:pPr>
    </w:p>
    <w:p>
      <w:pPr>
        <w:pStyle w:val="ListParagraph"/>
        <w:numPr>
          <w:ilvl w:val="0"/>
          <w:numId w:val="36"/>
        </w:numPr>
        <w:tabs>
          <w:tab w:pos="2061" w:val="left" w:leader="none"/>
        </w:tabs>
        <w:spacing w:line="360" w:lineRule="auto" w:before="0" w:after="0"/>
        <w:ind w:left="2061" w:right="1339" w:hanging="360"/>
        <w:jc w:val="left"/>
        <w:rPr>
          <w:sz w:val="20"/>
        </w:rPr>
      </w:pPr>
      <w:r>
        <w:rPr>
          <w:sz w:val="20"/>
        </w:rPr>
        <w:t>En 2027, Guaguas contará con</w:t>
      </w:r>
      <w:r>
        <w:rPr>
          <w:spacing w:val="-2"/>
          <w:sz w:val="20"/>
        </w:rPr>
        <w:t> </w:t>
      </w:r>
      <w:r>
        <w:rPr>
          <w:sz w:val="20"/>
        </w:rPr>
        <w:t>un</w:t>
      </w:r>
      <w:r>
        <w:rPr>
          <w:spacing w:val="-2"/>
          <w:sz w:val="20"/>
        </w:rPr>
        <w:t> </w:t>
      </w:r>
      <w:r>
        <w:rPr>
          <w:sz w:val="20"/>
        </w:rPr>
        <w:t>sistema</w:t>
      </w:r>
      <w:r>
        <w:rPr>
          <w:spacing w:val="-2"/>
          <w:sz w:val="20"/>
        </w:rPr>
        <w:t> </w:t>
      </w:r>
      <w:r>
        <w:rPr>
          <w:sz w:val="20"/>
        </w:rPr>
        <w:t>de</w:t>
      </w:r>
      <w:r>
        <w:rPr>
          <w:spacing w:val="-2"/>
          <w:sz w:val="20"/>
        </w:rPr>
        <w:t> </w:t>
      </w:r>
      <w:r>
        <w:rPr>
          <w:sz w:val="20"/>
        </w:rPr>
        <w:t>información estructurado</w:t>
      </w:r>
      <w:r>
        <w:rPr>
          <w:spacing w:val="-2"/>
          <w:sz w:val="20"/>
        </w:rPr>
        <w:t> </w:t>
      </w:r>
      <w:r>
        <w:rPr>
          <w:sz w:val="20"/>
        </w:rPr>
        <w:t>que permita las decisiones ágiles basadas en información objetiva</w:t>
      </w:r>
    </w:p>
    <w:p>
      <w:pPr>
        <w:pStyle w:val="ListParagraph"/>
        <w:numPr>
          <w:ilvl w:val="0"/>
          <w:numId w:val="36"/>
        </w:numPr>
        <w:tabs>
          <w:tab w:pos="2061" w:val="left" w:leader="none"/>
          <w:tab w:pos="2244" w:val="left" w:leader="none"/>
        </w:tabs>
        <w:spacing w:line="362" w:lineRule="auto" w:before="212" w:after="0"/>
        <w:ind w:left="2061" w:right="1335" w:hanging="360"/>
        <w:jc w:val="both"/>
        <w:rPr>
          <w:sz w:val="20"/>
        </w:rPr>
      </w:pPr>
      <w:r>
        <w:rPr>
          <w:sz w:val="20"/>
        </w:rPr>
        <w:tab/>
        <w:t>En</w:t>
      </w:r>
      <w:r>
        <w:rPr>
          <w:spacing w:val="-14"/>
          <w:sz w:val="20"/>
        </w:rPr>
        <w:t> </w:t>
      </w:r>
      <w:r>
        <w:rPr>
          <w:sz w:val="20"/>
        </w:rPr>
        <w:t>2027,</w:t>
      </w:r>
      <w:r>
        <w:rPr>
          <w:spacing w:val="-14"/>
          <w:sz w:val="20"/>
        </w:rPr>
        <w:t> </w:t>
      </w:r>
      <w:r>
        <w:rPr>
          <w:sz w:val="20"/>
        </w:rPr>
        <w:t>Guaguas</w:t>
      </w:r>
      <w:r>
        <w:rPr>
          <w:spacing w:val="-14"/>
          <w:sz w:val="20"/>
        </w:rPr>
        <w:t> </w:t>
      </w:r>
      <w:r>
        <w:rPr>
          <w:sz w:val="20"/>
        </w:rPr>
        <w:t>habrá</w:t>
      </w:r>
      <w:r>
        <w:rPr>
          <w:spacing w:val="-14"/>
          <w:sz w:val="20"/>
        </w:rPr>
        <w:t> </w:t>
      </w:r>
      <w:r>
        <w:rPr>
          <w:sz w:val="20"/>
        </w:rPr>
        <w:t>alineado</w:t>
      </w:r>
      <w:r>
        <w:rPr>
          <w:spacing w:val="-14"/>
          <w:sz w:val="20"/>
        </w:rPr>
        <w:t> </w:t>
      </w:r>
      <w:r>
        <w:rPr>
          <w:sz w:val="20"/>
        </w:rPr>
        <w:t>todos</w:t>
      </w:r>
      <w:r>
        <w:rPr>
          <w:spacing w:val="-5"/>
          <w:sz w:val="20"/>
        </w:rPr>
        <w:t> </w:t>
      </w:r>
      <w:r>
        <w:rPr>
          <w:sz w:val="20"/>
        </w:rPr>
        <w:t>sus</w:t>
      </w:r>
      <w:r>
        <w:rPr>
          <w:spacing w:val="-7"/>
          <w:sz w:val="20"/>
        </w:rPr>
        <w:t> </w:t>
      </w:r>
      <w:r>
        <w:rPr>
          <w:sz w:val="20"/>
        </w:rPr>
        <w:t>niveles</w:t>
      </w:r>
      <w:r>
        <w:rPr>
          <w:spacing w:val="-7"/>
          <w:sz w:val="20"/>
        </w:rPr>
        <w:t> </w:t>
      </w:r>
      <w:r>
        <w:rPr>
          <w:sz w:val="20"/>
        </w:rPr>
        <w:t>de</w:t>
      </w:r>
      <w:r>
        <w:rPr>
          <w:spacing w:val="-8"/>
          <w:sz w:val="20"/>
        </w:rPr>
        <w:t> </w:t>
      </w:r>
      <w:r>
        <w:rPr>
          <w:sz w:val="20"/>
        </w:rPr>
        <w:t>organización</w:t>
      </w:r>
      <w:r>
        <w:rPr>
          <w:spacing w:val="-8"/>
          <w:sz w:val="20"/>
        </w:rPr>
        <w:t> </w:t>
      </w:r>
      <w:r>
        <w:rPr>
          <w:sz w:val="20"/>
        </w:rPr>
        <w:t>con</w:t>
      </w:r>
      <w:r>
        <w:rPr>
          <w:spacing w:val="-8"/>
          <w:sz w:val="20"/>
        </w:rPr>
        <w:t> </w:t>
      </w:r>
      <w:r>
        <w:rPr>
          <w:sz w:val="20"/>
        </w:rPr>
        <w:t>la</w:t>
      </w:r>
      <w:r>
        <w:rPr>
          <w:spacing w:val="-8"/>
          <w:sz w:val="20"/>
        </w:rPr>
        <w:t> </w:t>
      </w:r>
      <w:r>
        <w:rPr>
          <w:sz w:val="20"/>
        </w:rPr>
        <w:t>estrategia</w:t>
      </w:r>
      <w:r>
        <w:rPr>
          <w:spacing w:val="-14"/>
          <w:sz w:val="20"/>
        </w:rPr>
        <w:t> </w:t>
      </w:r>
      <w:r>
        <w:rPr>
          <w:spacing w:val="-80"/>
          <w:sz w:val="20"/>
        </w:rPr>
        <w:t>y</w:t>
      </w:r>
      <w:r>
        <w:rPr>
          <w:sz w:val="20"/>
        </w:rPr>
        <w:t> contará con las competencias estratégicas necesarias para desarrollar el modelo de movilidad y de negocio definido en este plan.</w:t>
      </w:r>
    </w:p>
    <w:p>
      <w:pPr>
        <w:pStyle w:val="BodyText"/>
      </w:pPr>
    </w:p>
    <w:p>
      <w:pPr>
        <w:pStyle w:val="BodyText"/>
        <w:spacing w:before="11"/>
      </w:pPr>
    </w:p>
    <w:p>
      <w:pPr>
        <w:pStyle w:val="Heading3"/>
        <w:numPr>
          <w:ilvl w:val="0"/>
          <w:numId w:val="31"/>
        </w:numPr>
        <w:tabs>
          <w:tab w:pos="1559" w:val="left" w:leader="none"/>
        </w:tabs>
        <w:spacing w:line="240" w:lineRule="auto" w:before="0" w:after="0"/>
        <w:ind w:left="1559" w:right="0" w:hanging="218"/>
        <w:jc w:val="left"/>
      </w:pPr>
      <w:bookmarkStart w:name="_TOC_250037" w:id="15"/>
      <w:r>
        <w:rPr/>
        <w:t>Cuestiones</w:t>
      </w:r>
      <w:r>
        <w:rPr>
          <w:spacing w:val="-11"/>
        </w:rPr>
        <w:t> </w:t>
      </w:r>
      <w:bookmarkEnd w:id="15"/>
      <w:r>
        <w:rPr>
          <w:spacing w:val="-2"/>
        </w:rPr>
        <w:t>Medioambientales</w:t>
      </w:r>
    </w:p>
    <w:p>
      <w:pPr>
        <w:pStyle w:val="BodyText"/>
        <w:spacing w:before="3"/>
        <w:rPr>
          <w:b/>
        </w:rPr>
      </w:pPr>
    </w:p>
    <w:p>
      <w:pPr>
        <w:pStyle w:val="Heading3"/>
        <w:numPr>
          <w:ilvl w:val="1"/>
          <w:numId w:val="31"/>
        </w:numPr>
        <w:tabs>
          <w:tab w:pos="1670" w:val="left" w:leader="none"/>
        </w:tabs>
        <w:spacing w:line="240" w:lineRule="auto" w:before="1" w:after="0"/>
        <w:ind w:left="1670" w:right="0" w:hanging="329"/>
        <w:jc w:val="left"/>
      </w:pPr>
      <w:bookmarkStart w:name="_TOC_250036" w:id="16"/>
      <w:bookmarkEnd w:id="16"/>
      <w:r>
        <w:rPr>
          <w:spacing w:val="-2"/>
        </w:rPr>
        <w:t>General</w:t>
      </w:r>
    </w:p>
    <w:p>
      <w:pPr>
        <w:pStyle w:val="BodyText"/>
        <w:spacing w:before="31"/>
        <w:rPr>
          <w:b/>
        </w:rPr>
      </w:pPr>
    </w:p>
    <w:p>
      <w:pPr>
        <w:spacing w:line="345" w:lineRule="auto" w:before="0"/>
        <w:ind w:left="1341" w:right="1308" w:firstLine="0"/>
        <w:jc w:val="left"/>
        <w:rPr>
          <w:rFonts w:ascii="Tahoma" w:hAnsi="Tahoma"/>
          <w:i/>
          <w:sz w:val="20"/>
        </w:rPr>
      </w:pPr>
      <w:r>
        <w:rPr>
          <w:rFonts w:ascii="Tahoma" w:hAnsi="Tahoma"/>
          <w:i/>
          <w:sz w:val="20"/>
        </w:rPr>
        <w:t>Descripción de cómo la organización gestiona los impactos medioambientales asociados a su</w:t>
      </w:r>
      <w:r>
        <w:rPr>
          <w:rFonts w:ascii="Tahoma" w:hAnsi="Tahoma"/>
          <w:i/>
          <w:spacing w:val="80"/>
          <w:sz w:val="20"/>
        </w:rPr>
        <w:t> </w:t>
      </w:r>
      <w:r>
        <w:rPr>
          <w:rFonts w:ascii="Tahoma" w:hAnsi="Tahoma"/>
          <w:i/>
          <w:spacing w:val="-2"/>
          <w:sz w:val="20"/>
        </w:rPr>
        <w:t>actividad.</w:t>
      </w:r>
    </w:p>
    <w:p>
      <w:pPr>
        <w:pStyle w:val="BodyText"/>
        <w:spacing w:line="360" w:lineRule="auto" w:before="210"/>
        <w:ind w:left="1341" w:right="1308"/>
      </w:pPr>
      <w:r>
        <w:rPr/>
        <w:t>El compromiso de Guaguas con el medioambiente queda recogido en el Sistema Integrado de Gestión</w:t>
      </w:r>
      <w:r>
        <w:rPr>
          <w:spacing w:val="3"/>
        </w:rPr>
        <w:t> </w:t>
      </w:r>
      <w:r>
        <w:rPr/>
        <w:t>(en</w:t>
      </w:r>
      <w:r>
        <w:rPr>
          <w:spacing w:val="3"/>
        </w:rPr>
        <w:t> </w:t>
      </w:r>
      <w:r>
        <w:rPr/>
        <w:t>adelante</w:t>
      </w:r>
      <w:r>
        <w:rPr>
          <w:spacing w:val="5"/>
        </w:rPr>
        <w:t> </w:t>
      </w:r>
      <w:r>
        <w:rPr/>
        <w:t>SIG)</w:t>
      </w:r>
      <w:r>
        <w:rPr>
          <w:spacing w:val="7"/>
        </w:rPr>
        <w:t> </w:t>
      </w:r>
      <w:r>
        <w:rPr/>
        <w:t>de</w:t>
      </w:r>
      <w:r>
        <w:rPr>
          <w:spacing w:val="5"/>
        </w:rPr>
        <w:t> </w:t>
      </w:r>
      <w:r>
        <w:rPr/>
        <w:t>la</w:t>
      </w:r>
      <w:r>
        <w:rPr>
          <w:spacing w:val="3"/>
        </w:rPr>
        <w:t> </w:t>
      </w:r>
      <w:r>
        <w:rPr/>
        <w:t>compañía</w:t>
      </w:r>
      <w:r>
        <w:rPr>
          <w:spacing w:val="5"/>
        </w:rPr>
        <w:t> </w:t>
      </w:r>
      <w:r>
        <w:rPr/>
        <w:t>en</w:t>
      </w:r>
      <w:r>
        <w:rPr>
          <w:spacing w:val="4"/>
        </w:rPr>
        <w:t> </w:t>
      </w:r>
      <w:r>
        <w:rPr/>
        <w:t>el</w:t>
      </w:r>
      <w:r>
        <w:rPr>
          <w:spacing w:val="3"/>
        </w:rPr>
        <w:t> </w:t>
      </w:r>
      <w:r>
        <w:rPr/>
        <w:t>que</w:t>
      </w:r>
      <w:r>
        <w:rPr>
          <w:spacing w:val="2"/>
        </w:rPr>
        <w:t> </w:t>
      </w:r>
      <w:r>
        <w:rPr/>
        <w:t>se</w:t>
      </w:r>
      <w:r>
        <w:rPr>
          <w:spacing w:val="3"/>
        </w:rPr>
        <w:t> </w:t>
      </w:r>
      <w:r>
        <w:rPr/>
        <w:t>recogen</w:t>
      </w:r>
      <w:r>
        <w:rPr>
          <w:spacing w:val="5"/>
        </w:rPr>
        <w:t> </w:t>
      </w:r>
      <w:r>
        <w:rPr/>
        <w:t>la</w:t>
      </w:r>
      <w:r>
        <w:rPr>
          <w:spacing w:val="5"/>
        </w:rPr>
        <w:t> </w:t>
      </w:r>
      <w:r>
        <w:rPr/>
        <w:t>adecuación</w:t>
      </w:r>
      <w:r>
        <w:rPr>
          <w:spacing w:val="6"/>
        </w:rPr>
        <w:t> </w:t>
      </w:r>
      <w:r>
        <w:rPr/>
        <w:t>a</w:t>
      </w:r>
      <w:r>
        <w:rPr>
          <w:spacing w:val="3"/>
        </w:rPr>
        <w:t> </w:t>
      </w:r>
      <w:r>
        <w:rPr/>
        <w:t>la</w:t>
      </w:r>
      <w:r>
        <w:rPr>
          <w:spacing w:val="2"/>
        </w:rPr>
        <w:t> </w:t>
      </w:r>
      <w:r>
        <w:rPr/>
        <w:t>norma</w:t>
      </w:r>
      <w:r>
        <w:rPr>
          <w:spacing w:val="5"/>
        </w:rPr>
        <w:t> </w:t>
      </w:r>
      <w:r>
        <w:rPr>
          <w:spacing w:val="-5"/>
        </w:rPr>
        <w:t>ISO</w:t>
      </w:r>
    </w:p>
    <w:p>
      <w:pPr>
        <w:pStyle w:val="BodyText"/>
        <w:spacing w:line="362" w:lineRule="auto"/>
        <w:ind w:left="1341" w:right="1308"/>
      </w:pPr>
      <w:r>
        <w:rPr/>
        <w:t>14.001</w:t>
      </w:r>
      <w:r>
        <w:rPr>
          <w:spacing w:val="39"/>
        </w:rPr>
        <w:t> </w:t>
      </w:r>
      <w:r>
        <w:rPr/>
        <w:t>que</w:t>
      </w:r>
      <w:r>
        <w:rPr>
          <w:spacing w:val="40"/>
        </w:rPr>
        <w:t> </w:t>
      </w:r>
      <w:r>
        <w:rPr/>
        <w:t>rige</w:t>
      </w:r>
      <w:r>
        <w:rPr>
          <w:spacing w:val="40"/>
        </w:rPr>
        <w:t> </w:t>
      </w:r>
      <w:r>
        <w:rPr/>
        <w:t>los</w:t>
      </w:r>
      <w:r>
        <w:rPr>
          <w:spacing w:val="40"/>
        </w:rPr>
        <w:t> </w:t>
      </w:r>
      <w:r>
        <w:rPr/>
        <w:t>principios</w:t>
      </w:r>
      <w:r>
        <w:rPr>
          <w:spacing w:val="40"/>
        </w:rPr>
        <w:t> </w:t>
      </w:r>
      <w:r>
        <w:rPr/>
        <w:t>generales</w:t>
      </w:r>
      <w:r>
        <w:rPr>
          <w:spacing w:val="40"/>
        </w:rPr>
        <w:t> </w:t>
      </w:r>
      <w:r>
        <w:rPr/>
        <w:t>de</w:t>
      </w:r>
      <w:r>
        <w:rPr>
          <w:spacing w:val="38"/>
        </w:rPr>
        <w:t> </w:t>
      </w:r>
      <w:r>
        <w:rPr/>
        <w:t>la</w:t>
      </w:r>
      <w:r>
        <w:rPr>
          <w:spacing w:val="40"/>
        </w:rPr>
        <w:t> </w:t>
      </w:r>
      <w:r>
        <w:rPr/>
        <w:t>gestión</w:t>
      </w:r>
      <w:r>
        <w:rPr>
          <w:spacing w:val="40"/>
        </w:rPr>
        <w:t> </w:t>
      </w:r>
      <w:r>
        <w:rPr/>
        <w:t>y</w:t>
      </w:r>
      <w:r>
        <w:rPr>
          <w:spacing w:val="37"/>
        </w:rPr>
        <w:t> </w:t>
      </w:r>
      <w:r>
        <w:rPr/>
        <w:t>planificación</w:t>
      </w:r>
      <w:r>
        <w:rPr>
          <w:spacing w:val="39"/>
        </w:rPr>
        <w:t> </w:t>
      </w:r>
      <w:r>
        <w:rPr/>
        <w:t>de</w:t>
      </w:r>
      <w:r>
        <w:rPr>
          <w:spacing w:val="40"/>
        </w:rPr>
        <w:t> </w:t>
      </w:r>
      <w:r>
        <w:rPr/>
        <w:t>la</w:t>
      </w:r>
      <w:r>
        <w:rPr>
          <w:spacing w:val="38"/>
        </w:rPr>
        <w:t> </w:t>
      </w:r>
      <w:r>
        <w:rPr/>
        <w:t>actividad</w:t>
      </w:r>
      <w:r>
        <w:rPr>
          <w:spacing w:val="40"/>
        </w:rPr>
        <w:t> </w:t>
      </w:r>
      <w:r>
        <w:rPr/>
        <w:t>de</w:t>
      </w:r>
      <w:r>
        <w:rPr>
          <w:spacing w:val="40"/>
        </w:rPr>
        <w:t> </w:t>
      </w:r>
      <w:r>
        <w:rPr/>
        <w:t>la empresa, así como los objetivos que GMSA asume en esta materia.</w:t>
      </w:r>
    </w:p>
    <w:p>
      <w:pPr>
        <w:pStyle w:val="BodyText"/>
        <w:spacing w:line="362" w:lineRule="auto" w:before="195"/>
        <w:ind w:left="1341" w:right="1339"/>
      </w:pPr>
      <w:r>
        <w:rPr/>
        <w:t>La integración de criterios de eficiencia y sostenibilidad es la base sobre la que se establecen los principales compromisos de la empresa:</w:t>
      </w:r>
    </w:p>
    <w:p>
      <w:pPr>
        <w:pStyle w:val="ListParagraph"/>
        <w:numPr>
          <w:ilvl w:val="0"/>
          <w:numId w:val="37"/>
        </w:numPr>
        <w:tabs>
          <w:tab w:pos="2090" w:val="left" w:leader="none"/>
        </w:tabs>
        <w:spacing w:line="240" w:lineRule="auto" w:before="210" w:after="0"/>
        <w:ind w:left="2090" w:right="0" w:hanging="389"/>
        <w:jc w:val="left"/>
        <w:rPr>
          <w:sz w:val="20"/>
        </w:rPr>
      </w:pPr>
      <w:r>
        <w:rPr>
          <w:sz w:val="20"/>
        </w:rPr>
        <w:t>Cumplir</w:t>
      </w:r>
      <w:r>
        <w:rPr>
          <w:spacing w:val="-9"/>
          <w:sz w:val="20"/>
        </w:rPr>
        <w:t> </w:t>
      </w:r>
      <w:r>
        <w:rPr>
          <w:sz w:val="20"/>
        </w:rPr>
        <w:t>con</w:t>
      </w:r>
      <w:r>
        <w:rPr>
          <w:spacing w:val="-7"/>
          <w:sz w:val="20"/>
        </w:rPr>
        <w:t> </w:t>
      </w:r>
      <w:r>
        <w:rPr>
          <w:sz w:val="20"/>
        </w:rPr>
        <w:t>la</w:t>
      </w:r>
      <w:r>
        <w:rPr>
          <w:spacing w:val="-8"/>
          <w:sz w:val="20"/>
        </w:rPr>
        <w:t> </w:t>
      </w:r>
      <w:r>
        <w:rPr>
          <w:sz w:val="20"/>
        </w:rPr>
        <w:t>legislación</w:t>
      </w:r>
      <w:r>
        <w:rPr>
          <w:spacing w:val="-5"/>
          <w:sz w:val="20"/>
        </w:rPr>
        <w:t> </w:t>
      </w:r>
      <w:r>
        <w:rPr>
          <w:spacing w:val="-2"/>
          <w:sz w:val="20"/>
        </w:rPr>
        <w:t>vigente.</w:t>
      </w:r>
    </w:p>
    <w:p>
      <w:pPr>
        <w:pStyle w:val="ListParagraph"/>
        <w:numPr>
          <w:ilvl w:val="0"/>
          <w:numId w:val="37"/>
        </w:numPr>
        <w:tabs>
          <w:tab w:pos="2091" w:val="left" w:leader="none"/>
        </w:tabs>
        <w:spacing w:line="240" w:lineRule="auto" w:before="127" w:after="0"/>
        <w:ind w:left="2091" w:right="0" w:hanging="390"/>
        <w:jc w:val="left"/>
        <w:rPr>
          <w:sz w:val="20"/>
        </w:rPr>
      </w:pPr>
      <w:r>
        <w:rPr>
          <w:sz w:val="20"/>
        </w:rPr>
        <w:t>Promover</w:t>
      </w:r>
      <w:r>
        <w:rPr>
          <w:spacing w:val="-7"/>
          <w:sz w:val="20"/>
        </w:rPr>
        <w:t> </w:t>
      </w:r>
      <w:r>
        <w:rPr>
          <w:sz w:val="20"/>
        </w:rPr>
        <w:t>el</w:t>
      </w:r>
      <w:r>
        <w:rPr>
          <w:spacing w:val="-3"/>
          <w:sz w:val="20"/>
        </w:rPr>
        <w:t> </w:t>
      </w:r>
      <w:r>
        <w:rPr>
          <w:sz w:val="20"/>
        </w:rPr>
        <w:t>uso</w:t>
      </w:r>
      <w:r>
        <w:rPr>
          <w:spacing w:val="-7"/>
          <w:sz w:val="20"/>
        </w:rPr>
        <w:t> </w:t>
      </w:r>
      <w:r>
        <w:rPr>
          <w:sz w:val="20"/>
        </w:rPr>
        <w:t>responsable</w:t>
      </w:r>
      <w:r>
        <w:rPr>
          <w:spacing w:val="-6"/>
          <w:sz w:val="20"/>
        </w:rPr>
        <w:t> </w:t>
      </w:r>
      <w:r>
        <w:rPr>
          <w:sz w:val="20"/>
        </w:rPr>
        <w:t>de</w:t>
      </w:r>
      <w:r>
        <w:rPr>
          <w:spacing w:val="-7"/>
          <w:sz w:val="20"/>
        </w:rPr>
        <w:t> </w:t>
      </w:r>
      <w:r>
        <w:rPr>
          <w:sz w:val="20"/>
        </w:rPr>
        <w:t>los</w:t>
      </w:r>
      <w:r>
        <w:rPr>
          <w:spacing w:val="-5"/>
          <w:sz w:val="20"/>
        </w:rPr>
        <w:t> </w:t>
      </w:r>
      <w:r>
        <w:rPr>
          <w:spacing w:val="-2"/>
          <w:sz w:val="20"/>
        </w:rPr>
        <w:t>recursos.</w:t>
      </w:r>
    </w:p>
    <w:p>
      <w:pPr>
        <w:pStyle w:val="ListParagraph"/>
        <w:numPr>
          <w:ilvl w:val="0"/>
          <w:numId w:val="37"/>
        </w:numPr>
        <w:tabs>
          <w:tab w:pos="2061" w:val="left" w:leader="none"/>
          <w:tab w:pos="2090" w:val="left" w:leader="none"/>
        </w:tabs>
        <w:spacing w:line="357" w:lineRule="auto" w:before="129" w:after="0"/>
        <w:ind w:left="2061" w:right="1336" w:hanging="360"/>
        <w:jc w:val="left"/>
        <w:rPr>
          <w:sz w:val="20"/>
        </w:rPr>
      </w:pPr>
      <w:r>
        <w:rPr>
          <w:sz w:val="20"/>
        </w:rPr>
        <mc:AlternateContent>
          <mc:Choice Requires="wps">
            <w:drawing>
              <wp:anchor distT="0" distB="0" distL="0" distR="0" allowOverlap="1" layoutInCell="1" locked="0" behindDoc="0" simplePos="0" relativeHeight="15793664">
                <wp:simplePos x="0" y="0"/>
                <wp:positionH relativeFrom="page">
                  <wp:posOffset>6966436</wp:posOffset>
                </wp:positionH>
                <wp:positionV relativeFrom="paragraph">
                  <wp:posOffset>186308</wp:posOffset>
                </wp:positionV>
                <wp:extent cx="263525" cy="327596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4.669941pt;width:20.75pt;height:257.95pt;mso-position-horizontal-relative:page;mso-position-vertical-relative:paragraph;z-index:15793664" type="#_x0000_t202" id="docshape19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Gestionar</w:t>
      </w:r>
      <w:r>
        <w:rPr>
          <w:spacing w:val="38"/>
          <w:sz w:val="20"/>
        </w:rPr>
        <w:t> </w:t>
      </w:r>
      <w:r>
        <w:rPr>
          <w:sz w:val="20"/>
        </w:rPr>
        <w:t>los</w:t>
      </w:r>
      <w:r>
        <w:rPr>
          <w:spacing w:val="17"/>
          <w:sz w:val="20"/>
        </w:rPr>
        <w:t> </w:t>
      </w:r>
      <w:r>
        <w:rPr>
          <w:sz w:val="20"/>
        </w:rPr>
        <w:t>residuos</w:t>
      </w:r>
      <w:r>
        <w:rPr>
          <w:spacing w:val="19"/>
          <w:sz w:val="20"/>
        </w:rPr>
        <w:t> </w:t>
      </w:r>
      <w:r>
        <w:rPr>
          <w:sz w:val="20"/>
        </w:rPr>
        <w:t>generados</w:t>
      </w:r>
      <w:r>
        <w:rPr>
          <w:spacing w:val="17"/>
          <w:sz w:val="20"/>
        </w:rPr>
        <w:t> </w:t>
      </w:r>
      <w:r>
        <w:rPr>
          <w:sz w:val="20"/>
        </w:rPr>
        <w:t>siguiendo</w:t>
      </w:r>
      <w:r>
        <w:rPr>
          <w:spacing w:val="18"/>
          <w:sz w:val="20"/>
        </w:rPr>
        <w:t> </w:t>
      </w:r>
      <w:r>
        <w:rPr>
          <w:sz w:val="20"/>
        </w:rPr>
        <w:t>el</w:t>
      </w:r>
      <w:r>
        <w:rPr>
          <w:spacing w:val="17"/>
          <w:sz w:val="20"/>
        </w:rPr>
        <w:t> </w:t>
      </w:r>
      <w:r>
        <w:rPr>
          <w:sz w:val="20"/>
        </w:rPr>
        <w:t>modelo</w:t>
      </w:r>
      <w:r>
        <w:rPr>
          <w:spacing w:val="17"/>
          <w:sz w:val="20"/>
        </w:rPr>
        <w:t> </w:t>
      </w:r>
      <w:r>
        <w:rPr>
          <w:sz w:val="20"/>
        </w:rPr>
        <w:t>de</w:t>
      </w:r>
      <w:r>
        <w:rPr>
          <w:spacing w:val="18"/>
          <w:sz w:val="20"/>
        </w:rPr>
        <w:t> </w:t>
      </w:r>
      <w:r>
        <w:rPr>
          <w:sz w:val="20"/>
        </w:rPr>
        <w:t>jerarquización</w:t>
      </w:r>
      <w:r>
        <w:rPr>
          <w:spacing w:val="18"/>
          <w:sz w:val="20"/>
        </w:rPr>
        <w:t> </w:t>
      </w:r>
      <w:r>
        <w:rPr>
          <w:sz w:val="20"/>
        </w:rPr>
        <w:t>de</w:t>
      </w:r>
      <w:r>
        <w:rPr>
          <w:spacing w:val="18"/>
          <w:sz w:val="20"/>
        </w:rPr>
        <w:t> </w:t>
      </w:r>
      <w:r>
        <w:rPr>
          <w:sz w:val="20"/>
        </w:rPr>
        <w:t>residuos; priorizando la prevención y evitando en lo posible su eliminación.</w:t>
      </w:r>
    </w:p>
    <w:p>
      <w:pPr>
        <w:pStyle w:val="ListParagraph"/>
        <w:numPr>
          <w:ilvl w:val="0"/>
          <w:numId w:val="37"/>
        </w:numPr>
        <w:tabs>
          <w:tab w:pos="2090" w:val="left" w:leader="none"/>
        </w:tabs>
        <w:spacing w:line="240" w:lineRule="auto" w:before="17" w:after="0"/>
        <w:ind w:left="2090" w:right="0" w:hanging="389"/>
        <w:jc w:val="left"/>
        <w:rPr>
          <w:sz w:val="20"/>
        </w:rPr>
      </w:pPr>
      <w:r>
        <w:rPr>
          <w:sz w:val="20"/>
        </w:rPr>
        <w:t>Adoptar</w:t>
      </w:r>
      <w:r>
        <w:rPr>
          <w:spacing w:val="-6"/>
          <w:sz w:val="20"/>
        </w:rPr>
        <w:t> </w:t>
      </w:r>
      <w:r>
        <w:rPr>
          <w:sz w:val="20"/>
        </w:rPr>
        <w:t>medidas</w:t>
      </w:r>
      <w:r>
        <w:rPr>
          <w:spacing w:val="-3"/>
          <w:sz w:val="20"/>
        </w:rPr>
        <w:t> </w:t>
      </w:r>
      <w:r>
        <w:rPr>
          <w:sz w:val="20"/>
        </w:rPr>
        <w:t>para</w:t>
      </w:r>
      <w:r>
        <w:rPr>
          <w:spacing w:val="-3"/>
          <w:sz w:val="20"/>
        </w:rPr>
        <w:t> </w:t>
      </w:r>
      <w:r>
        <w:rPr>
          <w:sz w:val="20"/>
        </w:rPr>
        <w:t>la</w:t>
      </w:r>
      <w:r>
        <w:rPr>
          <w:spacing w:val="-9"/>
          <w:sz w:val="20"/>
        </w:rPr>
        <w:t> </w:t>
      </w:r>
      <w:r>
        <w:rPr>
          <w:sz w:val="20"/>
        </w:rPr>
        <w:t>reducción</w:t>
      </w:r>
      <w:r>
        <w:rPr>
          <w:spacing w:val="-4"/>
          <w:sz w:val="20"/>
        </w:rPr>
        <w:t> </w:t>
      </w:r>
      <w:r>
        <w:rPr>
          <w:sz w:val="20"/>
        </w:rPr>
        <w:t>de</w:t>
      </w:r>
      <w:r>
        <w:rPr>
          <w:spacing w:val="-5"/>
          <w:sz w:val="20"/>
        </w:rPr>
        <w:t> </w:t>
      </w:r>
      <w:r>
        <w:rPr>
          <w:sz w:val="20"/>
        </w:rPr>
        <w:t>emisiones</w:t>
      </w:r>
      <w:r>
        <w:rPr>
          <w:spacing w:val="-5"/>
          <w:sz w:val="20"/>
        </w:rPr>
        <w:t> </w:t>
      </w:r>
      <w:r>
        <w:rPr>
          <w:sz w:val="20"/>
        </w:rPr>
        <w:t>de</w:t>
      </w:r>
      <w:r>
        <w:rPr>
          <w:spacing w:val="-5"/>
          <w:sz w:val="20"/>
        </w:rPr>
        <w:t> </w:t>
      </w:r>
      <w:r>
        <w:rPr>
          <w:sz w:val="20"/>
        </w:rPr>
        <w:t>gases</w:t>
      </w:r>
      <w:r>
        <w:rPr>
          <w:spacing w:val="-6"/>
          <w:sz w:val="20"/>
        </w:rPr>
        <w:t> </w:t>
      </w:r>
      <w:r>
        <w:rPr>
          <w:sz w:val="20"/>
        </w:rPr>
        <w:t>de</w:t>
      </w:r>
      <w:r>
        <w:rPr>
          <w:spacing w:val="-7"/>
          <w:sz w:val="20"/>
        </w:rPr>
        <w:t> </w:t>
      </w:r>
      <w:r>
        <w:rPr>
          <w:sz w:val="20"/>
        </w:rPr>
        <w:t>efecto</w:t>
      </w:r>
      <w:r>
        <w:rPr>
          <w:spacing w:val="-5"/>
          <w:sz w:val="20"/>
        </w:rPr>
        <w:t> </w:t>
      </w:r>
      <w:r>
        <w:rPr>
          <w:spacing w:val="-2"/>
          <w:sz w:val="20"/>
        </w:rPr>
        <w:t>invernadero.</w:t>
      </w:r>
    </w:p>
    <w:p>
      <w:pPr>
        <w:pStyle w:val="ListParagraph"/>
        <w:numPr>
          <w:ilvl w:val="0"/>
          <w:numId w:val="37"/>
        </w:numPr>
        <w:tabs>
          <w:tab w:pos="2090" w:val="left" w:leader="none"/>
        </w:tabs>
        <w:spacing w:line="240" w:lineRule="auto" w:before="127" w:after="0"/>
        <w:ind w:left="2090" w:right="0" w:hanging="389"/>
        <w:jc w:val="left"/>
        <w:rPr>
          <w:sz w:val="20"/>
        </w:rPr>
      </w:pPr>
      <w:r>
        <w:rPr>
          <w:sz w:val="20"/>
        </w:rPr>
        <w:t>Trabajar</w:t>
      </w:r>
      <w:r>
        <w:rPr>
          <w:spacing w:val="-7"/>
          <w:sz w:val="20"/>
        </w:rPr>
        <w:t> </w:t>
      </w:r>
      <w:r>
        <w:rPr>
          <w:sz w:val="20"/>
        </w:rPr>
        <w:t>activamente</w:t>
      </w:r>
      <w:r>
        <w:rPr>
          <w:spacing w:val="-8"/>
          <w:sz w:val="20"/>
        </w:rPr>
        <w:t> </w:t>
      </w:r>
      <w:r>
        <w:rPr>
          <w:sz w:val="20"/>
        </w:rPr>
        <w:t>en</w:t>
      </w:r>
      <w:r>
        <w:rPr>
          <w:spacing w:val="-8"/>
          <w:sz w:val="20"/>
        </w:rPr>
        <w:t> </w:t>
      </w:r>
      <w:r>
        <w:rPr>
          <w:sz w:val="20"/>
        </w:rPr>
        <w:t>la</w:t>
      </w:r>
      <w:r>
        <w:rPr>
          <w:spacing w:val="-8"/>
          <w:sz w:val="20"/>
        </w:rPr>
        <w:t> </w:t>
      </w:r>
      <w:r>
        <w:rPr>
          <w:sz w:val="20"/>
        </w:rPr>
        <w:t>identificación</w:t>
      </w:r>
      <w:r>
        <w:rPr>
          <w:spacing w:val="-7"/>
          <w:sz w:val="20"/>
        </w:rPr>
        <w:t> </w:t>
      </w:r>
      <w:r>
        <w:rPr>
          <w:sz w:val="20"/>
        </w:rPr>
        <w:t>de</w:t>
      </w:r>
      <w:r>
        <w:rPr>
          <w:spacing w:val="-9"/>
          <w:sz w:val="20"/>
        </w:rPr>
        <w:t> </w:t>
      </w:r>
      <w:r>
        <w:rPr>
          <w:sz w:val="20"/>
        </w:rPr>
        <w:t>oportunidades</w:t>
      </w:r>
      <w:r>
        <w:rPr>
          <w:spacing w:val="-7"/>
          <w:sz w:val="20"/>
        </w:rPr>
        <w:t> </w:t>
      </w:r>
      <w:r>
        <w:rPr>
          <w:sz w:val="20"/>
        </w:rPr>
        <w:t>de</w:t>
      </w:r>
      <w:r>
        <w:rPr>
          <w:spacing w:val="-9"/>
          <w:sz w:val="20"/>
        </w:rPr>
        <w:t> </w:t>
      </w:r>
      <w:r>
        <w:rPr>
          <w:spacing w:val="-2"/>
          <w:sz w:val="20"/>
        </w:rPr>
        <w:t>mejora.</w:t>
      </w:r>
    </w:p>
    <w:p>
      <w:pPr>
        <w:pStyle w:val="ListParagraph"/>
        <w:numPr>
          <w:ilvl w:val="0"/>
          <w:numId w:val="37"/>
        </w:numPr>
        <w:tabs>
          <w:tab w:pos="751" w:val="left" w:leader="none"/>
        </w:tabs>
        <w:spacing w:line="240" w:lineRule="auto" w:before="127" w:after="0"/>
        <w:ind w:left="751" w:right="0" w:hanging="389"/>
        <w:jc w:val="center"/>
        <w:rPr>
          <w:sz w:val="20"/>
        </w:rPr>
      </w:pPr>
      <w:r>
        <w:rPr>
          <w:sz w:val="20"/>
        </w:rPr>
        <w:t>Alentar</w:t>
      </w:r>
      <w:r>
        <w:rPr>
          <w:spacing w:val="46"/>
          <w:sz w:val="20"/>
        </w:rPr>
        <w:t> </w:t>
      </w:r>
      <w:r>
        <w:rPr>
          <w:sz w:val="20"/>
        </w:rPr>
        <w:t>al</w:t>
      </w:r>
      <w:r>
        <w:rPr>
          <w:spacing w:val="46"/>
          <w:sz w:val="20"/>
        </w:rPr>
        <w:t> </w:t>
      </w:r>
      <w:r>
        <w:rPr>
          <w:sz w:val="20"/>
        </w:rPr>
        <w:t>personal</w:t>
      </w:r>
      <w:r>
        <w:rPr>
          <w:spacing w:val="42"/>
          <w:sz w:val="20"/>
        </w:rPr>
        <w:t> </w:t>
      </w:r>
      <w:r>
        <w:rPr>
          <w:sz w:val="20"/>
        </w:rPr>
        <w:t>a</w:t>
      </w:r>
      <w:r>
        <w:rPr>
          <w:spacing w:val="49"/>
          <w:sz w:val="20"/>
        </w:rPr>
        <w:t> </w:t>
      </w:r>
      <w:r>
        <w:rPr>
          <w:sz w:val="20"/>
        </w:rPr>
        <w:t>través</w:t>
      </w:r>
      <w:r>
        <w:rPr>
          <w:spacing w:val="46"/>
          <w:sz w:val="20"/>
        </w:rPr>
        <w:t> </w:t>
      </w:r>
      <w:r>
        <w:rPr>
          <w:sz w:val="20"/>
        </w:rPr>
        <w:t>de</w:t>
      </w:r>
      <w:r>
        <w:rPr>
          <w:spacing w:val="46"/>
          <w:sz w:val="20"/>
        </w:rPr>
        <w:t> </w:t>
      </w:r>
      <w:r>
        <w:rPr>
          <w:sz w:val="20"/>
        </w:rPr>
        <w:t>la</w:t>
      </w:r>
      <w:r>
        <w:rPr>
          <w:spacing w:val="44"/>
          <w:sz w:val="20"/>
        </w:rPr>
        <w:t> </w:t>
      </w:r>
      <w:r>
        <w:rPr>
          <w:sz w:val="20"/>
        </w:rPr>
        <w:t>formación</w:t>
      </w:r>
      <w:r>
        <w:rPr>
          <w:spacing w:val="46"/>
          <w:sz w:val="20"/>
        </w:rPr>
        <w:t> </w:t>
      </w:r>
      <w:r>
        <w:rPr>
          <w:sz w:val="20"/>
        </w:rPr>
        <w:t>y</w:t>
      </w:r>
      <w:r>
        <w:rPr>
          <w:spacing w:val="40"/>
          <w:sz w:val="20"/>
        </w:rPr>
        <w:t> </w:t>
      </w:r>
      <w:r>
        <w:rPr>
          <w:sz w:val="20"/>
        </w:rPr>
        <w:t>la</w:t>
      </w:r>
      <w:r>
        <w:rPr>
          <w:spacing w:val="46"/>
          <w:sz w:val="20"/>
        </w:rPr>
        <w:t> </w:t>
      </w:r>
      <w:r>
        <w:rPr>
          <w:sz w:val="20"/>
        </w:rPr>
        <w:t>sensibilización,</w:t>
      </w:r>
      <w:r>
        <w:rPr>
          <w:spacing w:val="42"/>
          <w:sz w:val="20"/>
        </w:rPr>
        <w:t> </w:t>
      </w:r>
      <w:r>
        <w:rPr>
          <w:sz w:val="20"/>
        </w:rPr>
        <w:t>para</w:t>
      </w:r>
      <w:r>
        <w:rPr>
          <w:spacing w:val="46"/>
          <w:sz w:val="20"/>
        </w:rPr>
        <w:t> </w:t>
      </w:r>
      <w:r>
        <w:rPr>
          <w:sz w:val="20"/>
        </w:rPr>
        <w:t>que</w:t>
      </w:r>
      <w:r>
        <w:rPr>
          <w:spacing w:val="44"/>
          <w:sz w:val="20"/>
        </w:rPr>
        <w:t> </w:t>
      </w:r>
      <w:r>
        <w:rPr>
          <w:spacing w:val="-2"/>
          <w:sz w:val="20"/>
        </w:rPr>
        <w:t>participe</w:t>
      </w:r>
    </w:p>
    <w:p>
      <w:pPr>
        <w:pStyle w:val="BodyText"/>
        <w:spacing w:before="117"/>
        <w:ind w:left="2061"/>
      </w:pPr>
      <w:r>
        <w:rPr/>
        <w:t>activamente</w:t>
      </w:r>
      <w:r>
        <w:rPr>
          <w:spacing w:val="-7"/>
        </w:rPr>
        <w:t> </w:t>
      </w:r>
      <w:r>
        <w:rPr/>
        <w:t>en</w:t>
      </w:r>
      <w:r>
        <w:rPr>
          <w:spacing w:val="-4"/>
        </w:rPr>
        <w:t> </w:t>
      </w:r>
      <w:r>
        <w:rPr/>
        <w:t>la</w:t>
      </w:r>
      <w:r>
        <w:rPr>
          <w:spacing w:val="-6"/>
        </w:rPr>
        <w:t> </w:t>
      </w:r>
      <w:r>
        <w:rPr/>
        <w:t>aplicación</w:t>
      </w:r>
      <w:r>
        <w:rPr>
          <w:spacing w:val="-7"/>
        </w:rPr>
        <w:t> </w:t>
      </w:r>
      <w:r>
        <w:rPr/>
        <w:t>de</w:t>
      </w:r>
      <w:r>
        <w:rPr>
          <w:spacing w:val="-6"/>
        </w:rPr>
        <w:t> </w:t>
      </w:r>
      <w:r>
        <w:rPr/>
        <w:t>estos</w:t>
      </w:r>
      <w:r>
        <w:rPr>
          <w:spacing w:val="-6"/>
        </w:rPr>
        <w:t> </w:t>
      </w:r>
      <w:r>
        <w:rPr>
          <w:spacing w:val="-2"/>
        </w:rPr>
        <w:t>compromisos.</w:t>
      </w:r>
    </w:p>
    <w:p>
      <w:pPr>
        <w:pStyle w:val="BodyText"/>
        <w:spacing w:before="82"/>
      </w:pPr>
    </w:p>
    <w:p>
      <w:pPr>
        <w:pStyle w:val="BodyText"/>
        <w:spacing w:line="360" w:lineRule="auto" w:before="1"/>
        <w:ind w:left="1341" w:right="1336"/>
        <w:jc w:val="both"/>
      </w:pPr>
      <w:r>
        <w:rPr/>
        <w:t>El impacto directo ambiental de la actividad de Guaguas se asocia con la operativa generada por su</w:t>
      </w:r>
      <w:r>
        <w:rPr>
          <w:spacing w:val="-1"/>
        </w:rPr>
        <w:t> </w:t>
      </w:r>
      <w:r>
        <w:rPr/>
        <w:t>flota, en donde se valora el nivel de</w:t>
      </w:r>
      <w:r>
        <w:rPr>
          <w:spacing w:val="-1"/>
        </w:rPr>
        <w:t> </w:t>
      </w:r>
      <w:r>
        <w:rPr/>
        <w:t>emisiones de gases contaminantes de</w:t>
      </w:r>
      <w:r>
        <w:rPr>
          <w:spacing w:val="-1"/>
        </w:rPr>
        <w:t> </w:t>
      </w:r>
      <w:r>
        <w:rPr/>
        <w:t>los vehículos y los residuos peligrosos derivados del uso y mantenimiento de los vehículos (aceites y lubricantes usados, filtros de aceites, envases de plástico con sustancias peligrosas, baterías usadas, lodos de separador de agua, líquidos refrigerantes y anticongelantes, residuos eléctricos</w:t>
      </w:r>
      <w:r>
        <w:rPr>
          <w:spacing w:val="4"/>
        </w:rPr>
        <w:t> </w:t>
      </w:r>
      <w:r>
        <w:rPr/>
        <w:t>y</w:t>
      </w:r>
      <w:r>
        <w:rPr>
          <w:spacing w:val="-2"/>
        </w:rPr>
        <w:t> </w:t>
      </w:r>
      <w:r>
        <w:rPr/>
        <w:t>electrónicos,</w:t>
      </w:r>
      <w:r>
        <w:rPr>
          <w:spacing w:val="1"/>
        </w:rPr>
        <w:t> </w:t>
      </w:r>
      <w:r>
        <w:rPr/>
        <w:t>etc.).</w:t>
      </w:r>
      <w:r>
        <w:rPr>
          <w:spacing w:val="-1"/>
        </w:rPr>
        <w:t> </w:t>
      </w:r>
      <w:r>
        <w:rPr/>
        <w:t>El impacto</w:t>
      </w:r>
      <w:r>
        <w:rPr>
          <w:spacing w:val="-1"/>
        </w:rPr>
        <w:t> </w:t>
      </w:r>
      <w:r>
        <w:rPr/>
        <w:t>directo</w:t>
      </w:r>
      <w:r>
        <w:rPr>
          <w:spacing w:val="-3"/>
        </w:rPr>
        <w:t> </w:t>
      </w:r>
      <w:r>
        <w:rPr/>
        <w:t>ambiental,</w:t>
      </w:r>
      <w:r>
        <w:rPr>
          <w:spacing w:val="-2"/>
        </w:rPr>
        <w:t> </w:t>
      </w:r>
      <w:r>
        <w:rPr/>
        <w:t>también</w:t>
      </w:r>
      <w:r>
        <w:rPr>
          <w:spacing w:val="-1"/>
        </w:rPr>
        <w:t> </w:t>
      </w:r>
      <w:r>
        <w:rPr/>
        <w:t>se asocia</w:t>
      </w:r>
      <w:r>
        <w:rPr>
          <w:spacing w:val="-1"/>
        </w:rPr>
        <w:t> </w:t>
      </w:r>
      <w:r>
        <w:rPr/>
        <w:t>con</w:t>
      </w:r>
      <w:r>
        <w:rPr>
          <w:spacing w:val="-3"/>
        </w:rPr>
        <w:t> </w:t>
      </w:r>
      <w:r>
        <w:rPr/>
        <w:t>la</w:t>
      </w:r>
      <w:r>
        <w:rPr>
          <w:spacing w:val="-1"/>
        </w:rPr>
        <w:t> </w:t>
      </w:r>
      <w:r>
        <w:rPr>
          <w:spacing w:val="-2"/>
        </w:rPr>
        <w:t>operativa</w:t>
      </w:r>
    </w:p>
    <w:p>
      <w:pPr>
        <w:pStyle w:val="BodyText"/>
        <w:spacing w:line="229" w:lineRule="exact"/>
        <w:jc w:val="center"/>
      </w:pPr>
      <w:r>
        <w:rPr/>
        <w:t>de</w:t>
      </w:r>
      <w:r>
        <w:rPr>
          <w:spacing w:val="39"/>
        </w:rPr>
        <w:t> </w:t>
      </w:r>
      <w:r>
        <w:rPr/>
        <w:t>la</w:t>
      </w:r>
      <w:r>
        <w:rPr>
          <w:spacing w:val="38"/>
        </w:rPr>
        <w:t> </w:t>
      </w:r>
      <w:r>
        <w:rPr/>
        <w:t>sede</w:t>
      </w:r>
      <w:r>
        <w:rPr>
          <w:spacing w:val="40"/>
        </w:rPr>
        <w:t> </w:t>
      </w:r>
      <w:r>
        <w:rPr/>
        <w:t>social</w:t>
      </w:r>
      <w:r>
        <w:rPr>
          <w:spacing w:val="39"/>
        </w:rPr>
        <w:t> </w:t>
      </w:r>
      <w:r>
        <w:rPr/>
        <w:t>u</w:t>
      </w:r>
      <w:r>
        <w:rPr>
          <w:spacing w:val="39"/>
        </w:rPr>
        <w:t> </w:t>
      </w:r>
      <w:r>
        <w:rPr/>
        <w:t>oficinas</w:t>
      </w:r>
      <w:r>
        <w:rPr>
          <w:spacing w:val="43"/>
        </w:rPr>
        <w:t> </w:t>
      </w:r>
      <w:r>
        <w:rPr/>
        <w:t>centrales</w:t>
      </w:r>
      <w:r>
        <w:rPr>
          <w:spacing w:val="40"/>
        </w:rPr>
        <w:t> </w:t>
      </w:r>
      <w:r>
        <w:rPr/>
        <w:t>de</w:t>
      </w:r>
      <w:r>
        <w:rPr>
          <w:spacing w:val="38"/>
        </w:rPr>
        <w:t> </w:t>
      </w:r>
      <w:r>
        <w:rPr/>
        <w:t>Guaguas,</w:t>
      </w:r>
      <w:r>
        <w:rPr>
          <w:spacing w:val="40"/>
        </w:rPr>
        <w:t> </w:t>
      </w:r>
      <w:r>
        <w:rPr/>
        <w:t>en</w:t>
      </w:r>
      <w:r>
        <w:rPr>
          <w:spacing w:val="39"/>
        </w:rPr>
        <w:t> </w:t>
      </w:r>
      <w:r>
        <w:rPr/>
        <w:t>donde</w:t>
      </w:r>
      <w:r>
        <w:rPr>
          <w:spacing w:val="38"/>
        </w:rPr>
        <w:t> </w:t>
      </w:r>
      <w:r>
        <w:rPr/>
        <w:t>se</w:t>
      </w:r>
      <w:r>
        <w:rPr>
          <w:spacing w:val="41"/>
        </w:rPr>
        <w:t> </w:t>
      </w:r>
      <w:r>
        <w:rPr/>
        <w:t>valora</w:t>
      </w:r>
      <w:r>
        <w:rPr>
          <w:spacing w:val="40"/>
        </w:rPr>
        <w:t> </w:t>
      </w:r>
      <w:r>
        <w:rPr/>
        <w:t>especialmente</w:t>
      </w:r>
      <w:r>
        <w:rPr>
          <w:spacing w:val="41"/>
        </w:rPr>
        <w:t> </w:t>
      </w:r>
      <w:r>
        <w:rPr>
          <w:spacing w:val="-5"/>
        </w:rPr>
        <w:t>los</w:t>
      </w:r>
    </w:p>
    <w:p>
      <w:pPr>
        <w:pStyle w:val="BodyText"/>
        <w:spacing w:before="115"/>
        <w:jc w:val="center"/>
      </w:pPr>
      <w:r>
        <w:rPr/>
        <w:t>aspectos</w:t>
      </w:r>
      <w:r>
        <w:rPr>
          <w:spacing w:val="33"/>
        </w:rPr>
        <w:t> </w:t>
      </w:r>
      <w:r>
        <w:rPr/>
        <w:t>de</w:t>
      </w:r>
      <w:r>
        <w:rPr>
          <w:spacing w:val="31"/>
        </w:rPr>
        <w:t> </w:t>
      </w:r>
      <w:r>
        <w:rPr/>
        <w:t>reciclado</w:t>
      </w:r>
      <w:r>
        <w:rPr>
          <w:spacing w:val="37"/>
        </w:rPr>
        <w:t> </w:t>
      </w:r>
      <w:r>
        <w:rPr/>
        <w:t>y</w:t>
      </w:r>
      <w:r>
        <w:rPr>
          <w:spacing w:val="23"/>
        </w:rPr>
        <w:t> </w:t>
      </w:r>
      <w:r>
        <w:rPr/>
        <w:t>consumo</w:t>
      </w:r>
      <w:r>
        <w:rPr>
          <w:spacing w:val="31"/>
        </w:rPr>
        <w:t> </w:t>
      </w:r>
      <w:r>
        <w:rPr/>
        <w:t>de</w:t>
      </w:r>
      <w:r>
        <w:rPr>
          <w:spacing w:val="31"/>
        </w:rPr>
        <w:t> </w:t>
      </w:r>
      <w:r>
        <w:rPr/>
        <w:t>energía,</w:t>
      </w:r>
      <w:r>
        <w:rPr>
          <w:spacing w:val="31"/>
        </w:rPr>
        <w:t> </w:t>
      </w:r>
      <w:r>
        <w:rPr/>
        <w:t>cuidándose</w:t>
      </w:r>
      <w:r>
        <w:rPr>
          <w:spacing w:val="30"/>
        </w:rPr>
        <w:t> </w:t>
      </w:r>
      <w:r>
        <w:rPr/>
        <w:t>el</w:t>
      </w:r>
      <w:r>
        <w:rPr>
          <w:spacing w:val="30"/>
        </w:rPr>
        <w:t> </w:t>
      </w:r>
      <w:r>
        <w:rPr/>
        <w:t>cumplimiento</w:t>
      </w:r>
      <w:r>
        <w:rPr>
          <w:spacing w:val="30"/>
        </w:rPr>
        <w:t> </w:t>
      </w:r>
      <w:r>
        <w:rPr/>
        <w:t>de</w:t>
      </w:r>
      <w:r>
        <w:rPr>
          <w:spacing w:val="34"/>
        </w:rPr>
        <w:t> </w:t>
      </w:r>
      <w:r>
        <w:rPr>
          <w:spacing w:val="-2"/>
        </w:rPr>
        <w:t>determinadas</w:t>
      </w:r>
    </w:p>
    <w:p>
      <w:pPr>
        <w:pStyle w:val="BodyText"/>
        <w:spacing w:after="0"/>
        <w:jc w:val="center"/>
        <w:sectPr>
          <w:pgSz w:w="11910" w:h="16840"/>
          <w:pgMar w:header="384" w:footer="1060" w:top="1200" w:bottom="1260" w:left="360" w:right="360"/>
        </w:sectPr>
      </w:pPr>
    </w:p>
    <w:p>
      <w:pPr>
        <w:pStyle w:val="BodyText"/>
        <w:spacing w:before="215"/>
        <w:jc w:val="center"/>
      </w:pPr>
      <w:r>
        <w:rPr/>
        <w:t>normas</w:t>
      </w:r>
      <w:r>
        <w:rPr>
          <w:spacing w:val="15"/>
        </w:rPr>
        <w:t> </w:t>
      </w:r>
      <w:r>
        <w:rPr/>
        <w:t>relativas</w:t>
      </w:r>
      <w:r>
        <w:rPr>
          <w:spacing w:val="17"/>
        </w:rPr>
        <w:t> </w:t>
      </w:r>
      <w:r>
        <w:rPr/>
        <w:t>a</w:t>
      </w:r>
      <w:r>
        <w:rPr>
          <w:spacing w:val="17"/>
        </w:rPr>
        <w:t> </w:t>
      </w:r>
      <w:r>
        <w:rPr/>
        <w:t>la</w:t>
      </w:r>
      <w:r>
        <w:rPr>
          <w:spacing w:val="16"/>
        </w:rPr>
        <w:t> </w:t>
      </w:r>
      <w:r>
        <w:rPr/>
        <w:t>utilización</w:t>
      </w:r>
      <w:r>
        <w:rPr>
          <w:spacing w:val="17"/>
        </w:rPr>
        <w:t> </w:t>
      </w:r>
      <w:r>
        <w:rPr/>
        <w:t>de</w:t>
      </w:r>
      <w:r>
        <w:rPr>
          <w:spacing w:val="17"/>
        </w:rPr>
        <w:t> </w:t>
      </w:r>
      <w:r>
        <w:rPr/>
        <w:t>los</w:t>
      </w:r>
      <w:r>
        <w:rPr>
          <w:spacing w:val="19"/>
        </w:rPr>
        <w:t> </w:t>
      </w:r>
      <w:r>
        <w:rPr/>
        <w:t>recursos</w:t>
      </w:r>
      <w:r>
        <w:rPr>
          <w:spacing w:val="19"/>
        </w:rPr>
        <w:t> </w:t>
      </w:r>
      <w:r>
        <w:rPr/>
        <w:t>energéticos</w:t>
      </w:r>
      <w:r>
        <w:rPr>
          <w:spacing w:val="19"/>
        </w:rPr>
        <w:t> </w:t>
      </w:r>
      <w:r>
        <w:rPr/>
        <w:t>(luz</w:t>
      </w:r>
      <w:r>
        <w:rPr>
          <w:spacing w:val="17"/>
        </w:rPr>
        <w:t> </w:t>
      </w:r>
      <w:r>
        <w:rPr/>
        <w:t>básicamente)</w:t>
      </w:r>
      <w:r>
        <w:rPr>
          <w:spacing w:val="18"/>
        </w:rPr>
        <w:t> </w:t>
      </w:r>
      <w:r>
        <w:rPr/>
        <w:t>y</w:t>
      </w:r>
      <w:r>
        <w:rPr>
          <w:spacing w:val="14"/>
        </w:rPr>
        <w:t> </w:t>
      </w:r>
      <w:r>
        <w:rPr/>
        <w:t>reciclado</w:t>
      </w:r>
      <w:r>
        <w:rPr>
          <w:spacing w:val="17"/>
        </w:rPr>
        <w:t> </w:t>
      </w:r>
      <w:r>
        <w:rPr>
          <w:spacing w:val="-5"/>
        </w:rPr>
        <w:t>de</w:t>
      </w:r>
    </w:p>
    <w:p>
      <w:pPr>
        <w:pStyle w:val="BodyText"/>
        <w:spacing w:before="116"/>
        <w:jc w:val="center"/>
      </w:pPr>
      <w:r>
        <w:rPr/>
        <w:t>papel</w:t>
      </w:r>
      <w:r>
        <w:rPr>
          <w:spacing w:val="55"/>
        </w:rPr>
        <w:t> </w:t>
      </w:r>
      <w:r>
        <w:rPr/>
        <w:t>y</w:t>
      </w:r>
      <w:r>
        <w:rPr>
          <w:spacing w:val="49"/>
        </w:rPr>
        <w:t> </w:t>
      </w:r>
      <w:r>
        <w:rPr/>
        <w:t>otros</w:t>
      </w:r>
      <w:r>
        <w:rPr>
          <w:spacing w:val="55"/>
        </w:rPr>
        <w:t> </w:t>
      </w:r>
      <w:r>
        <w:rPr/>
        <w:t>materiales.</w:t>
      </w:r>
      <w:r>
        <w:rPr>
          <w:spacing w:val="51"/>
        </w:rPr>
        <w:t> </w:t>
      </w:r>
      <w:r>
        <w:rPr/>
        <w:t>El</w:t>
      </w:r>
      <w:r>
        <w:rPr>
          <w:spacing w:val="50"/>
        </w:rPr>
        <w:t> </w:t>
      </w:r>
      <w:r>
        <w:rPr/>
        <w:t>que</w:t>
      </w:r>
      <w:r>
        <w:rPr>
          <w:spacing w:val="53"/>
        </w:rPr>
        <w:t> </w:t>
      </w:r>
      <w:r>
        <w:rPr/>
        <w:t>podría</w:t>
      </w:r>
      <w:r>
        <w:rPr>
          <w:spacing w:val="55"/>
        </w:rPr>
        <w:t> </w:t>
      </w:r>
      <w:r>
        <w:rPr/>
        <w:t>denominarse</w:t>
      </w:r>
      <w:r>
        <w:rPr>
          <w:spacing w:val="52"/>
        </w:rPr>
        <w:t> </w:t>
      </w:r>
      <w:r>
        <w:rPr/>
        <w:t>impacto</w:t>
      </w:r>
      <w:r>
        <w:rPr>
          <w:spacing w:val="52"/>
        </w:rPr>
        <w:t> </w:t>
      </w:r>
      <w:r>
        <w:rPr/>
        <w:t>indirecto</w:t>
      </w:r>
      <w:r>
        <w:rPr>
          <w:spacing w:val="52"/>
        </w:rPr>
        <w:t> </w:t>
      </w:r>
      <w:r>
        <w:rPr/>
        <w:t>ambiental</w:t>
      </w:r>
      <w:r>
        <w:rPr>
          <w:spacing w:val="49"/>
        </w:rPr>
        <w:t> </w:t>
      </w:r>
      <w:r>
        <w:rPr>
          <w:spacing w:val="-2"/>
        </w:rPr>
        <w:t>vendría</w:t>
      </w:r>
    </w:p>
    <w:p>
      <w:pPr>
        <w:pStyle w:val="BodyText"/>
        <w:spacing w:line="362" w:lineRule="auto" w:before="113"/>
        <w:ind w:left="1341" w:right="1308"/>
      </w:pPr>
      <w:r>
        <w:rPr/>
        <w:t>determinado</w:t>
      </w:r>
      <w:r>
        <w:rPr>
          <w:spacing w:val="37"/>
        </w:rPr>
        <w:t> </w:t>
      </w:r>
      <w:r>
        <w:rPr/>
        <w:t>por</w:t>
      </w:r>
      <w:r>
        <w:rPr>
          <w:spacing w:val="38"/>
        </w:rPr>
        <w:t> </w:t>
      </w:r>
      <w:r>
        <w:rPr/>
        <w:t>la</w:t>
      </w:r>
      <w:r>
        <w:rPr>
          <w:spacing w:val="36"/>
        </w:rPr>
        <w:t> </w:t>
      </w:r>
      <w:r>
        <w:rPr/>
        <w:t>actividad</w:t>
      </w:r>
      <w:r>
        <w:rPr>
          <w:spacing w:val="39"/>
        </w:rPr>
        <w:t> </w:t>
      </w:r>
      <w:r>
        <w:rPr/>
        <w:t>realizada</w:t>
      </w:r>
      <w:r>
        <w:rPr>
          <w:spacing w:val="36"/>
        </w:rPr>
        <w:t> </w:t>
      </w:r>
      <w:r>
        <w:rPr/>
        <w:t>fuera</w:t>
      </w:r>
      <w:r>
        <w:rPr>
          <w:spacing w:val="36"/>
        </w:rPr>
        <w:t> </w:t>
      </w:r>
      <w:r>
        <w:rPr/>
        <w:t>de</w:t>
      </w:r>
      <w:r>
        <w:rPr>
          <w:spacing w:val="37"/>
        </w:rPr>
        <w:t> </w:t>
      </w:r>
      <w:r>
        <w:rPr/>
        <w:t>la</w:t>
      </w:r>
      <w:r>
        <w:rPr>
          <w:spacing w:val="36"/>
        </w:rPr>
        <w:t> </w:t>
      </w:r>
      <w:r>
        <w:rPr/>
        <w:t>sede</w:t>
      </w:r>
      <w:r>
        <w:rPr>
          <w:spacing w:val="38"/>
        </w:rPr>
        <w:t> </w:t>
      </w:r>
      <w:r>
        <w:rPr/>
        <w:t>social,</w:t>
      </w:r>
      <w:r>
        <w:rPr>
          <w:spacing w:val="35"/>
        </w:rPr>
        <w:t> </w:t>
      </w:r>
      <w:r>
        <w:rPr/>
        <w:t>cuyo</w:t>
      </w:r>
      <w:r>
        <w:rPr>
          <w:spacing w:val="39"/>
        </w:rPr>
        <w:t> </w:t>
      </w:r>
      <w:r>
        <w:rPr/>
        <w:t>impacto</w:t>
      </w:r>
      <w:r>
        <w:rPr>
          <w:spacing w:val="37"/>
        </w:rPr>
        <w:t> </w:t>
      </w:r>
      <w:r>
        <w:rPr/>
        <w:t>no</w:t>
      </w:r>
      <w:r>
        <w:rPr>
          <w:spacing w:val="37"/>
        </w:rPr>
        <w:t> </w:t>
      </w:r>
      <w:r>
        <w:rPr/>
        <w:t>puede</w:t>
      </w:r>
      <w:r>
        <w:rPr>
          <w:spacing w:val="37"/>
        </w:rPr>
        <w:t> </w:t>
      </w:r>
      <w:r>
        <w:rPr/>
        <w:t>ser medido por Guaguas por falta de información al respecto.</w:t>
      </w:r>
    </w:p>
    <w:p>
      <w:pPr>
        <w:pStyle w:val="BodyText"/>
        <w:spacing w:line="360" w:lineRule="auto" w:before="196"/>
        <w:ind w:left="1341" w:right="1336"/>
        <w:jc w:val="both"/>
      </w:pPr>
      <w:r>
        <w:rPr/>
        <w:t>Las políticas medioambientales se centran en la reducción de emisiones contaminantes, mediante la renovación de la flota hacia vehículos más sostenibles, la gestión controlada y seguimiento</w:t>
      </w:r>
      <w:r>
        <w:rPr>
          <w:spacing w:val="-1"/>
        </w:rPr>
        <w:t> </w:t>
      </w:r>
      <w:r>
        <w:rPr/>
        <w:t>de los residuos peligrosos, la</w:t>
      </w:r>
      <w:r>
        <w:rPr>
          <w:spacing w:val="-1"/>
        </w:rPr>
        <w:t> </w:t>
      </w:r>
      <w:r>
        <w:rPr/>
        <w:t>eficiencia en el consumo</w:t>
      </w:r>
      <w:r>
        <w:rPr>
          <w:spacing w:val="-1"/>
        </w:rPr>
        <w:t> </w:t>
      </w:r>
      <w:r>
        <w:rPr/>
        <w:t>energético (alumbrado, aire acondicionado, maquinaria), reutilización de agua del tren de lavado y reciclado (básicamente plástico y papel). En este sentido tiene un impacto importante los cambios en la política de mantenimientos de flota y de profesionalización del taller de la compañía, que han llevado a asumir en taller interno todo el mantenimiento de los vehículos eléctricos y constituirse de este modo como en los principales especialistas en la reparación de este tipo de vehículos a nivel regional. Este cambio de modelo en la gestión del taller también ha provocado que aumente el porcentaje</w:t>
      </w:r>
      <w:r>
        <w:rPr>
          <w:spacing w:val="26"/>
        </w:rPr>
        <w:t> </w:t>
      </w:r>
      <w:r>
        <w:rPr/>
        <w:t>de</w:t>
      </w:r>
      <w:r>
        <w:rPr>
          <w:spacing w:val="27"/>
        </w:rPr>
        <w:t> </w:t>
      </w:r>
      <w:r>
        <w:rPr/>
        <w:t>vehículos</w:t>
      </w:r>
      <w:r>
        <w:rPr>
          <w:spacing w:val="28"/>
        </w:rPr>
        <w:t> </w:t>
      </w:r>
      <w:r>
        <w:rPr/>
        <w:t>de</w:t>
      </w:r>
      <w:r>
        <w:rPr>
          <w:spacing w:val="25"/>
        </w:rPr>
        <w:t> </w:t>
      </w:r>
      <w:r>
        <w:rPr/>
        <w:t>la</w:t>
      </w:r>
      <w:r>
        <w:rPr>
          <w:spacing w:val="23"/>
        </w:rPr>
        <w:t> </w:t>
      </w:r>
      <w:r>
        <w:rPr/>
        <w:t>flota</w:t>
      </w:r>
      <w:r>
        <w:rPr>
          <w:spacing w:val="25"/>
        </w:rPr>
        <w:t> </w:t>
      </w:r>
      <w:r>
        <w:rPr/>
        <w:t>que</w:t>
      </w:r>
      <w:r>
        <w:rPr>
          <w:spacing w:val="29"/>
        </w:rPr>
        <w:t> </w:t>
      </w:r>
      <w:r>
        <w:rPr/>
        <w:t>mantiene</w:t>
      </w:r>
      <w:r>
        <w:rPr>
          <w:spacing w:val="27"/>
        </w:rPr>
        <w:t> </w:t>
      </w:r>
      <w:r>
        <w:rPr/>
        <w:t>el</w:t>
      </w:r>
      <w:r>
        <w:rPr>
          <w:spacing w:val="26"/>
        </w:rPr>
        <w:t> </w:t>
      </w:r>
      <w:r>
        <w:rPr/>
        <w:t>taller</w:t>
      </w:r>
      <w:r>
        <w:rPr>
          <w:spacing w:val="27"/>
        </w:rPr>
        <w:t> </w:t>
      </w:r>
      <w:r>
        <w:rPr/>
        <w:t>interno,</w:t>
      </w:r>
      <w:r>
        <w:rPr>
          <w:spacing w:val="26"/>
        </w:rPr>
        <w:t> </w:t>
      </w:r>
      <w:r>
        <w:rPr/>
        <w:t>lo</w:t>
      </w:r>
      <w:r>
        <w:rPr>
          <w:spacing w:val="28"/>
        </w:rPr>
        <w:t> </w:t>
      </w:r>
      <w:r>
        <w:rPr/>
        <w:t>que</w:t>
      </w:r>
      <w:r>
        <w:rPr>
          <w:spacing w:val="27"/>
        </w:rPr>
        <w:t> </w:t>
      </w:r>
      <w:r>
        <w:rPr/>
        <w:t>ha</w:t>
      </w:r>
      <w:r>
        <w:rPr>
          <w:spacing w:val="27"/>
        </w:rPr>
        <w:t> </w:t>
      </w:r>
      <w:r>
        <w:rPr/>
        <w:t>revertido</w:t>
      </w:r>
      <w:r>
        <w:rPr>
          <w:spacing w:val="27"/>
        </w:rPr>
        <w:t> </w:t>
      </w:r>
      <w:r>
        <w:rPr/>
        <w:t>en</w:t>
      </w:r>
      <w:r>
        <w:rPr>
          <w:spacing w:val="25"/>
        </w:rPr>
        <w:t> </w:t>
      </w:r>
      <w:r>
        <w:rPr>
          <w:spacing w:val="-5"/>
        </w:rPr>
        <w:t>un</w:t>
      </w:r>
    </w:p>
    <w:p>
      <w:pPr>
        <w:pStyle w:val="BodyText"/>
        <w:spacing w:line="362" w:lineRule="auto"/>
        <w:ind w:left="1341" w:right="1308"/>
      </w:pPr>
      <w:r>
        <w:rPr/>
        <w:t>aumento,</w:t>
      </w:r>
      <w:r>
        <w:rPr>
          <w:spacing w:val="40"/>
        </w:rPr>
        <w:t> </w:t>
      </w:r>
      <w:r>
        <w:rPr/>
        <w:t>en</w:t>
      </w:r>
      <w:r>
        <w:rPr>
          <w:spacing w:val="40"/>
        </w:rPr>
        <w:t> </w:t>
      </w:r>
      <w:r>
        <w:rPr/>
        <w:t>algunos</w:t>
      </w:r>
      <w:r>
        <w:rPr>
          <w:spacing w:val="40"/>
        </w:rPr>
        <w:t> </w:t>
      </w:r>
      <w:r>
        <w:rPr/>
        <w:t>casos,</w:t>
      </w:r>
      <w:r>
        <w:rPr>
          <w:spacing w:val="40"/>
        </w:rPr>
        <w:t> </w:t>
      </w:r>
      <w:r>
        <w:rPr/>
        <w:t>de</w:t>
      </w:r>
      <w:r>
        <w:rPr>
          <w:spacing w:val="40"/>
        </w:rPr>
        <w:t> </w:t>
      </w:r>
      <w:r>
        <w:rPr/>
        <w:t>los</w:t>
      </w:r>
      <w:r>
        <w:rPr>
          <w:spacing w:val="40"/>
        </w:rPr>
        <w:t> </w:t>
      </w:r>
      <w:r>
        <w:rPr/>
        <w:t>residuos</w:t>
      </w:r>
      <w:r>
        <w:rPr>
          <w:spacing w:val="40"/>
        </w:rPr>
        <w:t> </w:t>
      </w:r>
      <w:r>
        <w:rPr/>
        <w:t>peligrosos</w:t>
      </w:r>
      <w:r>
        <w:rPr>
          <w:spacing w:val="40"/>
        </w:rPr>
        <w:t> </w:t>
      </w:r>
      <w:r>
        <w:rPr/>
        <w:t>y</w:t>
      </w:r>
      <w:r>
        <w:rPr>
          <w:spacing w:val="40"/>
        </w:rPr>
        <w:t> </w:t>
      </w:r>
      <w:r>
        <w:rPr/>
        <w:t>no</w:t>
      </w:r>
      <w:r>
        <w:rPr>
          <w:spacing w:val="40"/>
        </w:rPr>
        <w:t> </w:t>
      </w:r>
      <w:r>
        <w:rPr/>
        <w:t>peligrosos</w:t>
      </w:r>
      <w:r>
        <w:rPr>
          <w:spacing w:val="40"/>
        </w:rPr>
        <w:t> </w:t>
      </w:r>
      <w:r>
        <w:rPr/>
        <w:t>generados</w:t>
      </w:r>
      <w:r>
        <w:rPr>
          <w:spacing w:val="40"/>
        </w:rPr>
        <w:t> </w:t>
      </w:r>
      <w:r>
        <w:rPr/>
        <w:t>en</w:t>
      </w:r>
      <w:r>
        <w:rPr>
          <w:spacing w:val="40"/>
        </w:rPr>
        <w:t> </w:t>
      </w:r>
      <w:r>
        <w:rPr/>
        <w:t>la actividad e mantenimiento de la flota.</w:t>
      </w:r>
    </w:p>
    <w:p>
      <w:pPr>
        <w:pStyle w:val="BodyText"/>
        <w:spacing w:line="362" w:lineRule="auto" w:before="195"/>
        <w:ind w:left="1341" w:right="1336"/>
        <w:jc w:val="both"/>
      </w:pPr>
      <w:r>
        <w:rPr/>
        <w:t>La materialización de una emergencia ambiental tal como vertido o derrame de sustancias, los posibles vertidos de productos químicos durante el mantenimiento en la zona de taller y de aguas residuales a la</w:t>
      </w:r>
      <w:r>
        <w:rPr>
          <w:spacing w:val="-1"/>
        </w:rPr>
        <w:t> </w:t>
      </w:r>
      <w:r>
        <w:rPr/>
        <w:t>red</w:t>
      </w:r>
      <w:r>
        <w:rPr>
          <w:spacing w:val="-1"/>
        </w:rPr>
        <w:t> </w:t>
      </w:r>
      <w:r>
        <w:rPr/>
        <w:t>de alcantarillado, pueden representar los riesgos más evidentes en el medio plazo en relación con el impacto medioambiental.</w:t>
      </w:r>
    </w:p>
    <w:p>
      <w:pPr>
        <w:pStyle w:val="BodyText"/>
        <w:spacing w:before="192"/>
        <w:jc w:val="center"/>
      </w:pPr>
      <w:r>
        <w:rPr/>
        <w:t>Guaguas</w:t>
      </w:r>
      <w:r>
        <w:rPr>
          <w:spacing w:val="38"/>
        </w:rPr>
        <w:t> </w:t>
      </w:r>
      <w:r>
        <w:rPr/>
        <w:t>dispone</w:t>
      </w:r>
      <w:r>
        <w:rPr>
          <w:spacing w:val="40"/>
        </w:rPr>
        <w:t> </w:t>
      </w:r>
      <w:r>
        <w:rPr/>
        <w:t>de</w:t>
      </w:r>
      <w:r>
        <w:rPr>
          <w:spacing w:val="38"/>
        </w:rPr>
        <w:t> </w:t>
      </w:r>
      <w:r>
        <w:rPr/>
        <w:t>unas</w:t>
      </w:r>
      <w:r>
        <w:rPr>
          <w:spacing w:val="41"/>
        </w:rPr>
        <w:t> </w:t>
      </w:r>
      <w:r>
        <w:rPr/>
        <w:t>pautas</w:t>
      </w:r>
      <w:r>
        <w:rPr>
          <w:spacing w:val="38"/>
        </w:rPr>
        <w:t> </w:t>
      </w:r>
      <w:r>
        <w:rPr/>
        <w:t>de</w:t>
      </w:r>
      <w:r>
        <w:rPr>
          <w:spacing w:val="38"/>
        </w:rPr>
        <w:t> </w:t>
      </w:r>
      <w:r>
        <w:rPr/>
        <w:t>respuesta</w:t>
      </w:r>
      <w:r>
        <w:rPr>
          <w:spacing w:val="38"/>
        </w:rPr>
        <w:t> </w:t>
      </w:r>
      <w:r>
        <w:rPr/>
        <w:t>ambiental,</w:t>
      </w:r>
      <w:r>
        <w:rPr>
          <w:spacing w:val="39"/>
        </w:rPr>
        <w:t> </w:t>
      </w:r>
      <w:r>
        <w:rPr/>
        <w:t>así</w:t>
      </w:r>
      <w:r>
        <w:rPr>
          <w:spacing w:val="37"/>
        </w:rPr>
        <w:t> </w:t>
      </w:r>
      <w:r>
        <w:rPr/>
        <w:t>como</w:t>
      </w:r>
      <w:r>
        <w:rPr>
          <w:spacing w:val="39"/>
        </w:rPr>
        <w:t> </w:t>
      </w:r>
      <w:r>
        <w:rPr/>
        <w:t>simulacros</w:t>
      </w:r>
      <w:r>
        <w:rPr>
          <w:spacing w:val="40"/>
        </w:rPr>
        <w:t> </w:t>
      </w:r>
      <w:r>
        <w:rPr/>
        <w:t>y</w:t>
      </w:r>
      <w:r>
        <w:rPr>
          <w:spacing w:val="33"/>
        </w:rPr>
        <w:t> </w:t>
      </w:r>
      <w:r>
        <w:rPr>
          <w:spacing w:val="-2"/>
        </w:rPr>
        <w:t>revisión</w:t>
      </w:r>
    </w:p>
    <w:p>
      <w:pPr>
        <w:pStyle w:val="BodyText"/>
        <w:spacing w:line="362" w:lineRule="auto" w:before="114"/>
        <w:ind w:left="1341" w:right="1334"/>
        <w:jc w:val="both"/>
      </w:pPr>
      <w:r>
        <w:rPr/>
        <mc:AlternateContent>
          <mc:Choice Requires="wps">
            <w:drawing>
              <wp:anchor distT="0" distB="0" distL="0" distR="0" allowOverlap="1" layoutInCell="1" locked="0" behindDoc="0" simplePos="0" relativeHeight="15794176">
                <wp:simplePos x="0" y="0"/>
                <wp:positionH relativeFrom="page">
                  <wp:posOffset>6966436</wp:posOffset>
                </wp:positionH>
                <wp:positionV relativeFrom="paragraph">
                  <wp:posOffset>746407</wp:posOffset>
                </wp:positionV>
                <wp:extent cx="263525" cy="327596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8.772236pt;width:20.75pt;height:257.95pt;mso-position-horizontal-relative:page;mso-position-vertical-relative:paragraph;z-index:15794176" type="#_x0000_t202" id="docshape19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19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periódica, se verifican sistemáticamente los protocolos y medios de contención de vertidos y mejora y documenta la sistemática de inspección, control y mantenimiento del sistema de separación, garantizando que los parámetros de vertido sean los adecuados y cumplen con el marco legal en vigor para mitigar los riesgos asociados al impacto medioambiental.</w:t>
      </w:r>
    </w:p>
    <w:p>
      <w:pPr>
        <w:pStyle w:val="BodyText"/>
        <w:spacing w:line="360" w:lineRule="auto" w:before="192"/>
        <w:ind w:left="1341" w:right="1308"/>
      </w:pPr>
      <w:r>
        <w:rPr/>
        <w:t>Por último, Guaguas aprovecha la adquisición de vehículos nuevos para reducir el consumo y disminuir la contaminación en aras de su compromiso medioambiental.</w:t>
      </w:r>
    </w:p>
    <w:p>
      <w:pPr>
        <w:pStyle w:val="Heading3"/>
        <w:numPr>
          <w:ilvl w:val="1"/>
          <w:numId w:val="31"/>
        </w:numPr>
        <w:tabs>
          <w:tab w:pos="1670" w:val="left" w:leader="none"/>
        </w:tabs>
        <w:spacing w:line="240" w:lineRule="auto" w:before="198" w:after="0"/>
        <w:ind w:left="1670" w:right="0" w:hanging="329"/>
        <w:jc w:val="left"/>
      </w:pPr>
      <w:bookmarkStart w:name="_TOC_250035" w:id="17"/>
      <w:r>
        <w:rPr>
          <w:spacing w:val="-2"/>
        </w:rPr>
        <w:t>Contaminación</w:t>
      </w:r>
      <w:r>
        <w:rPr>
          <w:spacing w:val="9"/>
        </w:rPr>
        <w:t> </w:t>
      </w:r>
      <w:bookmarkEnd w:id="17"/>
      <w:r>
        <w:rPr>
          <w:spacing w:val="-2"/>
        </w:rPr>
        <w:t>atmosférica</w:t>
      </w:r>
    </w:p>
    <w:p>
      <w:pPr>
        <w:pStyle w:val="BodyText"/>
        <w:spacing w:before="47"/>
        <w:rPr>
          <w:b/>
        </w:rPr>
      </w:pPr>
    </w:p>
    <w:p>
      <w:pPr>
        <w:pStyle w:val="BodyText"/>
        <w:spacing w:line="357" w:lineRule="auto"/>
        <w:ind w:left="1341" w:right="1308"/>
      </w:pPr>
      <w:r>
        <w:rPr/>
        <w:t>GMSA</w:t>
      </w:r>
      <w:r>
        <w:rPr>
          <w:spacing w:val="40"/>
        </w:rPr>
        <w:t> </w:t>
      </w:r>
      <w:r>
        <w:rPr/>
        <w:t>ha</w:t>
      </w:r>
      <w:r>
        <w:rPr>
          <w:spacing w:val="40"/>
        </w:rPr>
        <w:t> </w:t>
      </w:r>
      <w:r>
        <w:rPr/>
        <w:t>certificado</w:t>
      </w:r>
      <w:r>
        <w:rPr>
          <w:spacing w:val="40"/>
        </w:rPr>
        <w:t> </w:t>
      </w:r>
      <w:r>
        <w:rPr/>
        <w:t>la</w:t>
      </w:r>
      <w:r>
        <w:rPr>
          <w:spacing w:val="40"/>
        </w:rPr>
        <w:t> </w:t>
      </w:r>
      <w:r>
        <w:rPr/>
        <w:t>huella</w:t>
      </w:r>
      <w:r>
        <w:rPr>
          <w:spacing w:val="40"/>
        </w:rPr>
        <w:t> </w:t>
      </w:r>
      <w:r>
        <w:rPr/>
        <w:t>de</w:t>
      </w:r>
      <w:r>
        <w:rPr>
          <w:spacing w:val="40"/>
        </w:rPr>
        <w:t> </w:t>
      </w:r>
      <w:r>
        <w:rPr/>
        <w:t>carbono</w:t>
      </w:r>
      <w:r>
        <w:rPr>
          <w:spacing w:val="40"/>
        </w:rPr>
        <w:t> </w:t>
      </w:r>
      <w:r>
        <w:rPr/>
        <w:t>correspondiente</w:t>
      </w:r>
      <w:r>
        <w:rPr>
          <w:spacing w:val="40"/>
        </w:rPr>
        <w:t> </w:t>
      </w:r>
      <w:r>
        <w:rPr/>
        <w:t>a</w:t>
      </w:r>
      <w:r>
        <w:rPr>
          <w:spacing w:val="40"/>
        </w:rPr>
        <w:t> </w:t>
      </w:r>
      <w:r>
        <w:rPr/>
        <w:t>su</w:t>
      </w:r>
      <w:r>
        <w:rPr>
          <w:spacing w:val="40"/>
        </w:rPr>
        <w:t> </w:t>
      </w:r>
      <w:r>
        <w:rPr/>
        <w:t>actividad</w:t>
      </w:r>
      <w:r>
        <w:rPr>
          <w:spacing w:val="40"/>
        </w:rPr>
        <w:t> </w:t>
      </w:r>
      <w:r>
        <w:rPr/>
        <w:t>en</w:t>
      </w:r>
      <w:r>
        <w:rPr>
          <w:spacing w:val="40"/>
        </w:rPr>
        <w:t> </w:t>
      </w:r>
      <w:r>
        <w:rPr/>
        <w:t>2024</w:t>
      </w:r>
      <w:r>
        <w:rPr>
          <w:spacing w:val="40"/>
        </w:rPr>
        <w:t> </w:t>
      </w:r>
      <w:r>
        <w:rPr/>
        <w:t>y</w:t>
      </w:r>
      <w:r>
        <w:rPr>
          <w:spacing w:val="40"/>
        </w:rPr>
        <w:t> </w:t>
      </w:r>
      <w:r>
        <w:rPr/>
        <w:t>ha realizado</w:t>
      </w:r>
      <w:r>
        <w:rPr>
          <w:spacing w:val="37"/>
        </w:rPr>
        <w:t> </w:t>
      </w:r>
      <w:r>
        <w:rPr/>
        <w:t>el</w:t>
      </w:r>
      <w:r>
        <w:rPr>
          <w:spacing w:val="37"/>
        </w:rPr>
        <w:t> </w:t>
      </w:r>
      <w:r>
        <w:rPr/>
        <w:t>cálculo</w:t>
      </w:r>
      <w:r>
        <w:rPr>
          <w:spacing w:val="36"/>
        </w:rPr>
        <w:t> </w:t>
      </w:r>
      <w:r>
        <w:rPr/>
        <w:t>preliminar</w:t>
      </w:r>
      <w:r>
        <w:rPr>
          <w:spacing w:val="36"/>
        </w:rPr>
        <w:t> </w:t>
      </w:r>
      <w:r>
        <w:rPr/>
        <w:t>de</w:t>
      </w:r>
      <w:r>
        <w:rPr>
          <w:spacing w:val="37"/>
        </w:rPr>
        <w:t> </w:t>
      </w:r>
      <w:r>
        <w:rPr/>
        <w:t>la</w:t>
      </w:r>
      <w:r>
        <w:rPr>
          <w:spacing w:val="37"/>
        </w:rPr>
        <w:t> </w:t>
      </w:r>
      <w:r>
        <w:rPr/>
        <w:t>huella</w:t>
      </w:r>
      <w:r>
        <w:rPr>
          <w:spacing w:val="37"/>
        </w:rPr>
        <w:t> </w:t>
      </w:r>
      <w:r>
        <w:rPr/>
        <w:t>de</w:t>
      </w:r>
      <w:r>
        <w:rPr>
          <w:spacing w:val="36"/>
        </w:rPr>
        <w:t> </w:t>
      </w:r>
      <w:r>
        <w:rPr/>
        <w:t>carbono</w:t>
      </w:r>
      <w:r>
        <w:rPr>
          <w:spacing w:val="37"/>
        </w:rPr>
        <w:t> </w:t>
      </w:r>
      <w:r>
        <w:rPr/>
        <w:t>del</w:t>
      </w:r>
      <w:r>
        <w:rPr>
          <w:spacing w:val="35"/>
        </w:rPr>
        <w:t> </w:t>
      </w:r>
      <w:r>
        <w:rPr/>
        <w:t>ejercicio</w:t>
      </w:r>
      <w:r>
        <w:rPr>
          <w:spacing w:val="36"/>
        </w:rPr>
        <w:t> </w:t>
      </w:r>
      <w:r>
        <w:rPr/>
        <w:t>2025,</w:t>
      </w:r>
      <w:r>
        <w:rPr>
          <w:spacing w:val="37"/>
        </w:rPr>
        <w:t> </w:t>
      </w:r>
      <w:r>
        <w:rPr/>
        <w:t>empleando</w:t>
      </w:r>
      <w:r>
        <w:rPr>
          <w:spacing w:val="36"/>
        </w:rPr>
        <w:t> </w:t>
      </w:r>
      <w:r>
        <w:rPr>
          <w:spacing w:val="-5"/>
        </w:rPr>
        <w:t>los</w:t>
      </w:r>
    </w:p>
    <w:p>
      <w:pPr>
        <w:pStyle w:val="BodyText"/>
        <w:spacing w:line="360" w:lineRule="auto" w:before="3"/>
        <w:ind w:left="1341" w:right="1308"/>
      </w:pPr>
      <w:r>
        <w:rPr/>
        <w:t>factores de emisiones de 2024 publicados por el Ministerio para la Transición Ecológica y el Reto Demográfico.</w:t>
      </w:r>
    </w:p>
    <w:p>
      <w:pPr>
        <w:pStyle w:val="BodyText"/>
        <w:spacing w:before="114"/>
      </w:pPr>
    </w:p>
    <w:p>
      <w:pPr>
        <w:pStyle w:val="BodyText"/>
        <w:spacing w:before="1"/>
        <w:ind w:right="136"/>
        <w:jc w:val="center"/>
      </w:pPr>
      <w:r>
        <w:rPr/>
        <w:t>Los</w:t>
      </w:r>
      <w:r>
        <w:rPr>
          <w:spacing w:val="63"/>
        </w:rPr>
        <w:t> </w:t>
      </w:r>
      <w:r>
        <w:rPr/>
        <w:t>resultados</w:t>
      </w:r>
      <w:r>
        <w:rPr>
          <w:spacing w:val="62"/>
        </w:rPr>
        <w:t> </w:t>
      </w:r>
      <w:r>
        <w:rPr/>
        <w:t>obtenidos</w:t>
      </w:r>
      <w:r>
        <w:rPr>
          <w:spacing w:val="63"/>
        </w:rPr>
        <w:t> </w:t>
      </w:r>
      <w:r>
        <w:rPr/>
        <w:t>se</w:t>
      </w:r>
      <w:r>
        <w:rPr>
          <w:spacing w:val="59"/>
        </w:rPr>
        <w:t> </w:t>
      </w:r>
      <w:r>
        <w:rPr/>
        <w:t>muestran</w:t>
      </w:r>
      <w:r>
        <w:rPr>
          <w:spacing w:val="61"/>
        </w:rPr>
        <w:t> </w:t>
      </w:r>
      <w:r>
        <w:rPr/>
        <w:t>en</w:t>
      </w:r>
      <w:r>
        <w:rPr>
          <w:spacing w:val="61"/>
        </w:rPr>
        <w:t> </w:t>
      </w:r>
      <w:r>
        <w:rPr/>
        <w:t>la</w:t>
      </w:r>
      <w:r>
        <w:rPr>
          <w:spacing w:val="61"/>
        </w:rPr>
        <w:t> </w:t>
      </w:r>
      <w:r>
        <w:rPr/>
        <w:t>tabla</w:t>
      </w:r>
      <w:r>
        <w:rPr>
          <w:spacing w:val="62"/>
        </w:rPr>
        <w:t> </w:t>
      </w:r>
      <w:r>
        <w:rPr/>
        <w:t>siguiente.</w:t>
      </w:r>
      <w:r>
        <w:rPr>
          <w:spacing w:val="60"/>
        </w:rPr>
        <w:t> </w:t>
      </w:r>
      <w:r>
        <w:rPr/>
        <w:t>En</w:t>
      </w:r>
      <w:r>
        <w:rPr>
          <w:spacing w:val="61"/>
        </w:rPr>
        <w:t> </w:t>
      </w:r>
      <w:r>
        <w:rPr/>
        <w:t>ella</w:t>
      </w:r>
      <w:r>
        <w:rPr>
          <w:spacing w:val="61"/>
        </w:rPr>
        <w:t> </w:t>
      </w:r>
      <w:r>
        <w:rPr/>
        <w:t>se</w:t>
      </w:r>
      <w:r>
        <w:rPr>
          <w:spacing w:val="62"/>
        </w:rPr>
        <w:t> </w:t>
      </w:r>
      <w:r>
        <w:rPr/>
        <w:t>distinguen</w:t>
      </w:r>
      <w:r>
        <w:rPr>
          <w:spacing w:val="62"/>
        </w:rPr>
        <w:t> </w:t>
      </w:r>
      <w:r>
        <w:rPr>
          <w:spacing w:val="-5"/>
        </w:rPr>
        <w:t>las</w:t>
      </w:r>
    </w:p>
    <w:p>
      <w:pPr>
        <w:pStyle w:val="BodyText"/>
        <w:spacing w:before="115"/>
        <w:ind w:right="133"/>
        <w:jc w:val="center"/>
      </w:pPr>
      <w:r>
        <w:rPr/>
        <w:t>emisiones</w:t>
      </w:r>
      <w:r>
        <w:rPr>
          <w:spacing w:val="59"/>
        </w:rPr>
        <w:t> </w:t>
      </w:r>
      <w:r>
        <w:rPr/>
        <w:t>directas</w:t>
      </w:r>
      <w:r>
        <w:rPr>
          <w:spacing w:val="59"/>
        </w:rPr>
        <w:t> </w:t>
      </w:r>
      <w:r>
        <w:rPr/>
        <w:t>(Alcance</w:t>
      </w:r>
      <w:r>
        <w:rPr>
          <w:spacing w:val="59"/>
        </w:rPr>
        <w:t> </w:t>
      </w:r>
      <w:r>
        <w:rPr/>
        <w:t>1),</w:t>
      </w:r>
      <w:r>
        <w:rPr>
          <w:spacing w:val="59"/>
        </w:rPr>
        <w:t> </w:t>
      </w:r>
      <w:r>
        <w:rPr/>
        <w:t>asociadas</w:t>
      </w:r>
      <w:r>
        <w:rPr>
          <w:spacing w:val="59"/>
        </w:rPr>
        <w:t> </w:t>
      </w:r>
      <w:r>
        <w:rPr/>
        <w:t>al</w:t>
      </w:r>
      <w:r>
        <w:rPr>
          <w:spacing w:val="57"/>
        </w:rPr>
        <w:t> </w:t>
      </w:r>
      <w:r>
        <w:rPr/>
        <w:t>consumo</w:t>
      </w:r>
      <w:r>
        <w:rPr>
          <w:spacing w:val="56"/>
        </w:rPr>
        <w:t> </w:t>
      </w:r>
      <w:r>
        <w:rPr/>
        <w:t>de</w:t>
      </w:r>
      <w:r>
        <w:rPr>
          <w:spacing w:val="57"/>
        </w:rPr>
        <w:t> </w:t>
      </w:r>
      <w:r>
        <w:rPr/>
        <w:t>combustibles</w:t>
      </w:r>
      <w:r>
        <w:rPr>
          <w:spacing w:val="63"/>
        </w:rPr>
        <w:t> </w:t>
      </w:r>
      <w:r>
        <w:rPr/>
        <w:t>y</w:t>
      </w:r>
      <w:r>
        <w:rPr>
          <w:spacing w:val="60"/>
        </w:rPr>
        <w:t> </w:t>
      </w:r>
      <w:r>
        <w:rPr/>
        <w:t>gases,</w:t>
      </w:r>
      <w:r>
        <w:rPr>
          <w:spacing w:val="63"/>
        </w:rPr>
        <w:t> </w:t>
      </w:r>
      <w:r>
        <w:rPr/>
        <w:t>y</w:t>
      </w:r>
      <w:r>
        <w:rPr>
          <w:spacing w:val="55"/>
        </w:rPr>
        <w:t> </w:t>
      </w:r>
      <w:r>
        <w:rPr>
          <w:spacing w:val="-5"/>
        </w:rPr>
        <w:t>las</w:t>
      </w:r>
    </w:p>
    <w:p>
      <w:pPr>
        <w:pStyle w:val="BodyText"/>
        <w:spacing w:before="116"/>
        <w:ind w:left="1341"/>
      </w:pPr>
      <w:r>
        <w:rPr/>
        <w:t>emisiones</w:t>
      </w:r>
      <w:r>
        <w:rPr>
          <w:spacing w:val="-8"/>
        </w:rPr>
        <w:t> </w:t>
      </w:r>
      <w:r>
        <w:rPr/>
        <w:t>indirectas</w:t>
      </w:r>
      <w:r>
        <w:rPr>
          <w:spacing w:val="-7"/>
        </w:rPr>
        <w:t> </w:t>
      </w:r>
      <w:r>
        <w:rPr/>
        <w:t>(Alcance</w:t>
      </w:r>
      <w:r>
        <w:rPr>
          <w:spacing w:val="-8"/>
        </w:rPr>
        <w:t> </w:t>
      </w:r>
      <w:r>
        <w:rPr/>
        <w:t>2),</w:t>
      </w:r>
      <w:r>
        <w:rPr>
          <w:spacing w:val="-8"/>
        </w:rPr>
        <w:t> </w:t>
      </w:r>
      <w:r>
        <w:rPr/>
        <w:t>derivadas</w:t>
      </w:r>
      <w:r>
        <w:rPr>
          <w:spacing w:val="-7"/>
        </w:rPr>
        <w:t> </w:t>
      </w:r>
      <w:r>
        <w:rPr/>
        <w:t>del</w:t>
      </w:r>
      <w:r>
        <w:rPr>
          <w:spacing w:val="-9"/>
        </w:rPr>
        <w:t> </w:t>
      </w:r>
      <w:r>
        <w:rPr/>
        <w:t>consumo</w:t>
      </w:r>
      <w:r>
        <w:rPr>
          <w:spacing w:val="-8"/>
        </w:rPr>
        <w:t> </w:t>
      </w:r>
      <w:r>
        <w:rPr/>
        <w:t>de</w:t>
      </w:r>
      <w:r>
        <w:rPr>
          <w:spacing w:val="-9"/>
        </w:rPr>
        <w:t> </w:t>
      </w:r>
      <w:r>
        <w:rPr/>
        <w:t>energía</w:t>
      </w:r>
      <w:r>
        <w:rPr>
          <w:spacing w:val="-6"/>
        </w:rPr>
        <w:t> </w:t>
      </w:r>
      <w:r>
        <w:rPr>
          <w:spacing w:val="-2"/>
        </w:rPr>
        <w:t>eléctrica.</w:t>
      </w:r>
    </w:p>
    <w:p>
      <w:pPr>
        <w:pStyle w:val="BodyText"/>
        <w:spacing w:after="0"/>
        <w:sectPr>
          <w:pgSz w:w="11910" w:h="16840"/>
          <w:pgMar w:header="384" w:footer="1060" w:top="1200" w:bottom="1260" w:left="360" w:right="360"/>
        </w:sectPr>
      </w:pPr>
    </w:p>
    <w:p>
      <w:pPr>
        <w:pStyle w:val="BodyText"/>
        <w:spacing w:before="11"/>
        <w:rPr>
          <w:sz w:val="18"/>
        </w:rPr>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6"/>
        <w:gridCol w:w="1560"/>
        <w:gridCol w:w="1570"/>
        <w:gridCol w:w="2038"/>
        <w:gridCol w:w="1284"/>
      </w:tblGrid>
      <w:tr>
        <w:trPr>
          <w:trHeight w:val="460" w:hRule="atLeast"/>
        </w:trPr>
        <w:tc>
          <w:tcPr>
            <w:tcW w:w="2196" w:type="dxa"/>
          </w:tcPr>
          <w:p>
            <w:pPr>
              <w:pStyle w:val="TableParagraph"/>
              <w:spacing w:before="110"/>
              <w:ind w:left="6"/>
              <w:jc w:val="center"/>
              <w:rPr>
                <w:b/>
                <w:sz w:val="20"/>
              </w:rPr>
            </w:pPr>
            <w:r>
              <w:rPr>
                <w:b/>
                <w:sz w:val="20"/>
              </w:rPr>
              <w:t>Tipo</w:t>
            </w:r>
            <w:r>
              <w:rPr>
                <w:b/>
                <w:spacing w:val="-3"/>
                <w:sz w:val="20"/>
              </w:rPr>
              <w:t> </w:t>
            </w:r>
            <w:r>
              <w:rPr>
                <w:b/>
                <w:sz w:val="20"/>
              </w:rPr>
              <w:t>de</w:t>
            </w:r>
            <w:r>
              <w:rPr>
                <w:b/>
                <w:spacing w:val="-4"/>
                <w:sz w:val="20"/>
              </w:rPr>
              <w:t> </w:t>
            </w:r>
            <w:r>
              <w:rPr>
                <w:b/>
                <w:spacing w:val="-2"/>
                <w:sz w:val="20"/>
              </w:rPr>
              <w:t>emisión</w:t>
            </w:r>
          </w:p>
        </w:tc>
        <w:tc>
          <w:tcPr>
            <w:tcW w:w="1560" w:type="dxa"/>
          </w:tcPr>
          <w:p>
            <w:pPr>
              <w:pStyle w:val="TableParagraph"/>
              <w:spacing w:line="225" w:lineRule="exact"/>
              <w:ind w:left="10" w:right="1"/>
              <w:jc w:val="center"/>
              <w:rPr>
                <w:b/>
                <w:sz w:val="20"/>
              </w:rPr>
            </w:pPr>
            <w:r>
              <w:rPr>
                <w:b/>
                <w:sz w:val="20"/>
              </w:rPr>
              <w:t>Ejercicio</w:t>
            </w:r>
            <w:r>
              <w:rPr>
                <w:b/>
                <w:spacing w:val="-9"/>
                <w:sz w:val="20"/>
              </w:rPr>
              <w:t> </w:t>
            </w:r>
            <w:r>
              <w:rPr>
                <w:b/>
                <w:spacing w:val="-4"/>
                <w:sz w:val="20"/>
              </w:rPr>
              <w:t>2024</w:t>
            </w:r>
          </w:p>
          <w:p>
            <w:pPr>
              <w:pStyle w:val="TableParagraph"/>
              <w:spacing w:line="215" w:lineRule="exact"/>
              <w:ind w:left="10" w:right="3"/>
              <w:jc w:val="center"/>
              <w:rPr>
                <w:b/>
                <w:sz w:val="20"/>
              </w:rPr>
            </w:pPr>
            <w:r>
              <w:rPr>
                <w:b/>
                <w:spacing w:val="-2"/>
                <w:sz w:val="20"/>
              </w:rPr>
              <w:t>(tCO2e)</w:t>
            </w:r>
          </w:p>
        </w:tc>
        <w:tc>
          <w:tcPr>
            <w:tcW w:w="1570" w:type="dxa"/>
          </w:tcPr>
          <w:p>
            <w:pPr>
              <w:pStyle w:val="TableParagraph"/>
              <w:spacing w:line="225" w:lineRule="exact"/>
              <w:ind w:left="6"/>
              <w:jc w:val="center"/>
              <w:rPr>
                <w:b/>
                <w:sz w:val="20"/>
              </w:rPr>
            </w:pPr>
            <w:r>
              <w:rPr>
                <w:b/>
                <w:sz w:val="20"/>
              </w:rPr>
              <w:t>Ejercicio</w:t>
            </w:r>
            <w:r>
              <w:rPr>
                <w:b/>
                <w:spacing w:val="-11"/>
                <w:sz w:val="20"/>
              </w:rPr>
              <w:t> </w:t>
            </w:r>
            <w:r>
              <w:rPr>
                <w:b/>
                <w:spacing w:val="-4"/>
                <w:sz w:val="20"/>
              </w:rPr>
              <w:t>2025</w:t>
            </w:r>
          </w:p>
          <w:p>
            <w:pPr>
              <w:pStyle w:val="TableParagraph"/>
              <w:spacing w:line="215" w:lineRule="exact"/>
              <w:ind w:left="6" w:right="2"/>
              <w:jc w:val="center"/>
              <w:rPr>
                <w:b/>
                <w:sz w:val="20"/>
              </w:rPr>
            </w:pPr>
            <w:r>
              <w:rPr>
                <w:b/>
                <w:spacing w:val="-2"/>
                <w:sz w:val="20"/>
              </w:rPr>
              <w:t>(tCO2e)</w:t>
            </w:r>
          </w:p>
        </w:tc>
        <w:tc>
          <w:tcPr>
            <w:tcW w:w="2038" w:type="dxa"/>
          </w:tcPr>
          <w:p>
            <w:pPr>
              <w:pStyle w:val="TableParagraph"/>
              <w:spacing w:line="225" w:lineRule="exact"/>
              <w:ind w:left="3"/>
              <w:jc w:val="center"/>
              <w:rPr>
                <w:b/>
                <w:sz w:val="20"/>
              </w:rPr>
            </w:pPr>
            <w:r>
              <w:rPr>
                <w:b/>
                <w:sz w:val="20"/>
              </w:rPr>
              <w:t>Evolución</w:t>
            </w:r>
            <w:r>
              <w:rPr>
                <w:b/>
                <w:spacing w:val="-11"/>
                <w:sz w:val="20"/>
              </w:rPr>
              <w:t> </w:t>
            </w:r>
            <w:r>
              <w:rPr>
                <w:b/>
                <w:spacing w:val="-2"/>
                <w:sz w:val="20"/>
              </w:rPr>
              <w:t>absoluta</w:t>
            </w:r>
          </w:p>
          <w:p>
            <w:pPr>
              <w:pStyle w:val="TableParagraph"/>
              <w:spacing w:line="215" w:lineRule="exact"/>
              <w:ind w:left="3" w:right="2"/>
              <w:jc w:val="center"/>
              <w:rPr>
                <w:b/>
                <w:sz w:val="20"/>
              </w:rPr>
            </w:pPr>
            <w:r>
              <w:rPr>
                <w:b/>
                <w:spacing w:val="-2"/>
                <w:sz w:val="20"/>
              </w:rPr>
              <w:t>(tCO2e)</w:t>
            </w:r>
          </w:p>
        </w:tc>
        <w:tc>
          <w:tcPr>
            <w:tcW w:w="1284" w:type="dxa"/>
          </w:tcPr>
          <w:p>
            <w:pPr>
              <w:pStyle w:val="TableParagraph"/>
              <w:spacing w:line="225" w:lineRule="exact"/>
              <w:ind w:left="159"/>
              <w:rPr>
                <w:b/>
                <w:sz w:val="20"/>
              </w:rPr>
            </w:pPr>
            <w:r>
              <w:rPr>
                <w:b/>
                <w:spacing w:val="-2"/>
                <w:sz w:val="20"/>
              </w:rPr>
              <w:t>Evolución</w:t>
            </w:r>
          </w:p>
          <w:p>
            <w:pPr>
              <w:pStyle w:val="TableParagraph"/>
              <w:spacing w:line="215" w:lineRule="exact"/>
              <w:ind w:left="126"/>
              <w:rPr>
                <w:b/>
                <w:sz w:val="20"/>
              </w:rPr>
            </w:pPr>
            <w:r>
              <w:rPr>
                <w:b/>
                <w:spacing w:val="-2"/>
                <w:sz w:val="20"/>
              </w:rPr>
              <w:t>porcentual</w:t>
            </w:r>
          </w:p>
        </w:tc>
      </w:tr>
      <w:tr>
        <w:trPr>
          <w:trHeight w:val="299" w:hRule="atLeast"/>
        </w:trPr>
        <w:tc>
          <w:tcPr>
            <w:tcW w:w="2196" w:type="dxa"/>
          </w:tcPr>
          <w:p>
            <w:pPr>
              <w:pStyle w:val="TableParagraph"/>
              <w:spacing w:before="30"/>
              <w:ind w:left="6" w:right="1"/>
              <w:jc w:val="center"/>
              <w:rPr>
                <w:sz w:val="20"/>
              </w:rPr>
            </w:pPr>
            <w:r>
              <w:rPr>
                <w:sz w:val="20"/>
              </w:rPr>
              <w:t>Directas</w:t>
            </w:r>
            <w:r>
              <w:rPr>
                <w:spacing w:val="-8"/>
                <w:sz w:val="20"/>
              </w:rPr>
              <w:t> </w:t>
            </w:r>
            <w:r>
              <w:rPr>
                <w:sz w:val="20"/>
              </w:rPr>
              <w:t>(Alcance</w:t>
            </w:r>
            <w:r>
              <w:rPr>
                <w:spacing w:val="-9"/>
                <w:sz w:val="20"/>
              </w:rPr>
              <w:t> </w:t>
            </w:r>
            <w:r>
              <w:rPr>
                <w:spacing w:val="-5"/>
                <w:sz w:val="20"/>
              </w:rPr>
              <w:t>1)</w:t>
            </w:r>
          </w:p>
        </w:tc>
        <w:tc>
          <w:tcPr>
            <w:tcW w:w="1560" w:type="dxa"/>
          </w:tcPr>
          <w:p>
            <w:pPr>
              <w:pStyle w:val="TableParagraph"/>
              <w:spacing w:before="30"/>
              <w:ind w:left="10" w:right="2"/>
              <w:jc w:val="center"/>
              <w:rPr>
                <w:sz w:val="20"/>
              </w:rPr>
            </w:pPr>
            <w:r>
              <w:rPr>
                <w:spacing w:val="-2"/>
                <w:sz w:val="20"/>
              </w:rPr>
              <w:t>18.956,52</w:t>
            </w:r>
          </w:p>
        </w:tc>
        <w:tc>
          <w:tcPr>
            <w:tcW w:w="1570" w:type="dxa"/>
          </w:tcPr>
          <w:p>
            <w:pPr>
              <w:pStyle w:val="TableParagraph"/>
              <w:spacing w:before="30"/>
              <w:ind w:left="6" w:right="2"/>
              <w:jc w:val="center"/>
              <w:rPr>
                <w:sz w:val="20"/>
              </w:rPr>
            </w:pPr>
            <w:r>
              <w:rPr>
                <w:spacing w:val="-2"/>
                <w:sz w:val="20"/>
              </w:rPr>
              <w:t>21.491,41</w:t>
            </w:r>
          </w:p>
        </w:tc>
        <w:tc>
          <w:tcPr>
            <w:tcW w:w="2038" w:type="dxa"/>
          </w:tcPr>
          <w:p>
            <w:pPr>
              <w:pStyle w:val="TableParagraph"/>
              <w:spacing w:before="30"/>
              <w:ind w:left="3" w:right="1"/>
              <w:jc w:val="center"/>
              <w:rPr>
                <w:sz w:val="20"/>
              </w:rPr>
            </w:pPr>
            <w:r>
              <w:rPr>
                <w:spacing w:val="-2"/>
                <w:sz w:val="20"/>
              </w:rPr>
              <w:t>2.534,89</w:t>
            </w:r>
          </w:p>
        </w:tc>
        <w:tc>
          <w:tcPr>
            <w:tcW w:w="1284" w:type="dxa"/>
          </w:tcPr>
          <w:p>
            <w:pPr>
              <w:pStyle w:val="TableParagraph"/>
              <w:spacing w:before="30"/>
              <w:jc w:val="center"/>
              <w:rPr>
                <w:sz w:val="20"/>
              </w:rPr>
            </w:pPr>
            <w:r>
              <w:rPr>
                <w:spacing w:val="-2"/>
                <w:sz w:val="20"/>
              </w:rPr>
              <w:t>13,37%</w:t>
            </w:r>
          </w:p>
        </w:tc>
      </w:tr>
      <w:tr>
        <w:trPr>
          <w:trHeight w:val="299" w:hRule="atLeast"/>
        </w:trPr>
        <w:tc>
          <w:tcPr>
            <w:tcW w:w="2196" w:type="dxa"/>
          </w:tcPr>
          <w:p>
            <w:pPr>
              <w:pStyle w:val="TableParagraph"/>
              <w:spacing w:before="33"/>
              <w:ind w:left="6" w:right="3"/>
              <w:jc w:val="center"/>
              <w:rPr>
                <w:sz w:val="20"/>
              </w:rPr>
            </w:pPr>
            <w:r>
              <w:rPr>
                <w:sz w:val="20"/>
              </w:rPr>
              <w:t>Indirectas</w:t>
            </w:r>
            <w:r>
              <w:rPr>
                <w:spacing w:val="-11"/>
                <w:sz w:val="20"/>
              </w:rPr>
              <w:t> </w:t>
            </w:r>
            <w:r>
              <w:rPr>
                <w:sz w:val="20"/>
              </w:rPr>
              <w:t>(Alcance</w:t>
            </w:r>
            <w:r>
              <w:rPr>
                <w:spacing w:val="-13"/>
                <w:sz w:val="20"/>
              </w:rPr>
              <w:t> </w:t>
            </w:r>
            <w:r>
              <w:rPr>
                <w:spacing w:val="-5"/>
                <w:sz w:val="20"/>
              </w:rPr>
              <w:t>2)</w:t>
            </w:r>
          </w:p>
        </w:tc>
        <w:tc>
          <w:tcPr>
            <w:tcW w:w="1560" w:type="dxa"/>
          </w:tcPr>
          <w:p>
            <w:pPr>
              <w:pStyle w:val="TableParagraph"/>
              <w:spacing w:before="33"/>
              <w:ind w:left="10"/>
              <w:jc w:val="center"/>
              <w:rPr>
                <w:sz w:val="20"/>
              </w:rPr>
            </w:pPr>
            <w:r>
              <w:rPr>
                <w:spacing w:val="-2"/>
                <w:sz w:val="20"/>
              </w:rPr>
              <w:t>81,00</w:t>
            </w:r>
          </w:p>
        </w:tc>
        <w:tc>
          <w:tcPr>
            <w:tcW w:w="1570" w:type="dxa"/>
          </w:tcPr>
          <w:p>
            <w:pPr>
              <w:pStyle w:val="TableParagraph"/>
              <w:spacing w:before="33"/>
              <w:ind w:left="6" w:right="1"/>
              <w:jc w:val="center"/>
              <w:rPr>
                <w:sz w:val="20"/>
              </w:rPr>
            </w:pPr>
            <w:r>
              <w:rPr>
                <w:spacing w:val="-2"/>
                <w:sz w:val="20"/>
              </w:rPr>
              <w:t>211,88</w:t>
            </w:r>
          </w:p>
        </w:tc>
        <w:tc>
          <w:tcPr>
            <w:tcW w:w="2038" w:type="dxa"/>
          </w:tcPr>
          <w:p>
            <w:pPr>
              <w:pStyle w:val="TableParagraph"/>
              <w:spacing w:before="33"/>
              <w:ind w:left="3" w:right="2"/>
              <w:jc w:val="center"/>
              <w:rPr>
                <w:sz w:val="20"/>
              </w:rPr>
            </w:pPr>
            <w:r>
              <w:rPr>
                <w:spacing w:val="-2"/>
                <w:sz w:val="20"/>
              </w:rPr>
              <w:t>130,88</w:t>
            </w:r>
          </w:p>
        </w:tc>
        <w:tc>
          <w:tcPr>
            <w:tcW w:w="1284" w:type="dxa"/>
          </w:tcPr>
          <w:p>
            <w:pPr>
              <w:pStyle w:val="TableParagraph"/>
              <w:spacing w:before="33"/>
              <w:jc w:val="center"/>
              <w:rPr>
                <w:sz w:val="20"/>
              </w:rPr>
            </w:pPr>
            <w:r>
              <w:rPr>
                <w:spacing w:val="-2"/>
                <w:sz w:val="20"/>
              </w:rPr>
              <w:t>161,58%</w:t>
            </w:r>
          </w:p>
        </w:tc>
      </w:tr>
      <w:tr>
        <w:trPr>
          <w:trHeight w:val="299" w:hRule="atLeast"/>
        </w:trPr>
        <w:tc>
          <w:tcPr>
            <w:tcW w:w="2196" w:type="dxa"/>
          </w:tcPr>
          <w:p>
            <w:pPr>
              <w:pStyle w:val="TableParagraph"/>
              <w:spacing w:before="30"/>
              <w:ind w:left="6" w:right="3"/>
              <w:jc w:val="center"/>
              <w:rPr>
                <w:b/>
                <w:sz w:val="20"/>
              </w:rPr>
            </w:pPr>
            <w:r>
              <w:rPr>
                <w:b/>
                <w:spacing w:val="-2"/>
                <w:sz w:val="20"/>
              </w:rPr>
              <w:t>TOTAL</w:t>
            </w:r>
          </w:p>
        </w:tc>
        <w:tc>
          <w:tcPr>
            <w:tcW w:w="1560" w:type="dxa"/>
          </w:tcPr>
          <w:p>
            <w:pPr>
              <w:pStyle w:val="TableParagraph"/>
              <w:spacing w:before="30"/>
              <w:ind w:left="10" w:right="2"/>
              <w:jc w:val="center"/>
              <w:rPr>
                <w:b/>
                <w:sz w:val="20"/>
              </w:rPr>
            </w:pPr>
            <w:r>
              <w:rPr>
                <w:b/>
                <w:spacing w:val="-2"/>
                <w:sz w:val="20"/>
              </w:rPr>
              <w:t>19.037,52</w:t>
            </w:r>
          </w:p>
        </w:tc>
        <w:tc>
          <w:tcPr>
            <w:tcW w:w="1570" w:type="dxa"/>
          </w:tcPr>
          <w:p>
            <w:pPr>
              <w:pStyle w:val="TableParagraph"/>
              <w:spacing w:before="30"/>
              <w:ind w:left="6" w:right="2"/>
              <w:jc w:val="center"/>
              <w:rPr>
                <w:b/>
                <w:sz w:val="20"/>
              </w:rPr>
            </w:pPr>
            <w:r>
              <w:rPr>
                <w:b/>
                <w:spacing w:val="-2"/>
                <w:sz w:val="20"/>
              </w:rPr>
              <w:t>21.703,29</w:t>
            </w:r>
          </w:p>
        </w:tc>
        <w:tc>
          <w:tcPr>
            <w:tcW w:w="2038" w:type="dxa"/>
          </w:tcPr>
          <w:p>
            <w:pPr>
              <w:pStyle w:val="TableParagraph"/>
              <w:spacing w:before="30"/>
              <w:ind w:left="3" w:right="1"/>
              <w:jc w:val="center"/>
              <w:rPr>
                <w:b/>
                <w:sz w:val="20"/>
              </w:rPr>
            </w:pPr>
            <w:r>
              <w:rPr>
                <w:b/>
                <w:spacing w:val="-2"/>
                <w:sz w:val="20"/>
              </w:rPr>
              <w:t>2.665,77</w:t>
            </w:r>
          </w:p>
        </w:tc>
        <w:tc>
          <w:tcPr>
            <w:tcW w:w="1284" w:type="dxa"/>
          </w:tcPr>
          <w:p>
            <w:pPr>
              <w:pStyle w:val="TableParagraph"/>
              <w:spacing w:before="30"/>
              <w:jc w:val="center"/>
              <w:rPr>
                <w:b/>
                <w:sz w:val="20"/>
              </w:rPr>
            </w:pPr>
            <w:r>
              <w:rPr>
                <w:b/>
                <w:spacing w:val="-2"/>
                <w:sz w:val="20"/>
              </w:rPr>
              <w:t>14,00%</w:t>
            </w:r>
          </w:p>
        </w:tc>
      </w:tr>
    </w:tbl>
    <w:p>
      <w:pPr>
        <w:pStyle w:val="BodyText"/>
        <w:spacing w:before="109"/>
      </w:pPr>
    </w:p>
    <w:p>
      <w:pPr>
        <w:pStyle w:val="BodyText"/>
        <w:spacing w:line="360" w:lineRule="auto" w:before="1"/>
        <w:ind w:left="1341" w:right="1470"/>
      </w:pPr>
      <w:r>
        <w:rPr/>
        <w:t>Como se ha indicado anteriormente, el resultado de la huella de carbono correspondiente a</w:t>
      </w:r>
      <w:r>
        <w:rPr>
          <w:spacing w:val="40"/>
        </w:rPr>
        <w:t> </w:t>
      </w:r>
      <w:r>
        <w:rPr/>
        <w:t>2025 tiene carácter preliminar, al haberse calculado con los factores de emisión del ejercicio 2024.</w:t>
      </w:r>
      <w:r>
        <w:rPr>
          <w:spacing w:val="25"/>
        </w:rPr>
        <w:t> </w:t>
      </w:r>
      <w:r>
        <w:rPr/>
        <w:t>Ello</w:t>
      </w:r>
      <w:r>
        <w:rPr>
          <w:spacing w:val="25"/>
        </w:rPr>
        <w:t> </w:t>
      </w:r>
      <w:r>
        <w:rPr/>
        <w:t>se</w:t>
      </w:r>
      <w:r>
        <w:rPr>
          <w:spacing w:val="24"/>
        </w:rPr>
        <w:t> </w:t>
      </w:r>
      <w:r>
        <w:rPr/>
        <w:t>debe</w:t>
      </w:r>
      <w:r>
        <w:rPr>
          <w:spacing w:val="28"/>
        </w:rPr>
        <w:t> </w:t>
      </w:r>
      <w:r>
        <w:rPr/>
        <w:t>a</w:t>
      </w:r>
      <w:r>
        <w:rPr>
          <w:spacing w:val="24"/>
        </w:rPr>
        <w:t> </w:t>
      </w:r>
      <w:r>
        <w:rPr/>
        <w:t>que</w:t>
      </w:r>
      <w:r>
        <w:rPr>
          <w:spacing w:val="28"/>
        </w:rPr>
        <w:t> </w:t>
      </w:r>
      <w:r>
        <w:rPr/>
        <w:t>el</w:t>
      </w:r>
      <w:r>
        <w:rPr>
          <w:spacing w:val="27"/>
        </w:rPr>
        <w:t> </w:t>
      </w:r>
      <w:r>
        <w:rPr/>
        <w:t>Ministerio</w:t>
      </w:r>
      <w:r>
        <w:rPr>
          <w:spacing w:val="24"/>
        </w:rPr>
        <w:t> </w:t>
      </w:r>
      <w:r>
        <w:rPr/>
        <w:t>para</w:t>
      </w:r>
      <w:r>
        <w:rPr>
          <w:spacing w:val="27"/>
        </w:rPr>
        <w:t> </w:t>
      </w:r>
      <w:r>
        <w:rPr/>
        <w:t>la</w:t>
      </w:r>
      <w:r>
        <w:rPr>
          <w:spacing w:val="24"/>
        </w:rPr>
        <w:t> </w:t>
      </w:r>
      <w:r>
        <w:rPr/>
        <w:t>Transición</w:t>
      </w:r>
      <w:r>
        <w:rPr>
          <w:spacing w:val="28"/>
        </w:rPr>
        <w:t> </w:t>
      </w:r>
      <w:r>
        <w:rPr/>
        <w:t>Ecológica</w:t>
      </w:r>
      <w:r>
        <w:rPr>
          <w:spacing w:val="30"/>
        </w:rPr>
        <w:t> </w:t>
      </w:r>
      <w:r>
        <w:rPr/>
        <w:t>y</w:t>
      </w:r>
      <w:r>
        <w:rPr>
          <w:spacing w:val="22"/>
        </w:rPr>
        <w:t> </w:t>
      </w:r>
      <w:r>
        <w:rPr/>
        <w:t>el</w:t>
      </w:r>
      <w:r>
        <w:rPr>
          <w:spacing w:val="25"/>
        </w:rPr>
        <w:t> </w:t>
      </w:r>
      <w:r>
        <w:rPr/>
        <w:t>Reto</w:t>
      </w:r>
      <w:r>
        <w:rPr>
          <w:spacing w:val="28"/>
        </w:rPr>
        <w:t> </w:t>
      </w:r>
      <w:r>
        <w:rPr/>
        <w:t>Demográfico prevé publicar los</w:t>
      </w:r>
      <w:r>
        <w:rPr>
          <w:spacing w:val="-1"/>
        </w:rPr>
        <w:t> </w:t>
      </w:r>
      <w:r>
        <w:rPr/>
        <w:t>factores de emisiones actualizados en</w:t>
      </w:r>
      <w:r>
        <w:rPr>
          <w:spacing w:val="-1"/>
        </w:rPr>
        <w:t> </w:t>
      </w:r>
      <w:r>
        <w:rPr/>
        <w:t>abril</w:t>
      </w:r>
      <w:r>
        <w:rPr>
          <w:spacing w:val="-4"/>
        </w:rPr>
        <w:t> </w:t>
      </w:r>
      <w:r>
        <w:rPr/>
        <w:t>del</w:t>
      </w:r>
      <w:r>
        <w:rPr>
          <w:spacing w:val="-1"/>
        </w:rPr>
        <w:t> </w:t>
      </w:r>
      <w:r>
        <w:rPr/>
        <w:t>año</w:t>
      </w:r>
      <w:r>
        <w:rPr>
          <w:spacing w:val="-1"/>
        </w:rPr>
        <w:t> </w:t>
      </w:r>
      <w:r>
        <w:rPr/>
        <w:t>en</w:t>
      </w:r>
      <w:r>
        <w:rPr>
          <w:spacing w:val="-3"/>
        </w:rPr>
        <w:t> </w:t>
      </w:r>
      <w:r>
        <w:rPr/>
        <w:t>curso.</w:t>
      </w:r>
      <w:r>
        <w:rPr>
          <w:spacing w:val="-1"/>
        </w:rPr>
        <w:t> </w:t>
      </w:r>
      <w:r>
        <w:rPr/>
        <w:t>Tal y</w:t>
      </w:r>
      <w:r>
        <w:rPr>
          <w:spacing w:val="-5"/>
        </w:rPr>
        <w:t> </w:t>
      </w:r>
      <w:r>
        <w:rPr/>
        <w:t>como</w:t>
      </w:r>
      <w:r>
        <w:rPr>
          <w:spacing w:val="-3"/>
        </w:rPr>
        <w:t> </w:t>
      </w:r>
      <w:r>
        <w:rPr/>
        <w:t>se recoge en el apartado de preguntas frecuentes (FAQ) de su página web: </w:t>
      </w:r>
      <w:hyperlink r:id="rId33">
        <w:r>
          <w:rPr>
            <w:color w:val="0000FF"/>
            <w:spacing w:val="-2"/>
            <w:u w:val="single" w:color="0000FF"/>
          </w:rPr>
          <w:t>https://www.miteco.gob.es/es/cambio-climatico/temas/mitigacion-politicas-y-</w:t>
        </w:r>
      </w:hyperlink>
      <w:r>
        <w:rPr>
          <w:color w:val="0000FF"/>
          <w:spacing w:val="-2"/>
          <w:u w:val="single" w:color="0000FF"/>
        </w:rPr>
        <w:t>medidas/preguntas_y_respuestas_hc.html</w:t>
      </w:r>
    </w:p>
    <w:p>
      <w:pPr>
        <w:pStyle w:val="BodyText"/>
        <w:spacing w:before="100"/>
      </w:pPr>
    </w:p>
    <w:p>
      <w:pPr>
        <w:spacing w:line="343" w:lineRule="auto" w:before="0"/>
        <w:ind w:left="1341" w:right="1473" w:firstLine="0"/>
        <w:jc w:val="both"/>
        <w:rPr>
          <w:rFonts w:ascii="Tahoma" w:hAnsi="Tahoma"/>
          <w:i/>
          <w:sz w:val="20"/>
        </w:rPr>
      </w:pPr>
      <w:r>
        <w:rPr>
          <w:rFonts w:ascii="Tahoma" w:hAnsi="Tahoma"/>
          <w:i/>
          <w:sz w:val="20"/>
        </w:rPr>
        <w:t>Previsiblemente,</w:t>
      </w:r>
      <w:r>
        <w:rPr>
          <w:rFonts w:ascii="Tahoma" w:hAnsi="Tahoma"/>
          <w:i/>
          <w:spacing w:val="27"/>
          <w:sz w:val="20"/>
        </w:rPr>
        <w:t> </w:t>
      </w:r>
      <w:r>
        <w:rPr>
          <w:rFonts w:ascii="Tahoma" w:hAnsi="Tahoma"/>
          <w:i/>
          <w:sz w:val="20"/>
        </w:rPr>
        <w:t>a</w:t>
      </w:r>
      <w:r>
        <w:rPr>
          <w:rFonts w:ascii="Tahoma" w:hAnsi="Tahoma"/>
          <w:i/>
          <w:spacing w:val="29"/>
          <w:sz w:val="20"/>
        </w:rPr>
        <w:t> </w:t>
      </w:r>
      <w:r>
        <w:rPr>
          <w:rFonts w:ascii="Tahoma" w:hAnsi="Tahoma"/>
          <w:i/>
          <w:sz w:val="20"/>
        </w:rPr>
        <w:t>finales</w:t>
      </w:r>
      <w:r>
        <w:rPr>
          <w:rFonts w:ascii="Tahoma" w:hAnsi="Tahoma"/>
          <w:i/>
          <w:spacing w:val="31"/>
          <w:sz w:val="20"/>
        </w:rPr>
        <w:t> </w:t>
      </w:r>
      <w:r>
        <w:rPr>
          <w:rFonts w:ascii="Tahoma" w:hAnsi="Tahoma"/>
          <w:i/>
          <w:sz w:val="20"/>
        </w:rPr>
        <w:t>del</w:t>
      </w:r>
      <w:r>
        <w:rPr>
          <w:rFonts w:ascii="Tahoma" w:hAnsi="Tahoma"/>
          <w:i/>
          <w:spacing w:val="29"/>
          <w:sz w:val="20"/>
        </w:rPr>
        <w:t> </w:t>
      </w:r>
      <w:r>
        <w:rPr>
          <w:rFonts w:ascii="Tahoma" w:hAnsi="Tahoma"/>
          <w:i/>
          <w:sz w:val="20"/>
        </w:rPr>
        <w:t>mes</w:t>
      </w:r>
      <w:r>
        <w:rPr>
          <w:rFonts w:ascii="Tahoma" w:hAnsi="Tahoma"/>
          <w:i/>
          <w:spacing w:val="29"/>
          <w:sz w:val="20"/>
        </w:rPr>
        <w:t> </w:t>
      </w:r>
      <w:r>
        <w:rPr>
          <w:rFonts w:ascii="Tahoma" w:hAnsi="Tahoma"/>
          <w:i/>
          <w:sz w:val="20"/>
        </w:rPr>
        <w:t>de</w:t>
      </w:r>
      <w:r>
        <w:rPr>
          <w:rFonts w:ascii="Tahoma" w:hAnsi="Tahoma"/>
          <w:i/>
          <w:spacing w:val="29"/>
          <w:sz w:val="20"/>
        </w:rPr>
        <w:t> </w:t>
      </w:r>
      <w:r>
        <w:rPr>
          <w:rFonts w:ascii="Tahoma" w:hAnsi="Tahoma"/>
          <w:i/>
          <w:sz w:val="20"/>
        </w:rPr>
        <w:t>abril</w:t>
      </w:r>
      <w:r>
        <w:rPr>
          <w:rFonts w:ascii="Tahoma" w:hAnsi="Tahoma"/>
          <w:i/>
          <w:spacing w:val="24"/>
          <w:sz w:val="20"/>
        </w:rPr>
        <w:t> </w:t>
      </w:r>
      <w:r>
        <w:rPr>
          <w:rFonts w:ascii="Tahoma" w:hAnsi="Tahoma"/>
          <w:i/>
          <w:sz w:val="20"/>
        </w:rPr>
        <w:t>de</w:t>
      </w:r>
      <w:r>
        <w:rPr>
          <w:rFonts w:ascii="Tahoma" w:hAnsi="Tahoma"/>
          <w:i/>
          <w:spacing w:val="25"/>
          <w:sz w:val="20"/>
        </w:rPr>
        <w:t> </w:t>
      </w:r>
      <w:r>
        <w:rPr>
          <w:rFonts w:ascii="Tahoma" w:hAnsi="Tahoma"/>
          <w:i/>
          <w:sz w:val="20"/>
        </w:rPr>
        <w:t>2025</w:t>
      </w:r>
      <w:r>
        <w:rPr>
          <w:rFonts w:ascii="Tahoma" w:hAnsi="Tahoma"/>
          <w:i/>
          <w:spacing w:val="29"/>
          <w:sz w:val="20"/>
        </w:rPr>
        <w:t> </w:t>
      </w:r>
      <w:r>
        <w:rPr>
          <w:rFonts w:ascii="Tahoma" w:hAnsi="Tahoma"/>
          <w:i/>
          <w:sz w:val="20"/>
        </w:rPr>
        <w:t>se</w:t>
      </w:r>
      <w:r>
        <w:rPr>
          <w:rFonts w:ascii="Tahoma" w:hAnsi="Tahoma"/>
          <w:i/>
          <w:spacing w:val="27"/>
          <w:sz w:val="20"/>
        </w:rPr>
        <w:t> </w:t>
      </w:r>
      <w:r>
        <w:rPr>
          <w:rFonts w:ascii="Tahoma" w:hAnsi="Tahoma"/>
          <w:i/>
          <w:sz w:val="20"/>
        </w:rPr>
        <w:t>publicarán</w:t>
      </w:r>
      <w:r>
        <w:rPr>
          <w:rFonts w:ascii="Tahoma" w:hAnsi="Tahoma"/>
          <w:i/>
          <w:spacing w:val="29"/>
          <w:sz w:val="20"/>
        </w:rPr>
        <w:t> </w:t>
      </w:r>
      <w:r>
        <w:rPr>
          <w:rFonts w:ascii="Tahoma" w:hAnsi="Tahoma"/>
          <w:i/>
          <w:sz w:val="20"/>
        </w:rPr>
        <w:t>los</w:t>
      </w:r>
      <w:r>
        <w:rPr>
          <w:rFonts w:ascii="Tahoma" w:hAnsi="Tahoma"/>
          <w:i/>
          <w:spacing w:val="-1"/>
          <w:sz w:val="20"/>
        </w:rPr>
        <w:t> </w:t>
      </w:r>
      <w:r>
        <w:rPr>
          <w:rFonts w:ascii="Tahoma" w:hAnsi="Tahoma"/>
          <w:i/>
          <w:sz w:val="20"/>
        </w:rPr>
        <w:t>factores</w:t>
      </w:r>
      <w:r>
        <w:rPr>
          <w:rFonts w:ascii="Tahoma" w:hAnsi="Tahoma"/>
          <w:i/>
          <w:spacing w:val="31"/>
          <w:sz w:val="20"/>
        </w:rPr>
        <w:t> </w:t>
      </w:r>
      <w:r>
        <w:rPr>
          <w:rFonts w:ascii="Tahoma" w:hAnsi="Tahoma"/>
          <w:i/>
          <w:sz w:val="20"/>
        </w:rPr>
        <w:t>de</w:t>
      </w:r>
      <w:r>
        <w:rPr>
          <w:rFonts w:ascii="Tahoma" w:hAnsi="Tahoma"/>
          <w:i/>
          <w:spacing w:val="27"/>
          <w:sz w:val="20"/>
        </w:rPr>
        <w:t> </w:t>
      </w:r>
      <w:r>
        <w:rPr>
          <w:rFonts w:ascii="Tahoma" w:hAnsi="Tahoma"/>
          <w:i/>
          <w:sz w:val="20"/>
        </w:rPr>
        <w:t>emisión</w:t>
      </w:r>
      <w:r>
        <w:rPr>
          <w:rFonts w:ascii="Tahoma" w:hAnsi="Tahoma"/>
          <w:i/>
          <w:spacing w:val="-4"/>
          <w:sz w:val="20"/>
        </w:rPr>
        <w:t> </w:t>
      </w:r>
      <w:r>
        <w:rPr>
          <w:rFonts w:ascii="Tahoma" w:hAnsi="Tahoma"/>
          <w:i/>
          <w:sz w:val="20"/>
        </w:rPr>
        <w:t>y las</w:t>
      </w:r>
      <w:r>
        <w:rPr>
          <w:rFonts w:ascii="Tahoma" w:hAnsi="Tahoma"/>
          <w:i/>
          <w:spacing w:val="-1"/>
          <w:sz w:val="20"/>
        </w:rPr>
        <w:t> </w:t>
      </w:r>
      <w:r>
        <w:rPr>
          <w:rFonts w:ascii="Tahoma" w:hAnsi="Tahoma"/>
          <w:i/>
          <w:sz w:val="20"/>
        </w:rPr>
        <w:t>calculadoras de huella de carbono</w:t>
      </w:r>
      <w:r>
        <w:rPr>
          <w:rFonts w:ascii="Tahoma" w:hAnsi="Tahoma"/>
          <w:i/>
          <w:spacing w:val="-2"/>
          <w:sz w:val="20"/>
        </w:rPr>
        <w:t> </w:t>
      </w:r>
      <w:r>
        <w:rPr>
          <w:rFonts w:ascii="Tahoma" w:hAnsi="Tahoma"/>
          <w:i/>
          <w:sz w:val="20"/>
        </w:rPr>
        <w:t>que incluyan el año 2024. Esto se debe a que los factores de las comercializadoras de electricidad que han estado operativas cada año son publicados por la Comisión Nacional de los Mercados y la Competencia en esa fecha. El resto de factores de emisión generalmente no cambiarán de un año a otro salvo por revisiones puntuales. De esta manera, hasta finales del mes de abril de cada año, no podrás solicitar la inscripción de la huella de carbono del</w:t>
      </w:r>
      <w:r>
        <w:rPr>
          <w:rFonts w:ascii="Tahoma" w:hAnsi="Tahoma"/>
          <w:i/>
          <w:spacing w:val="-3"/>
          <w:sz w:val="20"/>
        </w:rPr>
        <w:t> </w:t>
      </w:r>
      <w:r>
        <w:rPr>
          <w:rFonts w:ascii="Tahoma" w:hAnsi="Tahoma"/>
          <w:i/>
          <w:sz w:val="20"/>
        </w:rPr>
        <w:t>año</w:t>
      </w:r>
      <w:r>
        <w:rPr>
          <w:rFonts w:ascii="Tahoma" w:hAnsi="Tahoma"/>
          <w:i/>
          <w:spacing w:val="-1"/>
          <w:sz w:val="20"/>
        </w:rPr>
        <w:t> </w:t>
      </w:r>
      <w:r>
        <w:rPr>
          <w:rFonts w:ascii="Tahoma" w:hAnsi="Tahoma"/>
          <w:i/>
          <w:sz w:val="20"/>
        </w:rPr>
        <w:t>anterior salvo</w:t>
      </w:r>
      <w:r>
        <w:rPr>
          <w:rFonts w:ascii="Tahoma" w:hAnsi="Tahoma"/>
          <w:i/>
          <w:spacing w:val="-1"/>
          <w:sz w:val="20"/>
        </w:rPr>
        <w:t> </w:t>
      </w:r>
      <w:r>
        <w:rPr>
          <w:rFonts w:ascii="Tahoma" w:hAnsi="Tahoma"/>
          <w:i/>
          <w:sz w:val="20"/>
        </w:rPr>
        <w:t>que</w:t>
      </w:r>
      <w:r>
        <w:rPr>
          <w:rFonts w:ascii="Tahoma" w:hAnsi="Tahoma"/>
          <w:i/>
          <w:spacing w:val="-1"/>
          <w:sz w:val="20"/>
        </w:rPr>
        <w:t> </w:t>
      </w:r>
      <w:r>
        <w:rPr>
          <w:rFonts w:ascii="Tahoma" w:hAnsi="Tahoma"/>
          <w:i/>
          <w:sz w:val="20"/>
        </w:rPr>
        <w:t>tu huella esté</w:t>
      </w:r>
      <w:r>
        <w:rPr>
          <w:rFonts w:ascii="Tahoma" w:hAnsi="Tahoma"/>
          <w:i/>
          <w:spacing w:val="-1"/>
          <w:sz w:val="20"/>
        </w:rPr>
        <w:t> </w:t>
      </w:r>
      <w:r>
        <w:rPr>
          <w:rFonts w:ascii="Tahoma" w:hAnsi="Tahoma"/>
          <w:i/>
          <w:sz w:val="20"/>
        </w:rPr>
        <w:t>verificada por una entidad externa y sea la primera vez que la inscribes en el Registro.</w:t>
      </w:r>
    </w:p>
    <w:p>
      <w:pPr>
        <w:pStyle w:val="BodyText"/>
        <w:spacing w:before="13"/>
        <w:rPr>
          <w:rFonts w:ascii="Tahoma"/>
          <w:i/>
        </w:rPr>
      </w:pPr>
    </w:p>
    <w:p>
      <w:pPr>
        <w:pStyle w:val="BodyText"/>
        <w:spacing w:line="345" w:lineRule="auto" w:before="1"/>
        <w:ind w:left="1341" w:right="1339"/>
      </w:pPr>
      <w:r>
        <w:rPr/>
        <w:t>Conforme a esta estimación, la huella de carbono total de GMSA asciende a 21.703,29 tCO</w:t>
      </w:r>
      <w:r>
        <w:rPr>
          <w:rFonts w:ascii="Calibri" w:hAnsi="Calibri"/>
        </w:rPr>
        <w:t>₂</w:t>
      </w:r>
      <w:r>
        <w:rPr/>
        <w:t>e, lo que supone un incremento de 2.665,77 tCO</w:t>
      </w:r>
      <w:r>
        <w:rPr>
          <w:rFonts w:ascii="Calibri" w:hAnsi="Calibri"/>
        </w:rPr>
        <w:t>₂</w:t>
      </w:r>
      <w:r>
        <w:rPr/>
        <w:t>e respecto a 2024 (+14,00%).</w:t>
      </w:r>
    </w:p>
    <w:p>
      <w:pPr>
        <w:pStyle w:val="BodyText"/>
        <w:spacing w:line="355" w:lineRule="auto" w:before="197"/>
        <w:ind w:left="1341" w:right="1338"/>
        <w:jc w:val="both"/>
      </w:pPr>
      <w:r>
        <w:rPr/>
        <mc:AlternateContent>
          <mc:Choice Requires="wps">
            <w:drawing>
              <wp:anchor distT="0" distB="0" distL="0" distR="0" allowOverlap="1" layoutInCell="1" locked="0" behindDoc="0" simplePos="0" relativeHeight="15794688">
                <wp:simplePos x="0" y="0"/>
                <wp:positionH relativeFrom="page">
                  <wp:posOffset>6966436</wp:posOffset>
                </wp:positionH>
                <wp:positionV relativeFrom="paragraph">
                  <wp:posOffset>438075</wp:posOffset>
                </wp:positionV>
                <wp:extent cx="263525" cy="327596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34.494129pt;width:20.75pt;height:257.95pt;mso-position-horizontal-relative:page;mso-position-vertical-relative:paragraph;z-index:15794688" type="#_x0000_t202" id="docshape19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Este</w:t>
      </w:r>
      <w:r>
        <w:rPr>
          <w:spacing w:val="-1"/>
        </w:rPr>
        <w:t> </w:t>
      </w:r>
      <w:r>
        <w:rPr/>
        <w:t>aumento se debe principalmente al</w:t>
      </w:r>
      <w:r>
        <w:rPr>
          <w:spacing w:val="-1"/>
        </w:rPr>
        <w:t> </w:t>
      </w:r>
      <w:r>
        <w:rPr/>
        <w:t>crecimiento de</w:t>
      </w:r>
      <w:r>
        <w:rPr>
          <w:spacing w:val="-1"/>
        </w:rPr>
        <w:t> </w:t>
      </w:r>
      <w:r>
        <w:rPr/>
        <w:t>las emisiones directas (Alcance</w:t>
      </w:r>
      <w:r>
        <w:rPr>
          <w:spacing w:val="-1"/>
        </w:rPr>
        <w:t> </w:t>
      </w:r>
      <w:r>
        <w:rPr/>
        <w:t>1),</w:t>
      </w:r>
      <w:r>
        <w:rPr>
          <w:spacing w:val="-1"/>
        </w:rPr>
        <w:t> </w:t>
      </w:r>
      <w:r>
        <w:rPr/>
        <w:t>que se incrementan un 13,37%, pasando de 18.956,52 tCO</w:t>
      </w:r>
      <w:r>
        <w:rPr>
          <w:rFonts w:ascii="Calibri" w:hAnsi="Calibri"/>
        </w:rPr>
        <w:t>₂</w:t>
      </w:r>
      <w:r>
        <w:rPr/>
        <w:t>e en 2024 a 21.491,41 tCO</w:t>
      </w:r>
      <w:r>
        <w:rPr>
          <w:rFonts w:ascii="Calibri" w:hAnsi="Calibri"/>
        </w:rPr>
        <w:t>₂</w:t>
      </w:r>
      <w:r>
        <w:rPr/>
        <w:t>e en 2025, como consecuencia del mayor consumo de combustibles y gases asociado al incremento de la actividad operativa de este último ejercicio.</w:t>
      </w:r>
    </w:p>
    <w:p>
      <w:pPr>
        <w:pStyle w:val="BodyText"/>
        <w:spacing w:before="204"/>
        <w:ind w:left="2"/>
        <w:jc w:val="center"/>
      </w:pPr>
      <w:r>
        <w:rPr/>
        <w:t>Este</w:t>
      </w:r>
      <w:r>
        <w:rPr>
          <w:spacing w:val="37"/>
        </w:rPr>
        <w:t> </w:t>
      </w:r>
      <w:r>
        <w:rPr/>
        <w:t>incremento</w:t>
      </w:r>
      <w:r>
        <w:rPr>
          <w:spacing w:val="38"/>
        </w:rPr>
        <w:t> </w:t>
      </w:r>
      <w:r>
        <w:rPr/>
        <w:t>de</w:t>
      </w:r>
      <w:r>
        <w:rPr>
          <w:spacing w:val="39"/>
        </w:rPr>
        <w:t> </w:t>
      </w:r>
      <w:r>
        <w:rPr/>
        <w:t>la</w:t>
      </w:r>
      <w:r>
        <w:rPr>
          <w:spacing w:val="39"/>
        </w:rPr>
        <w:t> </w:t>
      </w:r>
      <w:r>
        <w:rPr/>
        <w:t>actividad</w:t>
      </w:r>
      <w:r>
        <w:rPr>
          <w:spacing w:val="39"/>
        </w:rPr>
        <w:t> </w:t>
      </w:r>
      <w:r>
        <w:rPr/>
        <w:t>operativa</w:t>
      </w:r>
      <w:r>
        <w:rPr>
          <w:spacing w:val="39"/>
        </w:rPr>
        <w:t> </w:t>
      </w:r>
      <w:r>
        <w:rPr/>
        <w:t>se</w:t>
      </w:r>
      <w:r>
        <w:rPr>
          <w:spacing w:val="39"/>
        </w:rPr>
        <w:t> </w:t>
      </w:r>
      <w:r>
        <w:rPr/>
        <w:t>evidencia</w:t>
      </w:r>
      <w:r>
        <w:rPr>
          <w:spacing w:val="38"/>
        </w:rPr>
        <w:t> </w:t>
      </w:r>
      <w:r>
        <w:rPr/>
        <w:t>en</w:t>
      </w:r>
      <w:r>
        <w:rPr>
          <w:spacing w:val="40"/>
        </w:rPr>
        <w:t> </w:t>
      </w:r>
      <w:r>
        <w:rPr/>
        <w:t>el</w:t>
      </w:r>
      <w:r>
        <w:rPr>
          <w:spacing w:val="41"/>
        </w:rPr>
        <w:t> </w:t>
      </w:r>
      <w:r>
        <w:rPr/>
        <w:t>incremento</w:t>
      </w:r>
      <w:r>
        <w:rPr>
          <w:spacing w:val="38"/>
        </w:rPr>
        <w:t> </w:t>
      </w:r>
      <w:r>
        <w:rPr/>
        <w:t>de</w:t>
      </w:r>
      <w:r>
        <w:rPr>
          <w:spacing w:val="41"/>
        </w:rPr>
        <w:t> </w:t>
      </w:r>
      <w:r>
        <w:rPr/>
        <w:t>los</w:t>
      </w:r>
      <w:r>
        <w:rPr>
          <w:spacing w:val="41"/>
        </w:rPr>
        <w:t> </w:t>
      </w:r>
      <w:r>
        <w:rPr>
          <w:spacing w:val="-2"/>
        </w:rPr>
        <w:t>kilómetros</w:t>
      </w:r>
    </w:p>
    <w:p>
      <w:pPr>
        <w:pStyle w:val="BodyText"/>
        <w:spacing w:before="118"/>
        <w:ind w:left="1341"/>
      </w:pPr>
      <w:r>
        <w:rPr/>
        <w:t>totales</w:t>
      </w:r>
      <w:r>
        <w:rPr>
          <w:spacing w:val="-6"/>
        </w:rPr>
        <w:t> </w:t>
      </w:r>
      <w:r>
        <w:rPr/>
        <w:t>recorridos</w:t>
      </w:r>
      <w:r>
        <w:rPr>
          <w:spacing w:val="-4"/>
        </w:rPr>
        <w:t> </w:t>
      </w:r>
      <w:r>
        <w:rPr/>
        <w:t>por</w:t>
      </w:r>
      <w:r>
        <w:rPr>
          <w:spacing w:val="-6"/>
        </w:rPr>
        <w:t> </w:t>
      </w:r>
      <w:r>
        <w:rPr/>
        <w:t>la</w:t>
      </w:r>
      <w:r>
        <w:rPr>
          <w:spacing w:val="-6"/>
        </w:rPr>
        <w:t> </w:t>
      </w:r>
      <w:r>
        <w:rPr/>
        <w:t>flota</w:t>
      </w:r>
      <w:r>
        <w:rPr>
          <w:spacing w:val="-5"/>
        </w:rPr>
        <w:t> </w:t>
      </w:r>
      <w:r>
        <w:rPr/>
        <w:t>de</w:t>
      </w:r>
      <w:r>
        <w:rPr>
          <w:spacing w:val="-5"/>
        </w:rPr>
        <w:t> </w:t>
      </w:r>
      <w:r>
        <w:rPr/>
        <w:t>guaguas,</w:t>
      </w:r>
      <w:r>
        <w:rPr>
          <w:spacing w:val="-5"/>
        </w:rPr>
        <w:t> </w:t>
      </w:r>
      <w:r>
        <w:rPr/>
        <w:t>de</w:t>
      </w:r>
      <w:r>
        <w:rPr>
          <w:spacing w:val="-4"/>
        </w:rPr>
        <w:t> </w:t>
      </w:r>
      <w:r>
        <w:rPr/>
        <w:t>acuerdo</w:t>
      </w:r>
      <w:r>
        <w:rPr>
          <w:spacing w:val="-1"/>
        </w:rPr>
        <w:t> </w:t>
      </w:r>
      <w:r>
        <w:rPr/>
        <w:t>a</w:t>
      </w:r>
      <w:r>
        <w:rPr>
          <w:spacing w:val="-7"/>
        </w:rPr>
        <w:t> </w:t>
      </w:r>
      <w:r>
        <w:rPr/>
        <w:t>lo</w:t>
      </w:r>
      <w:r>
        <w:rPr>
          <w:spacing w:val="-6"/>
        </w:rPr>
        <w:t> </w:t>
      </w:r>
      <w:r>
        <w:rPr/>
        <w:t>mostrado</w:t>
      </w:r>
      <w:r>
        <w:rPr>
          <w:spacing w:val="-6"/>
        </w:rPr>
        <w:t> </w:t>
      </w:r>
      <w:r>
        <w:rPr/>
        <w:t>en</w:t>
      </w:r>
      <w:r>
        <w:rPr>
          <w:spacing w:val="-5"/>
        </w:rPr>
        <w:t> </w:t>
      </w:r>
      <w:r>
        <w:rPr/>
        <w:t>la</w:t>
      </w:r>
      <w:r>
        <w:rPr>
          <w:spacing w:val="-7"/>
        </w:rPr>
        <w:t> </w:t>
      </w:r>
      <w:r>
        <w:rPr/>
        <w:t>siguiente</w:t>
      </w:r>
      <w:r>
        <w:rPr>
          <w:spacing w:val="-6"/>
        </w:rPr>
        <w:t> </w:t>
      </w:r>
      <w:r>
        <w:rPr>
          <w:spacing w:val="-2"/>
        </w:rPr>
        <w:t>tabla:</w:t>
      </w:r>
    </w:p>
    <w:p>
      <w:pPr>
        <w:pStyle w:val="BodyText"/>
        <w:spacing w:before="85"/>
      </w:pPr>
    </w:p>
    <w:tbl>
      <w:tblPr>
        <w:tblW w:w="0" w:type="auto"/>
        <w:jc w:val="left"/>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6"/>
        <w:gridCol w:w="1615"/>
        <w:gridCol w:w="1613"/>
        <w:gridCol w:w="1361"/>
        <w:gridCol w:w="1361"/>
      </w:tblGrid>
      <w:tr>
        <w:trPr>
          <w:trHeight w:val="510" w:hRule="atLeast"/>
        </w:trPr>
        <w:tc>
          <w:tcPr>
            <w:tcW w:w="2196" w:type="dxa"/>
            <w:tcBorders>
              <w:top w:val="nil"/>
              <w:left w:val="nil"/>
            </w:tcBorders>
          </w:tcPr>
          <w:p>
            <w:pPr>
              <w:pStyle w:val="TableParagraph"/>
              <w:rPr>
                <w:rFonts w:ascii="Times New Roman"/>
                <w:sz w:val="18"/>
              </w:rPr>
            </w:pPr>
          </w:p>
        </w:tc>
        <w:tc>
          <w:tcPr>
            <w:tcW w:w="1615" w:type="dxa"/>
          </w:tcPr>
          <w:p>
            <w:pPr>
              <w:pStyle w:val="TableParagraph"/>
              <w:spacing w:before="134"/>
              <w:ind w:left="7" w:right="5"/>
              <w:jc w:val="center"/>
              <w:rPr>
                <w:b/>
                <w:sz w:val="20"/>
              </w:rPr>
            </w:pPr>
            <w:r>
              <w:rPr>
                <w:b/>
                <w:sz w:val="20"/>
              </w:rPr>
              <w:t>Ejercicio</w:t>
            </w:r>
            <w:r>
              <w:rPr>
                <w:b/>
                <w:spacing w:val="-8"/>
                <w:sz w:val="20"/>
              </w:rPr>
              <w:t> </w:t>
            </w:r>
            <w:r>
              <w:rPr>
                <w:b/>
                <w:spacing w:val="-4"/>
                <w:sz w:val="20"/>
              </w:rPr>
              <w:t>2024</w:t>
            </w:r>
          </w:p>
        </w:tc>
        <w:tc>
          <w:tcPr>
            <w:tcW w:w="1613" w:type="dxa"/>
          </w:tcPr>
          <w:p>
            <w:pPr>
              <w:pStyle w:val="TableParagraph"/>
              <w:spacing w:before="134"/>
              <w:ind w:left="4" w:right="2"/>
              <w:jc w:val="center"/>
              <w:rPr>
                <w:b/>
                <w:sz w:val="20"/>
              </w:rPr>
            </w:pPr>
            <w:r>
              <w:rPr>
                <w:b/>
                <w:sz w:val="20"/>
              </w:rPr>
              <w:t>Ejercicio</w:t>
            </w:r>
            <w:r>
              <w:rPr>
                <w:b/>
                <w:spacing w:val="-12"/>
                <w:sz w:val="20"/>
              </w:rPr>
              <w:t> </w:t>
            </w:r>
            <w:r>
              <w:rPr>
                <w:b/>
                <w:spacing w:val="-4"/>
                <w:sz w:val="20"/>
              </w:rPr>
              <w:t>2025</w:t>
            </w:r>
          </w:p>
        </w:tc>
        <w:tc>
          <w:tcPr>
            <w:tcW w:w="1361" w:type="dxa"/>
          </w:tcPr>
          <w:p>
            <w:pPr>
              <w:pStyle w:val="TableParagraph"/>
              <w:spacing w:before="21"/>
              <w:ind w:left="268" w:right="222" w:hanging="39"/>
              <w:rPr>
                <w:b/>
                <w:sz w:val="20"/>
              </w:rPr>
            </w:pPr>
            <w:r>
              <w:rPr>
                <w:b/>
                <w:spacing w:val="-2"/>
                <w:sz w:val="20"/>
              </w:rPr>
              <w:t>Variación absoluta</w:t>
            </w:r>
          </w:p>
        </w:tc>
        <w:tc>
          <w:tcPr>
            <w:tcW w:w="1361" w:type="dxa"/>
          </w:tcPr>
          <w:p>
            <w:pPr>
              <w:pStyle w:val="TableParagraph"/>
              <w:spacing w:before="21"/>
              <w:ind w:left="167" w:firstLine="62"/>
              <w:rPr>
                <w:b/>
                <w:sz w:val="20"/>
              </w:rPr>
            </w:pPr>
            <w:r>
              <w:rPr>
                <w:b/>
                <w:spacing w:val="-2"/>
                <w:sz w:val="20"/>
              </w:rPr>
              <w:t>Variación porcentual</w:t>
            </w:r>
          </w:p>
        </w:tc>
      </w:tr>
      <w:tr>
        <w:trPr>
          <w:trHeight w:val="508" w:hRule="atLeast"/>
        </w:trPr>
        <w:tc>
          <w:tcPr>
            <w:tcW w:w="2196" w:type="dxa"/>
          </w:tcPr>
          <w:p>
            <w:pPr>
              <w:pStyle w:val="TableParagraph"/>
              <w:spacing w:before="18"/>
              <w:ind w:left="602" w:right="210" w:hanging="377"/>
              <w:rPr>
                <w:b/>
                <w:sz w:val="20"/>
              </w:rPr>
            </w:pPr>
            <w:r>
              <w:rPr>
                <w:b/>
                <w:sz w:val="20"/>
              </w:rPr>
              <w:t>Kilómetros</w:t>
            </w:r>
            <w:r>
              <w:rPr>
                <w:b/>
                <w:spacing w:val="-14"/>
                <w:sz w:val="20"/>
              </w:rPr>
              <w:t> </w:t>
            </w:r>
            <w:r>
              <w:rPr>
                <w:b/>
                <w:sz w:val="20"/>
              </w:rPr>
              <w:t>totales </w:t>
            </w:r>
            <w:r>
              <w:rPr>
                <w:b/>
                <w:spacing w:val="-2"/>
                <w:sz w:val="20"/>
              </w:rPr>
              <w:t>recorridos</w:t>
            </w:r>
          </w:p>
        </w:tc>
        <w:tc>
          <w:tcPr>
            <w:tcW w:w="1615" w:type="dxa"/>
          </w:tcPr>
          <w:p>
            <w:pPr>
              <w:pStyle w:val="TableParagraph"/>
              <w:spacing w:before="136"/>
              <w:ind w:left="7"/>
              <w:jc w:val="center"/>
              <w:rPr>
                <w:sz w:val="20"/>
              </w:rPr>
            </w:pPr>
            <w:r>
              <w:rPr>
                <w:spacing w:val="-2"/>
                <w:sz w:val="20"/>
              </w:rPr>
              <w:t>11.432.021</w:t>
            </w:r>
          </w:p>
        </w:tc>
        <w:tc>
          <w:tcPr>
            <w:tcW w:w="1613" w:type="dxa"/>
          </w:tcPr>
          <w:p>
            <w:pPr>
              <w:pStyle w:val="TableParagraph"/>
              <w:spacing w:before="136"/>
              <w:ind w:left="4"/>
              <w:jc w:val="center"/>
              <w:rPr>
                <w:sz w:val="20"/>
              </w:rPr>
            </w:pPr>
            <w:r>
              <w:rPr>
                <w:spacing w:val="-2"/>
                <w:sz w:val="20"/>
              </w:rPr>
              <w:t>11.622.879</w:t>
            </w:r>
          </w:p>
        </w:tc>
        <w:tc>
          <w:tcPr>
            <w:tcW w:w="1361" w:type="dxa"/>
          </w:tcPr>
          <w:p>
            <w:pPr>
              <w:pStyle w:val="TableParagraph"/>
              <w:spacing w:before="136"/>
              <w:ind w:left="317"/>
              <w:rPr>
                <w:sz w:val="20"/>
              </w:rPr>
            </w:pPr>
            <w:r>
              <w:rPr>
                <w:spacing w:val="-2"/>
                <w:sz w:val="20"/>
              </w:rPr>
              <w:t>190.858</w:t>
            </w:r>
          </w:p>
        </w:tc>
        <w:tc>
          <w:tcPr>
            <w:tcW w:w="1361" w:type="dxa"/>
          </w:tcPr>
          <w:p>
            <w:pPr>
              <w:pStyle w:val="TableParagraph"/>
              <w:spacing w:before="136"/>
              <w:ind w:left="450"/>
              <w:rPr>
                <w:sz w:val="20"/>
              </w:rPr>
            </w:pPr>
            <w:r>
              <w:rPr>
                <w:spacing w:val="-4"/>
                <w:sz w:val="20"/>
              </w:rPr>
              <w:t>1,7%</w:t>
            </w:r>
          </w:p>
        </w:tc>
      </w:tr>
    </w:tbl>
    <w:p>
      <w:pPr>
        <w:pStyle w:val="TableParagraph"/>
        <w:spacing w:after="0"/>
        <w:rPr>
          <w:sz w:val="20"/>
        </w:rPr>
        <w:sectPr>
          <w:pgSz w:w="11910" w:h="16840"/>
          <w:pgMar w:header="384" w:footer="1060" w:top="1200" w:bottom="1260" w:left="360" w:right="360"/>
        </w:sectPr>
      </w:pPr>
    </w:p>
    <w:p>
      <w:pPr>
        <w:pStyle w:val="BodyText"/>
        <w:spacing w:before="215"/>
        <w:jc w:val="center"/>
      </w:pPr>
      <w:r>
        <w:rPr/>
        <w:t>Por</w:t>
      </w:r>
      <w:r>
        <w:rPr>
          <w:spacing w:val="15"/>
        </w:rPr>
        <w:t> </w:t>
      </w:r>
      <w:r>
        <w:rPr/>
        <w:t>su</w:t>
      </w:r>
      <w:r>
        <w:rPr>
          <w:spacing w:val="15"/>
        </w:rPr>
        <w:t> </w:t>
      </w:r>
      <w:r>
        <w:rPr/>
        <w:t>parte,</w:t>
      </w:r>
      <w:r>
        <w:rPr>
          <w:spacing w:val="16"/>
        </w:rPr>
        <w:t> </w:t>
      </w:r>
      <w:r>
        <w:rPr/>
        <w:t>las</w:t>
      </w:r>
      <w:r>
        <w:rPr>
          <w:spacing w:val="17"/>
        </w:rPr>
        <w:t> </w:t>
      </w:r>
      <w:r>
        <w:rPr/>
        <w:t>emisiones</w:t>
      </w:r>
      <w:r>
        <w:rPr>
          <w:spacing w:val="16"/>
        </w:rPr>
        <w:t> </w:t>
      </w:r>
      <w:r>
        <w:rPr/>
        <w:t>indirectas</w:t>
      </w:r>
      <w:r>
        <w:rPr>
          <w:spacing w:val="17"/>
        </w:rPr>
        <w:t> </w:t>
      </w:r>
      <w:r>
        <w:rPr/>
        <w:t>derivadas</w:t>
      </w:r>
      <w:r>
        <w:rPr>
          <w:spacing w:val="18"/>
        </w:rPr>
        <w:t> </w:t>
      </w:r>
      <w:r>
        <w:rPr/>
        <w:t>del</w:t>
      </w:r>
      <w:r>
        <w:rPr>
          <w:spacing w:val="15"/>
        </w:rPr>
        <w:t> </w:t>
      </w:r>
      <w:r>
        <w:rPr/>
        <w:t>consumo</w:t>
      </w:r>
      <w:r>
        <w:rPr>
          <w:spacing w:val="15"/>
        </w:rPr>
        <w:t> </w:t>
      </w:r>
      <w:r>
        <w:rPr/>
        <w:t>eléctrico</w:t>
      </w:r>
      <w:r>
        <w:rPr>
          <w:spacing w:val="15"/>
        </w:rPr>
        <w:t> </w:t>
      </w:r>
      <w:r>
        <w:rPr/>
        <w:t>(Alc</w:t>
      </w:r>
      <w:r>
        <w:rPr>
          <w:spacing w:val="49"/>
        </w:rPr>
        <w:t> </w:t>
      </w:r>
      <w:r>
        <w:rPr/>
        <w:t>nce</w:t>
      </w:r>
      <w:r>
        <w:rPr>
          <w:spacing w:val="14"/>
        </w:rPr>
        <w:t> </w:t>
      </w:r>
      <w:r>
        <w:rPr/>
        <w:t>2)</w:t>
      </w:r>
      <w:r>
        <w:rPr>
          <w:spacing w:val="16"/>
        </w:rPr>
        <w:t> </w:t>
      </w:r>
      <w:r>
        <w:rPr>
          <w:spacing w:val="-2"/>
        </w:rPr>
        <w:t>aumentan</w:t>
      </w:r>
    </w:p>
    <w:p>
      <w:pPr>
        <w:pStyle w:val="BodyText"/>
        <w:spacing w:line="357" w:lineRule="auto" w:before="118"/>
        <w:ind w:left="1341" w:right="1336"/>
        <w:jc w:val="both"/>
      </w:pPr>
      <w:r>
        <w:rPr/>
        <w:t>de 81,00 tCO</w:t>
      </w:r>
      <w:r>
        <w:rPr>
          <w:rFonts w:ascii="Calibri" w:hAnsi="Calibri"/>
        </w:rPr>
        <w:t>₂</w:t>
      </w:r>
      <w:r>
        <w:rPr/>
        <w:t>e a 211,88 tCO</w:t>
      </w:r>
      <w:r>
        <w:rPr>
          <w:rFonts w:ascii="Calibri" w:hAnsi="Calibri"/>
        </w:rPr>
        <w:t>₂</w:t>
      </w:r>
      <w:r>
        <w:rPr/>
        <w:t>e (+161,58%). Esta variación obedece tanto al mayor consumo eléctrico —derivado de la incorporación de nuevos vehículos eléctricos a la flota— como a la imposibilidad de acreditar el origen renovable de la energía consumida, al no haberse emitido aún las redenciones de Garantías de Origen (GdO) por parte de la CNMC. Una vez se</w:t>
      </w:r>
      <w:r>
        <w:rPr>
          <w:spacing w:val="40"/>
        </w:rPr>
        <w:t> </w:t>
      </w:r>
      <w:r>
        <w:rPr/>
        <w:t>disponga de la documentación acreditativa, podría producirse una revisión a la baja de las emisiones indirectas y, por tanto, de la huella de carbono total reflejada en este apartado.</w:t>
      </w:r>
    </w:p>
    <w:p>
      <w:pPr>
        <w:pStyle w:val="BodyText"/>
        <w:spacing w:line="360" w:lineRule="auto" w:before="196"/>
        <w:ind w:left="1341" w:right="1337"/>
        <w:jc w:val="both"/>
      </w:pPr>
      <w:r>
        <w:rPr/>
        <w:t>En términos generales, la</w:t>
      </w:r>
      <w:r>
        <w:rPr>
          <w:spacing w:val="-1"/>
        </w:rPr>
        <w:t> </w:t>
      </w:r>
      <w:r>
        <w:rPr/>
        <w:t>evolución observada</w:t>
      </w:r>
      <w:r>
        <w:rPr>
          <w:spacing w:val="-1"/>
        </w:rPr>
        <w:t> </w:t>
      </w:r>
      <w:r>
        <w:rPr/>
        <w:t>refleja un mayor nivel de actividad en 2025, con impacto</w:t>
      </w:r>
      <w:r>
        <w:rPr>
          <w:spacing w:val="-3"/>
        </w:rPr>
        <w:t> </w:t>
      </w:r>
      <w:r>
        <w:rPr/>
        <w:t>en</w:t>
      </w:r>
      <w:r>
        <w:rPr>
          <w:spacing w:val="-2"/>
        </w:rPr>
        <w:t> </w:t>
      </w:r>
      <w:r>
        <w:rPr/>
        <w:t>ambos alcances. Dado que</w:t>
      </w:r>
      <w:r>
        <w:rPr>
          <w:spacing w:val="-1"/>
        </w:rPr>
        <w:t> </w:t>
      </w:r>
      <w:r>
        <w:rPr/>
        <w:t>el Alcance</w:t>
      </w:r>
      <w:r>
        <w:rPr>
          <w:spacing w:val="-3"/>
        </w:rPr>
        <w:t> </w:t>
      </w:r>
      <w:r>
        <w:rPr/>
        <w:t>1</w:t>
      </w:r>
      <w:r>
        <w:rPr>
          <w:spacing w:val="-1"/>
        </w:rPr>
        <w:t> </w:t>
      </w:r>
      <w:r>
        <w:rPr/>
        <w:t>concentra la</w:t>
      </w:r>
      <w:r>
        <w:rPr>
          <w:spacing w:val="-1"/>
        </w:rPr>
        <w:t> </w:t>
      </w:r>
      <w:r>
        <w:rPr/>
        <w:t>mayor parte</w:t>
      </w:r>
      <w:r>
        <w:rPr>
          <w:spacing w:val="-1"/>
        </w:rPr>
        <w:t> </w:t>
      </w:r>
      <w:r>
        <w:rPr/>
        <w:t>de las emisiones, la organización continuará priorizando medidas de eficiencia energética y de mejora en la gestión y</w:t>
      </w:r>
      <w:r>
        <w:rPr>
          <w:spacing w:val="-3"/>
        </w:rPr>
        <w:t> </w:t>
      </w:r>
      <w:r>
        <w:rPr/>
        <w:t>utilización de</w:t>
      </w:r>
      <w:r>
        <w:rPr>
          <w:spacing w:val="-1"/>
        </w:rPr>
        <w:t> </w:t>
      </w:r>
      <w:r>
        <w:rPr/>
        <w:t>combustibles, sin</w:t>
      </w:r>
      <w:r>
        <w:rPr>
          <w:spacing w:val="-1"/>
        </w:rPr>
        <w:t> </w:t>
      </w:r>
      <w:r>
        <w:rPr/>
        <w:t>perjuicio de avanzar igualmente en la optimización del consumo eléctrico y en la mejora de las condiciones de contratación energética.</w:t>
      </w:r>
    </w:p>
    <w:p>
      <w:pPr>
        <w:pStyle w:val="BodyText"/>
        <w:spacing w:before="200"/>
        <w:jc w:val="center"/>
      </w:pPr>
      <w:r>
        <w:rPr/>
        <w:t>Paralelamente,</w:t>
      </w:r>
      <w:r>
        <w:rPr>
          <w:spacing w:val="20"/>
        </w:rPr>
        <w:t> </w:t>
      </w:r>
      <w:r>
        <w:rPr/>
        <w:t>se</w:t>
      </w:r>
      <w:r>
        <w:rPr>
          <w:spacing w:val="22"/>
        </w:rPr>
        <w:t> </w:t>
      </w:r>
      <w:r>
        <w:rPr/>
        <w:t>seguirá</w:t>
      </w:r>
      <w:r>
        <w:rPr>
          <w:spacing w:val="23"/>
        </w:rPr>
        <w:t> </w:t>
      </w:r>
      <w:r>
        <w:rPr/>
        <w:t>avanzando</w:t>
      </w:r>
      <w:r>
        <w:rPr>
          <w:spacing w:val="24"/>
        </w:rPr>
        <w:t> </w:t>
      </w:r>
      <w:r>
        <w:rPr/>
        <w:t>en</w:t>
      </w:r>
      <w:r>
        <w:rPr>
          <w:spacing w:val="23"/>
        </w:rPr>
        <w:t> </w:t>
      </w:r>
      <w:r>
        <w:rPr/>
        <w:t>la</w:t>
      </w:r>
      <w:r>
        <w:rPr>
          <w:spacing w:val="21"/>
        </w:rPr>
        <w:t> </w:t>
      </w:r>
      <w:r>
        <w:rPr/>
        <w:t>mejora</w:t>
      </w:r>
      <w:r>
        <w:rPr>
          <w:spacing w:val="22"/>
        </w:rPr>
        <w:t> </w:t>
      </w:r>
      <w:r>
        <w:rPr/>
        <w:t>del</w:t>
      </w:r>
      <w:r>
        <w:rPr>
          <w:spacing w:val="22"/>
        </w:rPr>
        <w:t> </w:t>
      </w:r>
      <w:r>
        <w:rPr/>
        <w:t>consumo</w:t>
      </w:r>
      <w:r>
        <w:rPr>
          <w:spacing w:val="21"/>
        </w:rPr>
        <w:t> </w:t>
      </w:r>
      <w:r>
        <w:rPr/>
        <w:t>eléctrico,</w:t>
      </w:r>
      <w:r>
        <w:rPr>
          <w:spacing w:val="21"/>
        </w:rPr>
        <w:t> </w:t>
      </w:r>
      <w:r>
        <w:rPr/>
        <w:t>tanto</w:t>
      </w:r>
      <w:r>
        <w:rPr>
          <w:spacing w:val="20"/>
        </w:rPr>
        <w:t> </w:t>
      </w:r>
      <w:r>
        <w:rPr/>
        <w:t>mediante</w:t>
      </w:r>
      <w:r>
        <w:rPr>
          <w:spacing w:val="24"/>
        </w:rPr>
        <w:t> </w:t>
      </w:r>
      <w:r>
        <w:rPr>
          <w:spacing w:val="-5"/>
        </w:rPr>
        <w:t>la</w:t>
      </w:r>
    </w:p>
    <w:p>
      <w:pPr>
        <w:pStyle w:val="BodyText"/>
        <w:spacing w:line="362" w:lineRule="auto" w:before="116"/>
        <w:ind w:left="1341" w:right="1308"/>
      </w:pPr>
      <w:r>
        <w:rPr/>
        <w:t>optimización</w:t>
      </w:r>
      <w:r>
        <w:rPr>
          <w:spacing w:val="75"/>
        </w:rPr>
        <w:t> </w:t>
      </w:r>
      <w:r>
        <w:rPr/>
        <w:t>operativa</w:t>
      </w:r>
      <w:r>
        <w:rPr>
          <w:spacing w:val="72"/>
        </w:rPr>
        <w:t> </w:t>
      </w:r>
      <w:r>
        <w:rPr/>
        <w:t>como</w:t>
      </w:r>
      <w:r>
        <w:rPr>
          <w:spacing w:val="73"/>
        </w:rPr>
        <w:t> </w:t>
      </w:r>
      <w:r>
        <w:rPr/>
        <w:t>a</w:t>
      </w:r>
      <w:r>
        <w:rPr>
          <w:spacing w:val="71"/>
        </w:rPr>
        <w:t> </w:t>
      </w:r>
      <w:r>
        <w:rPr/>
        <w:t>través</w:t>
      </w:r>
      <w:r>
        <w:rPr>
          <w:spacing w:val="74"/>
        </w:rPr>
        <w:t> </w:t>
      </w:r>
      <w:r>
        <w:rPr/>
        <w:t>de</w:t>
      </w:r>
      <w:r>
        <w:rPr>
          <w:spacing w:val="76"/>
        </w:rPr>
        <w:t> </w:t>
      </w:r>
      <w:r>
        <w:rPr/>
        <w:t>la</w:t>
      </w:r>
      <w:r>
        <w:rPr>
          <w:spacing w:val="75"/>
        </w:rPr>
        <w:t> </w:t>
      </w:r>
      <w:r>
        <w:rPr/>
        <w:t>mejora</w:t>
      </w:r>
      <w:r>
        <w:rPr>
          <w:spacing w:val="73"/>
        </w:rPr>
        <w:t> </w:t>
      </w:r>
      <w:r>
        <w:rPr/>
        <w:t>de</w:t>
      </w:r>
      <w:r>
        <w:rPr>
          <w:spacing w:val="74"/>
        </w:rPr>
        <w:t> </w:t>
      </w:r>
      <w:r>
        <w:rPr/>
        <w:t>las</w:t>
      </w:r>
      <w:r>
        <w:rPr>
          <w:spacing w:val="74"/>
        </w:rPr>
        <w:t> </w:t>
      </w:r>
      <w:r>
        <w:rPr/>
        <w:t>condiciones</w:t>
      </w:r>
      <w:r>
        <w:rPr>
          <w:spacing w:val="76"/>
        </w:rPr>
        <w:t> </w:t>
      </w:r>
      <w:r>
        <w:rPr/>
        <w:t>de</w:t>
      </w:r>
      <w:r>
        <w:rPr>
          <w:spacing w:val="73"/>
        </w:rPr>
        <w:t> </w:t>
      </w:r>
      <w:r>
        <w:rPr/>
        <w:t>contratación energética y la acreditación del origen renovable de la energía consumida.</w:t>
      </w:r>
    </w:p>
    <w:p>
      <w:pPr>
        <w:pStyle w:val="BodyText"/>
        <w:spacing w:line="360" w:lineRule="auto" w:before="195"/>
        <w:ind w:left="1341" w:right="1336"/>
        <w:jc w:val="both"/>
      </w:pPr>
      <w:r>
        <w:rPr/>
        <w:t>Asimismo, Guaguas Municipales está trabajando con un plan de reducción de emisiones de gases de efecto invernadero en cumplimiento del RD 214/2025, de 18 de marzo, por el que se crea el registro de huella de carbono, compensación y proyectos de absorción de dióxido de carbono</w:t>
      </w:r>
      <w:r>
        <w:rPr>
          <w:spacing w:val="29"/>
        </w:rPr>
        <w:t> </w:t>
      </w:r>
      <w:r>
        <w:rPr/>
        <w:t>y</w:t>
      </w:r>
      <w:r>
        <w:rPr>
          <w:spacing w:val="22"/>
        </w:rPr>
        <w:t> </w:t>
      </w:r>
      <w:r>
        <w:rPr/>
        <w:t>por</w:t>
      </w:r>
      <w:r>
        <w:rPr>
          <w:spacing w:val="24"/>
        </w:rPr>
        <w:t> </w:t>
      </w:r>
      <w:r>
        <w:rPr/>
        <w:t>el</w:t>
      </w:r>
      <w:r>
        <w:rPr>
          <w:spacing w:val="24"/>
        </w:rPr>
        <w:t> </w:t>
      </w:r>
      <w:r>
        <w:rPr/>
        <w:t>que</w:t>
      </w:r>
      <w:r>
        <w:rPr>
          <w:spacing w:val="24"/>
        </w:rPr>
        <w:t> </w:t>
      </w:r>
      <w:r>
        <w:rPr/>
        <w:t>se</w:t>
      </w:r>
      <w:r>
        <w:rPr>
          <w:spacing w:val="25"/>
        </w:rPr>
        <w:t> </w:t>
      </w:r>
      <w:r>
        <w:rPr/>
        <w:t>establece</w:t>
      </w:r>
      <w:r>
        <w:rPr>
          <w:spacing w:val="27"/>
        </w:rPr>
        <w:t> </w:t>
      </w:r>
      <w:r>
        <w:rPr/>
        <w:t>la</w:t>
      </w:r>
      <w:r>
        <w:rPr>
          <w:spacing w:val="28"/>
        </w:rPr>
        <w:t> </w:t>
      </w:r>
      <w:r>
        <w:rPr/>
        <w:t>obligación</w:t>
      </w:r>
      <w:r>
        <w:rPr>
          <w:spacing w:val="23"/>
        </w:rPr>
        <w:t> </w:t>
      </w:r>
      <w:r>
        <w:rPr/>
        <w:t>del</w:t>
      </w:r>
      <w:r>
        <w:rPr>
          <w:spacing w:val="26"/>
        </w:rPr>
        <w:t> </w:t>
      </w:r>
      <w:r>
        <w:rPr/>
        <w:t>cálculo</w:t>
      </w:r>
      <w:r>
        <w:rPr>
          <w:spacing w:val="26"/>
        </w:rPr>
        <w:t> </w:t>
      </w:r>
      <w:r>
        <w:rPr/>
        <w:t>de</w:t>
      </w:r>
      <w:r>
        <w:rPr>
          <w:spacing w:val="28"/>
        </w:rPr>
        <w:t> </w:t>
      </w:r>
      <w:r>
        <w:rPr/>
        <w:t>la</w:t>
      </w:r>
      <w:r>
        <w:rPr>
          <w:spacing w:val="26"/>
        </w:rPr>
        <w:t> </w:t>
      </w:r>
      <w:r>
        <w:rPr/>
        <w:t>huella</w:t>
      </w:r>
      <w:r>
        <w:rPr>
          <w:spacing w:val="26"/>
        </w:rPr>
        <w:t> </w:t>
      </w:r>
      <w:r>
        <w:rPr/>
        <w:t>de</w:t>
      </w:r>
      <w:r>
        <w:rPr>
          <w:spacing w:val="25"/>
        </w:rPr>
        <w:t> </w:t>
      </w:r>
      <w:r>
        <w:rPr/>
        <w:t>carbono</w:t>
      </w:r>
      <w:r>
        <w:rPr>
          <w:spacing w:val="29"/>
        </w:rPr>
        <w:t> </w:t>
      </w:r>
      <w:r>
        <w:rPr/>
        <w:t>y</w:t>
      </w:r>
      <w:r>
        <w:rPr>
          <w:spacing w:val="22"/>
        </w:rPr>
        <w:t> </w:t>
      </w:r>
      <w:r>
        <w:rPr/>
        <w:t>de</w:t>
      </w:r>
      <w:r>
        <w:rPr>
          <w:spacing w:val="27"/>
        </w:rPr>
        <w:t> </w:t>
      </w:r>
      <w:r>
        <w:rPr>
          <w:spacing w:val="-5"/>
        </w:rPr>
        <w:t>la</w:t>
      </w:r>
    </w:p>
    <w:p>
      <w:pPr>
        <w:pStyle w:val="BodyText"/>
        <w:spacing w:before="1"/>
        <w:ind w:left="1"/>
        <w:jc w:val="center"/>
      </w:pPr>
      <w:r>
        <w:rPr/>
        <w:t>elaboración</w:t>
      </w:r>
      <w:r>
        <w:rPr>
          <w:spacing w:val="64"/>
          <w:w w:val="150"/>
        </w:rPr>
        <w:t> </w:t>
      </w:r>
      <w:r>
        <w:rPr/>
        <w:t>y</w:t>
      </w:r>
      <w:r>
        <w:rPr>
          <w:spacing w:val="57"/>
          <w:w w:val="150"/>
        </w:rPr>
        <w:t> </w:t>
      </w:r>
      <w:r>
        <w:rPr/>
        <w:t>publicación</w:t>
      </w:r>
      <w:r>
        <w:rPr>
          <w:spacing w:val="66"/>
          <w:w w:val="150"/>
        </w:rPr>
        <w:t> </w:t>
      </w:r>
      <w:r>
        <w:rPr/>
        <w:t>de</w:t>
      </w:r>
      <w:r>
        <w:rPr>
          <w:spacing w:val="62"/>
          <w:w w:val="150"/>
        </w:rPr>
        <w:t> </w:t>
      </w:r>
      <w:r>
        <w:rPr/>
        <w:t>planes</w:t>
      </w:r>
      <w:r>
        <w:rPr>
          <w:spacing w:val="63"/>
          <w:w w:val="150"/>
        </w:rPr>
        <w:t> </w:t>
      </w:r>
      <w:r>
        <w:rPr/>
        <w:t>de</w:t>
      </w:r>
      <w:r>
        <w:rPr>
          <w:spacing w:val="62"/>
          <w:w w:val="150"/>
        </w:rPr>
        <w:t> </w:t>
      </w:r>
      <w:r>
        <w:rPr/>
        <w:t>reducción</w:t>
      </w:r>
      <w:r>
        <w:rPr>
          <w:spacing w:val="60"/>
          <w:w w:val="150"/>
        </w:rPr>
        <w:t> </w:t>
      </w:r>
      <w:r>
        <w:rPr/>
        <w:t>de</w:t>
      </w:r>
      <w:r>
        <w:rPr>
          <w:spacing w:val="64"/>
          <w:w w:val="150"/>
        </w:rPr>
        <w:t> </w:t>
      </w:r>
      <w:r>
        <w:rPr/>
        <w:t>emisiones</w:t>
      </w:r>
      <w:r>
        <w:rPr>
          <w:spacing w:val="61"/>
          <w:w w:val="150"/>
        </w:rPr>
        <w:t> </w:t>
      </w:r>
      <w:r>
        <w:rPr/>
        <w:t>de</w:t>
      </w:r>
      <w:r>
        <w:rPr>
          <w:spacing w:val="60"/>
          <w:w w:val="150"/>
        </w:rPr>
        <w:t> </w:t>
      </w:r>
      <w:r>
        <w:rPr/>
        <w:t>gases</w:t>
      </w:r>
      <w:r>
        <w:rPr>
          <w:spacing w:val="63"/>
          <w:w w:val="150"/>
        </w:rPr>
        <w:t> </w:t>
      </w:r>
      <w:r>
        <w:rPr/>
        <w:t>de</w:t>
      </w:r>
      <w:r>
        <w:rPr>
          <w:spacing w:val="62"/>
          <w:w w:val="150"/>
        </w:rPr>
        <w:t> </w:t>
      </w:r>
      <w:r>
        <w:rPr>
          <w:spacing w:val="-2"/>
        </w:rPr>
        <w:t>efecto</w:t>
      </w:r>
    </w:p>
    <w:p>
      <w:pPr>
        <w:pStyle w:val="BodyText"/>
        <w:spacing w:before="115"/>
        <w:ind w:left="1341"/>
      </w:pPr>
      <w:r>
        <w:rPr/>
        <w:t>invernadero.</w:t>
      </w:r>
      <w:r>
        <w:rPr>
          <w:spacing w:val="-5"/>
        </w:rPr>
        <w:t> </w:t>
      </w:r>
      <w:r>
        <w:rPr/>
        <w:t>Se</w:t>
      </w:r>
      <w:r>
        <w:rPr>
          <w:spacing w:val="-5"/>
        </w:rPr>
        <w:t> </w:t>
      </w:r>
      <w:r>
        <w:rPr/>
        <w:t>espera</w:t>
      </w:r>
      <w:r>
        <w:rPr>
          <w:spacing w:val="-4"/>
        </w:rPr>
        <w:t> </w:t>
      </w:r>
      <w:r>
        <w:rPr/>
        <w:t>finalizar</w:t>
      </w:r>
      <w:r>
        <w:rPr>
          <w:spacing w:val="-4"/>
        </w:rPr>
        <w:t> </w:t>
      </w:r>
      <w:r>
        <w:rPr/>
        <w:t>el</w:t>
      </w:r>
      <w:r>
        <w:rPr>
          <w:spacing w:val="-7"/>
        </w:rPr>
        <w:t> </w:t>
      </w:r>
      <w:r>
        <w:rPr/>
        <w:t>plan</w:t>
      </w:r>
      <w:r>
        <w:rPr>
          <w:spacing w:val="-7"/>
        </w:rPr>
        <w:t> </w:t>
      </w:r>
      <w:r>
        <w:rPr/>
        <w:t>a</w:t>
      </w:r>
      <w:r>
        <w:rPr>
          <w:spacing w:val="-5"/>
        </w:rPr>
        <w:t> </w:t>
      </w:r>
      <w:r>
        <w:rPr/>
        <w:t>lo</w:t>
      </w:r>
      <w:r>
        <w:rPr>
          <w:spacing w:val="-5"/>
        </w:rPr>
        <w:t> </w:t>
      </w:r>
      <w:r>
        <w:rPr/>
        <w:t>largo</w:t>
      </w:r>
      <w:r>
        <w:rPr>
          <w:spacing w:val="-8"/>
        </w:rPr>
        <w:t> </w:t>
      </w:r>
      <w:r>
        <w:rPr/>
        <w:t>del</w:t>
      </w:r>
      <w:r>
        <w:rPr>
          <w:spacing w:val="-4"/>
        </w:rPr>
        <w:t> </w:t>
      </w:r>
      <w:r>
        <w:rPr/>
        <w:t>ejercicio</w:t>
      </w:r>
      <w:r>
        <w:rPr>
          <w:spacing w:val="-9"/>
        </w:rPr>
        <w:t> </w:t>
      </w:r>
      <w:r>
        <w:rPr>
          <w:spacing w:val="-2"/>
        </w:rPr>
        <w:t>2026.</w:t>
      </w:r>
    </w:p>
    <w:p>
      <w:pPr>
        <w:pStyle w:val="BodyText"/>
        <w:spacing w:before="82"/>
      </w:pPr>
    </w:p>
    <w:p>
      <w:pPr>
        <w:pStyle w:val="Heading3"/>
        <w:numPr>
          <w:ilvl w:val="1"/>
          <w:numId w:val="31"/>
        </w:numPr>
        <w:tabs>
          <w:tab w:pos="1673" w:val="left" w:leader="none"/>
        </w:tabs>
        <w:spacing w:line="240" w:lineRule="auto" w:before="1" w:after="0"/>
        <w:ind w:left="1673" w:right="0" w:hanging="332"/>
        <w:jc w:val="left"/>
      </w:pPr>
      <w:bookmarkStart w:name="_TOC_250034" w:id="18"/>
      <w:r>
        <w:rPr/>
        <w:t>Prevención</w:t>
      </w:r>
      <w:r>
        <w:rPr>
          <w:spacing w:val="-3"/>
        </w:rPr>
        <w:t> </w:t>
      </w:r>
      <w:r>
        <w:rPr/>
        <w:t>y</w:t>
      </w:r>
      <w:r>
        <w:rPr>
          <w:spacing w:val="-8"/>
        </w:rPr>
        <w:t> </w:t>
      </w:r>
      <w:r>
        <w:rPr/>
        <w:t>gestión</w:t>
      </w:r>
      <w:r>
        <w:rPr>
          <w:spacing w:val="-5"/>
        </w:rPr>
        <w:t> </w:t>
      </w:r>
      <w:r>
        <w:rPr/>
        <w:t>de</w:t>
      </w:r>
      <w:r>
        <w:rPr>
          <w:spacing w:val="-5"/>
        </w:rPr>
        <w:t> </w:t>
      </w:r>
      <w:bookmarkEnd w:id="18"/>
      <w:r>
        <w:rPr>
          <w:spacing w:val="-2"/>
        </w:rPr>
        <w:t>residuos</w:t>
      </w:r>
    </w:p>
    <w:p>
      <w:pPr>
        <w:pStyle w:val="BodyText"/>
        <w:spacing w:before="46"/>
        <w:rPr>
          <w:b/>
        </w:rPr>
      </w:pPr>
    </w:p>
    <w:p>
      <w:pPr>
        <w:pStyle w:val="BodyText"/>
        <w:spacing w:line="360" w:lineRule="auto"/>
        <w:ind w:left="1341" w:right="1335"/>
        <w:jc w:val="both"/>
      </w:pPr>
      <w:r>
        <w:rPr/>
        <mc:AlternateContent>
          <mc:Choice Requires="wps">
            <w:drawing>
              <wp:anchor distT="0" distB="0" distL="0" distR="0" allowOverlap="1" layoutInCell="1" locked="0" behindDoc="0" simplePos="0" relativeHeight="15795200">
                <wp:simplePos x="0" y="0"/>
                <wp:positionH relativeFrom="page">
                  <wp:posOffset>6966436</wp:posOffset>
                </wp:positionH>
                <wp:positionV relativeFrom="paragraph">
                  <wp:posOffset>221610</wp:posOffset>
                </wp:positionV>
                <wp:extent cx="263525" cy="327596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449629pt;width:20.75pt;height:257.95pt;mso-position-horizontal-relative:page;mso-position-vertical-relative:paragraph;z-index:15795200" type="#_x0000_t202" id="docshape19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21</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Para garantizar el control de todos los residuos generados en sus actividades Guaguas realiza la clasificación y deposición de los residuos generados en los correspondientes recipientes habilitados para su correcta gestión, según lo establecido en el procedimiento interno del SIG de la compañía. A continuación, se detalla el volumen en kilogramos de residuos peligrosos gestionados</w:t>
      </w:r>
      <w:r>
        <w:rPr>
          <w:spacing w:val="-2"/>
        </w:rPr>
        <w:t> </w:t>
      </w:r>
      <w:r>
        <w:rPr/>
        <w:t>por</w:t>
      </w:r>
      <w:r>
        <w:rPr>
          <w:spacing w:val="-2"/>
        </w:rPr>
        <w:t> </w:t>
      </w:r>
      <w:r>
        <w:rPr/>
        <w:t>las</w:t>
      </w:r>
      <w:r>
        <w:rPr>
          <w:spacing w:val="-3"/>
        </w:rPr>
        <w:t> </w:t>
      </w:r>
      <w:r>
        <w:rPr/>
        <w:t>empresas</w:t>
      </w:r>
      <w:r>
        <w:rPr>
          <w:spacing w:val="-2"/>
        </w:rPr>
        <w:t> </w:t>
      </w:r>
      <w:r>
        <w:rPr/>
        <w:t>autorizadas para</w:t>
      </w:r>
      <w:r>
        <w:rPr>
          <w:spacing w:val="-4"/>
        </w:rPr>
        <w:t> </w:t>
      </w:r>
      <w:r>
        <w:rPr/>
        <w:t>cada tipo</w:t>
      </w:r>
      <w:r>
        <w:rPr>
          <w:spacing w:val="-1"/>
        </w:rPr>
        <w:t> </w:t>
      </w:r>
      <w:r>
        <w:rPr/>
        <w:t>de</w:t>
      </w:r>
      <w:r>
        <w:rPr>
          <w:spacing w:val="-3"/>
        </w:rPr>
        <w:t> </w:t>
      </w:r>
      <w:r>
        <w:rPr/>
        <w:t>residuos que</w:t>
      </w:r>
      <w:r>
        <w:rPr>
          <w:spacing w:val="-1"/>
        </w:rPr>
        <w:t> </w:t>
      </w:r>
      <w:r>
        <w:rPr/>
        <w:t>se</w:t>
      </w:r>
      <w:r>
        <w:rPr>
          <w:spacing w:val="-3"/>
        </w:rPr>
        <w:t> </w:t>
      </w:r>
      <w:r>
        <w:rPr/>
        <w:t>ha</w:t>
      </w:r>
      <w:r>
        <w:rPr>
          <w:spacing w:val="-1"/>
        </w:rPr>
        <w:t> </w:t>
      </w:r>
      <w:r>
        <w:rPr/>
        <w:t>generado</w:t>
      </w:r>
      <w:r>
        <w:rPr>
          <w:spacing w:val="-3"/>
        </w:rPr>
        <w:t> </w:t>
      </w:r>
      <w:r>
        <w:rPr/>
        <w:t>en</w:t>
      </w:r>
      <w:r>
        <w:rPr>
          <w:spacing w:val="-3"/>
        </w:rPr>
        <w:t> </w:t>
      </w:r>
      <w:r>
        <w:rPr/>
        <w:t>el ejercicio 2025 y su correspondiente comparativa con 2024:</w:t>
      </w:r>
    </w:p>
    <w:p>
      <w:pPr>
        <w:pStyle w:val="BodyText"/>
        <w:spacing w:after="0" w:line="360" w:lineRule="auto"/>
        <w:jc w:val="both"/>
        <w:sectPr>
          <w:pgSz w:w="11910" w:h="16840"/>
          <w:pgMar w:header="384" w:footer="1060" w:top="1200" w:bottom="1260" w:left="360" w:right="360"/>
        </w:sectPr>
      </w:pPr>
    </w:p>
    <w:p>
      <w:pPr>
        <w:pStyle w:val="BodyText"/>
        <w:spacing w:before="11"/>
        <w:rPr>
          <w:sz w:val="18"/>
        </w:rPr>
      </w:pPr>
    </w:p>
    <w:tbl>
      <w:tblPr>
        <w:tblW w:w="0" w:type="auto"/>
        <w:jc w:val="left"/>
        <w:tblInd w:w="1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99"/>
        <w:gridCol w:w="1062"/>
        <w:gridCol w:w="1061"/>
        <w:gridCol w:w="1062"/>
      </w:tblGrid>
      <w:tr>
        <w:trPr>
          <w:trHeight w:val="248" w:hRule="atLeast"/>
        </w:trPr>
        <w:tc>
          <w:tcPr>
            <w:tcW w:w="5299" w:type="dxa"/>
            <w:tcBorders>
              <w:left w:val="single" w:sz="8" w:space="0" w:color="000000"/>
              <w:right w:val="single" w:sz="8" w:space="0" w:color="000000"/>
            </w:tcBorders>
            <w:shd w:val="clear" w:color="auto" w:fill="D9D9D9"/>
          </w:tcPr>
          <w:p>
            <w:pPr>
              <w:pStyle w:val="TableParagraph"/>
              <w:spacing w:line="190" w:lineRule="exact" w:before="39"/>
              <w:ind w:left="36"/>
              <w:jc w:val="center"/>
              <w:rPr>
                <w:rFonts w:ascii="Calibri"/>
                <w:b/>
                <w:sz w:val="17"/>
              </w:rPr>
            </w:pPr>
            <w:r>
              <w:rPr>
                <w:rFonts w:ascii="Calibri"/>
                <w:b/>
                <w:spacing w:val="-2"/>
                <w:sz w:val="17"/>
              </w:rPr>
              <w:t>RESIDUOS</w:t>
            </w:r>
            <w:r>
              <w:rPr>
                <w:rFonts w:ascii="Calibri"/>
                <w:b/>
                <w:spacing w:val="-5"/>
                <w:sz w:val="17"/>
              </w:rPr>
              <w:t> </w:t>
            </w:r>
            <w:r>
              <w:rPr>
                <w:rFonts w:ascii="Calibri"/>
                <w:b/>
                <w:spacing w:val="-2"/>
                <w:sz w:val="17"/>
              </w:rPr>
              <w:t>PELIGROSOS</w:t>
            </w:r>
          </w:p>
        </w:tc>
        <w:tc>
          <w:tcPr>
            <w:tcW w:w="1062" w:type="dxa"/>
            <w:tcBorders>
              <w:left w:val="single" w:sz="8" w:space="0" w:color="000000"/>
              <w:right w:val="single" w:sz="8" w:space="0" w:color="000000"/>
            </w:tcBorders>
            <w:shd w:val="clear" w:color="auto" w:fill="D9D9D9"/>
          </w:tcPr>
          <w:p>
            <w:pPr>
              <w:pStyle w:val="TableParagraph"/>
              <w:spacing w:line="190" w:lineRule="exact" w:before="39"/>
              <w:ind w:left="154"/>
              <w:rPr>
                <w:rFonts w:ascii="Calibri" w:hAnsi="Calibri"/>
                <w:b/>
                <w:sz w:val="17"/>
              </w:rPr>
            </w:pPr>
            <w:r>
              <w:rPr>
                <w:rFonts w:ascii="Calibri" w:hAnsi="Calibri"/>
                <w:b/>
                <w:sz w:val="17"/>
              </w:rPr>
              <w:t>AÑO</w:t>
            </w:r>
            <w:r>
              <w:rPr>
                <w:rFonts w:ascii="Calibri" w:hAnsi="Calibri"/>
                <w:b/>
                <w:spacing w:val="13"/>
                <w:sz w:val="17"/>
              </w:rPr>
              <w:t> </w:t>
            </w:r>
            <w:r>
              <w:rPr>
                <w:rFonts w:ascii="Calibri" w:hAnsi="Calibri"/>
                <w:b/>
                <w:spacing w:val="-4"/>
                <w:sz w:val="17"/>
              </w:rPr>
              <w:t>2024</w:t>
            </w:r>
          </w:p>
        </w:tc>
        <w:tc>
          <w:tcPr>
            <w:tcW w:w="1061" w:type="dxa"/>
            <w:tcBorders>
              <w:left w:val="single" w:sz="8" w:space="0" w:color="000000"/>
              <w:right w:val="single" w:sz="8" w:space="0" w:color="000000"/>
            </w:tcBorders>
            <w:shd w:val="clear" w:color="auto" w:fill="D9D9D9"/>
          </w:tcPr>
          <w:p>
            <w:pPr>
              <w:pStyle w:val="TableParagraph"/>
              <w:spacing w:line="190" w:lineRule="exact" w:before="39"/>
              <w:ind w:left="153"/>
              <w:rPr>
                <w:rFonts w:ascii="Calibri" w:hAnsi="Calibri"/>
                <w:b/>
                <w:sz w:val="17"/>
              </w:rPr>
            </w:pPr>
            <w:r>
              <w:rPr>
                <w:rFonts w:ascii="Calibri" w:hAnsi="Calibri"/>
                <w:b/>
                <w:sz w:val="17"/>
              </w:rPr>
              <w:t>AÑO</w:t>
            </w:r>
            <w:r>
              <w:rPr>
                <w:rFonts w:ascii="Calibri" w:hAnsi="Calibri"/>
                <w:b/>
                <w:spacing w:val="15"/>
                <w:sz w:val="17"/>
              </w:rPr>
              <w:t> </w:t>
            </w:r>
            <w:r>
              <w:rPr>
                <w:rFonts w:ascii="Calibri" w:hAnsi="Calibri"/>
                <w:b/>
                <w:spacing w:val="-4"/>
                <w:sz w:val="17"/>
              </w:rPr>
              <w:t>2025</w:t>
            </w:r>
          </w:p>
        </w:tc>
        <w:tc>
          <w:tcPr>
            <w:tcW w:w="1062" w:type="dxa"/>
            <w:tcBorders>
              <w:left w:val="single" w:sz="8" w:space="0" w:color="000000"/>
              <w:right w:val="single" w:sz="8" w:space="0" w:color="000000"/>
            </w:tcBorders>
            <w:shd w:val="clear" w:color="auto" w:fill="D9D9D9"/>
          </w:tcPr>
          <w:p>
            <w:pPr>
              <w:pStyle w:val="TableParagraph"/>
              <w:spacing w:line="190" w:lineRule="exact" w:before="39"/>
              <w:ind w:left="302"/>
              <w:rPr>
                <w:rFonts w:ascii="Calibri" w:hAnsi="Calibri"/>
                <w:b/>
                <w:sz w:val="17"/>
              </w:rPr>
            </w:pPr>
            <w:r>
              <w:rPr>
                <w:rFonts w:ascii="Calibri" w:hAnsi="Calibri"/>
                <w:b/>
                <w:sz w:val="17"/>
              </w:rPr>
              <w:t>∆%</w:t>
            </w:r>
            <w:r>
              <w:rPr>
                <w:rFonts w:ascii="Calibri" w:hAnsi="Calibri"/>
                <w:b/>
                <w:spacing w:val="2"/>
                <w:sz w:val="17"/>
              </w:rPr>
              <w:t> </w:t>
            </w:r>
            <w:r>
              <w:rPr>
                <w:rFonts w:ascii="Calibri" w:hAnsi="Calibri"/>
                <w:b/>
                <w:spacing w:val="-5"/>
                <w:sz w:val="17"/>
              </w:rPr>
              <w:t>KG</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pacing w:val="-2"/>
                <w:sz w:val="17"/>
              </w:rPr>
              <w:t>ACEITES</w:t>
            </w:r>
            <w:r>
              <w:rPr>
                <w:rFonts w:ascii="Calibri"/>
                <w:spacing w:val="6"/>
                <w:sz w:val="17"/>
              </w:rPr>
              <w:t> </w:t>
            </w:r>
            <w:r>
              <w:rPr>
                <w:rFonts w:ascii="Calibri"/>
                <w:spacing w:val="-2"/>
                <w:sz w:val="17"/>
              </w:rPr>
              <w:t>LUBRICANTES</w:t>
            </w:r>
            <w:r>
              <w:rPr>
                <w:rFonts w:ascii="Calibri"/>
                <w:spacing w:val="7"/>
                <w:sz w:val="17"/>
              </w:rPr>
              <w:t> </w:t>
            </w:r>
            <w:r>
              <w:rPr>
                <w:rFonts w:ascii="Calibri"/>
                <w:spacing w:val="-2"/>
                <w:sz w:val="17"/>
              </w:rPr>
              <w:t>USADOS</w:t>
            </w:r>
          </w:p>
        </w:tc>
        <w:tc>
          <w:tcPr>
            <w:tcW w:w="1062" w:type="dxa"/>
            <w:tcBorders>
              <w:left w:val="single" w:sz="8" w:space="0" w:color="000000"/>
              <w:right w:val="single" w:sz="8" w:space="0" w:color="000000"/>
            </w:tcBorders>
          </w:tcPr>
          <w:p>
            <w:pPr>
              <w:pStyle w:val="TableParagraph"/>
              <w:spacing w:line="190" w:lineRule="exact" w:before="42"/>
              <w:ind w:right="14"/>
              <w:jc w:val="right"/>
              <w:rPr>
                <w:rFonts w:ascii="Calibri"/>
                <w:sz w:val="17"/>
              </w:rPr>
            </w:pPr>
            <w:r>
              <w:rPr>
                <w:rFonts w:ascii="Calibri"/>
                <w:spacing w:val="-2"/>
                <w:sz w:val="17"/>
              </w:rPr>
              <w:t>20.000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2"/>
                <w:sz w:val="17"/>
              </w:rPr>
              <w:t>16.600</w:t>
            </w:r>
          </w:p>
        </w:tc>
        <w:tc>
          <w:tcPr>
            <w:tcW w:w="1062" w:type="dxa"/>
            <w:tcBorders>
              <w:left w:val="single" w:sz="8" w:space="0" w:color="000000"/>
              <w:right w:val="single" w:sz="8" w:space="0" w:color="000000"/>
            </w:tcBorders>
          </w:tcPr>
          <w:p>
            <w:pPr>
              <w:pStyle w:val="TableParagraph"/>
              <w:spacing w:line="190" w:lineRule="exact" w:before="42"/>
              <w:ind w:right="2"/>
              <w:jc w:val="right"/>
              <w:rPr>
                <w:rFonts w:ascii="Calibri"/>
                <w:sz w:val="17"/>
              </w:rPr>
            </w:pPr>
            <w:r>
              <w:rPr>
                <w:rFonts w:ascii="Calibri"/>
                <w:spacing w:val="-2"/>
                <w:sz w:val="17"/>
              </w:rPr>
              <w:t>-17,0%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z w:val="17"/>
              </w:rPr>
              <w:t>FILTROS</w:t>
            </w:r>
            <w:r>
              <w:rPr>
                <w:rFonts w:ascii="Calibri" w:hAnsi="Calibri"/>
                <w:spacing w:val="6"/>
                <w:sz w:val="17"/>
              </w:rPr>
              <w:t> </w:t>
            </w:r>
            <w:r>
              <w:rPr>
                <w:rFonts w:ascii="Calibri" w:hAnsi="Calibri"/>
                <w:sz w:val="17"/>
              </w:rPr>
              <w:t>DE</w:t>
            </w:r>
            <w:r>
              <w:rPr>
                <w:rFonts w:ascii="Calibri" w:hAnsi="Calibri"/>
                <w:spacing w:val="-2"/>
                <w:sz w:val="17"/>
              </w:rPr>
              <w:t> </w:t>
            </w:r>
            <w:r>
              <w:rPr>
                <w:rFonts w:ascii="Calibri" w:hAnsi="Calibri"/>
                <w:sz w:val="17"/>
              </w:rPr>
              <w:t>ACEITE</w:t>
            </w:r>
            <w:r>
              <w:rPr>
                <w:rFonts w:ascii="Calibri" w:hAnsi="Calibri"/>
                <w:spacing w:val="-1"/>
                <w:sz w:val="17"/>
              </w:rPr>
              <w:t> </w:t>
            </w:r>
            <w:r>
              <w:rPr>
                <w:rFonts w:ascii="Calibri" w:hAnsi="Calibri"/>
                <w:sz w:val="17"/>
              </w:rPr>
              <w:t>Y</w:t>
            </w:r>
            <w:r>
              <w:rPr>
                <w:rFonts w:ascii="Calibri" w:hAnsi="Calibri"/>
                <w:spacing w:val="1"/>
                <w:sz w:val="17"/>
              </w:rPr>
              <w:t> </w:t>
            </w:r>
            <w:r>
              <w:rPr>
                <w:rFonts w:ascii="Calibri" w:hAnsi="Calibri"/>
                <w:sz w:val="17"/>
              </w:rPr>
              <w:t>OTROS</w:t>
            </w:r>
            <w:r>
              <w:rPr>
                <w:rFonts w:ascii="Calibri" w:hAnsi="Calibri"/>
                <w:spacing w:val="3"/>
                <w:sz w:val="17"/>
              </w:rPr>
              <w:t> </w:t>
            </w:r>
            <w:r>
              <w:rPr>
                <w:rFonts w:ascii="Calibri" w:hAnsi="Calibri"/>
                <w:sz w:val="17"/>
              </w:rPr>
              <w:t>DE</w:t>
            </w:r>
            <w:r>
              <w:rPr>
                <w:rFonts w:ascii="Calibri" w:hAnsi="Calibri"/>
                <w:spacing w:val="-5"/>
                <w:sz w:val="17"/>
              </w:rPr>
              <w:t> </w:t>
            </w:r>
            <w:r>
              <w:rPr>
                <w:rFonts w:ascii="Calibri" w:hAnsi="Calibri"/>
                <w:spacing w:val="-2"/>
                <w:sz w:val="17"/>
              </w:rPr>
              <w:t>AUTOMÓVILES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2"/>
                <w:sz w:val="17"/>
              </w:rPr>
              <w:t>1.175</w:t>
            </w:r>
          </w:p>
        </w:tc>
        <w:tc>
          <w:tcPr>
            <w:tcW w:w="1061" w:type="dxa"/>
            <w:tcBorders>
              <w:left w:val="single" w:sz="8" w:space="0" w:color="000000"/>
              <w:right w:val="single" w:sz="8" w:space="0" w:color="000000"/>
            </w:tcBorders>
          </w:tcPr>
          <w:p>
            <w:pPr>
              <w:pStyle w:val="TableParagraph"/>
              <w:spacing w:line="190" w:lineRule="exact" w:before="42"/>
              <w:ind w:right="12"/>
              <w:jc w:val="right"/>
              <w:rPr>
                <w:rFonts w:ascii="Calibri"/>
                <w:sz w:val="17"/>
              </w:rPr>
            </w:pPr>
            <w:r>
              <w:rPr>
                <w:rFonts w:ascii="Calibri"/>
                <w:spacing w:val="-2"/>
                <w:sz w:val="17"/>
              </w:rPr>
              <w:t>1.396</w:t>
            </w:r>
          </w:p>
        </w:tc>
        <w:tc>
          <w:tcPr>
            <w:tcW w:w="1062" w:type="dxa"/>
            <w:tcBorders>
              <w:left w:val="single" w:sz="8" w:space="0" w:color="000000"/>
              <w:right w:val="single" w:sz="8" w:space="0" w:color="000000"/>
            </w:tcBorders>
          </w:tcPr>
          <w:p>
            <w:pPr>
              <w:pStyle w:val="TableParagraph"/>
              <w:spacing w:line="190" w:lineRule="exact" w:before="42"/>
              <w:ind w:right="2"/>
              <w:jc w:val="right"/>
              <w:rPr>
                <w:rFonts w:ascii="Calibri"/>
                <w:sz w:val="17"/>
              </w:rPr>
            </w:pPr>
            <w:r>
              <w:rPr>
                <w:rFonts w:ascii="Calibri"/>
                <w:spacing w:val="-2"/>
                <w:sz w:val="17"/>
              </w:rPr>
              <w:t>18,8%</w:t>
            </w:r>
          </w:p>
        </w:tc>
      </w:tr>
      <w:tr>
        <w:trPr>
          <w:trHeight w:val="249"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hAnsi="Calibri"/>
                <w:sz w:val="17"/>
              </w:rPr>
            </w:pPr>
            <w:r>
              <w:rPr>
                <w:rFonts w:ascii="Calibri" w:hAnsi="Calibri"/>
                <w:sz w:val="17"/>
              </w:rPr>
              <w:t>ENVASES</w:t>
            </w:r>
            <w:r>
              <w:rPr>
                <w:rFonts w:ascii="Calibri" w:hAnsi="Calibri"/>
                <w:spacing w:val="-4"/>
                <w:sz w:val="17"/>
              </w:rPr>
              <w:t> </w:t>
            </w:r>
            <w:r>
              <w:rPr>
                <w:rFonts w:ascii="Calibri" w:hAnsi="Calibri"/>
                <w:sz w:val="17"/>
              </w:rPr>
              <w:t>DE</w:t>
            </w:r>
            <w:r>
              <w:rPr>
                <w:rFonts w:ascii="Calibri" w:hAnsi="Calibri"/>
                <w:spacing w:val="-9"/>
                <w:sz w:val="17"/>
              </w:rPr>
              <w:t> </w:t>
            </w:r>
            <w:r>
              <w:rPr>
                <w:rFonts w:ascii="Calibri" w:hAnsi="Calibri"/>
                <w:sz w:val="17"/>
              </w:rPr>
              <w:t>PLÁSTICO</w:t>
            </w:r>
            <w:r>
              <w:rPr>
                <w:rFonts w:ascii="Calibri" w:hAnsi="Calibri"/>
                <w:spacing w:val="1"/>
                <w:sz w:val="17"/>
              </w:rPr>
              <w:t> </w:t>
            </w:r>
            <w:r>
              <w:rPr>
                <w:rFonts w:ascii="Calibri" w:hAnsi="Calibri"/>
                <w:sz w:val="17"/>
              </w:rPr>
              <w:t>CON</w:t>
            </w:r>
            <w:r>
              <w:rPr>
                <w:rFonts w:ascii="Calibri" w:hAnsi="Calibri"/>
                <w:spacing w:val="-9"/>
                <w:sz w:val="17"/>
              </w:rPr>
              <w:t> </w:t>
            </w:r>
            <w:r>
              <w:rPr>
                <w:rFonts w:ascii="Calibri" w:hAnsi="Calibri"/>
                <w:sz w:val="17"/>
              </w:rPr>
              <w:t>SUSTANCIAS</w:t>
            </w:r>
            <w:r>
              <w:rPr>
                <w:rFonts w:ascii="Calibri" w:hAnsi="Calibri"/>
                <w:spacing w:val="-4"/>
                <w:sz w:val="17"/>
              </w:rPr>
              <w:t> </w:t>
            </w:r>
            <w:r>
              <w:rPr>
                <w:rFonts w:ascii="Calibri" w:hAnsi="Calibri"/>
                <w:spacing w:val="-2"/>
                <w:sz w:val="17"/>
              </w:rPr>
              <w:t>PELIGROSAS</w:t>
            </w:r>
          </w:p>
        </w:tc>
        <w:tc>
          <w:tcPr>
            <w:tcW w:w="1062" w:type="dxa"/>
            <w:tcBorders>
              <w:left w:val="single" w:sz="8" w:space="0" w:color="000000"/>
              <w:right w:val="single" w:sz="8" w:space="0" w:color="000000"/>
            </w:tcBorders>
          </w:tcPr>
          <w:p>
            <w:pPr>
              <w:pStyle w:val="TableParagraph"/>
              <w:spacing w:line="190" w:lineRule="exact" w:before="39"/>
              <w:ind w:right="15"/>
              <w:jc w:val="right"/>
              <w:rPr>
                <w:rFonts w:ascii="Calibri"/>
                <w:sz w:val="17"/>
              </w:rPr>
            </w:pPr>
            <w:r>
              <w:rPr>
                <w:rFonts w:ascii="Calibri"/>
                <w:spacing w:val="-5"/>
                <w:sz w:val="17"/>
              </w:rPr>
              <w:t>581</w:t>
            </w:r>
          </w:p>
        </w:tc>
        <w:tc>
          <w:tcPr>
            <w:tcW w:w="1061" w:type="dxa"/>
            <w:tcBorders>
              <w:left w:val="single" w:sz="8" w:space="0" w:color="000000"/>
              <w:right w:val="single" w:sz="8" w:space="0" w:color="000000"/>
            </w:tcBorders>
          </w:tcPr>
          <w:p>
            <w:pPr>
              <w:pStyle w:val="TableParagraph"/>
              <w:spacing w:line="190" w:lineRule="exact" w:before="39"/>
              <w:ind w:right="13"/>
              <w:jc w:val="right"/>
              <w:rPr>
                <w:rFonts w:ascii="Calibri"/>
                <w:sz w:val="17"/>
              </w:rPr>
            </w:pPr>
            <w:r>
              <w:rPr>
                <w:rFonts w:ascii="Calibri"/>
                <w:spacing w:val="-5"/>
                <w:sz w:val="17"/>
              </w:rPr>
              <w:t>523</w:t>
            </w:r>
          </w:p>
        </w:tc>
        <w:tc>
          <w:tcPr>
            <w:tcW w:w="1062" w:type="dxa"/>
            <w:tcBorders>
              <w:left w:val="single" w:sz="8" w:space="0" w:color="000000"/>
              <w:right w:val="single" w:sz="8" w:space="0" w:color="000000"/>
            </w:tcBorders>
          </w:tcPr>
          <w:p>
            <w:pPr>
              <w:pStyle w:val="TableParagraph"/>
              <w:spacing w:line="190" w:lineRule="exact" w:before="39"/>
              <w:ind w:right="2"/>
              <w:jc w:val="right"/>
              <w:rPr>
                <w:rFonts w:ascii="Calibri"/>
                <w:sz w:val="17"/>
              </w:rPr>
            </w:pPr>
            <w:r>
              <w:rPr>
                <w:rFonts w:ascii="Calibri"/>
                <w:spacing w:val="-2"/>
                <w:sz w:val="17"/>
              </w:rPr>
              <w:t>-10,0%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z w:val="17"/>
              </w:rPr>
              <w:t>PILAS</w:t>
            </w:r>
            <w:r>
              <w:rPr>
                <w:rFonts w:ascii="Calibri"/>
                <w:spacing w:val="3"/>
                <w:sz w:val="17"/>
              </w:rPr>
              <w:t> </w:t>
            </w:r>
            <w:r>
              <w:rPr>
                <w:rFonts w:ascii="Calibri"/>
                <w:spacing w:val="-2"/>
                <w:sz w:val="17"/>
              </w:rPr>
              <w:t>ALCALINAS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42"/>
              <w:ind w:right="3"/>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pacing w:val="-2"/>
                <w:sz w:val="17"/>
              </w:rPr>
              <w:t>BATERÍAS</w:t>
            </w:r>
            <w:r>
              <w:rPr>
                <w:rFonts w:ascii="Calibri" w:hAnsi="Calibri"/>
                <w:spacing w:val="3"/>
                <w:sz w:val="17"/>
              </w:rPr>
              <w:t> </w:t>
            </w:r>
            <w:r>
              <w:rPr>
                <w:rFonts w:ascii="Calibri" w:hAnsi="Calibri"/>
                <w:spacing w:val="-2"/>
                <w:sz w:val="17"/>
              </w:rPr>
              <w:t>USADAS</w:t>
            </w:r>
          </w:p>
        </w:tc>
        <w:tc>
          <w:tcPr>
            <w:tcW w:w="1062" w:type="dxa"/>
            <w:tcBorders>
              <w:left w:val="single" w:sz="8" w:space="0" w:color="000000"/>
              <w:right w:val="single" w:sz="8" w:space="0" w:color="000000"/>
            </w:tcBorders>
          </w:tcPr>
          <w:p>
            <w:pPr>
              <w:pStyle w:val="TableParagraph"/>
              <w:spacing w:line="190" w:lineRule="exact" w:before="42"/>
              <w:ind w:right="14"/>
              <w:jc w:val="right"/>
              <w:rPr>
                <w:rFonts w:ascii="Calibri"/>
                <w:sz w:val="17"/>
              </w:rPr>
            </w:pPr>
            <w:r>
              <w:rPr>
                <w:rFonts w:ascii="Calibri"/>
                <w:spacing w:val="-2"/>
                <w:sz w:val="17"/>
              </w:rPr>
              <w:t>13.502</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2"/>
                <w:sz w:val="17"/>
              </w:rPr>
              <w:t>16.109</w:t>
            </w:r>
          </w:p>
        </w:tc>
        <w:tc>
          <w:tcPr>
            <w:tcW w:w="1062" w:type="dxa"/>
            <w:tcBorders>
              <w:left w:val="single" w:sz="8" w:space="0" w:color="000000"/>
              <w:right w:val="single" w:sz="8" w:space="0" w:color="000000"/>
            </w:tcBorders>
          </w:tcPr>
          <w:p>
            <w:pPr>
              <w:pStyle w:val="TableParagraph"/>
              <w:spacing w:line="190" w:lineRule="exact" w:before="42"/>
              <w:ind w:right="1"/>
              <w:jc w:val="right"/>
              <w:rPr>
                <w:rFonts w:ascii="Calibri"/>
                <w:sz w:val="17"/>
              </w:rPr>
            </w:pPr>
            <w:r>
              <w:rPr>
                <w:rFonts w:ascii="Calibri"/>
                <w:spacing w:val="-2"/>
                <w:sz w:val="17"/>
              </w:rPr>
              <w:t>19,3%</w:t>
            </w:r>
          </w:p>
        </w:tc>
      </w:tr>
      <w:tr>
        <w:trPr>
          <w:trHeight w:val="249"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sz w:val="17"/>
              </w:rPr>
            </w:pPr>
            <w:r>
              <w:rPr>
                <w:rFonts w:ascii="Calibri"/>
                <w:sz w:val="17"/>
              </w:rPr>
              <w:t>LODOS DE</w:t>
            </w:r>
            <w:r>
              <w:rPr>
                <w:rFonts w:ascii="Calibri"/>
                <w:spacing w:val="-1"/>
                <w:sz w:val="17"/>
              </w:rPr>
              <w:t> </w:t>
            </w:r>
            <w:r>
              <w:rPr>
                <w:rFonts w:ascii="Calibri"/>
                <w:sz w:val="17"/>
              </w:rPr>
              <w:t>SEPARADOR</w:t>
            </w:r>
            <w:r>
              <w:rPr>
                <w:rFonts w:ascii="Calibri"/>
                <w:spacing w:val="1"/>
                <w:sz w:val="17"/>
              </w:rPr>
              <w:t> </w:t>
            </w:r>
            <w:r>
              <w:rPr>
                <w:rFonts w:ascii="Calibri"/>
                <w:spacing w:val="-4"/>
                <w:sz w:val="17"/>
              </w:rPr>
              <w:t>AGUA</w:t>
            </w:r>
          </w:p>
        </w:tc>
        <w:tc>
          <w:tcPr>
            <w:tcW w:w="1062" w:type="dxa"/>
            <w:tcBorders>
              <w:left w:val="single" w:sz="8" w:space="0" w:color="000000"/>
              <w:right w:val="single" w:sz="8" w:space="0" w:color="000000"/>
            </w:tcBorders>
          </w:tcPr>
          <w:p>
            <w:pPr>
              <w:pStyle w:val="TableParagraph"/>
              <w:spacing w:line="190" w:lineRule="exact" w:before="39"/>
              <w:ind w:right="14"/>
              <w:jc w:val="right"/>
              <w:rPr>
                <w:rFonts w:ascii="Calibri"/>
                <w:sz w:val="17"/>
              </w:rPr>
            </w:pPr>
            <w:r>
              <w:rPr>
                <w:rFonts w:ascii="Calibri"/>
                <w:spacing w:val="-2"/>
                <w:sz w:val="17"/>
              </w:rPr>
              <w:t>33.827</w:t>
            </w:r>
          </w:p>
        </w:tc>
        <w:tc>
          <w:tcPr>
            <w:tcW w:w="1061" w:type="dxa"/>
            <w:tcBorders>
              <w:left w:val="single" w:sz="8" w:space="0" w:color="000000"/>
              <w:right w:val="single" w:sz="8" w:space="0" w:color="000000"/>
            </w:tcBorders>
          </w:tcPr>
          <w:p>
            <w:pPr>
              <w:pStyle w:val="TableParagraph"/>
              <w:spacing w:line="190" w:lineRule="exact" w:before="39"/>
              <w:ind w:right="13"/>
              <w:jc w:val="right"/>
              <w:rPr>
                <w:rFonts w:ascii="Calibri"/>
                <w:sz w:val="17"/>
              </w:rPr>
            </w:pPr>
            <w:r>
              <w:rPr>
                <w:rFonts w:ascii="Calibri"/>
                <w:spacing w:val="-2"/>
                <w:sz w:val="17"/>
              </w:rPr>
              <w:t>24.854</w:t>
            </w:r>
          </w:p>
        </w:tc>
        <w:tc>
          <w:tcPr>
            <w:tcW w:w="1062" w:type="dxa"/>
            <w:tcBorders>
              <w:left w:val="single" w:sz="8" w:space="0" w:color="000000"/>
              <w:right w:val="single" w:sz="8" w:space="0" w:color="000000"/>
            </w:tcBorders>
          </w:tcPr>
          <w:p>
            <w:pPr>
              <w:pStyle w:val="TableParagraph"/>
              <w:spacing w:line="190" w:lineRule="exact" w:before="39"/>
              <w:ind w:right="2"/>
              <w:jc w:val="right"/>
              <w:rPr>
                <w:rFonts w:ascii="Calibri"/>
                <w:sz w:val="17"/>
              </w:rPr>
            </w:pPr>
            <w:r>
              <w:rPr>
                <w:rFonts w:ascii="Calibri"/>
                <w:spacing w:val="-2"/>
                <w:sz w:val="17"/>
              </w:rPr>
              <w:t>-26,5%</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z w:val="17"/>
              </w:rPr>
              <w:t>TUBOS</w:t>
            </w:r>
            <w:r>
              <w:rPr>
                <w:rFonts w:ascii="Calibri"/>
                <w:spacing w:val="-8"/>
                <w:sz w:val="17"/>
              </w:rPr>
              <w:t> </w:t>
            </w:r>
            <w:r>
              <w:rPr>
                <w:rFonts w:ascii="Calibri"/>
                <w:sz w:val="17"/>
              </w:rPr>
              <w:t>FLUORESCENTES</w:t>
            </w:r>
            <w:r>
              <w:rPr>
                <w:rFonts w:ascii="Calibri"/>
                <w:spacing w:val="-7"/>
                <w:sz w:val="17"/>
              </w:rPr>
              <w:t> </w:t>
            </w:r>
            <w:r>
              <w:rPr>
                <w:rFonts w:ascii="Calibri"/>
                <w:sz w:val="17"/>
              </w:rPr>
              <w:t>Y</w:t>
            </w:r>
            <w:r>
              <w:rPr>
                <w:rFonts w:ascii="Calibri"/>
                <w:spacing w:val="-8"/>
                <w:sz w:val="17"/>
              </w:rPr>
              <w:t> </w:t>
            </w:r>
            <w:r>
              <w:rPr>
                <w:rFonts w:ascii="Calibri"/>
                <w:spacing w:val="-2"/>
                <w:sz w:val="17"/>
              </w:rPr>
              <w:t>BOMBILLAS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42"/>
              <w:ind w:right="3"/>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z w:val="17"/>
              </w:rPr>
              <w:t>PAPEL</w:t>
            </w:r>
            <w:r>
              <w:rPr>
                <w:rFonts w:ascii="Calibri"/>
                <w:spacing w:val="-5"/>
                <w:sz w:val="17"/>
              </w:rPr>
              <w:t> </w:t>
            </w:r>
            <w:r>
              <w:rPr>
                <w:rFonts w:ascii="Calibri"/>
                <w:sz w:val="17"/>
              </w:rPr>
              <w:t>CON</w:t>
            </w:r>
            <w:r>
              <w:rPr>
                <w:rFonts w:ascii="Calibri"/>
                <w:spacing w:val="-2"/>
                <w:sz w:val="17"/>
              </w:rPr>
              <w:t> </w:t>
            </w:r>
            <w:r>
              <w:rPr>
                <w:rFonts w:ascii="Calibri"/>
                <w:sz w:val="17"/>
              </w:rPr>
              <w:t>ACEITE,</w:t>
            </w:r>
            <w:r>
              <w:rPr>
                <w:rFonts w:ascii="Calibri"/>
                <w:spacing w:val="-1"/>
                <w:sz w:val="17"/>
              </w:rPr>
              <w:t> </w:t>
            </w:r>
            <w:r>
              <w:rPr>
                <w:rFonts w:ascii="Calibri"/>
                <w:sz w:val="17"/>
              </w:rPr>
              <w:t>TRAPOS, OTROS</w:t>
            </w:r>
            <w:r>
              <w:rPr>
                <w:rFonts w:ascii="Calibri"/>
                <w:spacing w:val="4"/>
                <w:sz w:val="17"/>
              </w:rPr>
              <w:t> </w:t>
            </w:r>
            <w:r>
              <w:rPr>
                <w:rFonts w:ascii="Calibri"/>
                <w:spacing w:val="-2"/>
                <w:sz w:val="17"/>
              </w:rPr>
              <w:t>ABSORBENTES</w:t>
            </w:r>
          </w:p>
        </w:tc>
        <w:tc>
          <w:tcPr>
            <w:tcW w:w="1062" w:type="dxa"/>
            <w:tcBorders>
              <w:left w:val="single" w:sz="8" w:space="0" w:color="000000"/>
              <w:right w:val="single" w:sz="8" w:space="0" w:color="000000"/>
            </w:tcBorders>
          </w:tcPr>
          <w:p>
            <w:pPr>
              <w:pStyle w:val="TableParagraph"/>
              <w:spacing w:line="190" w:lineRule="exact" w:before="42"/>
              <w:ind w:right="14"/>
              <w:jc w:val="right"/>
              <w:rPr>
                <w:rFonts w:ascii="Calibri"/>
                <w:sz w:val="17"/>
              </w:rPr>
            </w:pPr>
            <w:r>
              <w:rPr>
                <w:rFonts w:ascii="Calibri"/>
                <w:spacing w:val="-2"/>
                <w:sz w:val="17"/>
              </w:rPr>
              <w:t>12.914</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2"/>
                <w:sz w:val="17"/>
              </w:rPr>
              <w:t>12.011</w:t>
            </w:r>
          </w:p>
        </w:tc>
        <w:tc>
          <w:tcPr>
            <w:tcW w:w="1062" w:type="dxa"/>
            <w:tcBorders>
              <w:left w:val="single" w:sz="8" w:space="0" w:color="000000"/>
              <w:right w:val="single" w:sz="8" w:space="0" w:color="000000"/>
            </w:tcBorders>
          </w:tcPr>
          <w:p>
            <w:pPr>
              <w:pStyle w:val="TableParagraph"/>
              <w:spacing w:line="190" w:lineRule="exact" w:before="42"/>
              <w:ind w:right="1"/>
              <w:jc w:val="right"/>
              <w:rPr>
                <w:rFonts w:ascii="Calibri"/>
                <w:sz w:val="17"/>
              </w:rPr>
            </w:pPr>
            <w:r>
              <w:rPr>
                <w:rFonts w:ascii="Calibri"/>
                <w:sz w:val="17"/>
              </w:rPr>
              <w:t>-</w:t>
            </w:r>
            <w:r>
              <w:rPr>
                <w:rFonts w:ascii="Calibri"/>
                <w:spacing w:val="-4"/>
                <w:sz w:val="17"/>
              </w:rPr>
              <w:t>7,0%</w:t>
            </w:r>
          </w:p>
        </w:tc>
      </w:tr>
      <w:tr>
        <w:trPr>
          <w:trHeight w:val="249"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sz w:val="17"/>
              </w:rPr>
            </w:pPr>
            <w:r>
              <w:rPr>
                <w:rFonts w:ascii="Calibri"/>
                <w:sz w:val="17"/>
              </w:rPr>
              <w:t>BOTES</w:t>
            </w:r>
            <w:r>
              <w:rPr>
                <w:rFonts w:ascii="Calibri"/>
                <w:spacing w:val="-1"/>
                <w:sz w:val="17"/>
              </w:rPr>
              <w:t> </w:t>
            </w:r>
            <w:r>
              <w:rPr>
                <w:rFonts w:ascii="Calibri"/>
                <w:sz w:val="17"/>
              </w:rPr>
              <w:t>DE</w:t>
            </w:r>
            <w:r>
              <w:rPr>
                <w:rFonts w:ascii="Calibri"/>
                <w:spacing w:val="-4"/>
                <w:sz w:val="17"/>
              </w:rPr>
              <w:t> </w:t>
            </w:r>
            <w:r>
              <w:rPr>
                <w:rFonts w:ascii="Calibri"/>
                <w:sz w:val="17"/>
              </w:rPr>
              <w:t>SPRAY</w:t>
            </w:r>
            <w:r>
              <w:rPr>
                <w:rFonts w:ascii="Calibri"/>
                <w:spacing w:val="-6"/>
                <w:sz w:val="17"/>
              </w:rPr>
              <w:t> </w:t>
            </w:r>
            <w:r>
              <w:rPr>
                <w:rFonts w:ascii="Calibri"/>
                <w:spacing w:val="-2"/>
                <w:sz w:val="17"/>
              </w:rPr>
              <w:t>(AEROSOLES)</w:t>
            </w:r>
          </w:p>
        </w:tc>
        <w:tc>
          <w:tcPr>
            <w:tcW w:w="1062" w:type="dxa"/>
            <w:tcBorders>
              <w:left w:val="single" w:sz="8" w:space="0" w:color="000000"/>
              <w:right w:val="single" w:sz="8" w:space="0" w:color="000000"/>
            </w:tcBorders>
          </w:tcPr>
          <w:p>
            <w:pPr>
              <w:pStyle w:val="TableParagraph"/>
              <w:spacing w:line="190" w:lineRule="exact" w:before="39"/>
              <w:ind w:right="15"/>
              <w:jc w:val="right"/>
              <w:rPr>
                <w:rFonts w:ascii="Calibri"/>
                <w:sz w:val="17"/>
              </w:rPr>
            </w:pPr>
            <w:r>
              <w:rPr>
                <w:rFonts w:ascii="Calibri"/>
                <w:spacing w:val="-5"/>
                <w:sz w:val="17"/>
              </w:rPr>
              <w:t>221</w:t>
            </w:r>
          </w:p>
        </w:tc>
        <w:tc>
          <w:tcPr>
            <w:tcW w:w="1061" w:type="dxa"/>
            <w:tcBorders>
              <w:left w:val="single" w:sz="8" w:space="0" w:color="000000"/>
              <w:right w:val="single" w:sz="8" w:space="0" w:color="000000"/>
            </w:tcBorders>
          </w:tcPr>
          <w:p>
            <w:pPr>
              <w:pStyle w:val="TableParagraph"/>
              <w:spacing w:line="190" w:lineRule="exact" w:before="39"/>
              <w:ind w:right="13"/>
              <w:jc w:val="right"/>
              <w:rPr>
                <w:rFonts w:ascii="Calibri"/>
                <w:sz w:val="17"/>
              </w:rPr>
            </w:pPr>
            <w:r>
              <w:rPr>
                <w:rFonts w:ascii="Calibri"/>
                <w:spacing w:val="-5"/>
                <w:sz w:val="17"/>
              </w:rPr>
              <w:t>343</w:t>
            </w:r>
          </w:p>
        </w:tc>
        <w:tc>
          <w:tcPr>
            <w:tcW w:w="1062" w:type="dxa"/>
            <w:tcBorders>
              <w:left w:val="single" w:sz="8" w:space="0" w:color="000000"/>
              <w:right w:val="single" w:sz="8" w:space="0" w:color="000000"/>
            </w:tcBorders>
          </w:tcPr>
          <w:p>
            <w:pPr>
              <w:pStyle w:val="TableParagraph"/>
              <w:spacing w:line="190" w:lineRule="exact" w:before="39"/>
              <w:ind w:right="2"/>
              <w:jc w:val="right"/>
              <w:rPr>
                <w:rFonts w:ascii="Calibri"/>
                <w:sz w:val="17"/>
              </w:rPr>
            </w:pPr>
            <w:r>
              <w:rPr>
                <w:rFonts w:ascii="Calibri"/>
                <w:spacing w:val="-2"/>
                <w:sz w:val="17"/>
              </w:rPr>
              <w:t>55,2%</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pacing w:val="-2"/>
                <w:sz w:val="17"/>
              </w:rPr>
              <w:t>SANITARIOS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8</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5"/>
                <w:sz w:val="17"/>
              </w:rPr>
              <w:t>22</w:t>
            </w:r>
          </w:p>
        </w:tc>
        <w:tc>
          <w:tcPr>
            <w:tcW w:w="1062" w:type="dxa"/>
            <w:tcBorders>
              <w:left w:val="single" w:sz="8" w:space="0" w:color="000000"/>
              <w:right w:val="single" w:sz="8" w:space="0" w:color="000000"/>
            </w:tcBorders>
          </w:tcPr>
          <w:p>
            <w:pPr>
              <w:pStyle w:val="TableParagraph"/>
              <w:spacing w:line="190" w:lineRule="exact" w:before="42"/>
              <w:ind w:right="1"/>
              <w:jc w:val="right"/>
              <w:rPr>
                <w:rFonts w:ascii="Calibri"/>
                <w:sz w:val="17"/>
              </w:rPr>
            </w:pPr>
            <w:r>
              <w:rPr>
                <w:rFonts w:ascii="Calibri"/>
                <w:spacing w:val="-2"/>
                <w:sz w:val="17"/>
              </w:rPr>
              <w:t>162,1%</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z w:val="17"/>
              </w:rPr>
              <w:t>BIDÓN</w:t>
            </w:r>
            <w:r>
              <w:rPr>
                <w:rFonts w:ascii="Calibri" w:hAnsi="Calibri"/>
                <w:spacing w:val="-1"/>
                <w:sz w:val="17"/>
              </w:rPr>
              <w:t> </w:t>
            </w:r>
            <w:r>
              <w:rPr>
                <w:rFonts w:ascii="Calibri" w:hAnsi="Calibri"/>
                <w:sz w:val="17"/>
              </w:rPr>
              <w:t>METÁLICO</w:t>
            </w:r>
            <w:r>
              <w:rPr>
                <w:rFonts w:ascii="Calibri" w:hAnsi="Calibri"/>
                <w:spacing w:val="9"/>
                <w:sz w:val="17"/>
              </w:rPr>
              <w:t> </w:t>
            </w:r>
            <w:r>
              <w:rPr>
                <w:rFonts w:ascii="Calibri" w:hAnsi="Calibri"/>
                <w:sz w:val="17"/>
              </w:rPr>
              <w:t>VACÍO</w:t>
            </w:r>
            <w:r>
              <w:rPr>
                <w:rFonts w:ascii="Calibri" w:hAnsi="Calibri"/>
                <w:spacing w:val="10"/>
                <w:sz w:val="17"/>
              </w:rPr>
              <w:t> </w:t>
            </w:r>
            <w:r>
              <w:rPr>
                <w:rFonts w:ascii="Calibri" w:hAnsi="Calibri"/>
                <w:spacing w:val="-4"/>
                <w:sz w:val="17"/>
              </w:rPr>
              <w:t>USADO</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5"/>
                <w:sz w:val="17"/>
              </w:rPr>
              <w:t>185</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5"/>
                <w:sz w:val="17"/>
              </w:rPr>
              <w:t>442</w:t>
            </w:r>
          </w:p>
        </w:tc>
        <w:tc>
          <w:tcPr>
            <w:tcW w:w="1062" w:type="dxa"/>
            <w:tcBorders>
              <w:left w:val="single" w:sz="8" w:space="0" w:color="000000"/>
              <w:right w:val="single" w:sz="8" w:space="0" w:color="000000"/>
            </w:tcBorders>
          </w:tcPr>
          <w:p>
            <w:pPr>
              <w:pStyle w:val="TableParagraph"/>
              <w:spacing w:line="190" w:lineRule="exact" w:before="42"/>
              <w:ind w:right="2"/>
              <w:jc w:val="right"/>
              <w:rPr>
                <w:rFonts w:ascii="Calibri"/>
                <w:sz w:val="17"/>
              </w:rPr>
            </w:pPr>
            <w:r>
              <w:rPr>
                <w:rFonts w:ascii="Calibri"/>
                <w:spacing w:val="-2"/>
                <w:sz w:val="17"/>
              </w:rPr>
              <w:t>138,9%</w:t>
            </w:r>
          </w:p>
        </w:tc>
      </w:tr>
      <w:tr>
        <w:trPr>
          <w:trHeight w:val="248"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hAnsi="Calibri"/>
                <w:sz w:val="17"/>
              </w:rPr>
            </w:pPr>
            <w:r>
              <w:rPr>
                <w:rFonts w:ascii="Calibri" w:hAnsi="Calibri"/>
                <w:sz w:val="17"/>
              </w:rPr>
              <w:t>LÍQUIDOS</w:t>
            </w:r>
            <w:r>
              <w:rPr>
                <w:rFonts w:ascii="Calibri" w:hAnsi="Calibri"/>
                <w:spacing w:val="22"/>
                <w:sz w:val="17"/>
              </w:rPr>
              <w:t> </w:t>
            </w:r>
            <w:r>
              <w:rPr>
                <w:rFonts w:ascii="Calibri" w:hAnsi="Calibri"/>
                <w:spacing w:val="-2"/>
                <w:sz w:val="17"/>
              </w:rPr>
              <w:t>REFRIGERANTES</w:t>
            </w:r>
          </w:p>
        </w:tc>
        <w:tc>
          <w:tcPr>
            <w:tcW w:w="1062" w:type="dxa"/>
            <w:tcBorders>
              <w:left w:val="single" w:sz="8" w:space="0" w:color="000000"/>
              <w:right w:val="single" w:sz="8" w:space="0" w:color="000000"/>
            </w:tcBorders>
          </w:tcPr>
          <w:p>
            <w:pPr>
              <w:pStyle w:val="TableParagraph"/>
              <w:spacing w:line="190" w:lineRule="exact" w:before="39"/>
              <w:ind w:right="15"/>
              <w:jc w:val="right"/>
              <w:rPr>
                <w:rFonts w:ascii="Calibri"/>
                <w:sz w:val="17"/>
              </w:rPr>
            </w:pPr>
            <w:r>
              <w:rPr>
                <w:rFonts w:ascii="Calibri"/>
                <w:spacing w:val="-2"/>
                <w:sz w:val="17"/>
              </w:rPr>
              <w:t>3.222</w:t>
            </w:r>
          </w:p>
        </w:tc>
        <w:tc>
          <w:tcPr>
            <w:tcW w:w="1061" w:type="dxa"/>
            <w:tcBorders>
              <w:left w:val="single" w:sz="8" w:space="0" w:color="000000"/>
              <w:right w:val="single" w:sz="8" w:space="0" w:color="000000"/>
            </w:tcBorders>
          </w:tcPr>
          <w:p>
            <w:pPr>
              <w:pStyle w:val="TableParagraph"/>
              <w:spacing w:line="190" w:lineRule="exact" w:before="39"/>
              <w:ind w:right="12"/>
              <w:jc w:val="right"/>
              <w:rPr>
                <w:rFonts w:ascii="Calibri"/>
                <w:sz w:val="17"/>
              </w:rPr>
            </w:pPr>
            <w:r>
              <w:rPr>
                <w:rFonts w:ascii="Calibri"/>
                <w:spacing w:val="-2"/>
                <w:sz w:val="17"/>
              </w:rPr>
              <w:t>4.642</w:t>
            </w:r>
          </w:p>
        </w:tc>
        <w:tc>
          <w:tcPr>
            <w:tcW w:w="1062" w:type="dxa"/>
            <w:tcBorders>
              <w:left w:val="single" w:sz="8" w:space="0" w:color="000000"/>
              <w:right w:val="single" w:sz="8" w:space="0" w:color="000000"/>
            </w:tcBorders>
          </w:tcPr>
          <w:p>
            <w:pPr>
              <w:pStyle w:val="TableParagraph"/>
              <w:spacing w:line="190" w:lineRule="exact" w:before="39"/>
              <w:ind w:right="2"/>
              <w:jc w:val="right"/>
              <w:rPr>
                <w:rFonts w:ascii="Calibri"/>
                <w:sz w:val="17"/>
              </w:rPr>
            </w:pPr>
            <w:r>
              <w:rPr>
                <w:rFonts w:ascii="Calibri"/>
                <w:spacing w:val="-2"/>
                <w:sz w:val="17"/>
              </w:rPr>
              <w:t>44,1%</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z w:val="17"/>
              </w:rPr>
              <w:t>RESIDUOS</w:t>
            </w:r>
            <w:r>
              <w:rPr>
                <w:rFonts w:ascii="Calibri" w:hAnsi="Calibri"/>
                <w:spacing w:val="6"/>
                <w:sz w:val="17"/>
              </w:rPr>
              <w:t> </w:t>
            </w:r>
            <w:r>
              <w:rPr>
                <w:rFonts w:ascii="Calibri" w:hAnsi="Calibri"/>
                <w:sz w:val="17"/>
              </w:rPr>
              <w:t>ELÉCTRICOS</w:t>
            </w:r>
            <w:r>
              <w:rPr>
                <w:rFonts w:ascii="Calibri" w:hAnsi="Calibri"/>
                <w:spacing w:val="3"/>
                <w:sz w:val="17"/>
              </w:rPr>
              <w:t> </w:t>
            </w:r>
            <w:r>
              <w:rPr>
                <w:rFonts w:ascii="Calibri" w:hAnsi="Calibri"/>
                <w:sz w:val="17"/>
              </w:rPr>
              <w:t>Y</w:t>
            </w:r>
            <w:r>
              <w:rPr>
                <w:rFonts w:ascii="Calibri" w:hAnsi="Calibri"/>
                <w:spacing w:val="-1"/>
                <w:sz w:val="17"/>
              </w:rPr>
              <w:t> </w:t>
            </w:r>
            <w:r>
              <w:rPr>
                <w:rFonts w:ascii="Calibri" w:hAnsi="Calibri"/>
                <w:spacing w:val="-2"/>
                <w:sz w:val="17"/>
              </w:rPr>
              <w:t>ELECTRÓNICOS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42"/>
              <w:ind w:right="3"/>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pacing w:val="-2"/>
                <w:sz w:val="17"/>
              </w:rPr>
              <w:t>TÓNER</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5"/>
                <w:sz w:val="17"/>
              </w:rPr>
              <w:t>14</w:t>
            </w:r>
          </w:p>
        </w:tc>
        <w:tc>
          <w:tcPr>
            <w:tcW w:w="1062" w:type="dxa"/>
            <w:tcBorders>
              <w:left w:val="single" w:sz="8" w:space="0" w:color="000000"/>
              <w:right w:val="single" w:sz="8" w:space="0" w:color="000000"/>
            </w:tcBorders>
          </w:tcPr>
          <w:p>
            <w:pPr>
              <w:pStyle w:val="TableParagraph"/>
              <w:spacing w:line="190" w:lineRule="exact" w:before="42"/>
              <w:ind w:right="1"/>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2" w:lineRule="exact" w:before="39"/>
              <w:ind w:left="34"/>
              <w:rPr>
                <w:rFonts w:ascii="Calibri"/>
                <w:sz w:val="17"/>
              </w:rPr>
            </w:pPr>
            <w:r>
              <w:rPr>
                <w:rFonts w:ascii="Calibri"/>
                <w:sz w:val="17"/>
              </w:rPr>
              <w:t>EQUIPOS</w:t>
            </w:r>
            <w:r>
              <w:rPr>
                <w:rFonts w:ascii="Calibri"/>
                <w:spacing w:val="5"/>
                <w:sz w:val="17"/>
              </w:rPr>
              <w:t> </w:t>
            </w:r>
            <w:r>
              <w:rPr>
                <w:rFonts w:ascii="Calibri"/>
                <w:sz w:val="17"/>
              </w:rPr>
              <w:t>DES.</w:t>
            </w:r>
            <w:r>
              <w:rPr>
                <w:rFonts w:ascii="Calibri"/>
                <w:spacing w:val="3"/>
                <w:sz w:val="17"/>
              </w:rPr>
              <w:t> </w:t>
            </w:r>
            <w:r>
              <w:rPr>
                <w:rFonts w:ascii="Calibri"/>
                <w:sz w:val="17"/>
              </w:rPr>
              <w:t>MONITORES</w:t>
            </w:r>
            <w:r>
              <w:rPr>
                <w:rFonts w:ascii="Calibri"/>
                <w:spacing w:val="8"/>
                <w:sz w:val="17"/>
              </w:rPr>
              <w:t> </w:t>
            </w:r>
            <w:r>
              <w:rPr>
                <w:rFonts w:ascii="Calibri"/>
                <w:sz w:val="17"/>
              </w:rPr>
              <w:t>Y</w:t>
            </w:r>
            <w:r>
              <w:rPr>
                <w:rFonts w:ascii="Calibri"/>
                <w:spacing w:val="4"/>
                <w:sz w:val="17"/>
              </w:rPr>
              <w:t> </w:t>
            </w:r>
            <w:r>
              <w:rPr>
                <w:rFonts w:ascii="Calibri"/>
                <w:spacing w:val="-2"/>
                <w:sz w:val="17"/>
              </w:rPr>
              <w:t>PANTALLAS</w:t>
            </w:r>
          </w:p>
        </w:tc>
        <w:tc>
          <w:tcPr>
            <w:tcW w:w="1062" w:type="dxa"/>
            <w:tcBorders>
              <w:left w:val="single" w:sz="8" w:space="0" w:color="000000"/>
              <w:right w:val="single" w:sz="8" w:space="0" w:color="000000"/>
            </w:tcBorders>
          </w:tcPr>
          <w:p>
            <w:pPr>
              <w:pStyle w:val="TableParagraph"/>
              <w:spacing w:line="192" w:lineRule="exact" w:before="39"/>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2" w:lineRule="exact" w:before="39"/>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2" w:lineRule="exact" w:before="39"/>
              <w:ind w:right="3"/>
              <w:jc w:val="right"/>
              <w:rPr>
                <w:rFonts w:ascii="Calibri"/>
                <w:sz w:val="17"/>
              </w:rPr>
            </w:pPr>
            <w:r>
              <w:rPr>
                <w:rFonts w:ascii="Calibri"/>
                <w:spacing w:val="-4"/>
                <w:sz w:val="17"/>
              </w:rPr>
              <w:t>0,0%</w:t>
            </w:r>
          </w:p>
        </w:tc>
      </w:tr>
      <w:tr>
        <w:trPr>
          <w:trHeight w:val="249"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sz w:val="17"/>
              </w:rPr>
            </w:pPr>
            <w:r>
              <w:rPr>
                <w:rFonts w:ascii="Calibri"/>
                <w:sz w:val="17"/>
              </w:rPr>
              <w:t>EQUIPOS</w:t>
            </w:r>
            <w:r>
              <w:rPr>
                <w:rFonts w:ascii="Calibri"/>
                <w:spacing w:val="-4"/>
                <w:sz w:val="17"/>
              </w:rPr>
              <w:t> </w:t>
            </w:r>
            <w:r>
              <w:rPr>
                <w:rFonts w:ascii="Calibri"/>
                <w:sz w:val="17"/>
              </w:rPr>
              <w:t>DES.</w:t>
            </w:r>
            <w:r>
              <w:rPr>
                <w:rFonts w:ascii="Calibri"/>
                <w:spacing w:val="-5"/>
                <w:sz w:val="17"/>
              </w:rPr>
              <w:t> </w:t>
            </w:r>
            <w:r>
              <w:rPr>
                <w:rFonts w:ascii="Calibri"/>
                <w:sz w:val="17"/>
              </w:rPr>
              <w:t>MONITORES</w:t>
            </w:r>
            <w:r>
              <w:rPr>
                <w:rFonts w:ascii="Calibri"/>
                <w:spacing w:val="-2"/>
                <w:sz w:val="17"/>
              </w:rPr>
              <w:t> </w:t>
            </w:r>
            <w:r>
              <w:rPr>
                <w:rFonts w:ascii="Calibri"/>
                <w:sz w:val="17"/>
              </w:rPr>
              <w:t>Y</w:t>
            </w:r>
            <w:r>
              <w:rPr>
                <w:rFonts w:ascii="Calibri"/>
                <w:spacing w:val="-4"/>
                <w:sz w:val="17"/>
              </w:rPr>
              <w:t> </w:t>
            </w:r>
            <w:r>
              <w:rPr>
                <w:rFonts w:ascii="Calibri"/>
                <w:sz w:val="17"/>
              </w:rPr>
              <w:t>PANTALLAS</w:t>
            </w:r>
            <w:r>
              <w:rPr>
                <w:rFonts w:ascii="Calibri"/>
                <w:spacing w:val="-1"/>
                <w:sz w:val="17"/>
              </w:rPr>
              <w:t> </w:t>
            </w:r>
            <w:r>
              <w:rPr>
                <w:rFonts w:ascii="Calibri"/>
                <w:sz w:val="17"/>
              </w:rPr>
              <w:t>NO</w:t>
            </w:r>
            <w:r>
              <w:rPr>
                <w:rFonts w:ascii="Calibri"/>
                <w:spacing w:val="2"/>
                <w:sz w:val="17"/>
              </w:rPr>
              <w:t> </w:t>
            </w:r>
            <w:r>
              <w:rPr>
                <w:rFonts w:ascii="Calibri"/>
                <w:sz w:val="17"/>
              </w:rPr>
              <w:t>CRT-NO</w:t>
            </w:r>
            <w:r>
              <w:rPr>
                <w:rFonts w:ascii="Calibri"/>
                <w:spacing w:val="4"/>
                <w:sz w:val="17"/>
              </w:rPr>
              <w:t> </w:t>
            </w:r>
            <w:r>
              <w:rPr>
                <w:rFonts w:ascii="Calibri"/>
                <w:spacing w:val="-5"/>
                <w:sz w:val="17"/>
              </w:rPr>
              <w:t>LED</w:t>
            </w:r>
          </w:p>
        </w:tc>
        <w:tc>
          <w:tcPr>
            <w:tcW w:w="1062" w:type="dxa"/>
            <w:tcBorders>
              <w:left w:val="single" w:sz="8" w:space="0" w:color="000000"/>
              <w:right w:val="single" w:sz="8" w:space="0" w:color="000000"/>
            </w:tcBorders>
          </w:tcPr>
          <w:p>
            <w:pPr>
              <w:pStyle w:val="TableParagraph"/>
              <w:spacing w:line="190" w:lineRule="exact" w:before="39"/>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39"/>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39"/>
              <w:ind w:right="3"/>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hAnsi="Calibri"/>
                <w:sz w:val="17"/>
              </w:rPr>
            </w:pPr>
            <w:r>
              <w:rPr>
                <w:rFonts w:ascii="Calibri" w:hAnsi="Calibri"/>
                <w:sz w:val="17"/>
              </w:rPr>
              <w:t>EQUIPOS</w:t>
            </w:r>
            <w:r>
              <w:rPr>
                <w:rFonts w:ascii="Calibri" w:hAnsi="Calibri"/>
                <w:spacing w:val="2"/>
                <w:sz w:val="17"/>
              </w:rPr>
              <w:t> </w:t>
            </w:r>
            <w:r>
              <w:rPr>
                <w:rFonts w:ascii="Calibri" w:hAnsi="Calibri"/>
                <w:sz w:val="17"/>
              </w:rPr>
              <w:t>DES.</w:t>
            </w:r>
            <w:r>
              <w:rPr>
                <w:rFonts w:ascii="Calibri" w:hAnsi="Calibri"/>
                <w:spacing w:val="1"/>
                <w:sz w:val="17"/>
              </w:rPr>
              <w:t> </w:t>
            </w:r>
            <w:r>
              <w:rPr>
                <w:rFonts w:ascii="Calibri" w:hAnsi="Calibri"/>
                <w:sz w:val="17"/>
              </w:rPr>
              <w:t>INFORMÁTICA PEQUEÑOS</w:t>
            </w:r>
            <w:r>
              <w:rPr>
                <w:rFonts w:ascii="Calibri" w:hAnsi="Calibri"/>
                <w:spacing w:val="4"/>
                <w:sz w:val="17"/>
              </w:rPr>
              <w:t> </w:t>
            </w:r>
            <w:r>
              <w:rPr>
                <w:rFonts w:ascii="Calibri" w:hAnsi="Calibri"/>
                <w:sz w:val="17"/>
              </w:rPr>
              <w:t>AP</w:t>
            </w:r>
            <w:r>
              <w:rPr>
                <w:rFonts w:ascii="Calibri" w:hAnsi="Calibri"/>
                <w:spacing w:val="11"/>
                <w:sz w:val="17"/>
              </w:rPr>
              <w:t> </w:t>
            </w:r>
            <w:r>
              <w:rPr>
                <w:rFonts w:ascii="Calibri" w:hAnsi="Calibri"/>
                <w:spacing w:val="-2"/>
                <w:sz w:val="17"/>
              </w:rPr>
              <w:t>COMUNICACIONES</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10"/>
                <w:sz w:val="17"/>
              </w:rPr>
              <w:t>0</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42"/>
              <w:ind w:right="3"/>
              <w:jc w:val="right"/>
              <w:rPr>
                <w:rFonts w:ascii="Calibri"/>
                <w:sz w:val="17"/>
              </w:rPr>
            </w:pPr>
            <w:r>
              <w:rPr>
                <w:rFonts w:ascii="Calibri"/>
                <w:spacing w:val="-4"/>
                <w:sz w:val="17"/>
              </w:rPr>
              <w:t>0,0%</w:t>
            </w:r>
          </w:p>
        </w:tc>
      </w:tr>
      <w:tr>
        <w:trPr>
          <w:trHeight w:val="251" w:hRule="atLeast"/>
        </w:trPr>
        <w:tc>
          <w:tcPr>
            <w:tcW w:w="5299" w:type="dxa"/>
            <w:tcBorders>
              <w:left w:val="single" w:sz="8" w:space="0" w:color="000000"/>
              <w:right w:val="single" w:sz="8" w:space="0" w:color="000000"/>
            </w:tcBorders>
          </w:tcPr>
          <w:p>
            <w:pPr>
              <w:pStyle w:val="TableParagraph"/>
              <w:spacing w:line="190" w:lineRule="exact" w:before="42"/>
              <w:ind w:left="34"/>
              <w:rPr>
                <w:rFonts w:ascii="Calibri"/>
                <w:sz w:val="17"/>
              </w:rPr>
            </w:pPr>
            <w:r>
              <w:rPr>
                <w:rFonts w:ascii="Calibri"/>
                <w:sz w:val="17"/>
              </w:rPr>
              <w:t>LODOS</w:t>
            </w:r>
            <w:r>
              <w:rPr>
                <w:rFonts w:ascii="Calibri"/>
                <w:spacing w:val="2"/>
                <w:sz w:val="17"/>
              </w:rPr>
              <w:t> </w:t>
            </w:r>
            <w:r>
              <w:rPr>
                <w:rFonts w:ascii="Calibri"/>
                <w:sz w:val="17"/>
              </w:rPr>
              <w:t>DE</w:t>
            </w:r>
            <w:r>
              <w:rPr>
                <w:rFonts w:ascii="Calibri"/>
                <w:spacing w:val="1"/>
                <w:sz w:val="17"/>
              </w:rPr>
              <w:t> </w:t>
            </w:r>
            <w:r>
              <w:rPr>
                <w:rFonts w:ascii="Calibri"/>
                <w:sz w:val="17"/>
              </w:rPr>
              <w:t>PINTURA</w:t>
            </w:r>
            <w:r>
              <w:rPr>
                <w:rFonts w:ascii="Calibri"/>
                <w:spacing w:val="-2"/>
                <w:sz w:val="17"/>
              </w:rPr>
              <w:t> </w:t>
            </w:r>
            <w:r>
              <w:rPr>
                <w:rFonts w:ascii="Calibri"/>
                <w:sz w:val="17"/>
              </w:rPr>
              <w:t>Y</w:t>
            </w:r>
            <w:r>
              <w:rPr>
                <w:rFonts w:ascii="Calibri"/>
                <w:spacing w:val="-3"/>
                <w:sz w:val="17"/>
              </w:rPr>
              <w:t> </w:t>
            </w:r>
            <w:r>
              <w:rPr>
                <w:rFonts w:ascii="Calibri"/>
                <w:spacing w:val="-2"/>
                <w:sz w:val="17"/>
              </w:rPr>
              <w:t>BARNIZ</w:t>
            </w:r>
          </w:p>
        </w:tc>
        <w:tc>
          <w:tcPr>
            <w:tcW w:w="1062" w:type="dxa"/>
            <w:tcBorders>
              <w:left w:val="single" w:sz="8" w:space="0" w:color="000000"/>
              <w:right w:val="single" w:sz="8" w:space="0" w:color="000000"/>
            </w:tcBorders>
          </w:tcPr>
          <w:p>
            <w:pPr>
              <w:pStyle w:val="TableParagraph"/>
              <w:spacing w:line="190" w:lineRule="exact" w:before="42"/>
              <w:ind w:right="15"/>
              <w:jc w:val="right"/>
              <w:rPr>
                <w:rFonts w:ascii="Calibri"/>
                <w:sz w:val="17"/>
              </w:rPr>
            </w:pPr>
            <w:r>
              <w:rPr>
                <w:rFonts w:ascii="Calibri"/>
                <w:spacing w:val="-5"/>
                <w:sz w:val="17"/>
              </w:rPr>
              <w:t>143</w:t>
            </w:r>
          </w:p>
        </w:tc>
        <w:tc>
          <w:tcPr>
            <w:tcW w:w="1061" w:type="dxa"/>
            <w:tcBorders>
              <w:left w:val="single" w:sz="8" w:space="0" w:color="000000"/>
              <w:right w:val="single" w:sz="8" w:space="0" w:color="000000"/>
            </w:tcBorders>
          </w:tcPr>
          <w:p>
            <w:pPr>
              <w:pStyle w:val="TableParagraph"/>
              <w:spacing w:line="190" w:lineRule="exact" w:before="42"/>
              <w:ind w:right="13"/>
              <w:jc w:val="right"/>
              <w:rPr>
                <w:rFonts w:ascii="Calibri"/>
                <w:sz w:val="17"/>
              </w:rPr>
            </w:pPr>
            <w:r>
              <w:rPr>
                <w:rFonts w:ascii="Calibri"/>
                <w:spacing w:val="-10"/>
                <w:sz w:val="17"/>
              </w:rPr>
              <w:t>0</w:t>
            </w:r>
          </w:p>
        </w:tc>
        <w:tc>
          <w:tcPr>
            <w:tcW w:w="1062" w:type="dxa"/>
            <w:tcBorders>
              <w:left w:val="single" w:sz="8" w:space="0" w:color="000000"/>
              <w:right w:val="single" w:sz="8" w:space="0" w:color="000000"/>
            </w:tcBorders>
          </w:tcPr>
          <w:p>
            <w:pPr>
              <w:pStyle w:val="TableParagraph"/>
              <w:spacing w:line="190" w:lineRule="exact" w:before="42"/>
              <w:ind w:right="3"/>
              <w:jc w:val="right"/>
              <w:rPr>
                <w:rFonts w:ascii="Calibri"/>
                <w:sz w:val="17"/>
              </w:rPr>
            </w:pPr>
            <w:r>
              <w:rPr>
                <w:rFonts w:ascii="Calibri"/>
                <w:spacing w:val="-2"/>
                <w:sz w:val="17"/>
              </w:rPr>
              <w:t>-100,0%</w:t>
            </w:r>
          </w:p>
        </w:tc>
      </w:tr>
      <w:tr>
        <w:trPr>
          <w:trHeight w:val="248" w:hRule="atLeast"/>
        </w:trPr>
        <w:tc>
          <w:tcPr>
            <w:tcW w:w="5299" w:type="dxa"/>
            <w:tcBorders>
              <w:left w:val="single" w:sz="8" w:space="0" w:color="000000"/>
              <w:right w:val="single" w:sz="8" w:space="0" w:color="000000"/>
            </w:tcBorders>
          </w:tcPr>
          <w:p>
            <w:pPr>
              <w:pStyle w:val="TableParagraph"/>
              <w:spacing w:line="190" w:lineRule="exact" w:before="39"/>
              <w:ind w:left="34"/>
              <w:rPr>
                <w:rFonts w:ascii="Calibri"/>
                <w:b/>
                <w:sz w:val="17"/>
              </w:rPr>
            </w:pPr>
            <w:r>
              <w:rPr>
                <w:rFonts w:ascii="Calibri"/>
                <w:b/>
                <w:sz w:val="17"/>
              </w:rPr>
              <w:t>TOTAL</w:t>
            </w:r>
            <w:r>
              <w:rPr>
                <w:rFonts w:ascii="Calibri"/>
                <w:b/>
                <w:spacing w:val="-3"/>
                <w:sz w:val="17"/>
              </w:rPr>
              <w:t> </w:t>
            </w:r>
            <w:r>
              <w:rPr>
                <w:rFonts w:ascii="Calibri"/>
                <w:b/>
                <w:sz w:val="17"/>
              </w:rPr>
              <w:t>KG</w:t>
            </w:r>
            <w:r>
              <w:rPr>
                <w:rFonts w:ascii="Calibri"/>
                <w:b/>
                <w:spacing w:val="-10"/>
                <w:sz w:val="17"/>
              </w:rPr>
              <w:t> </w:t>
            </w:r>
            <w:r>
              <w:rPr>
                <w:rFonts w:ascii="Calibri"/>
                <w:b/>
                <w:sz w:val="17"/>
              </w:rPr>
              <w:t>RESIDUOS</w:t>
            </w:r>
            <w:r>
              <w:rPr>
                <w:rFonts w:ascii="Calibri"/>
                <w:b/>
                <w:spacing w:val="-9"/>
                <w:sz w:val="17"/>
              </w:rPr>
              <w:t> </w:t>
            </w:r>
            <w:r>
              <w:rPr>
                <w:rFonts w:ascii="Calibri"/>
                <w:b/>
                <w:spacing w:val="-2"/>
                <w:sz w:val="17"/>
              </w:rPr>
              <w:t>PELIGROSOS</w:t>
            </w:r>
          </w:p>
        </w:tc>
        <w:tc>
          <w:tcPr>
            <w:tcW w:w="1062" w:type="dxa"/>
            <w:tcBorders>
              <w:left w:val="single" w:sz="8" w:space="0" w:color="000000"/>
              <w:right w:val="single" w:sz="8" w:space="0" w:color="000000"/>
            </w:tcBorders>
          </w:tcPr>
          <w:p>
            <w:pPr>
              <w:pStyle w:val="TableParagraph"/>
              <w:spacing w:line="190" w:lineRule="exact" w:before="39"/>
              <w:ind w:right="14"/>
              <w:jc w:val="right"/>
              <w:rPr>
                <w:rFonts w:ascii="Calibri"/>
                <w:b/>
                <w:sz w:val="17"/>
              </w:rPr>
            </w:pPr>
            <w:r>
              <w:rPr>
                <w:rFonts w:ascii="Calibri"/>
                <w:b/>
                <w:spacing w:val="-2"/>
                <w:sz w:val="17"/>
              </w:rPr>
              <w:t>85.778</w:t>
            </w:r>
          </w:p>
        </w:tc>
        <w:tc>
          <w:tcPr>
            <w:tcW w:w="1061" w:type="dxa"/>
            <w:tcBorders>
              <w:left w:val="single" w:sz="8" w:space="0" w:color="000000"/>
              <w:right w:val="single" w:sz="8" w:space="0" w:color="000000"/>
            </w:tcBorders>
          </w:tcPr>
          <w:p>
            <w:pPr>
              <w:pStyle w:val="TableParagraph"/>
              <w:spacing w:line="190" w:lineRule="exact" w:before="39"/>
              <w:ind w:right="13"/>
              <w:jc w:val="right"/>
              <w:rPr>
                <w:rFonts w:ascii="Calibri"/>
                <w:b/>
                <w:sz w:val="17"/>
              </w:rPr>
            </w:pPr>
            <w:r>
              <w:rPr>
                <w:rFonts w:ascii="Calibri"/>
                <w:b/>
                <w:spacing w:val="-2"/>
                <w:sz w:val="17"/>
              </w:rPr>
              <w:t>76.956</w:t>
            </w:r>
          </w:p>
        </w:tc>
        <w:tc>
          <w:tcPr>
            <w:tcW w:w="1062" w:type="dxa"/>
            <w:tcBorders>
              <w:left w:val="single" w:sz="8" w:space="0" w:color="000000"/>
              <w:right w:val="single" w:sz="8" w:space="0" w:color="000000"/>
            </w:tcBorders>
          </w:tcPr>
          <w:p>
            <w:pPr>
              <w:pStyle w:val="TableParagraph"/>
              <w:spacing w:line="190" w:lineRule="exact" w:before="39"/>
              <w:ind w:right="1"/>
              <w:jc w:val="right"/>
              <w:rPr>
                <w:rFonts w:ascii="Calibri"/>
                <w:b/>
                <w:sz w:val="17"/>
              </w:rPr>
            </w:pPr>
            <w:r>
              <w:rPr>
                <w:rFonts w:ascii="Calibri"/>
                <w:b/>
                <w:spacing w:val="-2"/>
                <w:sz w:val="17"/>
              </w:rPr>
              <w:t>-10,3%</w:t>
            </w:r>
          </w:p>
        </w:tc>
      </w:tr>
      <w:tr>
        <w:trPr>
          <w:trHeight w:val="251" w:hRule="atLeast"/>
        </w:trPr>
        <w:tc>
          <w:tcPr>
            <w:tcW w:w="8484" w:type="dxa"/>
            <w:gridSpan w:val="4"/>
            <w:tcBorders>
              <w:left w:val="single" w:sz="8" w:space="0" w:color="000000"/>
              <w:right w:val="single" w:sz="8" w:space="0" w:color="000000"/>
            </w:tcBorders>
          </w:tcPr>
          <w:p>
            <w:pPr>
              <w:pStyle w:val="TableParagraph"/>
              <w:spacing w:line="190" w:lineRule="exact" w:before="42"/>
              <w:ind w:left="31"/>
              <w:jc w:val="center"/>
              <w:rPr>
                <w:rFonts w:ascii="Calibri"/>
                <w:b/>
                <w:sz w:val="17"/>
              </w:rPr>
            </w:pPr>
            <w:r>
              <w:rPr>
                <w:rFonts w:ascii="Calibri"/>
                <w:b/>
                <w:sz w:val="17"/>
              </w:rPr>
              <w:t>GRI</w:t>
            </w:r>
            <w:r>
              <w:rPr>
                <w:rFonts w:ascii="Calibri"/>
                <w:b/>
                <w:spacing w:val="5"/>
                <w:sz w:val="17"/>
              </w:rPr>
              <w:t> </w:t>
            </w:r>
            <w:r>
              <w:rPr>
                <w:rFonts w:ascii="Calibri"/>
                <w:b/>
                <w:sz w:val="17"/>
              </w:rPr>
              <w:t>306-</w:t>
            </w:r>
            <w:r>
              <w:rPr>
                <w:rFonts w:ascii="Calibri"/>
                <w:b/>
                <w:spacing w:val="-10"/>
                <w:sz w:val="17"/>
              </w:rPr>
              <w:t>4</w:t>
            </w:r>
          </w:p>
        </w:tc>
      </w:tr>
    </w:tbl>
    <w:p>
      <w:pPr>
        <w:pStyle w:val="BodyText"/>
        <w:spacing w:before="92"/>
      </w:pPr>
    </w:p>
    <w:p>
      <w:pPr>
        <w:pStyle w:val="BodyText"/>
        <w:spacing w:line="360" w:lineRule="auto"/>
        <w:ind w:left="1341" w:right="1308"/>
      </w:pPr>
      <w:r>
        <w:rPr/>
        <mc:AlternateContent>
          <mc:Choice Requires="wps">
            <w:drawing>
              <wp:anchor distT="0" distB="0" distL="0" distR="0" allowOverlap="1" layoutInCell="1" locked="0" behindDoc="1" simplePos="0" relativeHeight="476764160">
                <wp:simplePos x="0" y="0"/>
                <wp:positionH relativeFrom="page">
                  <wp:posOffset>2691572</wp:posOffset>
                </wp:positionH>
                <wp:positionV relativeFrom="paragraph">
                  <wp:posOffset>4619</wp:posOffset>
                </wp:positionV>
                <wp:extent cx="70485" cy="14160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70485" cy="141605"/>
                        </a:xfrm>
                        <a:prstGeom prst="rect">
                          <a:avLst/>
                        </a:prstGeom>
                      </wps:spPr>
                      <wps:txbx>
                        <w:txbxContent>
                          <w:p>
                            <w:pPr>
                              <w:pStyle w:val="BodyText"/>
                              <w:spacing w:line="223" w:lineRule="exact"/>
                            </w:pPr>
                            <w:r>
                              <w:rPr>
                                <w:spacing w:val="-12"/>
                              </w:rPr>
                              <w:t>e</w:t>
                            </w:r>
                          </w:p>
                        </w:txbxContent>
                      </wps:txbx>
                      <wps:bodyPr wrap="square" lIns="0" tIns="0" rIns="0" bIns="0" rtlCol="0">
                        <a:noAutofit/>
                      </wps:bodyPr>
                    </wps:wsp>
                  </a:graphicData>
                </a:graphic>
              </wp:anchor>
            </w:drawing>
          </mc:Choice>
          <mc:Fallback>
            <w:pict>
              <v:shape style="position:absolute;margin-left:211.934875pt;margin-top:.363736pt;width:5.55pt;height:11.15pt;mso-position-horizontal-relative:page;mso-position-vertical-relative:paragraph;z-index:-26552320" type="#_x0000_t202" id="docshape195" filled="false" stroked="false">
                <v:textbox inset="0,0,0,0">
                  <w:txbxContent>
                    <w:p>
                      <w:pPr>
                        <w:pStyle w:val="BodyText"/>
                        <w:spacing w:line="223" w:lineRule="exact"/>
                      </w:pPr>
                      <w:r>
                        <w:rPr>
                          <w:spacing w:val="-12"/>
                        </w:rPr>
                        <w:t>e</w:t>
                      </w:r>
                    </w:p>
                  </w:txbxContent>
                </v:textbox>
                <w10:wrap type="none"/>
              </v:shape>
            </w:pict>
          </mc:Fallback>
        </mc:AlternateContent>
      </w:r>
      <w:r>
        <w:rPr/>
        <mc:AlternateContent>
          <mc:Choice Requires="wps">
            <w:drawing>
              <wp:anchor distT="0" distB="0" distL="0" distR="0" allowOverlap="1" layoutInCell="1" locked="0" behindDoc="1" simplePos="0" relativeHeight="476764672">
                <wp:simplePos x="0" y="0"/>
                <wp:positionH relativeFrom="page">
                  <wp:posOffset>2732532</wp:posOffset>
                </wp:positionH>
                <wp:positionV relativeFrom="paragraph">
                  <wp:posOffset>1790</wp:posOffset>
                </wp:positionV>
                <wp:extent cx="3767454" cy="43942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3767454" cy="439420"/>
                        </a:xfrm>
                        <a:custGeom>
                          <a:avLst/>
                          <a:gdLst/>
                          <a:ahLst/>
                          <a:cxnLst/>
                          <a:rect l="l" t="t" r="r" b="b"/>
                          <a:pathLst>
                            <a:path w="3767454" h="439420">
                              <a:moveTo>
                                <a:pt x="2732532" y="0"/>
                              </a:moveTo>
                              <a:lnTo>
                                <a:pt x="0" y="0"/>
                              </a:lnTo>
                              <a:lnTo>
                                <a:pt x="0" y="219456"/>
                              </a:lnTo>
                              <a:lnTo>
                                <a:pt x="2732532" y="219456"/>
                              </a:lnTo>
                              <a:lnTo>
                                <a:pt x="2732532" y="0"/>
                              </a:lnTo>
                              <a:close/>
                            </a:path>
                            <a:path w="3767454" h="439420">
                              <a:moveTo>
                                <a:pt x="3767328" y="219456"/>
                              </a:moveTo>
                              <a:lnTo>
                                <a:pt x="2732532" y="219456"/>
                              </a:lnTo>
                              <a:lnTo>
                                <a:pt x="2732532" y="438912"/>
                              </a:lnTo>
                              <a:lnTo>
                                <a:pt x="3767328" y="438912"/>
                              </a:lnTo>
                              <a:lnTo>
                                <a:pt x="3767328" y="21945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215.160004pt;margin-top:.141005pt;width:296.650pt;height:34.6pt;mso-position-horizontal-relative:page;mso-position-vertical-relative:paragraph;z-index:-26551808" id="docshape196" coordorigin="4303,3" coordsize="5933,692" path="m8606,3l4303,3,4303,348,8606,348,8606,3xm10236,348l8606,348,8606,694,10236,694,10236,348xe" filled="true" fillcolor="#ffffff" stroked="false">
                <v:path arrowok="t"/>
                <v:fill type="solid"/>
                <w10:wrap type="none"/>
              </v:shape>
            </w:pict>
          </mc:Fallback>
        </mc:AlternateContent>
      </w:r>
      <w:r>
        <w:rPr/>
        <w:t>Durante el año 2025 se ha r</w:t>
      </w:r>
      <w:r>
        <w:rPr>
          <w:spacing w:val="40"/>
        </w:rPr>
        <w:t> </w:t>
      </w:r>
      <w:r>
        <w:rPr/>
        <w:t>ducido en un 10,3% la cantidad (kg) de residuos peligrosos. Este descenso</w:t>
      </w:r>
      <w:r>
        <w:rPr>
          <w:spacing w:val="42"/>
        </w:rPr>
        <w:t> </w:t>
      </w:r>
      <w:r>
        <w:rPr/>
        <w:t>está</w:t>
      </w:r>
      <w:r>
        <w:rPr>
          <w:spacing w:val="44"/>
        </w:rPr>
        <w:t> </w:t>
      </w:r>
      <w:r>
        <w:rPr/>
        <w:t>determinado</w:t>
      </w:r>
      <w:r>
        <w:rPr>
          <w:spacing w:val="45"/>
        </w:rPr>
        <w:t> </w:t>
      </w:r>
      <w:r>
        <w:rPr/>
        <w:t>por</w:t>
      </w:r>
      <w:r>
        <w:rPr>
          <w:spacing w:val="45"/>
        </w:rPr>
        <w:t> </w:t>
      </w:r>
      <w:r>
        <w:rPr/>
        <w:t>la</w:t>
      </w:r>
      <w:r>
        <w:rPr>
          <w:spacing w:val="42"/>
        </w:rPr>
        <w:t> </w:t>
      </w:r>
      <w:r>
        <w:rPr/>
        <w:t>reducción</w:t>
      </w:r>
      <w:r>
        <w:rPr>
          <w:spacing w:val="45"/>
        </w:rPr>
        <w:t> </w:t>
      </w:r>
      <w:r>
        <w:rPr/>
        <w:t>del</w:t>
      </w:r>
      <w:r>
        <w:rPr>
          <w:spacing w:val="44"/>
        </w:rPr>
        <w:t> </w:t>
      </w:r>
      <w:r>
        <w:rPr/>
        <w:t>consumo</w:t>
      </w:r>
      <w:r>
        <w:rPr>
          <w:spacing w:val="44"/>
        </w:rPr>
        <w:t> </w:t>
      </w:r>
      <w:r>
        <w:rPr/>
        <w:t>de</w:t>
      </w:r>
      <w:r>
        <w:rPr>
          <w:spacing w:val="45"/>
        </w:rPr>
        <w:t> </w:t>
      </w:r>
      <w:r>
        <w:rPr/>
        <w:t>aceites</w:t>
      </w:r>
      <w:r>
        <w:rPr>
          <w:spacing w:val="45"/>
        </w:rPr>
        <w:t> </w:t>
      </w:r>
      <w:r>
        <w:rPr/>
        <w:t>lubricantes</w:t>
      </w:r>
      <w:r>
        <w:rPr>
          <w:spacing w:val="46"/>
        </w:rPr>
        <w:t> </w:t>
      </w:r>
      <w:r>
        <w:rPr/>
        <w:t>(-</w:t>
      </w:r>
      <w:r>
        <w:rPr>
          <w:spacing w:val="-2"/>
        </w:rPr>
        <w:t>17,0%)</w:t>
      </w:r>
    </w:p>
    <w:p>
      <w:pPr>
        <w:pStyle w:val="BodyText"/>
        <w:spacing w:line="360" w:lineRule="auto" w:before="1"/>
        <w:ind w:left="1341" w:right="1337"/>
        <w:jc w:val="both"/>
      </w:pPr>
      <w:r>
        <w:rPr/>
        <mc:AlternateContent>
          <mc:Choice Requires="wps">
            <w:drawing>
              <wp:anchor distT="0" distB="0" distL="0" distR="0" allowOverlap="1" layoutInCell="1" locked="0" behindDoc="1" simplePos="0" relativeHeight="476765184">
                <wp:simplePos x="0" y="0"/>
                <wp:positionH relativeFrom="page">
                  <wp:posOffset>2732532</wp:posOffset>
                </wp:positionH>
                <wp:positionV relativeFrom="paragraph">
                  <wp:posOffset>1096821</wp:posOffset>
                </wp:positionV>
                <wp:extent cx="2733040" cy="34607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2733040" cy="346075"/>
                        </a:xfrm>
                        <a:custGeom>
                          <a:avLst/>
                          <a:gdLst/>
                          <a:ahLst/>
                          <a:cxnLst/>
                          <a:rect l="l" t="t" r="r" b="b"/>
                          <a:pathLst>
                            <a:path w="2733040" h="346075">
                              <a:moveTo>
                                <a:pt x="2732532" y="345948"/>
                              </a:moveTo>
                              <a:lnTo>
                                <a:pt x="0" y="345948"/>
                              </a:lnTo>
                              <a:lnTo>
                                <a:pt x="0" y="0"/>
                              </a:lnTo>
                              <a:lnTo>
                                <a:pt x="2732532" y="0"/>
                              </a:lnTo>
                              <a:lnTo>
                                <a:pt x="2732532" y="34594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5.160004pt;margin-top:86.363914pt;width:215.16pt;height:27.24pt;mso-position-horizontal-relative:page;mso-position-vertical-relative:paragraph;z-index:-26551296" id="docshape197"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76765696">
                <wp:simplePos x="0" y="0"/>
                <wp:positionH relativeFrom="page">
                  <wp:posOffset>5465064</wp:posOffset>
                </wp:positionH>
                <wp:positionV relativeFrom="paragraph">
                  <wp:posOffset>659433</wp:posOffset>
                </wp:positionV>
                <wp:extent cx="1035050" cy="21844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035050" cy="218440"/>
                        </a:xfrm>
                        <a:custGeom>
                          <a:avLst/>
                          <a:gdLst/>
                          <a:ahLst/>
                          <a:cxnLst/>
                          <a:rect l="l" t="t" r="r" b="b"/>
                          <a:pathLst>
                            <a:path w="1035050" h="218440">
                              <a:moveTo>
                                <a:pt x="1034796" y="217932"/>
                              </a:moveTo>
                              <a:lnTo>
                                <a:pt x="0" y="217932"/>
                              </a:lnTo>
                              <a:lnTo>
                                <a:pt x="0" y="0"/>
                              </a:lnTo>
                              <a:lnTo>
                                <a:pt x="1034796" y="0"/>
                              </a:lnTo>
                              <a:lnTo>
                                <a:pt x="1034796" y="21793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0.320007pt;margin-top:51.923912pt;width:81.48pt;height:17.16pt;mso-position-horizontal-relative:page;mso-position-vertical-relative:paragraph;z-index:-26550784" id="docshape198" filled="true" fillcolor="#ffffff" stroked="false">
                <v:fill type="solid"/>
                <w10:wrap type="none"/>
              </v:rect>
            </w:pict>
          </mc:Fallback>
        </mc:AlternateContent>
      </w:r>
      <w:r>
        <w:rPr/>
        <w:t>propiciada por una menor cantidad de pérdidas debido a la eficiencia del mantenimiento de los vehículos.</w:t>
      </w:r>
      <w:r>
        <w:rPr>
          <w:spacing w:val="-1"/>
        </w:rPr>
        <w:t> </w:t>
      </w:r>
      <w:r>
        <w:rPr/>
        <w:t>Una reducción</w:t>
      </w:r>
      <w:r>
        <w:rPr>
          <w:spacing w:val="-1"/>
        </w:rPr>
        <w:t> </w:t>
      </w:r>
      <w:r>
        <w:rPr/>
        <w:t>del 10%</w:t>
      </w:r>
      <w:r>
        <w:rPr>
          <w:spacing w:val="-1"/>
        </w:rPr>
        <w:t> </w:t>
      </w:r>
      <w:r>
        <w:rPr/>
        <w:t>de</w:t>
      </w:r>
      <w:r>
        <w:rPr>
          <w:spacing w:val="-3"/>
        </w:rPr>
        <w:t> </w:t>
      </w:r>
      <w:r>
        <w:rPr/>
        <w:t>los envases de plástico</w:t>
      </w:r>
      <w:r>
        <w:rPr>
          <w:spacing w:val="-3"/>
        </w:rPr>
        <w:t> </w:t>
      </w:r>
      <w:r>
        <w:rPr/>
        <w:t>con</w:t>
      </w:r>
      <w:r>
        <w:rPr>
          <w:spacing w:val="-3"/>
        </w:rPr>
        <w:t> </w:t>
      </w:r>
      <w:r>
        <w:rPr/>
        <w:t>sustancias peligrosas</w:t>
      </w:r>
      <w:r>
        <w:rPr>
          <w:spacing w:val="-1"/>
        </w:rPr>
        <w:t> </w:t>
      </w:r>
      <w:r>
        <w:rPr/>
        <w:t>gracias al mejor aprovechamiento del material, que redunda en una menor generación de este residuo. Una reducción del 26,5% de los lodos de separador de agua, si bien esta disminución se</w:t>
      </w:r>
      <w:r>
        <w:rPr>
          <w:spacing w:val="40"/>
        </w:rPr>
        <w:t> </w:t>
      </w:r>
      <w:r>
        <w:rPr/>
        <w:t>explica por la menor cantidad de retiradas de este residuo (la última se realizó en octubre de 2025 y se está a la espera de una retirada durante febrero de 2026).</w:t>
      </w:r>
    </w:p>
    <w:p>
      <w:pPr>
        <w:pStyle w:val="BodyText"/>
        <w:spacing w:line="360" w:lineRule="auto" w:before="198"/>
        <w:ind w:left="1341" w:right="1336"/>
        <w:jc w:val="both"/>
      </w:pPr>
      <w:r>
        <w:rPr/>
        <mc:AlternateContent>
          <mc:Choice Requires="wps">
            <w:drawing>
              <wp:anchor distT="0" distB="0" distL="0" distR="0" allowOverlap="1" layoutInCell="1" locked="0" behindDoc="0" simplePos="0" relativeHeight="15797760">
                <wp:simplePos x="0" y="0"/>
                <wp:positionH relativeFrom="page">
                  <wp:posOffset>6966436</wp:posOffset>
                </wp:positionH>
                <wp:positionV relativeFrom="paragraph">
                  <wp:posOffset>149295</wp:posOffset>
                </wp:positionV>
                <wp:extent cx="263525" cy="327596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1.755563pt;width:20.75pt;height:257.95pt;mso-position-horizontal-relative:page;mso-position-vertical-relative:paragraph;z-index:15797760" type="#_x0000_t202" id="docshape19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 cuanto al incremento de los residuos, se ha incrementado el residuo de filtros de aceite y otros de automóviles en un 18,8% debido al aumento de guaguas en el taller interno de la empresa. Derivado de este cambio</w:t>
      </w:r>
      <w:r>
        <w:rPr>
          <w:spacing w:val="-1"/>
        </w:rPr>
        <w:t> </w:t>
      </w:r>
      <w:r>
        <w:rPr/>
        <w:t>en la</w:t>
      </w:r>
      <w:r>
        <w:rPr>
          <w:spacing w:val="-1"/>
        </w:rPr>
        <w:t> </w:t>
      </w:r>
      <w:r>
        <w:rPr/>
        <w:t>gestión del mantenimiento de los vehículos en el taller interno, se han consumido más baterías</w:t>
      </w:r>
      <w:r>
        <w:rPr>
          <w:spacing w:val="40"/>
        </w:rPr>
        <w:t> </w:t>
      </w:r>
      <w:r>
        <w:rPr/>
        <w:t>(+ 19,3%). También se ha incrementado el residuo de botes de spray</w:t>
      </w:r>
      <w:r>
        <w:rPr>
          <w:spacing w:val="-3"/>
        </w:rPr>
        <w:t> </w:t>
      </w:r>
      <w:r>
        <w:rPr/>
        <w:t>(aerosoles), que se justifica por un aumento</w:t>
      </w:r>
      <w:r>
        <w:rPr>
          <w:spacing w:val="-1"/>
        </w:rPr>
        <w:t> </w:t>
      </w:r>
      <w:r>
        <w:rPr/>
        <w:t>de las tareas de limpieza de piezas en las labores de mantenimiento.</w:t>
      </w:r>
    </w:p>
    <w:p>
      <w:pPr>
        <w:pStyle w:val="BodyText"/>
        <w:spacing w:before="201"/>
        <w:jc w:val="center"/>
      </w:pPr>
      <w:r>
        <w:rPr/>
        <w:t>Dentro</w:t>
      </w:r>
      <w:r>
        <w:rPr>
          <w:spacing w:val="9"/>
        </w:rPr>
        <w:t> </w:t>
      </w:r>
      <w:r>
        <w:rPr/>
        <w:t>del</w:t>
      </w:r>
      <w:r>
        <w:rPr>
          <w:spacing w:val="6"/>
        </w:rPr>
        <w:t> </w:t>
      </w:r>
      <w:r>
        <w:rPr/>
        <w:t>Plan</w:t>
      </w:r>
      <w:r>
        <w:rPr>
          <w:spacing w:val="8"/>
        </w:rPr>
        <w:t> </w:t>
      </w:r>
      <w:r>
        <w:rPr/>
        <w:t>de</w:t>
      </w:r>
      <w:r>
        <w:rPr>
          <w:spacing w:val="9"/>
        </w:rPr>
        <w:t> </w:t>
      </w:r>
      <w:r>
        <w:rPr/>
        <w:t>minimización</w:t>
      </w:r>
      <w:r>
        <w:rPr>
          <w:spacing w:val="7"/>
        </w:rPr>
        <w:t> </w:t>
      </w:r>
      <w:r>
        <w:rPr/>
        <w:t>de</w:t>
      </w:r>
      <w:r>
        <w:rPr>
          <w:spacing w:val="10"/>
        </w:rPr>
        <w:t> </w:t>
      </w:r>
      <w:r>
        <w:rPr/>
        <w:t>residuos</w:t>
      </w:r>
      <w:r>
        <w:rPr>
          <w:spacing w:val="11"/>
        </w:rPr>
        <w:t> </w:t>
      </w:r>
      <w:r>
        <w:rPr/>
        <w:t>vigente</w:t>
      </w:r>
      <w:r>
        <w:rPr>
          <w:spacing w:val="9"/>
        </w:rPr>
        <w:t> </w:t>
      </w:r>
      <w:r>
        <w:rPr/>
        <w:t>(2022-</w:t>
      </w:r>
      <w:r>
        <w:rPr>
          <w:spacing w:val="10"/>
        </w:rPr>
        <w:t> </w:t>
      </w:r>
      <w:r>
        <w:rPr/>
        <w:t>2025)</w:t>
      </w:r>
      <w:r>
        <w:rPr>
          <w:spacing w:val="10"/>
        </w:rPr>
        <w:t> </w:t>
      </w:r>
      <w:r>
        <w:rPr/>
        <w:t>se</w:t>
      </w:r>
      <w:r>
        <w:rPr>
          <w:spacing w:val="7"/>
        </w:rPr>
        <w:t> </w:t>
      </w:r>
      <w:r>
        <w:rPr/>
        <w:t>contemplan</w:t>
      </w:r>
      <w:r>
        <w:rPr>
          <w:spacing w:val="8"/>
        </w:rPr>
        <w:t> </w:t>
      </w:r>
      <w:r>
        <w:rPr/>
        <w:t>medidas</w:t>
      </w:r>
      <w:r>
        <w:rPr>
          <w:spacing w:val="11"/>
        </w:rPr>
        <w:t> </w:t>
      </w:r>
      <w:r>
        <w:rPr>
          <w:spacing w:val="-5"/>
        </w:rPr>
        <w:t>en</w:t>
      </w:r>
    </w:p>
    <w:p>
      <w:pPr>
        <w:pStyle w:val="BodyText"/>
        <w:spacing w:before="115"/>
        <w:ind w:left="2"/>
        <w:jc w:val="center"/>
      </w:pPr>
      <w:r>
        <w:rPr/>
        <w:t>relación</w:t>
      </w:r>
      <w:r>
        <w:rPr>
          <w:spacing w:val="35"/>
        </w:rPr>
        <w:t> </w:t>
      </w:r>
      <w:r>
        <w:rPr/>
        <w:t>con</w:t>
      </w:r>
      <w:r>
        <w:rPr>
          <w:spacing w:val="37"/>
        </w:rPr>
        <w:t> </w:t>
      </w:r>
      <w:r>
        <w:rPr/>
        <w:t>los</w:t>
      </w:r>
      <w:r>
        <w:rPr>
          <w:spacing w:val="36"/>
        </w:rPr>
        <w:t> </w:t>
      </w:r>
      <w:r>
        <w:rPr/>
        <w:t>siguientes</w:t>
      </w:r>
      <w:r>
        <w:rPr>
          <w:spacing w:val="38"/>
        </w:rPr>
        <w:t> </w:t>
      </w:r>
      <w:r>
        <w:rPr/>
        <w:t>residuos:</w:t>
      </w:r>
      <w:r>
        <w:rPr>
          <w:spacing w:val="36"/>
        </w:rPr>
        <w:t> </w:t>
      </w:r>
      <w:r>
        <w:rPr/>
        <w:t>lodos,</w:t>
      </w:r>
      <w:r>
        <w:rPr>
          <w:spacing w:val="34"/>
        </w:rPr>
        <w:t> </w:t>
      </w:r>
      <w:r>
        <w:rPr/>
        <w:t>aceites</w:t>
      </w:r>
      <w:r>
        <w:rPr>
          <w:spacing w:val="39"/>
        </w:rPr>
        <w:t> </w:t>
      </w:r>
      <w:r>
        <w:rPr/>
        <w:t>lubricantes</w:t>
      </w:r>
      <w:r>
        <w:rPr>
          <w:spacing w:val="38"/>
        </w:rPr>
        <w:t> </w:t>
      </w:r>
      <w:r>
        <w:rPr/>
        <w:t>y</w:t>
      </w:r>
      <w:r>
        <w:rPr>
          <w:spacing w:val="34"/>
        </w:rPr>
        <w:t> </w:t>
      </w:r>
      <w:r>
        <w:rPr/>
        <w:t>baterías.</w:t>
      </w:r>
      <w:r>
        <w:rPr>
          <w:spacing w:val="36"/>
        </w:rPr>
        <w:t> </w:t>
      </w:r>
      <w:r>
        <w:rPr/>
        <w:t>En</w:t>
      </w:r>
      <w:r>
        <w:rPr>
          <w:spacing w:val="35"/>
        </w:rPr>
        <w:t> </w:t>
      </w:r>
      <w:r>
        <w:rPr/>
        <w:t>la</w:t>
      </w:r>
      <w:r>
        <w:rPr>
          <w:spacing w:val="37"/>
        </w:rPr>
        <w:t> </w:t>
      </w:r>
      <w:r>
        <w:rPr>
          <w:spacing w:val="-2"/>
        </w:rPr>
        <w:t>actualidad</w:t>
      </w:r>
    </w:p>
    <w:p>
      <w:pPr>
        <w:pStyle w:val="BodyText"/>
        <w:spacing w:line="360" w:lineRule="auto" w:before="116"/>
        <w:ind w:left="1341" w:right="1337"/>
        <w:jc w:val="both"/>
      </w:pPr>
      <w:r>
        <w:rPr/>
        <w:t>Guaguas se encuentra en proceso de cierre de este plan, si bien los resultados no son los previstos ya que el cambio de política en la gestión de mantenimiento del taller ha revertido en poder obtener los resultados previstos. Asimismo, hay que tener en cuenta que en el año de aprobación</w:t>
      </w:r>
      <w:r>
        <w:rPr>
          <w:spacing w:val="-1"/>
        </w:rPr>
        <w:t> </w:t>
      </w:r>
      <w:r>
        <w:rPr/>
        <w:t>del</w:t>
      </w:r>
      <w:r>
        <w:rPr>
          <w:spacing w:val="-4"/>
        </w:rPr>
        <w:t> </w:t>
      </w:r>
      <w:r>
        <w:rPr/>
        <w:t>plan no</w:t>
      </w:r>
      <w:r>
        <w:rPr>
          <w:spacing w:val="-3"/>
        </w:rPr>
        <w:t> </w:t>
      </w:r>
      <w:r>
        <w:rPr/>
        <w:t>estaba vigente</w:t>
      </w:r>
      <w:r>
        <w:rPr>
          <w:spacing w:val="-1"/>
        </w:rPr>
        <w:t> </w:t>
      </w:r>
      <w:r>
        <w:rPr/>
        <w:t>la</w:t>
      </w:r>
      <w:r>
        <w:rPr>
          <w:spacing w:val="-3"/>
        </w:rPr>
        <w:t> </w:t>
      </w:r>
      <w:r>
        <w:rPr/>
        <w:t>gratuidad, y</w:t>
      </w:r>
      <w:r>
        <w:rPr>
          <w:spacing w:val="-3"/>
        </w:rPr>
        <w:t> </w:t>
      </w:r>
      <w:r>
        <w:rPr/>
        <w:t>derivado</w:t>
      </w:r>
      <w:r>
        <w:rPr>
          <w:spacing w:val="-3"/>
        </w:rPr>
        <w:t> </w:t>
      </w:r>
      <w:r>
        <w:rPr/>
        <w:t>de esta</w:t>
      </w:r>
      <w:r>
        <w:rPr>
          <w:spacing w:val="-1"/>
        </w:rPr>
        <w:t> </w:t>
      </w:r>
      <w:r>
        <w:rPr/>
        <w:t>medida</w:t>
      </w:r>
      <w:r>
        <w:rPr>
          <w:spacing w:val="-1"/>
        </w:rPr>
        <w:t> </w:t>
      </w:r>
      <w:r>
        <w:rPr/>
        <w:t>el incremento</w:t>
      </w:r>
      <w:r>
        <w:rPr>
          <w:spacing w:val="-1"/>
        </w:rPr>
        <w:t> </w:t>
      </w:r>
      <w:r>
        <w:rPr/>
        <w:t>de viajeros que ha suscitado esta medida, lo que ha ocasionado un sobresfuerzo de la flota, no pudiendo</w:t>
      </w:r>
      <w:r>
        <w:rPr>
          <w:spacing w:val="32"/>
        </w:rPr>
        <w:t> </w:t>
      </w:r>
      <w:r>
        <w:rPr/>
        <w:t>dar</w:t>
      </w:r>
      <w:r>
        <w:rPr>
          <w:spacing w:val="31"/>
        </w:rPr>
        <w:t> </w:t>
      </w:r>
      <w:r>
        <w:rPr/>
        <w:t>de</w:t>
      </w:r>
      <w:r>
        <w:rPr>
          <w:spacing w:val="30"/>
        </w:rPr>
        <w:t> </w:t>
      </w:r>
      <w:r>
        <w:rPr/>
        <w:t>baja</w:t>
      </w:r>
      <w:r>
        <w:rPr>
          <w:spacing w:val="31"/>
        </w:rPr>
        <w:t> </w:t>
      </w:r>
      <w:r>
        <w:rPr/>
        <w:t>vehículos</w:t>
      </w:r>
      <w:r>
        <w:rPr>
          <w:spacing w:val="30"/>
        </w:rPr>
        <w:t> </w:t>
      </w:r>
      <w:r>
        <w:rPr/>
        <w:t>que</w:t>
      </w:r>
      <w:r>
        <w:rPr>
          <w:spacing w:val="32"/>
        </w:rPr>
        <w:t> </w:t>
      </w:r>
      <w:r>
        <w:rPr/>
        <w:t>en</w:t>
      </w:r>
      <w:r>
        <w:rPr>
          <w:spacing w:val="32"/>
        </w:rPr>
        <w:t> </w:t>
      </w:r>
      <w:r>
        <w:rPr/>
        <w:t>otras</w:t>
      </w:r>
      <w:r>
        <w:rPr>
          <w:spacing w:val="32"/>
        </w:rPr>
        <w:t> </w:t>
      </w:r>
      <w:r>
        <w:rPr/>
        <w:t>circunstancias</w:t>
      </w:r>
      <w:r>
        <w:rPr>
          <w:spacing w:val="30"/>
        </w:rPr>
        <w:t> </w:t>
      </w:r>
      <w:r>
        <w:rPr/>
        <w:t>sí</w:t>
      </w:r>
      <w:r>
        <w:rPr>
          <w:spacing w:val="30"/>
        </w:rPr>
        <w:t> </w:t>
      </w:r>
      <w:r>
        <w:rPr/>
        <w:t>que</w:t>
      </w:r>
      <w:r>
        <w:rPr>
          <w:spacing w:val="33"/>
        </w:rPr>
        <w:t> </w:t>
      </w:r>
      <w:r>
        <w:rPr/>
        <w:t>se</w:t>
      </w:r>
      <w:r>
        <w:rPr>
          <w:spacing w:val="30"/>
        </w:rPr>
        <w:t> </w:t>
      </w:r>
      <w:r>
        <w:rPr/>
        <w:t>hubieran</w:t>
      </w:r>
      <w:r>
        <w:rPr>
          <w:spacing w:val="30"/>
        </w:rPr>
        <w:t> </w:t>
      </w:r>
      <w:r>
        <w:rPr/>
        <w:t>retirado</w:t>
      </w:r>
      <w:r>
        <w:rPr>
          <w:spacing w:val="29"/>
        </w:rPr>
        <w:t> </w:t>
      </w:r>
      <w:r>
        <w:rPr/>
        <w:t>del</w:t>
      </w:r>
    </w:p>
    <w:p>
      <w:pPr>
        <w:pStyle w:val="BodyText"/>
        <w:spacing w:after="0" w:line="360" w:lineRule="auto"/>
        <w:jc w:val="both"/>
        <w:sectPr>
          <w:pgSz w:w="11910" w:h="16840"/>
          <w:pgMar w:header="384" w:footer="1060" w:top="1200" w:bottom="1260" w:left="360" w:right="360"/>
        </w:sectPr>
      </w:pPr>
    </w:p>
    <w:p>
      <w:pPr>
        <w:pStyle w:val="BodyText"/>
        <w:spacing w:line="360" w:lineRule="auto" w:before="215"/>
        <w:ind w:left="1341" w:right="1338"/>
        <w:jc w:val="both"/>
      </w:pPr>
      <w:r>
        <w:rPr/>
        <w:t>servicio. Por último, hay que hacer una mención especial a la incorporación de vehículos eléctricos y que su mantenimiento se está realizando también por el taller interno de la </w:t>
      </w:r>
      <w:r>
        <w:rPr>
          <w:spacing w:val="-2"/>
        </w:rPr>
        <w:t>compañía.</w:t>
      </w:r>
    </w:p>
    <w:p>
      <w:pPr>
        <w:pStyle w:val="Heading3"/>
        <w:numPr>
          <w:ilvl w:val="1"/>
          <w:numId w:val="31"/>
        </w:numPr>
        <w:tabs>
          <w:tab w:pos="1756" w:val="left" w:leader="none"/>
        </w:tabs>
        <w:spacing w:line="278" w:lineRule="auto" w:before="199" w:after="0"/>
        <w:ind w:left="1341" w:right="1337" w:firstLine="0"/>
        <w:jc w:val="left"/>
      </w:pPr>
      <w:bookmarkStart w:name="_TOC_250033" w:id="19"/>
      <w:r>
        <w:rPr/>
        <w:t>Uso</w:t>
      </w:r>
      <w:r>
        <w:rPr>
          <w:spacing w:val="80"/>
        </w:rPr>
        <w:t> </w:t>
      </w:r>
      <w:r>
        <w:rPr/>
        <w:t>sostenible</w:t>
      </w:r>
      <w:r>
        <w:rPr>
          <w:spacing w:val="80"/>
        </w:rPr>
        <w:t> </w:t>
      </w:r>
      <w:r>
        <w:rPr/>
        <w:t>del</w:t>
      </w:r>
      <w:r>
        <w:rPr>
          <w:spacing w:val="80"/>
        </w:rPr>
        <w:t> </w:t>
      </w:r>
      <w:r>
        <w:rPr/>
        <w:t>agua,</w:t>
      </w:r>
      <w:r>
        <w:rPr>
          <w:spacing w:val="80"/>
        </w:rPr>
        <w:t> </w:t>
      </w:r>
      <w:r>
        <w:rPr/>
        <w:t>eficiencia</w:t>
      </w:r>
      <w:r>
        <w:rPr>
          <w:spacing w:val="80"/>
        </w:rPr>
        <w:t> </w:t>
      </w:r>
      <w:r>
        <w:rPr/>
        <w:t>en</w:t>
      </w:r>
      <w:r>
        <w:rPr>
          <w:spacing w:val="80"/>
        </w:rPr>
        <w:t> </w:t>
      </w:r>
      <w:r>
        <w:rPr/>
        <w:t>el</w:t>
      </w:r>
      <w:r>
        <w:rPr>
          <w:spacing w:val="80"/>
        </w:rPr>
        <w:t> </w:t>
      </w:r>
      <w:r>
        <w:rPr/>
        <w:t>uso</w:t>
      </w:r>
      <w:r>
        <w:rPr>
          <w:spacing w:val="80"/>
        </w:rPr>
        <w:t> </w:t>
      </w:r>
      <w:r>
        <w:rPr/>
        <w:t>de</w:t>
      </w:r>
      <w:r>
        <w:rPr>
          <w:spacing w:val="80"/>
        </w:rPr>
        <w:t> </w:t>
      </w:r>
      <w:r>
        <w:rPr/>
        <w:t>materias</w:t>
      </w:r>
      <w:r>
        <w:rPr>
          <w:spacing w:val="80"/>
        </w:rPr>
        <w:t> </w:t>
      </w:r>
      <w:r>
        <w:rPr/>
        <w:t>primas,</w:t>
      </w:r>
      <w:r>
        <w:rPr>
          <w:spacing w:val="80"/>
        </w:rPr>
        <w:t> </w:t>
      </w:r>
      <w:bookmarkEnd w:id="19"/>
      <w:r>
        <w:rPr/>
        <w:t>eficiencia energética y uso de energías renovables</w:t>
      </w:r>
    </w:p>
    <w:p>
      <w:pPr>
        <w:pStyle w:val="BodyText"/>
        <w:spacing w:before="222"/>
        <w:ind w:left="1"/>
        <w:jc w:val="center"/>
        <w:rPr>
          <w:rFonts w:ascii="Tahoma" w:hAnsi="Tahoma"/>
          <w:i/>
        </w:rPr>
      </w:pPr>
      <w:r>
        <w:rPr/>
        <w:t>De</w:t>
      </w:r>
      <w:r>
        <w:rPr>
          <w:spacing w:val="16"/>
        </w:rPr>
        <w:t> </w:t>
      </w:r>
      <w:r>
        <w:rPr/>
        <w:t>la</w:t>
      </w:r>
      <w:r>
        <w:rPr>
          <w:spacing w:val="15"/>
        </w:rPr>
        <w:t> </w:t>
      </w:r>
      <w:r>
        <w:rPr/>
        <w:t>evaluación</w:t>
      </w:r>
      <w:r>
        <w:rPr>
          <w:spacing w:val="17"/>
        </w:rPr>
        <w:t> </w:t>
      </w:r>
      <w:r>
        <w:rPr/>
        <w:t>de</w:t>
      </w:r>
      <w:r>
        <w:rPr>
          <w:spacing w:val="19"/>
        </w:rPr>
        <w:t> </w:t>
      </w:r>
      <w:r>
        <w:rPr/>
        <w:t>aspectos</w:t>
      </w:r>
      <w:r>
        <w:rPr>
          <w:spacing w:val="21"/>
        </w:rPr>
        <w:t> </w:t>
      </w:r>
      <w:r>
        <w:rPr/>
        <w:t>ambientales</w:t>
      </w:r>
      <w:r>
        <w:rPr>
          <w:spacing w:val="19"/>
        </w:rPr>
        <w:t> </w:t>
      </w:r>
      <w:r>
        <w:rPr/>
        <w:t>de</w:t>
      </w:r>
      <w:r>
        <w:rPr>
          <w:spacing w:val="19"/>
        </w:rPr>
        <w:t> </w:t>
      </w:r>
      <w:r>
        <w:rPr/>
        <w:t>la</w:t>
      </w:r>
      <w:r>
        <w:rPr>
          <w:spacing w:val="19"/>
        </w:rPr>
        <w:t> </w:t>
      </w:r>
      <w:r>
        <w:rPr/>
        <w:t>empresa,</w:t>
      </w:r>
      <w:r>
        <w:rPr>
          <w:spacing w:val="18"/>
        </w:rPr>
        <w:t> </w:t>
      </w:r>
      <w:r>
        <w:rPr/>
        <w:t>según</w:t>
      </w:r>
      <w:r>
        <w:rPr>
          <w:spacing w:val="19"/>
        </w:rPr>
        <w:t> </w:t>
      </w:r>
      <w:r>
        <w:rPr/>
        <w:t>el</w:t>
      </w:r>
      <w:r>
        <w:rPr>
          <w:spacing w:val="17"/>
        </w:rPr>
        <w:t> </w:t>
      </w:r>
      <w:r>
        <w:rPr/>
        <w:t>procedimiento</w:t>
      </w:r>
      <w:r>
        <w:rPr>
          <w:spacing w:val="19"/>
        </w:rPr>
        <w:t> </w:t>
      </w:r>
      <w:r>
        <w:rPr>
          <w:rFonts w:ascii="Tahoma" w:hAnsi="Tahoma"/>
          <w:i/>
        </w:rPr>
        <w:t>PRO-</w:t>
      </w:r>
      <w:r>
        <w:rPr>
          <w:rFonts w:ascii="Tahoma" w:hAnsi="Tahoma"/>
          <w:i/>
          <w:spacing w:val="-4"/>
        </w:rPr>
        <w:t>CAL-</w:t>
      </w:r>
    </w:p>
    <w:p>
      <w:pPr>
        <w:pStyle w:val="BodyText"/>
        <w:spacing w:after="0"/>
        <w:jc w:val="center"/>
        <w:rPr>
          <w:rFonts w:ascii="Tahoma" w:hAnsi="Tahoma"/>
          <w:i/>
        </w:rPr>
        <w:sectPr>
          <w:pgSz w:w="11910" w:h="16840"/>
          <w:pgMar w:header="384" w:footer="1060" w:top="1200" w:bottom="1260" w:left="360" w:right="360"/>
        </w:sectPr>
      </w:pPr>
    </w:p>
    <w:p>
      <w:pPr>
        <w:spacing w:line="355" w:lineRule="auto" w:before="103"/>
        <w:ind w:left="1341" w:right="0" w:firstLine="0"/>
        <w:jc w:val="left"/>
        <w:rPr>
          <w:sz w:val="20"/>
        </w:rPr>
      </w:pPr>
      <w:r>
        <w:rPr>
          <w:rFonts w:ascii="Tahoma" w:hAnsi="Tahoma"/>
          <w:i/>
          <w:sz w:val="20"/>
        </w:rPr>
        <w:t>12.</w:t>
      </w:r>
      <w:r>
        <w:rPr>
          <w:rFonts w:ascii="Tahoma" w:hAnsi="Tahoma"/>
          <w:i/>
          <w:spacing w:val="40"/>
          <w:sz w:val="20"/>
        </w:rPr>
        <w:t> </w:t>
      </w:r>
      <w:r>
        <w:rPr>
          <w:rFonts w:ascii="Tahoma" w:hAnsi="Tahoma"/>
          <w:i/>
          <w:sz w:val="20"/>
        </w:rPr>
        <w:t>Identificación</w:t>
      </w:r>
      <w:r>
        <w:rPr>
          <w:rFonts w:ascii="Tahoma" w:hAnsi="Tahoma"/>
          <w:i/>
          <w:spacing w:val="40"/>
          <w:sz w:val="20"/>
        </w:rPr>
        <w:t> </w:t>
      </w:r>
      <w:r>
        <w:rPr>
          <w:rFonts w:ascii="Tahoma" w:hAnsi="Tahoma"/>
          <w:i/>
          <w:sz w:val="20"/>
        </w:rPr>
        <w:t>y</w:t>
      </w:r>
      <w:r>
        <w:rPr>
          <w:rFonts w:ascii="Tahoma" w:hAnsi="Tahoma"/>
          <w:i/>
          <w:spacing w:val="40"/>
          <w:sz w:val="20"/>
        </w:rPr>
        <w:t> </w:t>
      </w:r>
      <w:r>
        <w:rPr>
          <w:rFonts w:ascii="Tahoma" w:hAnsi="Tahoma"/>
          <w:i/>
          <w:sz w:val="20"/>
        </w:rPr>
        <w:t>evaluación</w:t>
      </w:r>
      <w:r>
        <w:rPr>
          <w:rFonts w:ascii="Tahoma" w:hAnsi="Tahoma"/>
          <w:i/>
          <w:spacing w:val="40"/>
          <w:sz w:val="20"/>
        </w:rPr>
        <w:t> </w:t>
      </w:r>
      <w:r>
        <w:rPr>
          <w:rFonts w:ascii="Tahoma" w:hAnsi="Tahoma"/>
          <w:i/>
          <w:sz w:val="20"/>
        </w:rPr>
        <w:t>de</w:t>
      </w:r>
      <w:r>
        <w:rPr>
          <w:rFonts w:ascii="Tahoma" w:hAnsi="Tahoma"/>
          <w:i/>
          <w:spacing w:val="40"/>
          <w:sz w:val="20"/>
        </w:rPr>
        <w:t> </w:t>
      </w:r>
      <w:r>
        <w:rPr>
          <w:rFonts w:ascii="Tahoma" w:hAnsi="Tahoma"/>
          <w:i/>
          <w:sz w:val="20"/>
        </w:rPr>
        <w:t>aspectos</w:t>
      </w:r>
      <w:r>
        <w:rPr>
          <w:rFonts w:ascii="Tahoma" w:hAnsi="Tahoma"/>
          <w:i/>
          <w:spacing w:val="40"/>
          <w:sz w:val="20"/>
        </w:rPr>
        <w:t> </w:t>
      </w:r>
      <w:r>
        <w:rPr>
          <w:rFonts w:ascii="Tahoma" w:hAnsi="Tahoma"/>
          <w:i/>
          <w:sz w:val="20"/>
        </w:rPr>
        <w:t>ambientales,</w:t>
      </w:r>
      <w:r>
        <w:rPr>
          <w:rFonts w:ascii="Tahoma" w:hAnsi="Tahoma"/>
          <w:i/>
          <w:spacing w:val="40"/>
          <w:sz w:val="20"/>
        </w:rPr>
        <w:t> </w:t>
      </w:r>
      <w:r>
        <w:rPr>
          <w:sz w:val="20"/>
        </w:rPr>
        <w:t>se</w:t>
      </w:r>
      <w:r>
        <w:rPr>
          <w:spacing w:val="40"/>
          <w:sz w:val="20"/>
        </w:rPr>
        <w:t> </w:t>
      </w:r>
      <w:r>
        <w:rPr>
          <w:sz w:val="20"/>
        </w:rPr>
        <w:t>consideran</w:t>
      </w:r>
      <w:r>
        <w:rPr>
          <w:spacing w:val="40"/>
          <w:sz w:val="20"/>
        </w:rPr>
        <w:t> </w:t>
      </w:r>
      <w:r>
        <w:rPr>
          <w:spacing w:val="-2"/>
          <w:sz w:val="20"/>
        </w:rPr>
        <w:t>siguientes:</w:t>
      </w:r>
    </w:p>
    <w:p>
      <w:pPr>
        <w:pStyle w:val="BodyText"/>
        <w:spacing w:before="12"/>
      </w:pPr>
    </w:p>
    <w:p>
      <w:pPr>
        <w:spacing w:line="360" w:lineRule="auto" w:before="1"/>
        <w:ind w:left="1341" w:right="4335" w:firstLine="0"/>
        <w:jc w:val="left"/>
        <w:rPr>
          <w:sz w:val="20"/>
        </w:rPr>
      </w:pPr>
      <w:r>
        <w:rPr>
          <w:b/>
          <w:sz w:val="20"/>
        </w:rPr>
        <w:t>Situación</w:t>
      </w:r>
      <w:r>
        <w:rPr>
          <w:b/>
          <w:spacing w:val="-14"/>
          <w:sz w:val="20"/>
        </w:rPr>
        <w:t> </w:t>
      </w:r>
      <w:r>
        <w:rPr>
          <w:b/>
          <w:sz w:val="20"/>
        </w:rPr>
        <w:t>normal/anormal: </w:t>
      </w:r>
      <w:r>
        <w:rPr>
          <w:sz w:val="20"/>
        </w:rPr>
        <w:t>Consumo agua y vertidos Consumo energía eléctrica Emisiones atmosféricas</w:t>
      </w:r>
    </w:p>
    <w:p>
      <w:pPr>
        <w:pStyle w:val="BodyText"/>
        <w:spacing w:before="115"/>
      </w:pPr>
    </w:p>
    <w:p>
      <w:pPr>
        <w:spacing w:line="360" w:lineRule="auto" w:before="0"/>
        <w:ind w:left="1341" w:right="4049" w:firstLine="0"/>
        <w:jc w:val="left"/>
        <w:rPr>
          <w:sz w:val="20"/>
        </w:rPr>
      </w:pPr>
      <w:r>
        <w:rPr>
          <w:b/>
          <w:sz w:val="20"/>
        </w:rPr>
        <w:t>Situación emergencia: </w:t>
      </w:r>
      <w:r>
        <w:rPr>
          <w:sz w:val="20"/>
        </w:rPr>
        <w:t>Consumos de agua (apagado) Residuos de incendio Emisiones</w:t>
      </w:r>
      <w:r>
        <w:rPr>
          <w:spacing w:val="-14"/>
          <w:sz w:val="20"/>
        </w:rPr>
        <w:t> </w:t>
      </w:r>
      <w:r>
        <w:rPr>
          <w:sz w:val="20"/>
        </w:rPr>
        <w:t>combustión</w:t>
      </w:r>
      <w:r>
        <w:rPr>
          <w:spacing w:val="-14"/>
          <w:sz w:val="20"/>
        </w:rPr>
        <w:t> </w:t>
      </w:r>
      <w:r>
        <w:rPr>
          <w:sz w:val="20"/>
        </w:rPr>
        <w:t>incendio</w:t>
      </w:r>
    </w:p>
    <w:p>
      <w:pPr>
        <w:pStyle w:val="BodyText"/>
        <w:spacing w:before="3"/>
        <w:ind w:left="1341"/>
      </w:pPr>
      <w:r>
        <w:rPr/>
        <w:t>Emisiones</w:t>
      </w:r>
      <w:r>
        <w:rPr>
          <w:spacing w:val="-8"/>
        </w:rPr>
        <w:t> </w:t>
      </w:r>
      <w:r>
        <w:rPr/>
        <w:t>CO2</w:t>
      </w:r>
      <w:r>
        <w:rPr>
          <w:spacing w:val="-10"/>
        </w:rPr>
        <w:t> </w:t>
      </w:r>
      <w:r>
        <w:rPr/>
        <w:t>medios</w:t>
      </w:r>
      <w:r>
        <w:rPr>
          <w:spacing w:val="-7"/>
        </w:rPr>
        <w:t> </w:t>
      </w:r>
      <w:r>
        <w:rPr>
          <w:spacing w:val="-2"/>
        </w:rPr>
        <w:t>extinción</w:t>
      </w:r>
    </w:p>
    <w:p>
      <w:pPr>
        <w:pStyle w:val="BodyText"/>
        <w:spacing w:before="113"/>
        <w:ind w:left="1341"/>
      </w:pPr>
      <w:r>
        <w:rPr/>
        <w:t>Derrames</w:t>
      </w:r>
      <w:r>
        <w:rPr>
          <w:spacing w:val="-6"/>
        </w:rPr>
        <w:t> </w:t>
      </w:r>
      <w:r>
        <w:rPr/>
        <w:t>de</w:t>
      </w:r>
      <w:r>
        <w:rPr>
          <w:spacing w:val="-7"/>
        </w:rPr>
        <w:t> </w:t>
      </w:r>
      <w:r>
        <w:rPr/>
        <w:t>productos</w:t>
      </w:r>
      <w:r>
        <w:rPr>
          <w:spacing w:val="-6"/>
        </w:rPr>
        <w:t> </w:t>
      </w:r>
      <w:r>
        <w:rPr/>
        <w:t>o</w:t>
      </w:r>
      <w:r>
        <w:rPr>
          <w:spacing w:val="-8"/>
        </w:rPr>
        <w:t> </w:t>
      </w:r>
      <w:r>
        <w:rPr/>
        <w:t>residuos</w:t>
      </w:r>
      <w:r>
        <w:rPr>
          <w:spacing w:val="-6"/>
        </w:rPr>
        <w:t> </w:t>
      </w:r>
      <w:r>
        <w:rPr>
          <w:spacing w:val="-2"/>
        </w:rPr>
        <w:t>peligrosos</w:t>
      </w:r>
    </w:p>
    <w:p>
      <w:pPr>
        <w:pStyle w:val="BodyText"/>
        <w:spacing w:before="116"/>
        <w:ind w:left="87"/>
      </w:pPr>
      <w:r>
        <w:rPr/>
        <w:br w:type="column"/>
      </w:r>
      <w:r>
        <w:rPr/>
        <w:t>significativos</w:t>
      </w:r>
      <w:r>
        <w:rPr>
          <w:spacing w:val="54"/>
        </w:rPr>
        <w:t> </w:t>
      </w:r>
      <w:r>
        <w:rPr>
          <w:spacing w:val="-5"/>
        </w:rPr>
        <w:t>los</w:t>
      </w:r>
    </w:p>
    <w:p>
      <w:pPr>
        <w:pStyle w:val="BodyText"/>
        <w:spacing w:after="0"/>
        <w:sectPr>
          <w:type w:val="continuous"/>
          <w:pgSz w:w="11910" w:h="16840"/>
          <w:pgMar w:header="384" w:footer="1060" w:top="1700" w:bottom="1040" w:left="360" w:right="360"/>
          <w:cols w:num="2" w:equalWidth="0">
            <w:col w:w="8205" w:space="40"/>
            <w:col w:w="2945"/>
          </w:cols>
        </w:sectPr>
      </w:pPr>
    </w:p>
    <w:p>
      <w:pPr>
        <w:pStyle w:val="BodyText"/>
      </w:pPr>
    </w:p>
    <w:p>
      <w:pPr>
        <w:pStyle w:val="BodyText"/>
        <w:spacing w:before="1"/>
      </w:pPr>
    </w:p>
    <w:p>
      <w:pPr>
        <w:pStyle w:val="BodyText"/>
        <w:spacing w:line="360" w:lineRule="auto"/>
        <w:ind w:left="1341" w:right="1308"/>
      </w:pPr>
      <w:r>
        <w:rPr/>
        <mc:AlternateContent>
          <mc:Choice Requires="wps">
            <w:drawing>
              <wp:anchor distT="0" distB="0" distL="0" distR="0" allowOverlap="1" layoutInCell="1" locked="0" behindDoc="0" simplePos="0" relativeHeight="15798784">
                <wp:simplePos x="0" y="0"/>
                <wp:positionH relativeFrom="page">
                  <wp:posOffset>6966436</wp:posOffset>
                </wp:positionH>
                <wp:positionV relativeFrom="paragraph">
                  <wp:posOffset>944203</wp:posOffset>
                </wp:positionV>
                <wp:extent cx="263525" cy="327596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74.346748pt;width:20.75pt;height:257.95pt;mso-position-horizontal-relative:page;mso-position-vertical-relative:paragraph;z-index:15798784" type="#_x0000_t202" id="docshape20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A continuación, se muestra la tabla del consumo del punto principal de abastecimiento de agua de las cocheras de Guaguas Municipales, S.A.</w:t>
      </w:r>
    </w:p>
    <w:p>
      <w:pPr>
        <w:pStyle w:val="BodyText"/>
        <w:spacing w:before="2"/>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2083"/>
        <w:gridCol w:w="2078"/>
        <w:gridCol w:w="2841"/>
      </w:tblGrid>
      <w:tr>
        <w:trPr>
          <w:trHeight w:val="299" w:hRule="atLeast"/>
        </w:trPr>
        <w:tc>
          <w:tcPr>
            <w:tcW w:w="8646" w:type="dxa"/>
            <w:gridSpan w:val="4"/>
            <w:shd w:val="clear" w:color="auto" w:fill="D9D9D9"/>
          </w:tcPr>
          <w:p>
            <w:pPr>
              <w:pStyle w:val="TableParagraph"/>
              <w:spacing w:before="30"/>
              <w:ind w:left="8" w:right="1"/>
              <w:jc w:val="center"/>
              <w:rPr>
                <w:b/>
                <w:sz w:val="20"/>
              </w:rPr>
            </w:pPr>
            <w:r>
              <w:rPr>
                <w:b/>
                <w:sz w:val="20"/>
              </w:rPr>
              <w:t>AGUA</w:t>
            </w:r>
            <w:r>
              <w:rPr>
                <w:b/>
                <w:spacing w:val="-7"/>
                <w:sz w:val="20"/>
              </w:rPr>
              <w:t> </w:t>
            </w:r>
            <w:r>
              <w:rPr>
                <w:b/>
                <w:sz w:val="20"/>
              </w:rPr>
              <w:t>DE</w:t>
            </w:r>
            <w:r>
              <w:rPr>
                <w:b/>
                <w:spacing w:val="-2"/>
                <w:sz w:val="20"/>
              </w:rPr>
              <w:t> ALJIBE</w:t>
            </w:r>
          </w:p>
        </w:tc>
      </w:tr>
      <w:tr>
        <w:trPr>
          <w:trHeight w:val="599" w:hRule="atLeast"/>
        </w:trPr>
        <w:tc>
          <w:tcPr>
            <w:tcW w:w="1644" w:type="dxa"/>
          </w:tcPr>
          <w:p>
            <w:pPr>
              <w:pStyle w:val="TableParagraph"/>
              <w:spacing w:before="182"/>
              <w:ind w:left="8"/>
              <w:jc w:val="center"/>
              <w:rPr>
                <w:b/>
                <w:sz w:val="20"/>
              </w:rPr>
            </w:pPr>
            <w:r>
              <w:rPr>
                <w:b/>
                <w:spacing w:val="-2"/>
                <w:sz w:val="20"/>
              </w:rPr>
              <w:t>CONCEPTO</w:t>
            </w:r>
          </w:p>
        </w:tc>
        <w:tc>
          <w:tcPr>
            <w:tcW w:w="2083" w:type="dxa"/>
          </w:tcPr>
          <w:p>
            <w:pPr>
              <w:pStyle w:val="TableParagraph"/>
              <w:spacing w:line="229" w:lineRule="exact" w:before="66"/>
              <w:ind w:left="6" w:right="2"/>
              <w:jc w:val="center"/>
              <w:rPr>
                <w:b/>
                <w:sz w:val="20"/>
              </w:rPr>
            </w:pPr>
            <w:r>
              <w:rPr>
                <w:b/>
                <w:sz w:val="20"/>
              </w:rPr>
              <w:t>CONSUMO</w:t>
            </w:r>
            <w:r>
              <w:rPr>
                <w:b/>
                <w:spacing w:val="-7"/>
                <w:sz w:val="20"/>
              </w:rPr>
              <w:t> </w:t>
            </w:r>
            <w:r>
              <w:rPr>
                <w:b/>
                <w:spacing w:val="-4"/>
                <w:sz w:val="20"/>
              </w:rPr>
              <w:t>2025</w:t>
            </w:r>
          </w:p>
          <w:p>
            <w:pPr>
              <w:pStyle w:val="TableParagraph"/>
              <w:spacing w:line="229" w:lineRule="exact"/>
              <w:ind w:left="6"/>
              <w:jc w:val="center"/>
              <w:rPr>
                <w:b/>
                <w:sz w:val="20"/>
              </w:rPr>
            </w:pPr>
            <w:r>
              <w:rPr>
                <w:b/>
                <w:spacing w:val="-5"/>
                <w:sz w:val="20"/>
              </w:rPr>
              <w:t>m³</w:t>
            </w:r>
          </w:p>
        </w:tc>
        <w:tc>
          <w:tcPr>
            <w:tcW w:w="2078" w:type="dxa"/>
          </w:tcPr>
          <w:p>
            <w:pPr>
              <w:pStyle w:val="TableParagraph"/>
              <w:spacing w:line="229" w:lineRule="exact" w:before="66"/>
              <w:ind w:left="4" w:right="2"/>
              <w:jc w:val="center"/>
              <w:rPr>
                <w:b/>
                <w:sz w:val="20"/>
              </w:rPr>
            </w:pPr>
            <w:r>
              <w:rPr>
                <w:b/>
                <w:sz w:val="20"/>
              </w:rPr>
              <w:t>CONSUMO</w:t>
            </w:r>
            <w:r>
              <w:rPr>
                <w:b/>
                <w:spacing w:val="-9"/>
                <w:sz w:val="20"/>
              </w:rPr>
              <w:t> </w:t>
            </w:r>
            <w:r>
              <w:rPr>
                <w:b/>
                <w:spacing w:val="-4"/>
                <w:sz w:val="20"/>
              </w:rPr>
              <w:t>2024</w:t>
            </w:r>
          </w:p>
          <w:p>
            <w:pPr>
              <w:pStyle w:val="TableParagraph"/>
              <w:spacing w:line="229" w:lineRule="exact"/>
              <w:ind w:left="4"/>
              <w:jc w:val="center"/>
              <w:rPr>
                <w:b/>
                <w:sz w:val="20"/>
              </w:rPr>
            </w:pPr>
            <w:r>
              <w:rPr>
                <w:b/>
                <w:spacing w:val="-5"/>
                <w:sz w:val="20"/>
              </w:rPr>
              <w:t>m³</w:t>
            </w:r>
          </w:p>
        </w:tc>
        <w:tc>
          <w:tcPr>
            <w:tcW w:w="2841" w:type="dxa"/>
          </w:tcPr>
          <w:p>
            <w:pPr>
              <w:pStyle w:val="TableParagraph"/>
              <w:spacing w:line="229" w:lineRule="exact" w:before="66"/>
              <w:ind w:left="6"/>
              <w:jc w:val="center"/>
              <w:rPr>
                <w:b/>
                <w:sz w:val="20"/>
              </w:rPr>
            </w:pPr>
            <w:r>
              <w:rPr>
                <w:b/>
                <w:spacing w:val="-2"/>
                <w:sz w:val="20"/>
              </w:rPr>
              <w:t>DIFERENCIA</w:t>
            </w:r>
            <w:r>
              <w:rPr>
                <w:b/>
                <w:spacing w:val="10"/>
                <w:sz w:val="20"/>
              </w:rPr>
              <w:t> </w:t>
            </w:r>
            <w:r>
              <w:rPr>
                <w:b/>
                <w:spacing w:val="-2"/>
                <w:sz w:val="20"/>
              </w:rPr>
              <w:t>2025-</w:t>
            </w:r>
            <w:r>
              <w:rPr>
                <w:b/>
                <w:spacing w:val="-4"/>
                <w:sz w:val="20"/>
              </w:rPr>
              <w:t>2024</w:t>
            </w:r>
          </w:p>
          <w:p>
            <w:pPr>
              <w:pStyle w:val="TableParagraph"/>
              <w:spacing w:line="229" w:lineRule="exact"/>
              <w:ind w:left="6" w:right="1"/>
              <w:jc w:val="center"/>
              <w:rPr>
                <w:b/>
                <w:sz w:val="20"/>
              </w:rPr>
            </w:pPr>
            <w:r>
              <w:rPr>
                <w:b/>
                <w:spacing w:val="-5"/>
                <w:sz w:val="20"/>
              </w:rPr>
              <w:t>m³</w:t>
            </w:r>
          </w:p>
        </w:tc>
      </w:tr>
      <w:tr>
        <w:trPr>
          <w:trHeight w:val="302" w:hRule="atLeast"/>
        </w:trPr>
        <w:tc>
          <w:tcPr>
            <w:tcW w:w="1644" w:type="dxa"/>
            <w:shd w:val="clear" w:color="auto" w:fill="D9D9D9"/>
          </w:tcPr>
          <w:p>
            <w:pPr>
              <w:pStyle w:val="TableParagraph"/>
              <w:spacing w:before="33"/>
              <w:ind w:left="8" w:right="4"/>
              <w:jc w:val="center"/>
              <w:rPr>
                <w:sz w:val="20"/>
              </w:rPr>
            </w:pPr>
            <w:r>
              <w:rPr>
                <w:spacing w:val="-2"/>
                <w:sz w:val="20"/>
              </w:rPr>
              <w:t>VOLUMEN</w:t>
            </w:r>
          </w:p>
        </w:tc>
        <w:tc>
          <w:tcPr>
            <w:tcW w:w="2083" w:type="dxa"/>
            <w:shd w:val="clear" w:color="auto" w:fill="D9D9D9"/>
          </w:tcPr>
          <w:p>
            <w:pPr>
              <w:pStyle w:val="TableParagraph"/>
              <w:spacing w:before="33"/>
              <w:ind w:left="786"/>
              <w:rPr>
                <w:sz w:val="20"/>
              </w:rPr>
            </w:pPr>
            <w:r>
              <w:rPr>
                <w:sz w:val="20"/>
              </w:rPr>
              <w:t>4.</w:t>
            </w:r>
            <w:r>
              <w:rPr>
                <w:spacing w:val="53"/>
                <w:sz w:val="20"/>
              </w:rPr>
              <w:t> </w:t>
            </w:r>
            <w:r>
              <w:rPr>
                <w:spacing w:val="-5"/>
                <w:sz w:val="20"/>
              </w:rPr>
              <w:t>90</w:t>
            </w:r>
          </w:p>
        </w:tc>
        <w:tc>
          <w:tcPr>
            <w:tcW w:w="2078" w:type="dxa"/>
            <w:shd w:val="clear" w:color="auto" w:fill="D9D9D9"/>
          </w:tcPr>
          <w:p>
            <w:pPr>
              <w:pStyle w:val="TableParagraph"/>
              <w:spacing w:before="33"/>
              <w:ind w:left="4" w:right="3"/>
              <w:jc w:val="center"/>
              <w:rPr>
                <w:sz w:val="20"/>
              </w:rPr>
            </w:pPr>
            <w:r>
              <w:rPr>
                <w:spacing w:val="-2"/>
                <w:sz w:val="20"/>
              </w:rPr>
              <w:t>5.200</w:t>
            </w:r>
          </w:p>
        </w:tc>
        <w:tc>
          <w:tcPr>
            <w:tcW w:w="2841" w:type="dxa"/>
            <w:shd w:val="clear" w:color="auto" w:fill="D9D9D9"/>
          </w:tcPr>
          <w:p>
            <w:pPr>
              <w:pStyle w:val="TableParagraph"/>
              <w:spacing w:before="33"/>
              <w:ind w:left="6"/>
              <w:jc w:val="center"/>
              <w:rPr>
                <w:sz w:val="20"/>
              </w:rPr>
            </w:pPr>
            <w:r>
              <w:rPr>
                <w:spacing w:val="-5"/>
                <w:sz w:val="20"/>
              </w:rPr>
              <w:t>610</w:t>
            </w:r>
          </w:p>
        </w:tc>
      </w:tr>
      <w:tr>
        <w:trPr>
          <w:trHeight w:val="299" w:hRule="atLeast"/>
        </w:trPr>
        <w:tc>
          <w:tcPr>
            <w:tcW w:w="8646" w:type="dxa"/>
            <w:gridSpan w:val="4"/>
          </w:tcPr>
          <w:p>
            <w:pPr>
              <w:pStyle w:val="TableParagraph"/>
              <w:spacing w:before="30"/>
              <w:ind w:left="8"/>
              <w:jc w:val="center"/>
              <w:rPr>
                <w:sz w:val="20"/>
              </w:rPr>
            </w:pPr>
            <w:r>
              <w:rPr>
                <w:sz w:val="20"/>
              </w:rPr>
              <w:t>GR</w:t>
            </w:r>
            <w:r>
              <w:rPr>
                <w:spacing w:val="-6"/>
                <w:sz w:val="20"/>
              </w:rPr>
              <w:t> </w:t>
            </w:r>
            <w:r>
              <w:rPr>
                <w:sz w:val="20"/>
              </w:rPr>
              <w:t>303-1</w:t>
            </w:r>
            <w:r>
              <w:rPr>
                <w:spacing w:val="-5"/>
                <w:sz w:val="20"/>
              </w:rPr>
              <w:t> </w:t>
            </w:r>
            <w:r>
              <w:rPr>
                <w:sz w:val="20"/>
              </w:rPr>
              <w:t>apdo.</w:t>
            </w:r>
            <w:r>
              <w:rPr>
                <w:spacing w:val="-5"/>
                <w:sz w:val="20"/>
              </w:rPr>
              <w:t> </w:t>
            </w:r>
            <w:r>
              <w:rPr>
                <w:spacing w:val="-10"/>
                <w:sz w:val="20"/>
              </w:rPr>
              <w:t>a</w:t>
            </w:r>
          </w:p>
        </w:tc>
      </w:tr>
    </w:tbl>
    <w:p>
      <w:pPr>
        <w:pStyle w:val="BodyText"/>
        <w:spacing w:before="229"/>
        <w:ind w:left="1341"/>
      </w:pPr>
      <w:r>
        <w:rPr/>
        <mc:AlternateContent>
          <mc:Choice Requires="wps">
            <w:drawing>
              <wp:anchor distT="0" distB="0" distL="0" distR="0" allowOverlap="1" layoutInCell="1" locked="0" behindDoc="1" simplePos="0" relativeHeight="476766720">
                <wp:simplePos x="0" y="0"/>
                <wp:positionH relativeFrom="page">
                  <wp:posOffset>2684873</wp:posOffset>
                </wp:positionH>
                <wp:positionV relativeFrom="paragraph">
                  <wp:posOffset>-368138</wp:posOffset>
                </wp:positionV>
                <wp:extent cx="70485" cy="14160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70485" cy="141605"/>
                        </a:xfrm>
                        <a:prstGeom prst="rect">
                          <a:avLst/>
                        </a:prstGeom>
                      </wps:spPr>
                      <wps:txbx>
                        <w:txbxContent>
                          <w:p>
                            <w:pPr>
                              <w:pStyle w:val="BodyText"/>
                              <w:spacing w:line="223" w:lineRule="exact"/>
                            </w:pPr>
                            <w:r>
                              <w:rPr>
                                <w:spacing w:val="-12"/>
                              </w:rPr>
                              <w:t>5</w:t>
                            </w:r>
                          </w:p>
                        </w:txbxContent>
                      </wps:txbx>
                      <wps:bodyPr wrap="square" lIns="0" tIns="0" rIns="0" bIns="0" rtlCol="0">
                        <a:noAutofit/>
                      </wps:bodyPr>
                    </wps:wsp>
                  </a:graphicData>
                </a:graphic>
              </wp:anchor>
            </w:drawing>
          </mc:Choice>
          <mc:Fallback>
            <w:pict>
              <v:shape style="position:absolute;margin-left:211.407364pt;margin-top:-28.987251pt;width:5.55pt;height:11.15pt;mso-position-horizontal-relative:page;mso-position-vertical-relative:paragraph;z-index:-26549760" type="#_x0000_t202" id="docshape201" filled="false" stroked="false">
                <v:textbox inset="0,0,0,0">
                  <w:txbxContent>
                    <w:p>
                      <w:pPr>
                        <w:pStyle w:val="BodyText"/>
                        <w:spacing w:line="223" w:lineRule="exact"/>
                      </w:pPr>
                      <w:r>
                        <w:rPr>
                          <w:spacing w:val="-12"/>
                        </w:rPr>
                        <w:t>5</w:t>
                      </w:r>
                    </w:p>
                  </w:txbxContent>
                </v:textbox>
                <w10:wrap type="none"/>
              </v:shape>
            </w:pict>
          </mc:Fallback>
        </mc:AlternateContent>
      </w:r>
      <w:r>
        <w:rPr/>
        <w:t>El</w:t>
      </w:r>
      <w:r>
        <w:rPr>
          <w:spacing w:val="-7"/>
        </w:rPr>
        <w:t> </w:t>
      </w:r>
      <w:r>
        <w:rPr/>
        <w:t>consumo</w:t>
      </w:r>
      <w:r>
        <w:rPr>
          <w:spacing w:val="-6"/>
        </w:rPr>
        <w:t> </w:t>
      </w:r>
      <w:r>
        <w:rPr/>
        <w:t>general</w:t>
      </w:r>
      <w:r>
        <w:rPr>
          <w:spacing w:val="-7"/>
        </w:rPr>
        <w:t> </w:t>
      </w:r>
      <w:r>
        <w:rPr/>
        <w:t>de</w:t>
      </w:r>
      <w:r>
        <w:rPr>
          <w:spacing w:val="-2"/>
        </w:rPr>
        <w:t> </w:t>
      </w:r>
      <w:r>
        <w:rPr/>
        <w:t>agua</w:t>
      </w:r>
      <w:r>
        <w:rPr>
          <w:spacing w:val="-2"/>
        </w:rPr>
        <w:t> </w:t>
      </w:r>
      <w:r>
        <w:rPr/>
        <w:t>en</w:t>
      </w:r>
      <w:r>
        <w:rPr>
          <w:spacing w:val="-3"/>
        </w:rPr>
        <w:t> </w:t>
      </w:r>
      <w:r>
        <w:rPr/>
        <w:t>2025</w:t>
      </w:r>
      <w:r>
        <w:rPr>
          <w:spacing w:val="-6"/>
        </w:rPr>
        <w:t> </w:t>
      </w:r>
      <w:r>
        <w:rPr/>
        <w:t>ha</w:t>
      </w:r>
      <w:r>
        <w:rPr>
          <w:spacing w:val="-6"/>
        </w:rPr>
        <w:t> </w:t>
      </w:r>
      <w:r>
        <w:rPr/>
        <w:t>disminuido</w:t>
      </w:r>
      <w:r>
        <w:rPr>
          <w:spacing w:val="-2"/>
        </w:rPr>
        <w:t> </w:t>
      </w:r>
      <w:r>
        <w:rPr/>
        <w:t>en</w:t>
      </w:r>
      <w:r>
        <w:rPr>
          <w:spacing w:val="-5"/>
        </w:rPr>
        <w:t> </w:t>
      </w:r>
      <w:r>
        <w:rPr/>
        <w:t>610</w:t>
      </w:r>
      <w:r>
        <w:rPr>
          <w:spacing w:val="-5"/>
        </w:rPr>
        <w:t> </w:t>
      </w:r>
      <w:r>
        <w:rPr>
          <w:sz w:val="22"/>
        </w:rPr>
        <w:t>m</w:t>
      </w:r>
      <w:r>
        <w:rPr>
          <w:sz w:val="22"/>
          <w:vertAlign w:val="superscript"/>
        </w:rPr>
        <w:t>3</w:t>
      </w:r>
      <w:r>
        <w:rPr>
          <w:spacing w:val="-12"/>
          <w:sz w:val="22"/>
          <w:vertAlign w:val="baseline"/>
        </w:rPr>
        <w:t> </w:t>
      </w:r>
      <w:r>
        <w:rPr>
          <w:vertAlign w:val="baseline"/>
        </w:rPr>
        <w:t>con</w:t>
      </w:r>
      <w:r>
        <w:rPr>
          <w:spacing w:val="-6"/>
          <w:vertAlign w:val="baseline"/>
        </w:rPr>
        <w:t> </w:t>
      </w:r>
      <w:r>
        <w:rPr>
          <w:vertAlign w:val="baseline"/>
        </w:rPr>
        <w:t>relación</w:t>
      </w:r>
      <w:r>
        <w:rPr>
          <w:spacing w:val="-2"/>
          <w:vertAlign w:val="baseline"/>
        </w:rPr>
        <w:t> </w:t>
      </w:r>
      <w:r>
        <w:rPr>
          <w:vertAlign w:val="baseline"/>
        </w:rPr>
        <w:t>al</w:t>
      </w:r>
      <w:r>
        <w:rPr>
          <w:spacing w:val="-2"/>
          <w:vertAlign w:val="baseline"/>
        </w:rPr>
        <w:t> </w:t>
      </w:r>
      <w:r>
        <w:rPr>
          <w:vertAlign w:val="baseline"/>
        </w:rPr>
        <w:t>año</w:t>
      </w:r>
      <w:r>
        <w:rPr>
          <w:spacing w:val="-6"/>
          <w:vertAlign w:val="baseline"/>
        </w:rPr>
        <w:t> </w:t>
      </w:r>
      <w:r>
        <w:rPr>
          <w:spacing w:val="-2"/>
          <w:vertAlign w:val="baseline"/>
        </w:rPr>
        <w:t>anterior.</w:t>
      </w:r>
    </w:p>
    <w:p>
      <w:pPr>
        <w:pStyle w:val="BodyText"/>
      </w:pPr>
    </w:p>
    <w:p>
      <w:pPr>
        <w:pStyle w:val="BodyText"/>
        <w:spacing w:before="11"/>
      </w:pPr>
    </w:p>
    <w:p>
      <w:pPr>
        <w:pStyle w:val="BodyText"/>
        <w:spacing w:line="357" w:lineRule="auto" w:before="1"/>
        <w:ind w:left="1341" w:right="1308"/>
      </w:pPr>
      <w:r>
        <w:rPr/>
        <w:t>En</w:t>
      </w:r>
      <w:r>
        <w:rPr>
          <w:spacing w:val="19"/>
        </w:rPr>
        <w:t> </w:t>
      </w:r>
      <w:r>
        <w:rPr/>
        <w:t>el informe del ejercicio 2024, se especificaron</w:t>
      </w:r>
      <w:r>
        <w:rPr>
          <w:spacing w:val="19"/>
        </w:rPr>
        <w:t> </w:t>
      </w:r>
      <w:r>
        <w:rPr/>
        <w:t>una serie de motivos por los que, de forma</w:t>
      </w:r>
      <w:r>
        <w:rPr>
          <w:spacing w:val="40"/>
        </w:rPr>
        <w:t> </w:t>
      </w:r>
      <w:r>
        <w:rPr/>
        <w:t>excepcional, el consumo de agua se había incrementado de manera considerable.</w:t>
      </w:r>
    </w:p>
    <w:p>
      <w:pPr>
        <w:pStyle w:val="BodyText"/>
        <w:spacing w:before="118"/>
      </w:pPr>
    </w:p>
    <w:p>
      <w:pPr>
        <w:pStyle w:val="BodyText"/>
        <w:spacing w:line="360" w:lineRule="auto" w:before="1"/>
        <w:ind w:left="1341" w:right="1308"/>
      </w:pPr>
      <w:r>
        <w:rPr/>
        <w:t>En 2025, el cálculo</w:t>
      </w:r>
      <w:r>
        <w:rPr>
          <w:spacing w:val="-2"/>
        </w:rPr>
        <w:t> </w:t>
      </w:r>
      <w:r>
        <w:rPr/>
        <w:t>de la diferencia</w:t>
      </w:r>
      <w:r>
        <w:rPr>
          <w:spacing w:val="-2"/>
        </w:rPr>
        <w:t> </w:t>
      </w:r>
      <w:r>
        <w:rPr/>
        <w:t>del</w:t>
      </w:r>
      <w:r>
        <w:rPr>
          <w:spacing w:val="-3"/>
        </w:rPr>
        <w:t> </w:t>
      </w:r>
      <w:r>
        <w:rPr/>
        <w:t>consumo</w:t>
      </w:r>
      <w:r>
        <w:rPr>
          <w:spacing w:val="-2"/>
        </w:rPr>
        <w:t> </w:t>
      </w:r>
      <w:r>
        <w:rPr/>
        <w:t>tiende a normalizarse</w:t>
      </w:r>
      <w:r>
        <w:rPr>
          <w:spacing w:val="-2"/>
        </w:rPr>
        <w:t> </w:t>
      </w:r>
      <w:r>
        <w:rPr/>
        <w:t>respecto al año anterior. Esta</w:t>
      </w:r>
      <w:r>
        <w:rPr>
          <w:spacing w:val="31"/>
        </w:rPr>
        <w:t> </w:t>
      </w:r>
      <w:r>
        <w:rPr/>
        <w:t>tendencia</w:t>
      </w:r>
      <w:r>
        <w:rPr>
          <w:spacing w:val="35"/>
        </w:rPr>
        <w:t> </w:t>
      </w:r>
      <w:r>
        <w:rPr/>
        <w:t>a</w:t>
      </w:r>
      <w:r>
        <w:rPr>
          <w:spacing w:val="32"/>
        </w:rPr>
        <w:t> </w:t>
      </w:r>
      <w:r>
        <w:rPr/>
        <w:t>la</w:t>
      </w:r>
      <w:r>
        <w:rPr>
          <w:spacing w:val="32"/>
        </w:rPr>
        <w:t> </w:t>
      </w:r>
      <w:r>
        <w:rPr/>
        <w:t>normalización</w:t>
      </w:r>
      <w:r>
        <w:rPr>
          <w:spacing w:val="34"/>
        </w:rPr>
        <w:t> </w:t>
      </w:r>
      <w:r>
        <w:rPr/>
        <w:t>de</w:t>
      </w:r>
      <w:r>
        <w:rPr>
          <w:spacing w:val="34"/>
        </w:rPr>
        <w:t> </w:t>
      </w:r>
      <w:r>
        <w:rPr/>
        <w:t>la</w:t>
      </w:r>
      <w:r>
        <w:rPr>
          <w:spacing w:val="32"/>
        </w:rPr>
        <w:t> </w:t>
      </w:r>
      <w:r>
        <w:rPr/>
        <w:t>diferencia</w:t>
      </w:r>
      <w:r>
        <w:rPr>
          <w:spacing w:val="34"/>
        </w:rPr>
        <w:t> </w:t>
      </w:r>
      <w:r>
        <w:rPr/>
        <w:t>del</w:t>
      </w:r>
      <w:r>
        <w:rPr>
          <w:spacing w:val="32"/>
        </w:rPr>
        <w:t> </w:t>
      </w:r>
      <w:r>
        <w:rPr/>
        <w:t>consumo</w:t>
      </w:r>
      <w:r>
        <w:rPr>
          <w:spacing w:val="32"/>
        </w:rPr>
        <w:t> </w:t>
      </w:r>
      <w:r>
        <w:rPr/>
        <w:t>se</w:t>
      </w:r>
      <w:r>
        <w:rPr>
          <w:spacing w:val="32"/>
        </w:rPr>
        <w:t> </w:t>
      </w:r>
      <w:r>
        <w:rPr/>
        <w:t>debe</w:t>
      </w:r>
      <w:r>
        <w:rPr>
          <w:spacing w:val="32"/>
        </w:rPr>
        <w:t> </w:t>
      </w:r>
      <w:r>
        <w:rPr/>
        <w:t>a</w:t>
      </w:r>
      <w:r>
        <w:rPr>
          <w:spacing w:val="35"/>
        </w:rPr>
        <w:t> </w:t>
      </w:r>
      <w:r>
        <w:rPr/>
        <w:t>que</w:t>
      </w:r>
      <w:r>
        <w:rPr>
          <w:spacing w:val="33"/>
        </w:rPr>
        <w:t> </w:t>
      </w:r>
      <w:r>
        <w:rPr/>
        <w:t>uno</w:t>
      </w:r>
      <w:r>
        <w:rPr>
          <w:spacing w:val="31"/>
        </w:rPr>
        <w:t> </w:t>
      </w:r>
      <w:r>
        <w:rPr/>
        <w:t>de</w:t>
      </w:r>
      <w:r>
        <w:rPr>
          <w:spacing w:val="33"/>
        </w:rPr>
        <w:t> </w:t>
      </w:r>
      <w:r>
        <w:rPr>
          <w:spacing w:val="-5"/>
        </w:rPr>
        <w:t>los</w:t>
      </w:r>
    </w:p>
    <w:p>
      <w:pPr>
        <w:pStyle w:val="BodyText"/>
        <w:spacing w:line="229" w:lineRule="exact"/>
        <w:ind w:left="1"/>
        <w:jc w:val="center"/>
      </w:pPr>
      <w:r>
        <w:rPr/>
        <w:t>aljibes,</w:t>
      </w:r>
      <w:r>
        <w:rPr>
          <w:spacing w:val="49"/>
        </w:rPr>
        <w:t> </w:t>
      </w:r>
      <w:r>
        <w:rPr/>
        <w:t>que</w:t>
      </w:r>
      <w:r>
        <w:rPr>
          <w:spacing w:val="51"/>
        </w:rPr>
        <w:t> </w:t>
      </w:r>
      <w:r>
        <w:rPr/>
        <w:t>presentaba</w:t>
      </w:r>
      <w:r>
        <w:rPr>
          <w:spacing w:val="50"/>
        </w:rPr>
        <w:t> </w:t>
      </w:r>
      <w:r>
        <w:rPr/>
        <w:t>una</w:t>
      </w:r>
      <w:r>
        <w:rPr>
          <w:spacing w:val="50"/>
        </w:rPr>
        <w:t> </w:t>
      </w:r>
      <w:r>
        <w:rPr/>
        <w:t>avería,</w:t>
      </w:r>
      <w:r>
        <w:rPr>
          <w:spacing w:val="50"/>
        </w:rPr>
        <w:t> </w:t>
      </w:r>
      <w:r>
        <w:rPr/>
        <w:t>se</w:t>
      </w:r>
      <w:r>
        <w:rPr>
          <w:spacing w:val="51"/>
        </w:rPr>
        <w:t> </w:t>
      </w:r>
      <w:r>
        <w:rPr/>
        <w:t>ha</w:t>
      </w:r>
      <w:r>
        <w:rPr>
          <w:spacing w:val="49"/>
        </w:rPr>
        <w:t> </w:t>
      </w:r>
      <w:r>
        <w:rPr/>
        <w:t>quedado</w:t>
      </w:r>
      <w:r>
        <w:rPr>
          <w:spacing w:val="48"/>
        </w:rPr>
        <w:t> </w:t>
      </w:r>
      <w:r>
        <w:rPr/>
        <w:t>fuera</w:t>
      </w:r>
      <w:r>
        <w:rPr>
          <w:spacing w:val="48"/>
        </w:rPr>
        <w:t> </w:t>
      </w:r>
      <w:r>
        <w:rPr/>
        <w:t>de</w:t>
      </w:r>
      <w:r>
        <w:rPr>
          <w:spacing w:val="49"/>
        </w:rPr>
        <w:t> </w:t>
      </w:r>
      <w:r>
        <w:rPr/>
        <w:t>servicio,</w:t>
      </w:r>
      <w:r>
        <w:rPr>
          <w:spacing w:val="51"/>
        </w:rPr>
        <w:t> </w:t>
      </w:r>
      <w:r>
        <w:rPr/>
        <w:t>y</w:t>
      </w:r>
      <w:r>
        <w:rPr>
          <w:spacing w:val="46"/>
        </w:rPr>
        <w:t> </w:t>
      </w:r>
      <w:r>
        <w:rPr/>
        <w:t>por</w:t>
      </w:r>
      <w:r>
        <w:rPr>
          <w:spacing w:val="48"/>
        </w:rPr>
        <w:t> </w:t>
      </w:r>
      <w:r>
        <w:rPr/>
        <w:t>ende,</w:t>
      </w:r>
      <w:r>
        <w:rPr>
          <w:spacing w:val="48"/>
        </w:rPr>
        <w:t> </w:t>
      </w:r>
      <w:r>
        <w:rPr/>
        <w:t>se</w:t>
      </w:r>
      <w:r>
        <w:rPr>
          <w:spacing w:val="51"/>
        </w:rPr>
        <w:t> </w:t>
      </w:r>
      <w:r>
        <w:rPr>
          <w:spacing w:val="-5"/>
        </w:rPr>
        <w:t>ha</w:t>
      </w:r>
    </w:p>
    <w:p>
      <w:pPr>
        <w:pStyle w:val="BodyText"/>
        <w:spacing w:line="360" w:lineRule="auto" w:before="115"/>
        <w:ind w:left="1341" w:right="1308"/>
      </w:pPr>
      <w:r>
        <w:rPr/>
        <w:t>eliminado la pérdida de agua que tenía un impacto importante y negativo sobre el cálculo de la </w:t>
      </w:r>
      <w:r>
        <w:rPr>
          <w:spacing w:val="-2"/>
        </w:rPr>
        <w:t>diferencia.</w:t>
      </w:r>
    </w:p>
    <w:p>
      <w:pPr>
        <w:pStyle w:val="BodyText"/>
        <w:spacing w:after="0" w:line="360" w:lineRule="auto"/>
        <w:sectPr>
          <w:type w:val="continuous"/>
          <w:pgSz w:w="11910" w:h="16840"/>
          <w:pgMar w:header="384" w:footer="1060" w:top="1700" w:bottom="1040" w:left="360" w:right="360"/>
        </w:sectPr>
      </w:pPr>
    </w:p>
    <w:p>
      <w:pPr>
        <w:pStyle w:val="BodyText"/>
        <w:spacing w:before="216"/>
        <w:ind w:left="1341"/>
      </w:pPr>
      <w:r>
        <w:rPr/>
        <w:t>Por</w:t>
      </w:r>
      <w:r>
        <w:rPr>
          <w:spacing w:val="-4"/>
        </w:rPr>
        <w:t> </w:t>
      </w:r>
      <w:r>
        <w:rPr/>
        <w:t>lo</w:t>
      </w:r>
      <w:r>
        <w:rPr>
          <w:spacing w:val="-6"/>
        </w:rPr>
        <w:t> </w:t>
      </w:r>
      <w:r>
        <w:rPr/>
        <w:t>tanto,</w:t>
      </w:r>
      <w:r>
        <w:rPr>
          <w:spacing w:val="-2"/>
        </w:rPr>
        <w:t> </w:t>
      </w:r>
      <w:r>
        <w:rPr/>
        <w:t>se</w:t>
      </w:r>
      <w:r>
        <w:rPr>
          <w:spacing w:val="-7"/>
        </w:rPr>
        <w:t> </w:t>
      </w:r>
      <w:r>
        <w:rPr/>
        <w:t>establece</w:t>
      </w:r>
      <w:r>
        <w:rPr>
          <w:spacing w:val="-2"/>
        </w:rPr>
        <w:t> </w:t>
      </w:r>
      <w:r>
        <w:rPr/>
        <w:t>un</w:t>
      </w:r>
      <w:r>
        <w:rPr>
          <w:spacing w:val="-4"/>
        </w:rPr>
        <w:t> </w:t>
      </w:r>
      <w:r>
        <w:rPr/>
        <w:t>consumo</w:t>
      </w:r>
      <w:r>
        <w:rPr>
          <w:spacing w:val="-7"/>
        </w:rPr>
        <w:t> </w:t>
      </w:r>
      <w:r>
        <w:rPr/>
        <w:t>total</w:t>
      </w:r>
      <w:r>
        <w:rPr>
          <w:spacing w:val="-2"/>
        </w:rPr>
        <w:t> </w:t>
      </w:r>
      <w:r>
        <w:rPr/>
        <w:t>de</w:t>
      </w:r>
      <w:r>
        <w:rPr>
          <w:spacing w:val="-2"/>
        </w:rPr>
        <w:t> </w:t>
      </w:r>
      <w:r>
        <w:rPr/>
        <w:t>agua</w:t>
      </w:r>
      <w:r>
        <w:rPr>
          <w:spacing w:val="-7"/>
        </w:rPr>
        <w:t> </w:t>
      </w:r>
      <w:r>
        <w:rPr/>
        <w:t>en</w:t>
      </w:r>
      <w:r>
        <w:rPr>
          <w:spacing w:val="-6"/>
        </w:rPr>
        <w:t> </w:t>
      </w:r>
      <w:r>
        <w:rPr/>
        <w:t>2025</w:t>
      </w:r>
      <w:r>
        <w:rPr>
          <w:spacing w:val="-6"/>
        </w:rPr>
        <w:t> </w:t>
      </w:r>
      <w:r>
        <w:rPr/>
        <w:t>de</w:t>
      </w:r>
      <w:r>
        <w:rPr>
          <w:spacing w:val="-6"/>
        </w:rPr>
        <w:t> </w:t>
      </w:r>
      <w:r>
        <w:rPr/>
        <w:t>4.590</w:t>
      </w:r>
      <w:r>
        <w:rPr>
          <w:spacing w:val="-3"/>
        </w:rPr>
        <w:t> </w:t>
      </w:r>
      <w:r>
        <w:rPr>
          <w:spacing w:val="-5"/>
          <w:sz w:val="22"/>
        </w:rPr>
        <w:t>m</w:t>
      </w:r>
      <w:r>
        <w:rPr>
          <w:spacing w:val="-5"/>
          <w:sz w:val="22"/>
          <w:vertAlign w:val="superscript"/>
        </w:rPr>
        <w:t>3</w:t>
      </w:r>
      <w:r>
        <w:rPr>
          <w:spacing w:val="-5"/>
          <w:vertAlign w:val="baseline"/>
        </w:rPr>
        <w:t>.</w:t>
      </w:r>
    </w:p>
    <w:p>
      <w:pPr>
        <w:pStyle w:val="BodyText"/>
      </w:pPr>
    </w:p>
    <w:p>
      <w:pPr>
        <w:pStyle w:val="BodyText"/>
        <w:spacing w:before="11"/>
      </w:pPr>
    </w:p>
    <w:p>
      <w:pPr>
        <w:pStyle w:val="BodyText"/>
        <w:spacing w:line="360" w:lineRule="auto"/>
        <w:ind w:left="1341" w:right="1338"/>
        <w:jc w:val="both"/>
      </w:pPr>
      <w:r>
        <w:rPr/>
        <w:t>Con respecto a los cálculos de agua limpia y reciclada, se informa que, tras un análisis técnico de la configuración de la instalación de los contadores, se detectaron anomalías en dicha instalación. El principal problema detectado es que gran parte de la vida útil de estos contadores ha llegado a su fin, por lo que se precisa reemplazarlos para garantizar una lectura real de los datos de sus displays.</w:t>
      </w:r>
    </w:p>
    <w:p>
      <w:pPr>
        <w:pStyle w:val="BodyText"/>
        <w:spacing w:before="114"/>
      </w:pPr>
    </w:p>
    <w:p>
      <w:pPr>
        <w:pStyle w:val="BodyText"/>
        <w:spacing w:line="360" w:lineRule="auto"/>
        <w:ind w:left="1341" w:right="1338"/>
        <w:jc w:val="both"/>
      </w:pPr>
      <w:r>
        <w:rPr/>
        <w:t>En</w:t>
      </w:r>
      <w:r>
        <w:rPr>
          <w:spacing w:val="-1"/>
        </w:rPr>
        <w:t> </w:t>
      </w:r>
      <w:r>
        <w:rPr/>
        <w:t>la</w:t>
      </w:r>
      <w:r>
        <w:rPr>
          <w:spacing w:val="-3"/>
        </w:rPr>
        <w:t> </w:t>
      </w:r>
      <w:r>
        <w:rPr/>
        <w:t>actualidad,</w:t>
      </w:r>
      <w:r>
        <w:rPr>
          <w:spacing w:val="-3"/>
        </w:rPr>
        <w:t> </w:t>
      </w:r>
      <w:r>
        <w:rPr/>
        <w:t>se</w:t>
      </w:r>
      <w:r>
        <w:rPr>
          <w:spacing w:val="-1"/>
        </w:rPr>
        <w:t> </w:t>
      </w:r>
      <w:r>
        <w:rPr/>
        <w:t>ha</w:t>
      </w:r>
      <w:r>
        <w:rPr>
          <w:spacing w:val="-2"/>
        </w:rPr>
        <w:t> </w:t>
      </w:r>
      <w:r>
        <w:rPr/>
        <w:t>solicitado</w:t>
      </w:r>
      <w:r>
        <w:rPr>
          <w:spacing w:val="-2"/>
        </w:rPr>
        <w:t> </w:t>
      </w:r>
      <w:r>
        <w:rPr/>
        <w:t>un</w:t>
      </w:r>
      <w:r>
        <w:rPr>
          <w:spacing w:val="-4"/>
        </w:rPr>
        <w:t> </w:t>
      </w:r>
      <w:r>
        <w:rPr/>
        <w:t>presupuesto</w:t>
      </w:r>
      <w:r>
        <w:rPr>
          <w:spacing w:val="-4"/>
        </w:rPr>
        <w:t> </w:t>
      </w:r>
      <w:r>
        <w:rPr/>
        <w:t>para</w:t>
      </w:r>
      <w:r>
        <w:rPr>
          <w:spacing w:val="-1"/>
        </w:rPr>
        <w:t> </w:t>
      </w:r>
      <w:r>
        <w:rPr/>
        <w:t>poder</w:t>
      </w:r>
      <w:r>
        <w:rPr>
          <w:spacing w:val="-1"/>
        </w:rPr>
        <w:t> </w:t>
      </w:r>
      <w:r>
        <w:rPr/>
        <w:t>adecuar la</w:t>
      </w:r>
      <w:r>
        <w:rPr>
          <w:spacing w:val="-3"/>
        </w:rPr>
        <w:t> </w:t>
      </w:r>
      <w:r>
        <w:rPr/>
        <w:t>instalación</w:t>
      </w:r>
      <w:r>
        <w:rPr>
          <w:spacing w:val="-3"/>
        </w:rPr>
        <w:t> </w:t>
      </w:r>
      <w:r>
        <w:rPr/>
        <w:t>de</w:t>
      </w:r>
      <w:r>
        <w:rPr>
          <w:spacing w:val="-2"/>
        </w:rPr>
        <w:t> </w:t>
      </w:r>
      <w:r>
        <w:rPr/>
        <w:t>todos los contadores, lo que es imprescindible para poder realizar los cálculos correspondientes a los apartados presentados en ejercicios anteriores.</w:t>
      </w:r>
    </w:p>
    <w:p>
      <w:pPr>
        <w:pStyle w:val="BodyText"/>
        <w:spacing w:before="115"/>
      </w:pPr>
    </w:p>
    <w:p>
      <w:pPr>
        <w:pStyle w:val="BodyText"/>
        <w:spacing w:line="360" w:lineRule="auto"/>
        <w:ind w:left="1341" w:right="1338"/>
        <w:jc w:val="both"/>
      </w:pPr>
      <w:r>
        <w:rPr/>
        <w:t>Ante esta situación, y con objeto de aportar en todo momento datos fiables que puedan ser contrastados convenientemente, no es</w:t>
      </w:r>
      <w:r>
        <w:rPr>
          <w:spacing w:val="-1"/>
        </w:rPr>
        <w:t> </w:t>
      </w:r>
      <w:r>
        <w:rPr/>
        <w:t>posible</w:t>
      </w:r>
      <w:r>
        <w:rPr>
          <w:spacing w:val="-2"/>
        </w:rPr>
        <w:t> </w:t>
      </w:r>
      <w:r>
        <w:rPr/>
        <w:t>mostrar</w:t>
      </w:r>
      <w:r>
        <w:rPr>
          <w:spacing w:val="-3"/>
        </w:rPr>
        <w:t> </w:t>
      </w:r>
      <w:r>
        <w:rPr/>
        <w:t>la</w:t>
      </w:r>
      <w:r>
        <w:rPr>
          <w:spacing w:val="-2"/>
        </w:rPr>
        <w:t> </w:t>
      </w:r>
      <w:r>
        <w:rPr/>
        <w:t>tabla perteneciente al</w:t>
      </w:r>
      <w:r>
        <w:rPr>
          <w:spacing w:val="-3"/>
        </w:rPr>
        <w:t> </w:t>
      </w:r>
      <w:r>
        <w:rPr/>
        <w:t>GR 303-3 y</w:t>
      </w:r>
      <w:r>
        <w:rPr>
          <w:spacing w:val="-2"/>
        </w:rPr>
        <w:t> </w:t>
      </w:r>
      <w:r>
        <w:rPr/>
        <w:t>GR 306-1 del informe de 2024.</w:t>
      </w:r>
    </w:p>
    <w:p>
      <w:pPr>
        <w:pStyle w:val="BodyText"/>
        <w:spacing w:before="115"/>
      </w:pPr>
    </w:p>
    <w:p>
      <w:pPr>
        <w:pStyle w:val="BodyText"/>
        <w:spacing w:line="360" w:lineRule="auto"/>
        <w:ind w:left="1341" w:right="1339"/>
        <w:jc w:val="both"/>
      </w:pPr>
      <w:r>
        <w:rPr/>
        <w:t>En cuanto se ejecuten los trabajos de adecuación de las instalaciones hidráulicas de la sede central de Guaguas Municipales, S.A., se estará en disposición de obtener los datos correspondientes y cumplimentar la tabla referida en el párrafo anterior.</w:t>
      </w:r>
    </w:p>
    <w:p>
      <w:pPr>
        <w:pStyle w:val="BodyText"/>
        <w:spacing w:before="115"/>
      </w:pPr>
    </w:p>
    <w:p>
      <w:pPr>
        <w:pStyle w:val="BodyText"/>
        <w:spacing w:line="360" w:lineRule="auto"/>
        <w:ind w:left="1341" w:right="1308"/>
      </w:pPr>
      <w:r>
        <w:rPr/>
        <w:t>En</w:t>
      </w:r>
      <w:r>
        <w:rPr>
          <w:spacing w:val="-1"/>
        </w:rPr>
        <w:t> </w:t>
      </w:r>
      <w:r>
        <w:rPr/>
        <w:t>cualquier caso,</w:t>
      </w:r>
      <w:r>
        <w:rPr>
          <w:spacing w:val="-1"/>
        </w:rPr>
        <w:t> </w:t>
      </w:r>
      <w:r>
        <w:rPr/>
        <w:t>la</w:t>
      </w:r>
      <w:r>
        <w:rPr>
          <w:spacing w:val="-3"/>
        </w:rPr>
        <w:t> </w:t>
      </w:r>
      <w:r>
        <w:rPr/>
        <w:t>comparativa</w:t>
      </w:r>
      <w:r>
        <w:rPr>
          <w:spacing w:val="-1"/>
        </w:rPr>
        <w:t> </w:t>
      </w:r>
      <w:r>
        <w:rPr/>
        <w:t>de 2026,</w:t>
      </w:r>
      <w:r>
        <w:rPr>
          <w:spacing w:val="-1"/>
        </w:rPr>
        <w:t> </w:t>
      </w:r>
      <w:r>
        <w:rPr/>
        <w:t>solo</w:t>
      </w:r>
      <w:r>
        <w:rPr>
          <w:spacing w:val="-1"/>
        </w:rPr>
        <w:t> </w:t>
      </w:r>
      <w:r>
        <w:rPr/>
        <w:t>podrá hacerse</w:t>
      </w:r>
      <w:r>
        <w:rPr>
          <w:spacing w:val="-3"/>
        </w:rPr>
        <w:t> </w:t>
      </w:r>
      <w:r>
        <w:rPr/>
        <w:t>sobre</w:t>
      </w:r>
      <w:r>
        <w:rPr>
          <w:spacing w:val="-3"/>
        </w:rPr>
        <w:t> </w:t>
      </w:r>
      <w:r>
        <w:rPr/>
        <w:t>2024,</w:t>
      </w:r>
      <w:r>
        <w:rPr>
          <w:spacing w:val="-1"/>
        </w:rPr>
        <w:t> </w:t>
      </w:r>
      <w:r>
        <w:rPr/>
        <w:t>dado que,</w:t>
      </w:r>
      <w:r>
        <w:rPr>
          <w:spacing w:val="-1"/>
        </w:rPr>
        <w:t> </w:t>
      </w:r>
      <w:r>
        <w:rPr/>
        <w:t>de</w:t>
      </w:r>
      <w:r>
        <w:rPr>
          <w:spacing w:val="-3"/>
        </w:rPr>
        <w:t> </w:t>
      </w:r>
      <w:r>
        <w:rPr/>
        <w:t>2025, por los motivos señalados anteriormente, no se disponen de datos.</w:t>
      </w:r>
    </w:p>
    <w:p>
      <w:pPr>
        <w:pStyle w:val="BodyText"/>
        <w:spacing w:before="115"/>
      </w:pPr>
    </w:p>
    <w:p>
      <w:pPr>
        <w:pStyle w:val="BodyText"/>
        <w:spacing w:line="360" w:lineRule="auto"/>
        <w:ind w:left="1341" w:right="1388"/>
      </w:pPr>
      <w:r>
        <w:rPr/>
        <w:t>La problemática explicada con anterioridad se aplica también al cálculo del agua empleada en la limpieza de la flota de vehículos.</w:t>
      </w:r>
    </w:p>
    <w:p>
      <w:pPr>
        <w:pStyle w:val="BodyText"/>
        <w:spacing w:before="114"/>
      </w:pPr>
    </w:p>
    <w:p>
      <w:pPr>
        <w:pStyle w:val="BodyText"/>
        <w:spacing w:line="360" w:lineRule="auto" w:after="5"/>
        <w:ind w:left="1341" w:right="1308"/>
      </w:pPr>
      <w:r>
        <w:rPr/>
        <mc:AlternateContent>
          <mc:Choice Requires="wps">
            <w:drawing>
              <wp:anchor distT="0" distB="0" distL="0" distR="0" allowOverlap="1" layoutInCell="1" locked="0" behindDoc="0" simplePos="0" relativeHeight="15799296">
                <wp:simplePos x="0" y="0"/>
                <wp:positionH relativeFrom="page">
                  <wp:posOffset>6966436</wp:posOffset>
                </wp:positionH>
                <wp:positionV relativeFrom="paragraph">
                  <wp:posOffset>-61618</wp:posOffset>
                </wp:positionV>
                <wp:extent cx="263525" cy="327596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851885pt;width:20.75pt;height:257.95pt;mso-position-horizontal-relative:page;mso-position-vertical-relative:paragraph;z-index:15799296" type="#_x0000_t202" id="docshape20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A continuación, se muestra el consumo eléctrico del ejercicio 2025 con relación al consumo de </w:t>
      </w:r>
      <w:r>
        <w:rPr>
          <w:spacing w:val="-2"/>
        </w:rPr>
        <w:t>2024:</w:t>
      </w: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1"/>
        <w:gridCol w:w="1800"/>
        <w:gridCol w:w="1800"/>
        <w:gridCol w:w="2796"/>
      </w:tblGrid>
      <w:tr>
        <w:trPr>
          <w:trHeight w:val="299" w:hRule="atLeast"/>
        </w:trPr>
        <w:tc>
          <w:tcPr>
            <w:tcW w:w="8647" w:type="dxa"/>
            <w:gridSpan w:val="4"/>
            <w:shd w:val="clear" w:color="auto" w:fill="D9D9D9"/>
          </w:tcPr>
          <w:p>
            <w:pPr>
              <w:pStyle w:val="TableParagraph"/>
              <w:spacing w:line="215" w:lineRule="exact" w:before="64"/>
              <w:ind w:left="9"/>
              <w:jc w:val="center"/>
              <w:rPr>
                <w:b/>
                <w:sz w:val="20"/>
              </w:rPr>
            </w:pPr>
            <w:r>
              <w:rPr>
                <w:b/>
                <w:sz w:val="20"/>
              </w:rPr>
              <w:t>ENERGÍA</w:t>
            </w:r>
            <w:r>
              <w:rPr>
                <w:b/>
                <w:spacing w:val="-11"/>
                <w:sz w:val="20"/>
              </w:rPr>
              <w:t> </w:t>
            </w:r>
            <w:r>
              <w:rPr>
                <w:b/>
                <w:spacing w:val="-2"/>
                <w:sz w:val="20"/>
              </w:rPr>
              <w:t>ELÉCTRICA</w:t>
            </w:r>
          </w:p>
        </w:tc>
      </w:tr>
      <w:tr>
        <w:trPr>
          <w:trHeight w:val="599" w:hRule="atLeast"/>
        </w:trPr>
        <w:tc>
          <w:tcPr>
            <w:tcW w:w="2251" w:type="dxa"/>
          </w:tcPr>
          <w:p>
            <w:pPr>
              <w:pStyle w:val="TableParagraph"/>
              <w:spacing w:before="179"/>
              <w:ind w:left="10"/>
              <w:jc w:val="center"/>
              <w:rPr>
                <w:b/>
                <w:sz w:val="20"/>
              </w:rPr>
            </w:pPr>
            <w:r>
              <w:rPr>
                <w:b/>
                <w:spacing w:val="-2"/>
                <w:sz w:val="20"/>
              </w:rPr>
              <w:t>CONCEPTO</w:t>
            </w:r>
          </w:p>
        </w:tc>
        <w:tc>
          <w:tcPr>
            <w:tcW w:w="1800" w:type="dxa"/>
          </w:tcPr>
          <w:p>
            <w:pPr>
              <w:pStyle w:val="TableParagraph"/>
              <w:spacing w:before="64"/>
              <w:ind w:left="10" w:right="6"/>
              <w:jc w:val="center"/>
              <w:rPr>
                <w:b/>
                <w:sz w:val="20"/>
              </w:rPr>
            </w:pPr>
            <w:r>
              <w:rPr>
                <w:b/>
                <w:sz w:val="20"/>
              </w:rPr>
              <w:t>CONSUMO</w:t>
            </w:r>
            <w:r>
              <w:rPr>
                <w:b/>
                <w:spacing w:val="-7"/>
                <w:sz w:val="20"/>
              </w:rPr>
              <w:t> </w:t>
            </w:r>
            <w:r>
              <w:rPr>
                <w:b/>
                <w:spacing w:val="-4"/>
                <w:sz w:val="20"/>
              </w:rPr>
              <w:t>2025</w:t>
            </w:r>
          </w:p>
          <w:p>
            <w:pPr>
              <w:pStyle w:val="TableParagraph"/>
              <w:ind w:left="10"/>
              <w:jc w:val="center"/>
              <w:rPr>
                <w:b/>
                <w:sz w:val="20"/>
              </w:rPr>
            </w:pPr>
            <w:r>
              <w:rPr>
                <w:b/>
                <w:spacing w:val="-5"/>
                <w:sz w:val="20"/>
              </w:rPr>
              <w:t>kWh</w:t>
            </w:r>
          </w:p>
        </w:tc>
        <w:tc>
          <w:tcPr>
            <w:tcW w:w="1800" w:type="dxa"/>
          </w:tcPr>
          <w:p>
            <w:pPr>
              <w:pStyle w:val="TableParagraph"/>
              <w:spacing w:before="64"/>
              <w:ind w:left="10" w:right="8"/>
              <w:jc w:val="center"/>
              <w:rPr>
                <w:b/>
                <w:sz w:val="20"/>
              </w:rPr>
            </w:pPr>
            <w:r>
              <w:rPr>
                <w:b/>
                <w:sz w:val="20"/>
              </w:rPr>
              <w:t>CONSUMO</w:t>
            </w:r>
            <w:r>
              <w:rPr>
                <w:b/>
                <w:spacing w:val="-9"/>
                <w:sz w:val="20"/>
              </w:rPr>
              <w:t> </w:t>
            </w:r>
            <w:r>
              <w:rPr>
                <w:b/>
                <w:spacing w:val="-4"/>
                <w:sz w:val="20"/>
              </w:rPr>
              <w:t>2024</w:t>
            </w:r>
          </w:p>
          <w:p>
            <w:pPr>
              <w:pStyle w:val="TableParagraph"/>
              <w:ind w:left="10" w:right="5"/>
              <w:jc w:val="center"/>
              <w:rPr>
                <w:b/>
                <w:sz w:val="20"/>
              </w:rPr>
            </w:pPr>
            <w:r>
              <w:rPr>
                <w:b/>
                <w:spacing w:val="-5"/>
                <w:sz w:val="20"/>
              </w:rPr>
              <w:t>kWh</w:t>
            </w:r>
          </w:p>
        </w:tc>
        <w:tc>
          <w:tcPr>
            <w:tcW w:w="2796" w:type="dxa"/>
          </w:tcPr>
          <w:p>
            <w:pPr>
              <w:pStyle w:val="TableParagraph"/>
              <w:spacing w:before="64"/>
              <w:ind w:left="7" w:right="5"/>
              <w:jc w:val="center"/>
              <w:rPr>
                <w:b/>
                <w:sz w:val="20"/>
              </w:rPr>
            </w:pPr>
            <w:r>
              <w:rPr>
                <w:b/>
                <w:spacing w:val="-2"/>
                <w:sz w:val="20"/>
              </w:rPr>
              <w:t>DIFERENCIA</w:t>
            </w:r>
            <w:r>
              <w:rPr>
                <w:b/>
                <w:spacing w:val="10"/>
                <w:sz w:val="20"/>
              </w:rPr>
              <w:t> </w:t>
            </w:r>
            <w:r>
              <w:rPr>
                <w:b/>
                <w:spacing w:val="-2"/>
                <w:sz w:val="20"/>
              </w:rPr>
              <w:t>2025-</w:t>
            </w:r>
            <w:r>
              <w:rPr>
                <w:b/>
                <w:spacing w:val="-4"/>
                <w:sz w:val="20"/>
              </w:rPr>
              <w:t>2024</w:t>
            </w:r>
          </w:p>
          <w:p>
            <w:pPr>
              <w:pStyle w:val="TableParagraph"/>
              <w:ind w:left="7"/>
              <w:jc w:val="center"/>
              <w:rPr>
                <w:b/>
                <w:sz w:val="20"/>
              </w:rPr>
            </w:pPr>
            <w:r>
              <w:rPr>
                <w:b/>
                <w:spacing w:val="-5"/>
                <w:sz w:val="20"/>
              </w:rPr>
              <w:t>kWh</w:t>
            </w:r>
          </w:p>
        </w:tc>
      </w:tr>
      <w:tr>
        <w:trPr>
          <w:trHeight w:val="299" w:hRule="atLeast"/>
        </w:trPr>
        <w:tc>
          <w:tcPr>
            <w:tcW w:w="2251" w:type="dxa"/>
          </w:tcPr>
          <w:p>
            <w:pPr>
              <w:pStyle w:val="TableParagraph"/>
              <w:spacing w:line="211" w:lineRule="exact" w:before="69"/>
              <w:ind w:left="10" w:right="5"/>
              <w:jc w:val="center"/>
              <w:rPr>
                <w:sz w:val="20"/>
              </w:rPr>
            </w:pPr>
            <w:r>
              <w:rPr>
                <w:spacing w:val="-2"/>
                <w:sz w:val="20"/>
              </w:rPr>
              <w:t>ENERGÍA</w:t>
            </w:r>
          </w:p>
        </w:tc>
        <w:tc>
          <w:tcPr>
            <w:tcW w:w="1800" w:type="dxa"/>
          </w:tcPr>
          <w:p>
            <w:pPr>
              <w:pStyle w:val="TableParagraph"/>
              <w:spacing w:line="211" w:lineRule="exact" w:before="69"/>
              <w:ind w:left="10" w:right="1"/>
              <w:jc w:val="center"/>
              <w:rPr>
                <w:sz w:val="20"/>
              </w:rPr>
            </w:pPr>
            <w:r>
              <w:rPr>
                <w:spacing w:val="-2"/>
                <w:sz w:val="20"/>
              </w:rPr>
              <w:t>799.534</w:t>
            </w:r>
          </w:p>
        </w:tc>
        <w:tc>
          <w:tcPr>
            <w:tcW w:w="1800" w:type="dxa"/>
          </w:tcPr>
          <w:p>
            <w:pPr>
              <w:pStyle w:val="TableParagraph"/>
              <w:spacing w:line="211" w:lineRule="exact" w:before="69"/>
              <w:ind w:left="10" w:right="5"/>
              <w:jc w:val="center"/>
              <w:rPr>
                <w:sz w:val="20"/>
              </w:rPr>
            </w:pPr>
            <w:r>
              <w:rPr>
                <w:spacing w:val="-2"/>
                <w:sz w:val="20"/>
              </w:rPr>
              <w:t>677.658</w:t>
            </w:r>
          </w:p>
        </w:tc>
        <w:tc>
          <w:tcPr>
            <w:tcW w:w="2796" w:type="dxa"/>
          </w:tcPr>
          <w:p>
            <w:pPr>
              <w:pStyle w:val="TableParagraph"/>
              <w:spacing w:line="211" w:lineRule="exact" w:before="69"/>
              <w:ind w:left="7" w:right="5"/>
              <w:jc w:val="center"/>
              <w:rPr>
                <w:sz w:val="20"/>
              </w:rPr>
            </w:pPr>
            <w:r>
              <w:rPr>
                <w:spacing w:val="-2"/>
                <w:sz w:val="20"/>
              </w:rPr>
              <w:t>121.876</w:t>
            </w:r>
          </w:p>
        </w:tc>
      </w:tr>
      <w:tr>
        <w:trPr>
          <w:trHeight w:val="302" w:hRule="atLeast"/>
        </w:trPr>
        <w:tc>
          <w:tcPr>
            <w:tcW w:w="2251" w:type="dxa"/>
          </w:tcPr>
          <w:p>
            <w:pPr>
              <w:pStyle w:val="TableParagraph"/>
              <w:spacing w:before="33"/>
              <w:ind w:left="10" w:right="4"/>
              <w:jc w:val="center"/>
              <w:rPr>
                <w:sz w:val="20"/>
              </w:rPr>
            </w:pPr>
            <w:r>
              <w:rPr>
                <w:sz w:val="20"/>
              </w:rPr>
              <w:t>PROMEDIO</w:t>
            </w:r>
            <w:r>
              <w:rPr>
                <w:spacing w:val="-13"/>
                <w:sz w:val="20"/>
              </w:rPr>
              <w:t> </w:t>
            </w:r>
            <w:r>
              <w:rPr>
                <w:spacing w:val="-2"/>
                <w:sz w:val="20"/>
              </w:rPr>
              <w:t>MENSUAL</w:t>
            </w:r>
          </w:p>
        </w:tc>
        <w:tc>
          <w:tcPr>
            <w:tcW w:w="1800" w:type="dxa"/>
          </w:tcPr>
          <w:p>
            <w:pPr>
              <w:pStyle w:val="TableParagraph"/>
              <w:spacing w:before="33"/>
              <w:ind w:left="10"/>
              <w:jc w:val="center"/>
              <w:rPr>
                <w:sz w:val="20"/>
              </w:rPr>
            </w:pPr>
            <w:r>
              <w:rPr>
                <w:spacing w:val="-2"/>
                <w:sz w:val="20"/>
              </w:rPr>
              <w:t>66.627,83</w:t>
            </w:r>
          </w:p>
        </w:tc>
        <w:tc>
          <w:tcPr>
            <w:tcW w:w="1800" w:type="dxa"/>
          </w:tcPr>
          <w:p>
            <w:pPr>
              <w:pStyle w:val="TableParagraph"/>
              <w:spacing w:before="33"/>
              <w:ind w:left="10" w:right="5"/>
              <w:jc w:val="center"/>
              <w:rPr>
                <w:sz w:val="20"/>
              </w:rPr>
            </w:pPr>
            <w:r>
              <w:rPr>
                <w:spacing w:val="-2"/>
                <w:sz w:val="20"/>
              </w:rPr>
              <w:t>56.471,50</w:t>
            </w:r>
          </w:p>
        </w:tc>
        <w:tc>
          <w:tcPr>
            <w:tcW w:w="2796" w:type="dxa"/>
          </w:tcPr>
          <w:p>
            <w:pPr>
              <w:pStyle w:val="TableParagraph"/>
              <w:spacing w:before="33"/>
              <w:ind w:left="7" w:right="4"/>
              <w:jc w:val="center"/>
              <w:rPr>
                <w:sz w:val="20"/>
              </w:rPr>
            </w:pPr>
            <w:r>
              <w:rPr>
                <w:spacing w:val="-2"/>
                <w:sz w:val="20"/>
              </w:rPr>
              <w:t>10.156,33</w:t>
            </w:r>
          </w:p>
        </w:tc>
      </w:tr>
      <w:tr>
        <w:trPr>
          <w:trHeight w:val="299" w:hRule="atLeast"/>
        </w:trPr>
        <w:tc>
          <w:tcPr>
            <w:tcW w:w="8647" w:type="dxa"/>
            <w:gridSpan w:val="4"/>
          </w:tcPr>
          <w:p>
            <w:pPr>
              <w:pStyle w:val="TableParagraph"/>
              <w:spacing w:line="213" w:lineRule="exact" w:before="66"/>
              <w:ind w:left="9" w:right="6"/>
              <w:jc w:val="center"/>
              <w:rPr>
                <w:sz w:val="20"/>
              </w:rPr>
            </w:pPr>
            <w:r>
              <w:rPr>
                <w:sz w:val="20"/>
              </w:rPr>
              <w:t>GR</w:t>
            </w:r>
            <w:r>
              <w:rPr>
                <w:spacing w:val="-6"/>
                <w:sz w:val="20"/>
              </w:rPr>
              <w:t> </w:t>
            </w:r>
            <w:r>
              <w:rPr>
                <w:sz w:val="20"/>
              </w:rPr>
              <w:t>302-1</w:t>
            </w:r>
            <w:r>
              <w:rPr>
                <w:spacing w:val="-5"/>
                <w:sz w:val="20"/>
              </w:rPr>
              <w:t> </w:t>
            </w:r>
            <w:r>
              <w:rPr>
                <w:sz w:val="20"/>
              </w:rPr>
              <w:t>apdo.</w:t>
            </w:r>
            <w:r>
              <w:rPr>
                <w:spacing w:val="-8"/>
                <w:sz w:val="20"/>
              </w:rPr>
              <w:t> </w:t>
            </w:r>
            <w:r>
              <w:rPr>
                <w:spacing w:val="-10"/>
                <w:sz w:val="20"/>
              </w:rPr>
              <w:t>c</w:t>
            </w:r>
          </w:p>
        </w:tc>
      </w:tr>
    </w:tbl>
    <w:p>
      <w:pPr>
        <w:pStyle w:val="BodyText"/>
      </w:pPr>
    </w:p>
    <w:p>
      <w:pPr>
        <w:pStyle w:val="BodyText"/>
      </w:pPr>
    </w:p>
    <w:p>
      <w:pPr>
        <w:pStyle w:val="BodyText"/>
        <w:jc w:val="center"/>
      </w:pPr>
      <w:r>
        <w:rPr/>
        <w:t>Cumpliendo</w:t>
      </w:r>
      <w:r>
        <w:rPr>
          <w:spacing w:val="41"/>
        </w:rPr>
        <w:t> </w:t>
      </w:r>
      <w:r>
        <w:rPr/>
        <w:t>con</w:t>
      </w:r>
      <w:r>
        <w:rPr>
          <w:spacing w:val="42"/>
        </w:rPr>
        <w:t> </w:t>
      </w:r>
      <w:r>
        <w:rPr/>
        <w:t>el</w:t>
      </w:r>
      <w:r>
        <w:rPr>
          <w:spacing w:val="40"/>
        </w:rPr>
        <w:t> </w:t>
      </w:r>
      <w:r>
        <w:rPr/>
        <w:t>plan</w:t>
      </w:r>
      <w:r>
        <w:rPr>
          <w:spacing w:val="42"/>
        </w:rPr>
        <w:t> </w:t>
      </w:r>
      <w:r>
        <w:rPr/>
        <w:t>de</w:t>
      </w:r>
      <w:r>
        <w:rPr>
          <w:spacing w:val="43"/>
        </w:rPr>
        <w:t> </w:t>
      </w:r>
      <w:r>
        <w:rPr/>
        <w:t>renovación</w:t>
      </w:r>
      <w:r>
        <w:rPr>
          <w:spacing w:val="42"/>
        </w:rPr>
        <w:t> </w:t>
      </w:r>
      <w:r>
        <w:rPr/>
        <w:t>de</w:t>
      </w:r>
      <w:r>
        <w:rPr>
          <w:spacing w:val="42"/>
        </w:rPr>
        <w:t> </w:t>
      </w:r>
      <w:r>
        <w:rPr/>
        <w:t>flota</w:t>
      </w:r>
      <w:r>
        <w:rPr>
          <w:spacing w:val="41"/>
        </w:rPr>
        <w:t> </w:t>
      </w:r>
      <w:r>
        <w:rPr/>
        <w:t>de</w:t>
      </w:r>
      <w:r>
        <w:rPr>
          <w:spacing w:val="44"/>
        </w:rPr>
        <w:t> </w:t>
      </w:r>
      <w:r>
        <w:rPr/>
        <w:t>Guaguas</w:t>
      </w:r>
      <w:r>
        <w:rPr>
          <w:spacing w:val="44"/>
        </w:rPr>
        <w:t> </w:t>
      </w:r>
      <w:r>
        <w:rPr/>
        <w:t>Municipales,</w:t>
      </w:r>
      <w:r>
        <w:rPr>
          <w:spacing w:val="44"/>
        </w:rPr>
        <w:t> </w:t>
      </w:r>
      <w:r>
        <w:rPr/>
        <w:t>S.A.,</w:t>
      </w:r>
      <w:r>
        <w:rPr>
          <w:spacing w:val="44"/>
        </w:rPr>
        <w:t> </w:t>
      </w:r>
      <w:r>
        <w:rPr/>
        <w:t>durante</w:t>
      </w:r>
      <w:r>
        <w:rPr>
          <w:spacing w:val="43"/>
        </w:rPr>
        <w:t> </w:t>
      </w:r>
      <w:r>
        <w:rPr>
          <w:spacing w:val="-5"/>
        </w:rPr>
        <w:t>el</w:t>
      </w:r>
    </w:p>
    <w:p>
      <w:pPr>
        <w:pStyle w:val="BodyText"/>
        <w:spacing w:line="360" w:lineRule="auto" w:before="113"/>
        <w:ind w:left="1341" w:right="1308"/>
      </w:pPr>
      <w:r>
        <w:rPr/>
        <w:t>ejercicio 2025, se han incorporado 10 vehículos eléctricos de 9,5 m a dicha flota. Derivado de este hecho, se produce el incremento de consumo eléctrico reflejado en la tabla superior.</w:t>
      </w:r>
    </w:p>
    <w:p>
      <w:pPr>
        <w:pStyle w:val="BodyText"/>
        <w:spacing w:before="114"/>
      </w:pPr>
    </w:p>
    <w:p>
      <w:pPr>
        <w:pStyle w:val="BodyText"/>
        <w:spacing w:line="360" w:lineRule="auto"/>
        <w:ind w:left="1341" w:right="1308"/>
      </w:pPr>
      <w:r>
        <w:rPr/>
        <w:t>Por</w:t>
      </w:r>
      <w:r>
        <w:rPr>
          <w:spacing w:val="27"/>
        </w:rPr>
        <w:t> </w:t>
      </w:r>
      <w:r>
        <w:rPr/>
        <w:t>motivos</w:t>
      </w:r>
      <w:r>
        <w:rPr>
          <w:spacing w:val="28"/>
        </w:rPr>
        <w:t> </w:t>
      </w:r>
      <w:r>
        <w:rPr/>
        <w:t>ajenos</w:t>
      </w:r>
      <w:r>
        <w:rPr>
          <w:spacing w:val="28"/>
        </w:rPr>
        <w:t> </w:t>
      </w:r>
      <w:r>
        <w:rPr/>
        <w:t>a</w:t>
      </w:r>
      <w:r>
        <w:rPr>
          <w:spacing w:val="30"/>
        </w:rPr>
        <w:t> </w:t>
      </w:r>
      <w:r>
        <w:rPr/>
        <w:t>la</w:t>
      </w:r>
      <w:r>
        <w:rPr>
          <w:spacing w:val="27"/>
        </w:rPr>
        <w:t> </w:t>
      </w:r>
      <w:r>
        <w:rPr/>
        <w:t>voluntad</w:t>
      </w:r>
      <w:r>
        <w:rPr>
          <w:spacing w:val="29"/>
        </w:rPr>
        <w:t> </w:t>
      </w:r>
      <w:r>
        <w:rPr/>
        <w:t>de</w:t>
      </w:r>
      <w:r>
        <w:rPr>
          <w:spacing w:val="30"/>
        </w:rPr>
        <w:t> </w:t>
      </w:r>
      <w:r>
        <w:rPr/>
        <w:t>la</w:t>
      </w:r>
      <w:r>
        <w:rPr>
          <w:spacing w:val="30"/>
        </w:rPr>
        <w:t> </w:t>
      </w:r>
      <w:r>
        <w:rPr/>
        <w:t>empresa,</w:t>
      </w:r>
      <w:r>
        <w:rPr>
          <w:spacing w:val="26"/>
        </w:rPr>
        <w:t> </w:t>
      </w:r>
      <w:r>
        <w:rPr/>
        <w:t>la</w:t>
      </w:r>
      <w:r>
        <w:rPr>
          <w:spacing w:val="29"/>
        </w:rPr>
        <w:t> </w:t>
      </w:r>
      <w:r>
        <w:rPr/>
        <w:t>repotenciación</w:t>
      </w:r>
      <w:r>
        <w:rPr>
          <w:spacing w:val="29"/>
        </w:rPr>
        <w:t> </w:t>
      </w:r>
      <w:r>
        <w:rPr/>
        <w:t>prevista</w:t>
      </w:r>
      <w:r>
        <w:rPr>
          <w:spacing w:val="29"/>
        </w:rPr>
        <w:t> </w:t>
      </w:r>
      <w:r>
        <w:rPr/>
        <w:t>para</w:t>
      </w:r>
      <w:r>
        <w:rPr>
          <w:spacing w:val="28"/>
        </w:rPr>
        <w:t> </w:t>
      </w:r>
      <w:r>
        <w:rPr/>
        <w:t>2025</w:t>
      </w:r>
      <w:r>
        <w:rPr>
          <w:spacing w:val="27"/>
        </w:rPr>
        <w:t> </w:t>
      </w:r>
      <w:r>
        <w:rPr/>
        <w:t>en</w:t>
      </w:r>
      <w:r>
        <w:rPr>
          <w:spacing w:val="28"/>
        </w:rPr>
        <w:t> </w:t>
      </w:r>
      <w:r>
        <w:rPr/>
        <w:t>la instalación</w:t>
      </w:r>
      <w:r>
        <w:rPr>
          <w:spacing w:val="42"/>
        </w:rPr>
        <w:t> </w:t>
      </w:r>
      <w:r>
        <w:rPr/>
        <w:t>de</w:t>
      </w:r>
      <w:r>
        <w:rPr>
          <w:spacing w:val="44"/>
        </w:rPr>
        <w:t> </w:t>
      </w:r>
      <w:r>
        <w:rPr/>
        <w:t>la</w:t>
      </w:r>
      <w:r>
        <w:rPr>
          <w:spacing w:val="43"/>
        </w:rPr>
        <w:t> </w:t>
      </w:r>
      <w:r>
        <w:rPr/>
        <w:t>sede</w:t>
      </w:r>
      <w:r>
        <w:rPr>
          <w:spacing w:val="43"/>
        </w:rPr>
        <w:t> </w:t>
      </w:r>
      <w:r>
        <w:rPr/>
        <w:t>central</w:t>
      </w:r>
      <w:r>
        <w:rPr>
          <w:spacing w:val="43"/>
        </w:rPr>
        <w:t> </w:t>
      </w:r>
      <w:r>
        <w:rPr/>
        <w:t>de</w:t>
      </w:r>
      <w:r>
        <w:rPr>
          <w:spacing w:val="46"/>
        </w:rPr>
        <w:t> </w:t>
      </w:r>
      <w:r>
        <w:rPr/>
        <w:t>la</w:t>
      </w:r>
      <w:r>
        <w:rPr>
          <w:spacing w:val="44"/>
        </w:rPr>
        <w:t> </w:t>
      </w:r>
      <w:r>
        <w:rPr/>
        <w:t>compañía,</w:t>
      </w:r>
      <w:r>
        <w:rPr>
          <w:spacing w:val="43"/>
        </w:rPr>
        <w:t> </w:t>
      </w:r>
      <w:r>
        <w:rPr/>
        <w:t>así</w:t>
      </w:r>
      <w:r>
        <w:rPr>
          <w:spacing w:val="45"/>
        </w:rPr>
        <w:t> </w:t>
      </w:r>
      <w:r>
        <w:rPr/>
        <w:t>como</w:t>
      </w:r>
      <w:r>
        <w:rPr>
          <w:spacing w:val="43"/>
        </w:rPr>
        <w:t> </w:t>
      </w:r>
      <w:r>
        <w:rPr/>
        <w:t>la</w:t>
      </w:r>
      <w:r>
        <w:rPr>
          <w:spacing w:val="42"/>
        </w:rPr>
        <w:t> </w:t>
      </w:r>
      <w:r>
        <w:rPr/>
        <w:t>instalación</w:t>
      </w:r>
      <w:r>
        <w:rPr>
          <w:spacing w:val="43"/>
        </w:rPr>
        <w:t> </w:t>
      </w:r>
      <w:r>
        <w:rPr/>
        <w:t>de</w:t>
      </w:r>
      <w:r>
        <w:rPr>
          <w:spacing w:val="43"/>
        </w:rPr>
        <w:t> </w:t>
      </w:r>
      <w:r>
        <w:rPr/>
        <w:t>nuevas</w:t>
      </w:r>
      <w:r>
        <w:rPr>
          <w:spacing w:val="45"/>
        </w:rPr>
        <w:t> </w:t>
      </w:r>
      <w:r>
        <w:rPr>
          <w:spacing w:val="-2"/>
        </w:rPr>
        <w:t>plantas</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38"/>
        <w:jc w:val="both"/>
      </w:pPr>
      <w:r>
        <w:rPr/>
        <w:t>fotovoltaicas en</w:t>
      </w:r>
      <w:r>
        <w:rPr>
          <w:spacing w:val="-1"/>
        </w:rPr>
        <w:t> </w:t>
      </w:r>
      <w:r>
        <w:rPr/>
        <w:t>las terminales propiedad</w:t>
      </w:r>
      <w:r>
        <w:rPr>
          <w:spacing w:val="-1"/>
        </w:rPr>
        <w:t> </w:t>
      </w:r>
      <w:r>
        <w:rPr/>
        <w:t>de Guaguas Municipales, S.A. se ha</w:t>
      </w:r>
      <w:r>
        <w:rPr>
          <w:spacing w:val="-1"/>
        </w:rPr>
        <w:t> </w:t>
      </w:r>
      <w:r>
        <w:rPr/>
        <w:t>postergado a</w:t>
      </w:r>
      <w:r>
        <w:rPr>
          <w:spacing w:val="-1"/>
        </w:rPr>
        <w:t> </w:t>
      </w:r>
      <w:r>
        <w:rPr/>
        <w:t>los primeros meses de 2026. A la fecha del presente informe se están ejecutando los trabajos de instalación cuya finalización está prevista para marzo del año 2026.</w:t>
      </w:r>
    </w:p>
    <w:p>
      <w:pPr>
        <w:pStyle w:val="BodyText"/>
        <w:spacing w:before="115"/>
      </w:pPr>
    </w:p>
    <w:p>
      <w:pPr>
        <w:pStyle w:val="BodyText"/>
        <w:spacing w:line="360" w:lineRule="auto"/>
        <w:ind w:left="1341" w:right="1308"/>
      </w:pPr>
      <w:r>
        <w:rPr/>
        <w:t>Durante 2025 la planta fotovoltaica</w:t>
      </w:r>
      <w:r>
        <w:rPr>
          <w:spacing w:val="-1"/>
        </w:rPr>
        <w:t> </w:t>
      </w:r>
      <w:r>
        <w:rPr/>
        <w:t>de Guaguas Municipales,</w:t>
      </w:r>
      <w:r>
        <w:rPr>
          <w:spacing w:val="-1"/>
        </w:rPr>
        <w:t> </w:t>
      </w:r>
      <w:r>
        <w:rPr/>
        <w:t>S.A. generó un</w:t>
      </w:r>
      <w:r>
        <w:rPr>
          <w:spacing w:val="-1"/>
        </w:rPr>
        <w:t> </w:t>
      </w:r>
      <w:r>
        <w:rPr/>
        <w:t>total de 14.336,09 kWh, lo que supone un incremento del 12,54 % sobre la energía generada en 2024.</w:t>
      </w:r>
    </w:p>
    <w:p>
      <w:pPr>
        <w:pStyle w:val="BodyText"/>
        <w:spacing w:before="115"/>
      </w:pPr>
    </w:p>
    <w:p>
      <w:pPr>
        <w:pStyle w:val="BodyText"/>
        <w:spacing w:line="360" w:lineRule="auto"/>
        <w:ind w:left="1341" w:right="1308"/>
      </w:pPr>
      <w:r>
        <w:rPr/>
        <w:t>Este incremento se debe a la reparación de la avería en</w:t>
      </w:r>
      <w:r>
        <w:rPr>
          <w:spacing w:val="-2"/>
        </w:rPr>
        <w:t> </w:t>
      </w:r>
      <w:r>
        <w:rPr/>
        <w:t>el inversor eléctrico,</w:t>
      </w:r>
      <w:r>
        <w:rPr>
          <w:spacing w:val="-2"/>
        </w:rPr>
        <w:t> </w:t>
      </w:r>
      <w:r>
        <w:rPr/>
        <w:t>sufrida en 2024, y que ha permitido la total operatividad de la planta fotovoltaica durante todo el ejercicio 2025.</w:t>
      </w:r>
    </w:p>
    <w:p>
      <w:pPr>
        <w:pStyle w:val="BodyText"/>
        <w:spacing w:before="114"/>
      </w:pPr>
    </w:p>
    <w:p>
      <w:pPr>
        <w:pStyle w:val="BodyText"/>
        <w:spacing w:line="360" w:lineRule="auto"/>
        <w:ind w:left="1341" w:right="1336"/>
        <w:jc w:val="both"/>
      </w:pPr>
      <w:r>
        <w:rPr/>
        <w:t>GMSA presenta las ratios de intensidad energética, en función de los siguientes parámetros</w:t>
      </w:r>
      <w:r>
        <w:rPr>
          <w:spacing w:val="40"/>
        </w:rPr>
        <w:t> </w:t>
      </w:r>
      <w:r>
        <w:rPr/>
        <w:t>que se calculan teniendo en cuenta el consumo total incluyendo la producción de la placa fotovoltaica (799.534 + 14.336 = 813.870 kWh):</w:t>
      </w:r>
    </w:p>
    <w:p>
      <w:pPr>
        <w:pStyle w:val="BodyText"/>
        <w:spacing w:before="118"/>
      </w:pPr>
    </w:p>
    <w:tbl>
      <w:tblPr>
        <w:tblW w:w="0" w:type="auto"/>
        <w:jc w:val="left"/>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2"/>
        <w:gridCol w:w="1061"/>
        <w:gridCol w:w="919"/>
        <w:gridCol w:w="2318"/>
      </w:tblGrid>
      <w:tr>
        <w:trPr>
          <w:trHeight w:val="256" w:hRule="atLeast"/>
        </w:trPr>
        <w:tc>
          <w:tcPr>
            <w:tcW w:w="4282" w:type="dxa"/>
            <w:vMerge w:val="restart"/>
          </w:tcPr>
          <w:p>
            <w:pPr>
              <w:pStyle w:val="TableParagraph"/>
              <w:spacing w:before="141"/>
              <w:ind w:left="8"/>
              <w:jc w:val="center"/>
              <w:rPr>
                <w:b/>
                <w:sz w:val="20"/>
              </w:rPr>
            </w:pPr>
            <w:r>
              <w:rPr>
                <w:b/>
                <w:spacing w:val="-2"/>
                <w:sz w:val="20"/>
              </w:rPr>
              <w:t>CONCEPTO</w:t>
            </w:r>
          </w:p>
        </w:tc>
        <w:tc>
          <w:tcPr>
            <w:tcW w:w="1061" w:type="dxa"/>
          </w:tcPr>
          <w:p>
            <w:pPr>
              <w:pStyle w:val="TableParagraph"/>
              <w:spacing w:line="227" w:lineRule="exact" w:before="9"/>
              <w:ind w:left="5" w:right="3"/>
              <w:jc w:val="center"/>
              <w:rPr>
                <w:b/>
                <w:sz w:val="20"/>
              </w:rPr>
            </w:pPr>
            <w:r>
              <w:rPr>
                <w:b/>
                <w:spacing w:val="-2"/>
                <w:sz w:val="20"/>
              </w:rPr>
              <w:t>Ratio</w:t>
            </w:r>
          </w:p>
        </w:tc>
        <w:tc>
          <w:tcPr>
            <w:tcW w:w="919" w:type="dxa"/>
          </w:tcPr>
          <w:p>
            <w:pPr>
              <w:pStyle w:val="TableParagraph"/>
              <w:spacing w:line="227" w:lineRule="exact" w:before="9"/>
              <w:ind w:left="12" w:right="6"/>
              <w:jc w:val="center"/>
              <w:rPr>
                <w:b/>
                <w:sz w:val="20"/>
              </w:rPr>
            </w:pPr>
            <w:r>
              <w:rPr>
                <w:b/>
                <w:spacing w:val="-2"/>
                <w:sz w:val="20"/>
              </w:rPr>
              <w:t>Ratio</w:t>
            </w:r>
          </w:p>
        </w:tc>
        <w:tc>
          <w:tcPr>
            <w:tcW w:w="2318" w:type="dxa"/>
            <w:vMerge w:val="restart"/>
          </w:tcPr>
          <w:p>
            <w:pPr>
              <w:pStyle w:val="TableParagraph"/>
              <w:spacing w:before="141"/>
              <w:ind w:left="10"/>
              <w:jc w:val="center"/>
              <w:rPr>
                <w:b/>
                <w:sz w:val="20"/>
              </w:rPr>
            </w:pPr>
            <w:r>
              <w:rPr>
                <w:b/>
                <w:spacing w:val="-2"/>
                <w:sz w:val="20"/>
              </w:rPr>
              <w:t>Medida</w:t>
            </w:r>
          </w:p>
        </w:tc>
      </w:tr>
      <w:tr>
        <w:trPr>
          <w:trHeight w:val="253" w:hRule="atLeast"/>
        </w:trPr>
        <w:tc>
          <w:tcPr>
            <w:tcW w:w="4282" w:type="dxa"/>
            <w:vMerge/>
            <w:tcBorders>
              <w:top w:val="nil"/>
            </w:tcBorders>
          </w:tcPr>
          <w:p>
            <w:pPr>
              <w:rPr>
                <w:sz w:val="2"/>
                <w:szCs w:val="2"/>
              </w:rPr>
            </w:pPr>
          </w:p>
        </w:tc>
        <w:tc>
          <w:tcPr>
            <w:tcW w:w="1061" w:type="dxa"/>
          </w:tcPr>
          <w:p>
            <w:pPr>
              <w:pStyle w:val="TableParagraph"/>
              <w:spacing w:line="227" w:lineRule="exact" w:before="6"/>
              <w:ind w:left="5" w:right="1"/>
              <w:jc w:val="center"/>
              <w:rPr>
                <w:b/>
                <w:sz w:val="20"/>
              </w:rPr>
            </w:pPr>
            <w:r>
              <w:rPr>
                <w:b/>
                <w:spacing w:val="-4"/>
                <w:sz w:val="20"/>
              </w:rPr>
              <w:t>2024</w:t>
            </w:r>
          </w:p>
        </w:tc>
        <w:tc>
          <w:tcPr>
            <w:tcW w:w="919" w:type="dxa"/>
          </w:tcPr>
          <w:p>
            <w:pPr>
              <w:pStyle w:val="TableParagraph"/>
              <w:spacing w:line="227" w:lineRule="exact" w:before="6"/>
              <w:ind w:left="12" w:right="7"/>
              <w:jc w:val="center"/>
              <w:rPr>
                <w:b/>
                <w:sz w:val="20"/>
              </w:rPr>
            </w:pPr>
            <w:r>
              <w:rPr>
                <w:b/>
                <w:spacing w:val="-4"/>
                <w:sz w:val="20"/>
              </w:rPr>
              <w:t>2025</w:t>
            </w:r>
          </w:p>
        </w:tc>
        <w:tc>
          <w:tcPr>
            <w:tcW w:w="2318" w:type="dxa"/>
            <w:vMerge/>
            <w:tcBorders>
              <w:top w:val="nil"/>
            </w:tcBorders>
          </w:tcPr>
          <w:p>
            <w:pPr>
              <w:rPr>
                <w:sz w:val="2"/>
                <w:szCs w:val="2"/>
              </w:rPr>
            </w:pPr>
          </w:p>
        </w:tc>
      </w:tr>
      <w:tr>
        <w:trPr>
          <w:trHeight w:val="253" w:hRule="atLeast"/>
        </w:trPr>
        <w:tc>
          <w:tcPr>
            <w:tcW w:w="4282" w:type="dxa"/>
          </w:tcPr>
          <w:p>
            <w:pPr>
              <w:pStyle w:val="TableParagraph"/>
              <w:spacing w:line="225" w:lineRule="exact" w:before="9"/>
              <w:ind w:left="69"/>
              <w:rPr>
                <w:sz w:val="20"/>
              </w:rPr>
            </w:pPr>
            <w:r>
              <w:rPr>
                <w:sz w:val="20"/>
              </w:rPr>
              <w:t>Energía</w:t>
            </w:r>
            <w:r>
              <w:rPr>
                <w:spacing w:val="-8"/>
                <w:sz w:val="20"/>
              </w:rPr>
              <w:t> </w:t>
            </w:r>
            <w:r>
              <w:rPr>
                <w:sz w:val="20"/>
              </w:rPr>
              <w:t>consumida</w:t>
            </w:r>
            <w:r>
              <w:rPr>
                <w:spacing w:val="-8"/>
                <w:sz w:val="20"/>
              </w:rPr>
              <w:t> </w:t>
            </w:r>
            <w:r>
              <w:rPr>
                <w:sz w:val="20"/>
              </w:rPr>
              <w:t>x</w:t>
            </w:r>
            <w:r>
              <w:rPr>
                <w:spacing w:val="-3"/>
                <w:sz w:val="20"/>
              </w:rPr>
              <w:t> </w:t>
            </w:r>
            <w:r>
              <w:rPr>
                <w:spacing w:val="-2"/>
                <w:sz w:val="20"/>
              </w:rPr>
              <w:t>ventas</w:t>
            </w:r>
          </w:p>
        </w:tc>
        <w:tc>
          <w:tcPr>
            <w:tcW w:w="1061" w:type="dxa"/>
          </w:tcPr>
          <w:p>
            <w:pPr>
              <w:pStyle w:val="TableParagraph"/>
              <w:spacing w:line="225" w:lineRule="exact" w:before="9"/>
              <w:ind w:left="5" w:right="4"/>
              <w:jc w:val="center"/>
              <w:rPr>
                <w:sz w:val="20"/>
              </w:rPr>
            </w:pPr>
            <w:r>
              <w:rPr>
                <w:spacing w:val="-4"/>
                <w:sz w:val="20"/>
              </w:rPr>
              <w:t>0,02</w:t>
            </w:r>
          </w:p>
        </w:tc>
        <w:tc>
          <w:tcPr>
            <w:tcW w:w="919" w:type="dxa"/>
          </w:tcPr>
          <w:p>
            <w:pPr>
              <w:pStyle w:val="TableParagraph"/>
              <w:spacing w:line="225" w:lineRule="exact" w:before="9"/>
              <w:ind w:left="12" w:right="9"/>
              <w:jc w:val="center"/>
              <w:rPr>
                <w:sz w:val="20"/>
              </w:rPr>
            </w:pPr>
            <w:r>
              <w:rPr>
                <w:spacing w:val="-4"/>
                <w:sz w:val="20"/>
              </w:rPr>
              <w:t>0,02</w:t>
            </w:r>
          </w:p>
        </w:tc>
        <w:tc>
          <w:tcPr>
            <w:tcW w:w="2318" w:type="dxa"/>
          </w:tcPr>
          <w:p>
            <w:pPr>
              <w:pStyle w:val="TableParagraph"/>
              <w:spacing w:line="225" w:lineRule="exact" w:before="9"/>
              <w:ind w:left="68"/>
              <w:rPr>
                <w:sz w:val="20"/>
              </w:rPr>
            </w:pPr>
            <w:r>
              <w:rPr>
                <w:spacing w:val="-2"/>
                <w:sz w:val="20"/>
              </w:rPr>
              <w:t>KWh/ventas</w:t>
            </w:r>
          </w:p>
        </w:tc>
      </w:tr>
      <w:tr>
        <w:trPr>
          <w:trHeight w:val="285" w:hRule="atLeast"/>
        </w:trPr>
        <w:tc>
          <w:tcPr>
            <w:tcW w:w="4282" w:type="dxa"/>
          </w:tcPr>
          <w:p>
            <w:pPr>
              <w:pStyle w:val="TableParagraph"/>
              <w:spacing w:before="26"/>
              <w:ind w:left="69"/>
              <w:rPr>
                <w:sz w:val="20"/>
              </w:rPr>
            </w:pPr>
            <w:r>
              <w:rPr>
                <w:sz w:val="20"/>
              </w:rPr>
              <w:t>Energía</w:t>
            </w:r>
            <w:r>
              <w:rPr>
                <w:spacing w:val="-9"/>
                <w:sz w:val="20"/>
              </w:rPr>
              <w:t> </w:t>
            </w:r>
            <w:r>
              <w:rPr>
                <w:sz w:val="20"/>
              </w:rPr>
              <w:t>consumida</w:t>
            </w:r>
            <w:r>
              <w:rPr>
                <w:spacing w:val="-8"/>
                <w:sz w:val="20"/>
              </w:rPr>
              <w:t> </w:t>
            </w:r>
            <w:r>
              <w:rPr>
                <w:sz w:val="20"/>
              </w:rPr>
              <w:t>x</w:t>
            </w:r>
            <w:r>
              <w:rPr>
                <w:spacing w:val="-6"/>
                <w:sz w:val="20"/>
              </w:rPr>
              <w:t> </w:t>
            </w:r>
            <w:r>
              <w:rPr>
                <w:sz w:val="20"/>
              </w:rPr>
              <w:t>tamaño</w:t>
            </w:r>
            <w:r>
              <w:rPr>
                <w:spacing w:val="-5"/>
                <w:sz w:val="20"/>
              </w:rPr>
              <w:t> </w:t>
            </w:r>
            <w:r>
              <w:rPr>
                <w:spacing w:val="-2"/>
                <w:sz w:val="20"/>
              </w:rPr>
              <w:t>instalaciones</w:t>
            </w:r>
          </w:p>
        </w:tc>
        <w:tc>
          <w:tcPr>
            <w:tcW w:w="1061" w:type="dxa"/>
          </w:tcPr>
          <w:p>
            <w:pPr>
              <w:pStyle w:val="TableParagraph"/>
              <w:spacing w:before="26"/>
              <w:ind w:left="5"/>
              <w:jc w:val="center"/>
              <w:rPr>
                <w:sz w:val="20"/>
              </w:rPr>
            </w:pPr>
            <w:r>
              <w:rPr>
                <w:spacing w:val="-2"/>
                <w:sz w:val="20"/>
              </w:rPr>
              <w:t>19,28</w:t>
            </w:r>
          </w:p>
        </w:tc>
        <w:tc>
          <w:tcPr>
            <w:tcW w:w="919" w:type="dxa"/>
          </w:tcPr>
          <w:p>
            <w:pPr>
              <w:pStyle w:val="TableParagraph"/>
              <w:spacing w:before="26"/>
              <w:ind w:left="12" w:right="9"/>
              <w:jc w:val="center"/>
              <w:rPr>
                <w:sz w:val="20"/>
              </w:rPr>
            </w:pPr>
            <w:r>
              <w:rPr>
                <w:spacing w:val="-2"/>
                <w:sz w:val="20"/>
              </w:rPr>
              <w:t>22,73</w:t>
            </w:r>
          </w:p>
        </w:tc>
        <w:tc>
          <w:tcPr>
            <w:tcW w:w="2318" w:type="dxa"/>
          </w:tcPr>
          <w:p>
            <w:pPr>
              <w:pStyle w:val="TableParagraph"/>
              <w:spacing w:before="26"/>
              <w:ind w:left="68"/>
              <w:rPr>
                <w:sz w:val="20"/>
              </w:rPr>
            </w:pPr>
            <w:r>
              <w:rPr>
                <w:spacing w:val="-2"/>
                <w:sz w:val="20"/>
              </w:rPr>
              <w:t>KWh/m</w:t>
            </w:r>
            <w:r>
              <w:rPr>
                <w:spacing w:val="-2"/>
                <w:sz w:val="20"/>
                <w:vertAlign w:val="superscript"/>
              </w:rPr>
              <w:t>2</w:t>
            </w:r>
          </w:p>
        </w:tc>
      </w:tr>
      <w:tr>
        <w:trPr>
          <w:trHeight w:val="460" w:hRule="atLeast"/>
        </w:trPr>
        <w:tc>
          <w:tcPr>
            <w:tcW w:w="4282" w:type="dxa"/>
          </w:tcPr>
          <w:p>
            <w:pPr>
              <w:pStyle w:val="TableParagraph"/>
              <w:spacing w:line="230" w:lineRule="exact"/>
              <w:ind w:left="69" w:right="140"/>
              <w:rPr>
                <w:sz w:val="20"/>
              </w:rPr>
            </w:pPr>
            <w:r>
              <w:rPr>
                <w:sz w:val="20"/>
              </w:rPr>
              <w:t>Energía</w:t>
            </w:r>
            <w:r>
              <w:rPr>
                <w:spacing w:val="-9"/>
                <w:sz w:val="20"/>
              </w:rPr>
              <w:t> </w:t>
            </w:r>
            <w:r>
              <w:rPr>
                <w:sz w:val="20"/>
              </w:rPr>
              <w:t>consumida</w:t>
            </w:r>
            <w:r>
              <w:rPr>
                <w:spacing w:val="-9"/>
                <w:sz w:val="20"/>
              </w:rPr>
              <w:t> </w:t>
            </w:r>
            <w:r>
              <w:rPr>
                <w:sz w:val="20"/>
              </w:rPr>
              <w:t>x</w:t>
            </w:r>
            <w:r>
              <w:rPr>
                <w:spacing w:val="-6"/>
                <w:sz w:val="20"/>
              </w:rPr>
              <w:t> </w:t>
            </w:r>
            <w:r>
              <w:rPr>
                <w:sz w:val="20"/>
              </w:rPr>
              <w:t>nº</w:t>
            </w:r>
            <w:r>
              <w:rPr>
                <w:spacing w:val="-8"/>
                <w:sz w:val="20"/>
              </w:rPr>
              <w:t> </w:t>
            </w:r>
            <w:r>
              <w:rPr>
                <w:sz w:val="20"/>
              </w:rPr>
              <w:t>de</w:t>
            </w:r>
            <w:r>
              <w:rPr>
                <w:spacing w:val="-7"/>
                <w:sz w:val="20"/>
              </w:rPr>
              <w:t> </w:t>
            </w:r>
            <w:r>
              <w:rPr>
                <w:sz w:val="20"/>
              </w:rPr>
              <w:t>servicios </w:t>
            </w:r>
            <w:r>
              <w:rPr>
                <w:spacing w:val="-2"/>
                <w:sz w:val="20"/>
              </w:rPr>
              <w:t>realizados</w:t>
            </w:r>
          </w:p>
        </w:tc>
        <w:tc>
          <w:tcPr>
            <w:tcW w:w="1061" w:type="dxa"/>
          </w:tcPr>
          <w:p>
            <w:pPr>
              <w:pStyle w:val="TableParagraph"/>
              <w:spacing w:before="112"/>
              <w:ind w:left="5" w:right="4"/>
              <w:jc w:val="center"/>
              <w:rPr>
                <w:sz w:val="20"/>
              </w:rPr>
            </w:pPr>
            <w:r>
              <w:rPr>
                <w:spacing w:val="-4"/>
                <w:sz w:val="20"/>
              </w:rPr>
              <w:t>5,98</w:t>
            </w:r>
          </w:p>
        </w:tc>
        <w:tc>
          <w:tcPr>
            <w:tcW w:w="919" w:type="dxa"/>
          </w:tcPr>
          <w:p>
            <w:pPr>
              <w:pStyle w:val="TableParagraph"/>
              <w:spacing w:before="112"/>
              <w:ind w:left="12" w:right="9"/>
              <w:jc w:val="center"/>
              <w:rPr>
                <w:sz w:val="20"/>
              </w:rPr>
            </w:pPr>
            <w:r>
              <w:rPr>
                <w:spacing w:val="-4"/>
                <w:sz w:val="20"/>
              </w:rPr>
              <w:t>6,74</w:t>
            </w:r>
          </w:p>
        </w:tc>
        <w:tc>
          <w:tcPr>
            <w:tcW w:w="2318" w:type="dxa"/>
          </w:tcPr>
          <w:p>
            <w:pPr>
              <w:pStyle w:val="TableParagraph"/>
              <w:spacing w:line="230" w:lineRule="exact"/>
              <w:ind w:left="68" w:right="127"/>
              <w:rPr>
                <w:sz w:val="20"/>
              </w:rPr>
            </w:pPr>
            <w:r>
              <w:rPr>
                <w:spacing w:val="-2"/>
                <w:sz w:val="20"/>
              </w:rPr>
              <w:t>KWh/servicios realizados</w:t>
            </w:r>
          </w:p>
        </w:tc>
      </w:tr>
      <w:tr>
        <w:trPr>
          <w:trHeight w:val="256" w:hRule="atLeast"/>
        </w:trPr>
        <w:tc>
          <w:tcPr>
            <w:tcW w:w="4282" w:type="dxa"/>
          </w:tcPr>
          <w:p>
            <w:pPr>
              <w:pStyle w:val="TableParagraph"/>
              <w:spacing w:line="225" w:lineRule="exact" w:before="11"/>
              <w:ind w:left="69"/>
              <w:rPr>
                <w:sz w:val="20"/>
              </w:rPr>
            </w:pPr>
            <w:r>
              <w:rPr>
                <w:sz w:val="20"/>
              </w:rPr>
              <w:t>Energía</w:t>
            </w:r>
            <w:r>
              <w:rPr>
                <w:spacing w:val="-7"/>
                <w:sz w:val="20"/>
              </w:rPr>
              <w:t> </w:t>
            </w:r>
            <w:r>
              <w:rPr>
                <w:sz w:val="20"/>
              </w:rPr>
              <w:t>consumida</w:t>
            </w:r>
            <w:r>
              <w:rPr>
                <w:spacing w:val="-6"/>
                <w:sz w:val="20"/>
              </w:rPr>
              <w:t> </w:t>
            </w:r>
            <w:r>
              <w:rPr>
                <w:sz w:val="20"/>
              </w:rPr>
              <w:t>x</w:t>
            </w:r>
            <w:r>
              <w:rPr>
                <w:spacing w:val="-3"/>
                <w:sz w:val="20"/>
              </w:rPr>
              <w:t> </w:t>
            </w:r>
            <w:r>
              <w:rPr>
                <w:sz w:val="20"/>
              </w:rPr>
              <w:t>nº</w:t>
            </w:r>
            <w:r>
              <w:rPr>
                <w:spacing w:val="-6"/>
                <w:sz w:val="20"/>
              </w:rPr>
              <w:t> </w:t>
            </w:r>
            <w:r>
              <w:rPr>
                <w:sz w:val="20"/>
              </w:rPr>
              <w:t>de</w:t>
            </w:r>
            <w:r>
              <w:rPr>
                <w:spacing w:val="-3"/>
                <w:sz w:val="20"/>
              </w:rPr>
              <w:t> </w:t>
            </w:r>
            <w:r>
              <w:rPr>
                <w:spacing w:val="-2"/>
                <w:sz w:val="20"/>
              </w:rPr>
              <w:t>empleados</w:t>
            </w:r>
          </w:p>
        </w:tc>
        <w:tc>
          <w:tcPr>
            <w:tcW w:w="1061" w:type="dxa"/>
          </w:tcPr>
          <w:p>
            <w:pPr>
              <w:pStyle w:val="TableParagraph"/>
              <w:spacing w:line="225" w:lineRule="exact" w:before="11"/>
              <w:ind w:left="5" w:right="2"/>
              <w:jc w:val="center"/>
              <w:rPr>
                <w:sz w:val="20"/>
              </w:rPr>
            </w:pPr>
            <w:r>
              <w:rPr>
                <w:spacing w:val="-2"/>
                <w:sz w:val="20"/>
              </w:rPr>
              <w:t>940,60</w:t>
            </w:r>
          </w:p>
        </w:tc>
        <w:tc>
          <w:tcPr>
            <w:tcW w:w="919" w:type="dxa"/>
          </w:tcPr>
          <w:p>
            <w:pPr>
              <w:pStyle w:val="TableParagraph"/>
              <w:spacing w:line="225" w:lineRule="exact" w:before="11"/>
              <w:ind w:left="12" w:right="9"/>
              <w:jc w:val="center"/>
              <w:rPr>
                <w:sz w:val="20"/>
              </w:rPr>
            </w:pPr>
            <w:r>
              <w:rPr>
                <w:spacing w:val="-2"/>
                <w:sz w:val="20"/>
              </w:rPr>
              <w:t>1.025,03</w:t>
            </w:r>
          </w:p>
        </w:tc>
        <w:tc>
          <w:tcPr>
            <w:tcW w:w="2318" w:type="dxa"/>
          </w:tcPr>
          <w:p>
            <w:pPr>
              <w:pStyle w:val="TableParagraph"/>
              <w:spacing w:line="225" w:lineRule="exact" w:before="11"/>
              <w:ind w:left="68"/>
              <w:rPr>
                <w:sz w:val="20"/>
              </w:rPr>
            </w:pPr>
            <w:r>
              <w:rPr>
                <w:spacing w:val="-2"/>
                <w:sz w:val="20"/>
              </w:rPr>
              <w:t>KWh/empleado</w:t>
            </w:r>
          </w:p>
        </w:tc>
      </w:tr>
    </w:tbl>
    <w:p>
      <w:pPr>
        <w:pStyle w:val="BodyText"/>
        <w:spacing w:before="7"/>
      </w:pPr>
    </w:p>
    <w:p>
      <w:pPr>
        <w:pStyle w:val="Heading3"/>
        <w:spacing w:before="1"/>
        <w:ind w:left="1341"/>
      </w:pPr>
      <w:r>
        <w:rPr/>
        <w:t>Cuadro</w:t>
      </w:r>
      <w:r>
        <w:rPr>
          <w:spacing w:val="-13"/>
        </w:rPr>
        <w:t> </w:t>
      </w:r>
      <w:r>
        <w:rPr/>
        <w:t>aclaratorio</w:t>
      </w:r>
      <w:r>
        <w:rPr>
          <w:spacing w:val="-13"/>
        </w:rPr>
        <w:t> </w:t>
      </w:r>
      <w:r>
        <w:rPr/>
        <w:t>denominadores</w:t>
      </w:r>
      <w:r>
        <w:rPr>
          <w:spacing w:val="-11"/>
        </w:rPr>
        <w:t> </w:t>
      </w:r>
      <w:r>
        <w:rPr>
          <w:spacing w:val="-2"/>
        </w:rPr>
        <w:t>utilizados:</w:t>
      </w:r>
    </w:p>
    <w:p>
      <w:pPr>
        <w:pStyle w:val="BodyText"/>
        <w:spacing w:before="3"/>
        <w:rPr>
          <w:b/>
          <w:sz w:val="10"/>
        </w:rPr>
      </w:pP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5"/>
        <w:gridCol w:w="3199"/>
        <w:gridCol w:w="1315"/>
        <w:gridCol w:w="1317"/>
      </w:tblGrid>
      <w:tr>
        <w:trPr>
          <w:trHeight w:val="316" w:hRule="atLeast"/>
        </w:trPr>
        <w:tc>
          <w:tcPr>
            <w:tcW w:w="6014" w:type="dxa"/>
            <w:gridSpan w:val="2"/>
          </w:tcPr>
          <w:p>
            <w:pPr>
              <w:pStyle w:val="TableParagraph"/>
              <w:spacing w:before="38"/>
              <w:ind w:left="6"/>
              <w:jc w:val="center"/>
              <w:rPr>
                <w:b/>
                <w:sz w:val="20"/>
              </w:rPr>
            </w:pPr>
            <w:r>
              <w:rPr>
                <w:b/>
                <w:sz w:val="20"/>
              </w:rPr>
              <w:t>Cuadro</w:t>
            </w:r>
            <w:r>
              <w:rPr>
                <w:b/>
                <w:spacing w:val="-8"/>
                <w:sz w:val="20"/>
              </w:rPr>
              <w:t> </w:t>
            </w:r>
            <w:r>
              <w:rPr>
                <w:b/>
                <w:spacing w:val="-2"/>
                <w:sz w:val="20"/>
              </w:rPr>
              <w:t>aclaratorio</w:t>
            </w:r>
          </w:p>
        </w:tc>
        <w:tc>
          <w:tcPr>
            <w:tcW w:w="1315" w:type="dxa"/>
          </w:tcPr>
          <w:p>
            <w:pPr>
              <w:pStyle w:val="TableParagraph"/>
              <w:spacing w:before="38"/>
              <w:ind w:left="129"/>
              <w:rPr>
                <w:b/>
                <w:sz w:val="20"/>
              </w:rPr>
            </w:pPr>
            <w:r>
              <w:rPr>
                <w:b/>
                <w:sz w:val="20"/>
              </w:rPr>
              <w:t>Datos</w:t>
            </w:r>
            <w:r>
              <w:rPr>
                <w:b/>
                <w:spacing w:val="-9"/>
                <w:sz w:val="20"/>
              </w:rPr>
              <w:t> </w:t>
            </w:r>
            <w:r>
              <w:rPr>
                <w:b/>
                <w:spacing w:val="-4"/>
                <w:sz w:val="20"/>
              </w:rPr>
              <w:t>2024</w:t>
            </w:r>
          </w:p>
        </w:tc>
        <w:tc>
          <w:tcPr>
            <w:tcW w:w="1317" w:type="dxa"/>
          </w:tcPr>
          <w:p>
            <w:pPr>
              <w:pStyle w:val="TableParagraph"/>
              <w:spacing w:before="38"/>
              <w:ind w:left="129"/>
              <w:rPr>
                <w:b/>
                <w:sz w:val="20"/>
              </w:rPr>
            </w:pPr>
            <w:r>
              <w:rPr>
                <w:b/>
                <w:sz w:val="20"/>
              </w:rPr>
              <w:t>Datos</w:t>
            </w:r>
            <w:r>
              <w:rPr>
                <w:b/>
                <w:spacing w:val="-6"/>
                <w:sz w:val="20"/>
              </w:rPr>
              <w:t> </w:t>
            </w:r>
            <w:r>
              <w:rPr>
                <w:b/>
                <w:spacing w:val="-4"/>
                <w:sz w:val="20"/>
              </w:rPr>
              <w:t>2025</w:t>
            </w:r>
          </w:p>
        </w:tc>
      </w:tr>
      <w:tr>
        <w:trPr>
          <w:trHeight w:val="765" w:hRule="atLeast"/>
        </w:trPr>
        <w:tc>
          <w:tcPr>
            <w:tcW w:w="2815" w:type="dxa"/>
          </w:tcPr>
          <w:p>
            <w:pPr>
              <w:pStyle w:val="TableParagraph"/>
              <w:spacing w:before="35"/>
              <w:rPr>
                <w:b/>
                <w:sz w:val="20"/>
              </w:rPr>
            </w:pPr>
          </w:p>
          <w:p>
            <w:pPr>
              <w:pStyle w:val="TableParagraph"/>
              <w:spacing w:before="1"/>
              <w:ind w:left="69"/>
              <w:rPr>
                <w:sz w:val="20"/>
              </w:rPr>
            </w:pPr>
            <w:r>
              <w:rPr>
                <w:sz w:val="20"/>
              </w:rPr>
              <w:t>Ventas</w:t>
            </w:r>
            <w:r>
              <w:rPr>
                <w:spacing w:val="-7"/>
                <w:sz w:val="20"/>
              </w:rPr>
              <w:t> </w:t>
            </w:r>
            <w:r>
              <w:rPr>
                <w:sz w:val="20"/>
              </w:rPr>
              <w:t>anuales</w:t>
            </w:r>
            <w:r>
              <w:rPr>
                <w:spacing w:val="-8"/>
                <w:sz w:val="20"/>
              </w:rPr>
              <w:t> </w:t>
            </w:r>
            <w:r>
              <w:rPr>
                <w:sz w:val="20"/>
              </w:rPr>
              <w:t>en</w:t>
            </w:r>
            <w:r>
              <w:rPr>
                <w:spacing w:val="-8"/>
                <w:sz w:val="20"/>
              </w:rPr>
              <w:t> </w:t>
            </w:r>
            <w:r>
              <w:rPr>
                <w:spacing w:val="-4"/>
                <w:sz w:val="20"/>
              </w:rPr>
              <w:t>euros</w:t>
            </w:r>
          </w:p>
        </w:tc>
        <w:tc>
          <w:tcPr>
            <w:tcW w:w="3199" w:type="dxa"/>
          </w:tcPr>
          <w:p>
            <w:pPr>
              <w:pStyle w:val="TableParagraph"/>
              <w:spacing w:before="150"/>
              <w:ind w:left="69"/>
              <w:rPr>
                <w:sz w:val="20"/>
              </w:rPr>
            </w:pPr>
            <w:r>
              <w:rPr>
                <w:sz w:val="20"/>
              </w:rPr>
              <w:t>Importe económico anual de la prestación</w:t>
            </w:r>
            <w:r>
              <w:rPr>
                <w:spacing w:val="-14"/>
                <w:sz w:val="20"/>
              </w:rPr>
              <w:t> </w:t>
            </w:r>
            <w:r>
              <w:rPr>
                <w:sz w:val="20"/>
              </w:rPr>
              <w:t>de</w:t>
            </w:r>
            <w:r>
              <w:rPr>
                <w:spacing w:val="-13"/>
                <w:sz w:val="20"/>
              </w:rPr>
              <w:t> </w:t>
            </w:r>
            <w:r>
              <w:rPr>
                <w:sz w:val="20"/>
              </w:rPr>
              <w:t>servicios</w:t>
            </w:r>
            <w:r>
              <w:rPr>
                <w:spacing w:val="-13"/>
                <w:sz w:val="20"/>
              </w:rPr>
              <w:t> </w:t>
            </w:r>
            <w:r>
              <w:rPr>
                <w:sz w:val="20"/>
              </w:rPr>
              <w:t>realizada</w:t>
            </w:r>
          </w:p>
        </w:tc>
        <w:tc>
          <w:tcPr>
            <w:tcW w:w="1315" w:type="dxa"/>
          </w:tcPr>
          <w:p>
            <w:pPr>
              <w:pStyle w:val="TableParagraph"/>
              <w:spacing w:before="35"/>
              <w:rPr>
                <w:b/>
                <w:sz w:val="20"/>
              </w:rPr>
            </w:pPr>
          </w:p>
          <w:p>
            <w:pPr>
              <w:pStyle w:val="TableParagraph"/>
              <w:spacing w:before="1"/>
              <w:ind w:right="59"/>
              <w:jc w:val="right"/>
              <w:rPr>
                <w:sz w:val="20"/>
              </w:rPr>
            </w:pPr>
            <w:r>
              <w:rPr>
                <w:spacing w:val="-2"/>
                <w:sz w:val="20"/>
              </w:rPr>
              <w:t>40.764.009</w:t>
            </w:r>
          </w:p>
        </w:tc>
        <w:tc>
          <w:tcPr>
            <w:tcW w:w="1317" w:type="dxa"/>
          </w:tcPr>
          <w:p>
            <w:pPr>
              <w:pStyle w:val="TableParagraph"/>
              <w:spacing w:before="35"/>
              <w:rPr>
                <w:b/>
                <w:sz w:val="20"/>
              </w:rPr>
            </w:pPr>
          </w:p>
          <w:p>
            <w:pPr>
              <w:pStyle w:val="TableParagraph"/>
              <w:spacing w:before="1"/>
              <w:ind w:right="61"/>
              <w:jc w:val="right"/>
              <w:rPr>
                <w:sz w:val="20"/>
              </w:rPr>
            </w:pPr>
            <w:r>
              <w:rPr>
                <w:spacing w:val="-2"/>
                <w:sz w:val="20"/>
              </w:rPr>
              <w:t>46.517.687</w:t>
            </w:r>
          </w:p>
        </w:tc>
      </w:tr>
      <w:tr>
        <w:trPr>
          <w:trHeight w:val="508" w:hRule="atLeast"/>
        </w:trPr>
        <w:tc>
          <w:tcPr>
            <w:tcW w:w="2815" w:type="dxa"/>
          </w:tcPr>
          <w:p>
            <w:pPr>
              <w:pStyle w:val="TableParagraph"/>
              <w:spacing w:before="136"/>
              <w:ind w:left="69"/>
              <w:rPr>
                <w:sz w:val="20"/>
              </w:rPr>
            </w:pPr>
            <w:r>
              <w:rPr>
                <w:sz w:val="20"/>
              </w:rPr>
              <w:t>Tamaño</w:t>
            </w:r>
            <w:r>
              <w:rPr>
                <w:spacing w:val="-7"/>
                <w:sz w:val="20"/>
              </w:rPr>
              <w:t> </w:t>
            </w:r>
            <w:r>
              <w:rPr>
                <w:sz w:val="20"/>
              </w:rPr>
              <w:t>de</w:t>
            </w:r>
            <w:r>
              <w:rPr>
                <w:spacing w:val="-6"/>
                <w:sz w:val="20"/>
              </w:rPr>
              <w:t> </w:t>
            </w:r>
            <w:r>
              <w:rPr>
                <w:sz w:val="20"/>
              </w:rPr>
              <w:t>las</w:t>
            </w:r>
            <w:r>
              <w:rPr>
                <w:spacing w:val="-4"/>
                <w:sz w:val="20"/>
              </w:rPr>
              <w:t> </w:t>
            </w:r>
            <w:r>
              <w:rPr>
                <w:spacing w:val="-2"/>
                <w:sz w:val="20"/>
              </w:rPr>
              <w:t>instalaciones</w:t>
            </w:r>
          </w:p>
        </w:tc>
        <w:tc>
          <w:tcPr>
            <w:tcW w:w="3199" w:type="dxa"/>
          </w:tcPr>
          <w:p>
            <w:pPr>
              <w:pStyle w:val="TableParagraph"/>
              <w:spacing w:before="21"/>
              <w:ind w:left="69"/>
              <w:rPr>
                <w:sz w:val="20"/>
              </w:rPr>
            </w:pPr>
            <w:r>
              <w:rPr>
                <w:sz w:val="20"/>
              </w:rPr>
              <w:t>m2</w:t>
            </w:r>
            <w:r>
              <w:rPr>
                <w:spacing w:val="-10"/>
                <w:sz w:val="20"/>
              </w:rPr>
              <w:t> </w:t>
            </w:r>
            <w:r>
              <w:rPr>
                <w:sz w:val="20"/>
              </w:rPr>
              <w:t>de</w:t>
            </w:r>
            <w:r>
              <w:rPr>
                <w:spacing w:val="-9"/>
                <w:sz w:val="20"/>
              </w:rPr>
              <w:t> </w:t>
            </w:r>
            <w:r>
              <w:rPr>
                <w:sz w:val="20"/>
              </w:rPr>
              <w:t>superficie</w:t>
            </w:r>
            <w:r>
              <w:rPr>
                <w:spacing w:val="-10"/>
                <w:sz w:val="20"/>
              </w:rPr>
              <w:t> </w:t>
            </w:r>
            <w:r>
              <w:rPr>
                <w:sz w:val="20"/>
              </w:rPr>
              <w:t>de</w:t>
            </w:r>
            <w:r>
              <w:rPr>
                <w:spacing w:val="-7"/>
                <w:sz w:val="20"/>
              </w:rPr>
              <w:t> </w:t>
            </w:r>
            <w:r>
              <w:rPr>
                <w:sz w:val="20"/>
              </w:rPr>
              <w:t>las</w:t>
            </w:r>
            <w:r>
              <w:rPr>
                <w:spacing w:val="-7"/>
                <w:sz w:val="20"/>
              </w:rPr>
              <w:t> </w:t>
            </w:r>
            <w:r>
              <w:rPr>
                <w:sz w:val="20"/>
              </w:rPr>
              <w:t>oficinas </w:t>
            </w:r>
            <w:r>
              <w:rPr>
                <w:spacing w:val="-2"/>
                <w:sz w:val="20"/>
              </w:rPr>
              <w:t>centrales</w:t>
            </w:r>
          </w:p>
        </w:tc>
        <w:tc>
          <w:tcPr>
            <w:tcW w:w="1315" w:type="dxa"/>
          </w:tcPr>
          <w:p>
            <w:pPr>
              <w:pStyle w:val="TableParagraph"/>
              <w:spacing w:before="136"/>
              <w:ind w:right="59"/>
              <w:jc w:val="right"/>
              <w:rPr>
                <w:sz w:val="20"/>
              </w:rPr>
            </w:pPr>
            <w:r>
              <w:rPr>
                <w:spacing w:val="-2"/>
                <w:sz w:val="20"/>
              </w:rPr>
              <w:t>35.805</w:t>
            </w:r>
          </w:p>
        </w:tc>
        <w:tc>
          <w:tcPr>
            <w:tcW w:w="1317" w:type="dxa"/>
          </w:tcPr>
          <w:p>
            <w:pPr>
              <w:pStyle w:val="TableParagraph"/>
              <w:spacing w:before="136"/>
              <w:ind w:right="61"/>
              <w:jc w:val="right"/>
              <w:rPr>
                <w:sz w:val="20"/>
              </w:rPr>
            </w:pPr>
            <w:r>
              <w:rPr>
                <w:spacing w:val="-2"/>
                <w:sz w:val="20"/>
              </w:rPr>
              <w:t>35.805</w:t>
            </w:r>
          </w:p>
        </w:tc>
      </w:tr>
      <w:tr>
        <w:trPr>
          <w:trHeight w:val="765" w:hRule="atLeast"/>
        </w:trPr>
        <w:tc>
          <w:tcPr>
            <w:tcW w:w="2815" w:type="dxa"/>
          </w:tcPr>
          <w:p>
            <w:pPr>
              <w:pStyle w:val="TableParagraph"/>
              <w:spacing w:before="35"/>
              <w:rPr>
                <w:b/>
                <w:sz w:val="20"/>
              </w:rPr>
            </w:pPr>
          </w:p>
          <w:p>
            <w:pPr>
              <w:pStyle w:val="TableParagraph"/>
              <w:spacing w:before="1"/>
              <w:ind w:left="69"/>
              <w:rPr>
                <w:sz w:val="20"/>
              </w:rPr>
            </w:pPr>
            <w:r>
              <w:rPr>
                <w:sz w:val="20"/>
              </w:rPr>
              <w:t>Servicios</w:t>
            </w:r>
            <w:r>
              <w:rPr>
                <w:spacing w:val="-13"/>
                <w:sz w:val="20"/>
              </w:rPr>
              <w:t> </w:t>
            </w:r>
            <w:r>
              <w:rPr>
                <w:sz w:val="20"/>
              </w:rPr>
              <w:t>realizados</w:t>
            </w:r>
            <w:r>
              <w:rPr>
                <w:spacing w:val="-11"/>
                <w:sz w:val="20"/>
              </w:rPr>
              <w:t> </w:t>
            </w:r>
            <w:r>
              <w:rPr>
                <w:spacing w:val="-2"/>
                <w:sz w:val="20"/>
              </w:rPr>
              <w:t>anuales</w:t>
            </w:r>
          </w:p>
        </w:tc>
        <w:tc>
          <w:tcPr>
            <w:tcW w:w="3199" w:type="dxa"/>
          </w:tcPr>
          <w:p>
            <w:pPr>
              <w:pStyle w:val="TableParagraph"/>
              <w:spacing w:before="35"/>
              <w:ind w:left="69"/>
              <w:rPr>
                <w:sz w:val="20"/>
              </w:rPr>
            </w:pPr>
            <w:r>
              <w:rPr>
                <w:sz w:val="20"/>
              </w:rPr>
              <w:t>Cantidad de vehículos en operativos</w:t>
            </w:r>
            <w:r>
              <w:rPr>
                <w:spacing w:val="-10"/>
                <w:sz w:val="20"/>
              </w:rPr>
              <w:t> </w:t>
            </w:r>
            <w:r>
              <w:rPr>
                <w:sz w:val="20"/>
              </w:rPr>
              <w:t>en</w:t>
            </w:r>
            <w:r>
              <w:rPr>
                <w:spacing w:val="-10"/>
                <w:sz w:val="20"/>
              </w:rPr>
              <w:t> </w:t>
            </w:r>
            <w:r>
              <w:rPr>
                <w:sz w:val="20"/>
              </w:rPr>
              <w:t>turnos</w:t>
            </w:r>
            <w:r>
              <w:rPr>
                <w:spacing w:val="-7"/>
                <w:sz w:val="20"/>
              </w:rPr>
              <w:t> </w:t>
            </w:r>
            <w:r>
              <w:rPr>
                <w:sz w:val="20"/>
              </w:rPr>
              <w:t>de</w:t>
            </w:r>
            <w:r>
              <w:rPr>
                <w:spacing w:val="-12"/>
                <w:sz w:val="20"/>
              </w:rPr>
              <w:t> </w:t>
            </w:r>
            <w:r>
              <w:rPr>
                <w:sz w:val="20"/>
              </w:rPr>
              <w:t>mañana, tarde y noche</w:t>
            </w:r>
          </w:p>
        </w:tc>
        <w:tc>
          <w:tcPr>
            <w:tcW w:w="1315" w:type="dxa"/>
          </w:tcPr>
          <w:p>
            <w:pPr>
              <w:pStyle w:val="TableParagraph"/>
              <w:spacing w:before="35"/>
              <w:rPr>
                <w:b/>
                <w:sz w:val="20"/>
              </w:rPr>
            </w:pPr>
          </w:p>
          <w:p>
            <w:pPr>
              <w:pStyle w:val="TableParagraph"/>
              <w:spacing w:before="1"/>
              <w:ind w:right="59"/>
              <w:jc w:val="right"/>
              <w:rPr>
                <w:sz w:val="20"/>
              </w:rPr>
            </w:pPr>
            <w:r>
              <w:rPr>
                <w:spacing w:val="-2"/>
                <w:sz w:val="20"/>
              </w:rPr>
              <w:t>115.500</w:t>
            </w:r>
          </w:p>
        </w:tc>
        <w:tc>
          <w:tcPr>
            <w:tcW w:w="1317" w:type="dxa"/>
          </w:tcPr>
          <w:p>
            <w:pPr>
              <w:pStyle w:val="TableParagraph"/>
              <w:spacing w:before="35"/>
              <w:rPr>
                <w:b/>
                <w:sz w:val="20"/>
              </w:rPr>
            </w:pPr>
          </w:p>
          <w:p>
            <w:pPr>
              <w:pStyle w:val="TableParagraph"/>
              <w:spacing w:before="1"/>
              <w:ind w:right="61"/>
              <w:jc w:val="right"/>
              <w:rPr>
                <w:sz w:val="20"/>
              </w:rPr>
            </w:pPr>
            <w:r>
              <w:rPr>
                <w:spacing w:val="-2"/>
                <w:sz w:val="20"/>
              </w:rPr>
              <w:t>120.748</w:t>
            </w:r>
          </w:p>
        </w:tc>
      </w:tr>
      <w:tr>
        <w:trPr>
          <w:trHeight w:val="256" w:hRule="atLeast"/>
        </w:trPr>
        <w:tc>
          <w:tcPr>
            <w:tcW w:w="2815" w:type="dxa"/>
          </w:tcPr>
          <w:p>
            <w:pPr>
              <w:pStyle w:val="TableParagraph"/>
              <w:spacing w:line="225" w:lineRule="exact" w:before="11"/>
              <w:ind w:left="69"/>
              <w:rPr>
                <w:sz w:val="20"/>
              </w:rPr>
            </w:pPr>
            <w:r>
              <w:rPr>
                <w:sz w:val="20"/>
              </w:rPr>
              <w:t>Nº</w:t>
            </w:r>
            <w:r>
              <w:rPr>
                <w:spacing w:val="-10"/>
                <w:sz w:val="20"/>
              </w:rPr>
              <w:t> </w:t>
            </w:r>
            <w:r>
              <w:rPr>
                <w:sz w:val="20"/>
              </w:rPr>
              <w:t>empleados</w:t>
            </w:r>
            <w:r>
              <w:rPr>
                <w:spacing w:val="-7"/>
                <w:sz w:val="20"/>
              </w:rPr>
              <w:t> </w:t>
            </w:r>
            <w:r>
              <w:rPr>
                <w:spacing w:val="-4"/>
                <w:sz w:val="20"/>
              </w:rPr>
              <w:t>anual</w:t>
            </w:r>
          </w:p>
        </w:tc>
        <w:tc>
          <w:tcPr>
            <w:tcW w:w="3199" w:type="dxa"/>
          </w:tcPr>
          <w:p>
            <w:pPr>
              <w:pStyle w:val="TableParagraph"/>
              <w:spacing w:line="225" w:lineRule="exact" w:before="11"/>
              <w:ind w:left="69"/>
              <w:rPr>
                <w:sz w:val="20"/>
              </w:rPr>
            </w:pPr>
            <w:r>
              <w:rPr>
                <w:sz w:val="20"/>
              </w:rPr>
              <w:t>Plantilla</w:t>
            </w:r>
            <w:r>
              <w:rPr>
                <w:spacing w:val="-8"/>
                <w:sz w:val="20"/>
              </w:rPr>
              <w:t> </w:t>
            </w:r>
            <w:r>
              <w:rPr>
                <w:sz w:val="20"/>
              </w:rPr>
              <w:t>total</w:t>
            </w:r>
            <w:r>
              <w:rPr>
                <w:spacing w:val="-8"/>
                <w:sz w:val="20"/>
              </w:rPr>
              <w:t> </w:t>
            </w:r>
            <w:r>
              <w:rPr>
                <w:sz w:val="20"/>
              </w:rPr>
              <w:t>media</w:t>
            </w:r>
            <w:r>
              <w:rPr>
                <w:spacing w:val="-8"/>
                <w:sz w:val="20"/>
              </w:rPr>
              <w:t> </w:t>
            </w:r>
            <w:r>
              <w:rPr>
                <w:spacing w:val="-4"/>
                <w:sz w:val="20"/>
              </w:rPr>
              <w:t>anual</w:t>
            </w:r>
          </w:p>
        </w:tc>
        <w:tc>
          <w:tcPr>
            <w:tcW w:w="1315" w:type="dxa"/>
          </w:tcPr>
          <w:p>
            <w:pPr>
              <w:pStyle w:val="TableParagraph"/>
              <w:spacing w:line="225" w:lineRule="exact" w:before="11"/>
              <w:ind w:right="59"/>
              <w:jc w:val="right"/>
              <w:rPr>
                <w:sz w:val="20"/>
              </w:rPr>
            </w:pPr>
            <w:r>
              <w:rPr>
                <w:spacing w:val="-5"/>
                <w:sz w:val="20"/>
              </w:rPr>
              <w:t>734</w:t>
            </w:r>
          </w:p>
        </w:tc>
        <w:tc>
          <w:tcPr>
            <w:tcW w:w="1317" w:type="dxa"/>
          </w:tcPr>
          <w:p>
            <w:pPr>
              <w:pStyle w:val="TableParagraph"/>
              <w:spacing w:line="225" w:lineRule="exact" w:before="11"/>
              <w:ind w:right="61"/>
              <w:jc w:val="right"/>
              <w:rPr>
                <w:sz w:val="20"/>
              </w:rPr>
            </w:pPr>
            <w:r>
              <w:rPr>
                <w:spacing w:val="-5"/>
                <w:sz w:val="20"/>
              </w:rPr>
              <w:t>794</w:t>
            </w:r>
          </w:p>
        </w:tc>
      </w:tr>
    </w:tbl>
    <w:p>
      <w:pPr>
        <w:pStyle w:val="BodyText"/>
        <w:spacing w:before="114"/>
        <w:rPr>
          <w:b/>
        </w:rPr>
      </w:pPr>
    </w:p>
    <w:p>
      <w:pPr>
        <w:pStyle w:val="BodyText"/>
        <w:spacing w:line="360" w:lineRule="auto"/>
        <w:ind w:left="1341" w:right="1339"/>
      </w:pPr>
      <w:r>
        <w:rPr/>
        <mc:AlternateContent>
          <mc:Choice Requires="wps">
            <w:drawing>
              <wp:anchor distT="0" distB="0" distL="0" distR="0" allowOverlap="1" layoutInCell="1" locked="0" behindDoc="0" simplePos="0" relativeHeight="15799808">
                <wp:simplePos x="0" y="0"/>
                <wp:positionH relativeFrom="page">
                  <wp:posOffset>6966436</wp:posOffset>
                </wp:positionH>
                <wp:positionV relativeFrom="paragraph">
                  <wp:posOffset>-863678</wp:posOffset>
                </wp:positionV>
                <wp:extent cx="263525" cy="327596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68.006165pt;width:20.75pt;height:257.95pt;mso-position-horizontal-relative:page;mso-position-vertical-relative:paragraph;z-index:15799808" type="#_x0000_t202" id="docshape20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El tipo de energía utilizado en ratios de intensidad es la energía eléctrica y la medida utilizada es el KWh consumido dentro de nuestras instalaciones.</w:t>
      </w:r>
    </w:p>
    <w:p>
      <w:pPr>
        <w:pStyle w:val="BodyText"/>
        <w:spacing w:before="200"/>
        <w:jc w:val="center"/>
      </w:pPr>
      <w:r>
        <w:rPr/>
        <w:t>Siguiendo</w:t>
      </w:r>
      <w:r>
        <w:rPr>
          <w:spacing w:val="59"/>
        </w:rPr>
        <w:t> </w:t>
      </w:r>
      <w:r>
        <w:rPr/>
        <w:t>lo</w:t>
      </w:r>
      <w:r>
        <w:rPr>
          <w:spacing w:val="61"/>
        </w:rPr>
        <w:t> </w:t>
      </w:r>
      <w:r>
        <w:rPr/>
        <w:t>establecido</w:t>
      </w:r>
      <w:r>
        <w:rPr>
          <w:spacing w:val="61"/>
        </w:rPr>
        <w:t> </w:t>
      </w:r>
      <w:r>
        <w:rPr/>
        <w:t>en</w:t>
      </w:r>
      <w:r>
        <w:rPr>
          <w:spacing w:val="63"/>
        </w:rPr>
        <w:t> </w:t>
      </w:r>
      <w:r>
        <w:rPr/>
        <w:t>su</w:t>
      </w:r>
      <w:r>
        <w:rPr>
          <w:spacing w:val="60"/>
        </w:rPr>
        <w:t> </w:t>
      </w:r>
      <w:r>
        <w:rPr/>
        <w:t>Sistema</w:t>
      </w:r>
      <w:r>
        <w:rPr>
          <w:spacing w:val="60"/>
        </w:rPr>
        <w:t> </w:t>
      </w:r>
      <w:r>
        <w:rPr/>
        <w:t>Integrado</w:t>
      </w:r>
      <w:r>
        <w:rPr>
          <w:spacing w:val="64"/>
        </w:rPr>
        <w:t> </w:t>
      </w:r>
      <w:r>
        <w:rPr/>
        <w:t>de</w:t>
      </w:r>
      <w:r>
        <w:rPr>
          <w:spacing w:val="61"/>
        </w:rPr>
        <w:t> </w:t>
      </w:r>
      <w:r>
        <w:rPr/>
        <w:t>Gestión,</w:t>
      </w:r>
      <w:r>
        <w:rPr>
          <w:spacing w:val="59"/>
        </w:rPr>
        <w:t> </w:t>
      </w:r>
      <w:r>
        <w:rPr/>
        <w:t>Guaguas</w:t>
      </w:r>
      <w:r>
        <w:rPr>
          <w:spacing w:val="61"/>
        </w:rPr>
        <w:t> </w:t>
      </w:r>
      <w:r>
        <w:rPr/>
        <w:t>realiza</w:t>
      </w:r>
      <w:r>
        <w:rPr>
          <w:spacing w:val="60"/>
        </w:rPr>
        <w:t> </w:t>
      </w:r>
      <w:r>
        <w:rPr>
          <w:spacing w:val="-2"/>
        </w:rPr>
        <w:t>también</w:t>
      </w:r>
    </w:p>
    <w:p>
      <w:pPr>
        <w:pStyle w:val="BodyText"/>
        <w:spacing w:before="113"/>
        <w:ind w:left="3"/>
        <w:jc w:val="center"/>
      </w:pPr>
      <w:r>
        <w:rPr/>
        <w:t>actividades</w:t>
      </w:r>
      <w:r>
        <w:rPr>
          <w:spacing w:val="35"/>
        </w:rPr>
        <w:t> </w:t>
      </w:r>
      <w:r>
        <w:rPr/>
        <w:t>encaminadas</w:t>
      </w:r>
      <w:r>
        <w:rPr>
          <w:spacing w:val="36"/>
        </w:rPr>
        <w:t> </w:t>
      </w:r>
      <w:r>
        <w:rPr/>
        <w:t>al</w:t>
      </w:r>
      <w:r>
        <w:rPr>
          <w:spacing w:val="36"/>
        </w:rPr>
        <w:t> </w:t>
      </w:r>
      <w:r>
        <w:rPr/>
        <w:t>uso</w:t>
      </w:r>
      <w:r>
        <w:rPr>
          <w:spacing w:val="33"/>
        </w:rPr>
        <w:t> </w:t>
      </w:r>
      <w:r>
        <w:rPr/>
        <w:t>racional</w:t>
      </w:r>
      <w:r>
        <w:rPr>
          <w:spacing w:val="35"/>
        </w:rPr>
        <w:t> </w:t>
      </w:r>
      <w:r>
        <w:rPr/>
        <w:t>de</w:t>
      </w:r>
      <w:r>
        <w:rPr>
          <w:spacing w:val="37"/>
        </w:rPr>
        <w:t> </w:t>
      </w:r>
      <w:r>
        <w:rPr/>
        <w:t>los</w:t>
      </w:r>
      <w:r>
        <w:rPr>
          <w:spacing w:val="36"/>
        </w:rPr>
        <w:t> </w:t>
      </w:r>
      <w:r>
        <w:rPr/>
        <w:t>recursos</w:t>
      </w:r>
      <w:r>
        <w:rPr>
          <w:spacing w:val="36"/>
        </w:rPr>
        <w:t> </w:t>
      </w:r>
      <w:r>
        <w:rPr/>
        <w:t>necesarios</w:t>
      </w:r>
      <w:r>
        <w:rPr>
          <w:spacing w:val="36"/>
        </w:rPr>
        <w:t> </w:t>
      </w:r>
      <w:r>
        <w:rPr/>
        <w:t>para</w:t>
      </w:r>
      <w:r>
        <w:rPr>
          <w:spacing w:val="37"/>
        </w:rPr>
        <w:t> </w:t>
      </w:r>
      <w:r>
        <w:rPr/>
        <w:t>la</w:t>
      </w:r>
      <w:r>
        <w:rPr>
          <w:spacing w:val="35"/>
        </w:rPr>
        <w:t> </w:t>
      </w:r>
      <w:r>
        <w:rPr/>
        <w:t>prestación</w:t>
      </w:r>
      <w:r>
        <w:rPr>
          <w:spacing w:val="36"/>
        </w:rPr>
        <w:t> </w:t>
      </w:r>
      <w:r>
        <w:rPr>
          <w:spacing w:val="-5"/>
        </w:rPr>
        <w:t>del</w:t>
      </w:r>
    </w:p>
    <w:p>
      <w:pPr>
        <w:pStyle w:val="BodyText"/>
        <w:spacing w:line="360" w:lineRule="auto" w:before="116"/>
        <w:ind w:left="1341" w:right="1339"/>
        <w:jc w:val="both"/>
      </w:pPr>
      <w:r>
        <w:rPr/>
        <w:t>servicio. En este sentido, Guaguas está inmersa en la transformación digital de sus procesos administrativos, tratando de </w:t>
      </w:r>
      <w:r>
        <w:rPr>
          <w:b/>
        </w:rPr>
        <w:t>r</w:t>
      </w:r>
      <w:r>
        <w:rPr/>
        <w:t>educir el consumo de papel, tintas, consumo eléctrico, etc., para minimizar la generación de residuos y su repercusión ambiental.</w:t>
      </w:r>
    </w:p>
    <w:p>
      <w:pPr>
        <w:pStyle w:val="BodyText"/>
        <w:spacing w:line="360" w:lineRule="auto" w:before="201"/>
        <w:ind w:left="1341" w:right="1308"/>
      </w:pPr>
      <w:r>
        <w:rPr/>
        <w:t>Cabe destacar por último que se efectúan mediciones de ruido en los puestos de trabajo con</w:t>
      </w:r>
      <w:r>
        <w:rPr>
          <w:spacing w:val="40"/>
        </w:rPr>
        <w:t> </w:t>
      </w:r>
      <w:r>
        <w:rPr/>
        <w:t>carácter anual obteniendo como resultado la ausencia de impactos negativos relevantes.</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37"/>
        <w:jc w:val="both"/>
      </w:pPr>
      <w:r>
        <w:rPr/>
        <w:t>Además, se cumple con los índices acústicos y valores de inmisión medidos en base al Real Decreto 1367/2007, de 16 de diciembre, por el que se desarrolla la Ley 37/2003, de 17 de noviembre del ruido, y con los valores límites de la Ordenanza para la protección del medio ambiente urbano frente a ruidos y vibraciones de Las Palmas de Gran Canaria.</w:t>
      </w:r>
    </w:p>
    <w:p>
      <w:pPr>
        <w:pStyle w:val="Heading3"/>
        <w:numPr>
          <w:ilvl w:val="1"/>
          <w:numId w:val="31"/>
        </w:numPr>
        <w:tabs>
          <w:tab w:pos="1670" w:val="left" w:leader="none"/>
        </w:tabs>
        <w:spacing w:line="240" w:lineRule="auto" w:before="200" w:after="0"/>
        <w:ind w:left="1670" w:right="0" w:hanging="329"/>
        <w:jc w:val="left"/>
      </w:pPr>
      <w:bookmarkStart w:name="_TOC_250032" w:id="20"/>
      <w:r>
        <w:rPr/>
        <w:t>Cambio</w:t>
      </w:r>
      <w:r>
        <w:rPr>
          <w:spacing w:val="-5"/>
        </w:rPr>
        <w:t> </w:t>
      </w:r>
      <w:r>
        <w:rPr/>
        <w:t>climático:</w:t>
      </w:r>
      <w:r>
        <w:rPr>
          <w:spacing w:val="-6"/>
        </w:rPr>
        <w:t> </w:t>
      </w:r>
      <w:r>
        <w:rPr/>
        <w:t>reducción</w:t>
      </w:r>
      <w:r>
        <w:rPr>
          <w:spacing w:val="-6"/>
        </w:rPr>
        <w:t> </w:t>
      </w:r>
      <w:r>
        <w:rPr/>
        <w:t>de</w:t>
      </w:r>
      <w:r>
        <w:rPr>
          <w:spacing w:val="-7"/>
        </w:rPr>
        <w:t> </w:t>
      </w:r>
      <w:r>
        <w:rPr/>
        <w:t>las</w:t>
      </w:r>
      <w:r>
        <w:rPr>
          <w:spacing w:val="-7"/>
        </w:rPr>
        <w:t> </w:t>
      </w:r>
      <w:r>
        <w:rPr/>
        <w:t>emisiones</w:t>
      </w:r>
      <w:r>
        <w:rPr>
          <w:spacing w:val="-5"/>
        </w:rPr>
        <w:t> </w:t>
      </w:r>
      <w:r>
        <w:rPr/>
        <w:t>de</w:t>
      </w:r>
      <w:r>
        <w:rPr>
          <w:spacing w:val="-6"/>
        </w:rPr>
        <w:t> </w:t>
      </w:r>
      <w:r>
        <w:rPr/>
        <w:t>gases</w:t>
      </w:r>
      <w:r>
        <w:rPr>
          <w:spacing w:val="-7"/>
        </w:rPr>
        <w:t> </w:t>
      </w:r>
      <w:r>
        <w:rPr/>
        <w:t>de</w:t>
      </w:r>
      <w:r>
        <w:rPr>
          <w:spacing w:val="-6"/>
        </w:rPr>
        <w:t> </w:t>
      </w:r>
      <w:r>
        <w:rPr/>
        <w:t>efecto</w:t>
      </w:r>
      <w:r>
        <w:rPr>
          <w:spacing w:val="-6"/>
        </w:rPr>
        <w:t> </w:t>
      </w:r>
      <w:bookmarkEnd w:id="20"/>
      <w:r>
        <w:rPr>
          <w:spacing w:val="-2"/>
        </w:rPr>
        <w:t>invernadero</w:t>
      </w:r>
    </w:p>
    <w:p>
      <w:pPr>
        <w:pStyle w:val="BodyText"/>
        <w:spacing w:before="43"/>
        <w:rPr>
          <w:b/>
        </w:rPr>
      </w:pPr>
    </w:p>
    <w:p>
      <w:pPr>
        <w:pStyle w:val="BodyText"/>
        <w:spacing w:line="360" w:lineRule="auto" w:before="1"/>
        <w:ind w:left="1341" w:right="1336"/>
        <w:jc w:val="both"/>
      </w:pPr>
      <w:r>
        <w:rPr/>
        <w:t>La principal emisión de elementos contaminantes generados por la actividad de Guaguas se corresponde con</w:t>
      </w:r>
      <w:r>
        <w:rPr>
          <w:spacing w:val="-1"/>
        </w:rPr>
        <w:t> </w:t>
      </w:r>
      <w:r>
        <w:rPr/>
        <w:t>el monóxido de</w:t>
      </w:r>
      <w:r>
        <w:rPr>
          <w:spacing w:val="-1"/>
        </w:rPr>
        <w:t> </w:t>
      </w:r>
      <w:r>
        <w:rPr/>
        <w:t>carbono emitido por los tubos de</w:t>
      </w:r>
      <w:r>
        <w:rPr>
          <w:spacing w:val="-1"/>
        </w:rPr>
        <w:t> </w:t>
      </w:r>
      <w:r>
        <w:rPr/>
        <w:t>escape de los vehículos que componen su</w:t>
      </w:r>
      <w:r>
        <w:rPr>
          <w:spacing w:val="-1"/>
        </w:rPr>
        <w:t> </w:t>
      </w:r>
      <w:r>
        <w:rPr/>
        <w:t>flota. A fin</w:t>
      </w:r>
      <w:r>
        <w:rPr>
          <w:spacing w:val="-1"/>
        </w:rPr>
        <w:t> </w:t>
      </w:r>
      <w:r>
        <w:rPr/>
        <w:t>de reducir las cantidades de emisión</w:t>
      </w:r>
      <w:r>
        <w:rPr>
          <w:spacing w:val="-1"/>
        </w:rPr>
        <w:t> </w:t>
      </w:r>
      <w:r>
        <w:rPr/>
        <w:t>de este gas, se está procediendo a la renovación de su flota con la adquisición de vehículos menos contaminantes (Euro VI, vehículos híbridos y vehículos eléctricos).</w:t>
      </w:r>
    </w:p>
    <w:p>
      <w:pPr>
        <w:pStyle w:val="BodyText"/>
        <w:spacing w:line="362" w:lineRule="auto" w:before="200"/>
        <w:ind w:left="1341" w:right="1308"/>
      </w:pPr>
      <w:r>
        <w:rPr/>
        <w:t>Actualmente</w:t>
      </w:r>
      <w:r>
        <w:rPr>
          <w:spacing w:val="38"/>
        </w:rPr>
        <w:t> </w:t>
      </w:r>
      <w:r>
        <w:rPr/>
        <w:t>la</w:t>
      </w:r>
      <w:r>
        <w:rPr>
          <w:spacing w:val="37"/>
        </w:rPr>
        <w:t> </w:t>
      </w:r>
      <w:r>
        <w:rPr/>
        <w:t>empresa</w:t>
      </w:r>
      <w:r>
        <w:rPr>
          <w:spacing w:val="36"/>
        </w:rPr>
        <w:t> </w:t>
      </w:r>
      <w:r>
        <w:rPr/>
        <w:t>dispone</w:t>
      </w:r>
      <w:r>
        <w:rPr>
          <w:spacing w:val="36"/>
        </w:rPr>
        <w:t> </w:t>
      </w:r>
      <w:r>
        <w:rPr/>
        <w:t>de</w:t>
      </w:r>
      <w:r>
        <w:rPr>
          <w:spacing w:val="38"/>
        </w:rPr>
        <w:t> </w:t>
      </w:r>
      <w:r>
        <w:rPr/>
        <w:t>15</w:t>
      </w:r>
      <w:r>
        <w:rPr>
          <w:spacing w:val="38"/>
        </w:rPr>
        <w:t> </w:t>
      </w:r>
      <w:r>
        <w:rPr/>
        <w:t>guaguas</w:t>
      </w:r>
      <w:r>
        <w:rPr>
          <w:spacing w:val="39"/>
        </w:rPr>
        <w:t> </w:t>
      </w:r>
      <w:r>
        <w:rPr/>
        <w:t>eléctricas</w:t>
      </w:r>
      <w:r>
        <w:rPr>
          <w:spacing w:val="39"/>
        </w:rPr>
        <w:t> </w:t>
      </w:r>
      <w:r>
        <w:rPr/>
        <w:t>en</w:t>
      </w:r>
      <w:r>
        <w:rPr>
          <w:spacing w:val="38"/>
        </w:rPr>
        <w:t> </w:t>
      </w:r>
      <w:r>
        <w:rPr/>
        <w:t>su</w:t>
      </w:r>
      <w:r>
        <w:rPr>
          <w:spacing w:val="37"/>
        </w:rPr>
        <w:t> </w:t>
      </w:r>
      <w:r>
        <w:rPr/>
        <w:t>flota</w:t>
      </w:r>
      <w:r>
        <w:rPr>
          <w:spacing w:val="40"/>
        </w:rPr>
        <w:t> </w:t>
      </w:r>
      <w:r>
        <w:rPr/>
        <w:t>y</w:t>
      </w:r>
      <w:r>
        <w:rPr>
          <w:spacing w:val="31"/>
        </w:rPr>
        <w:t> </w:t>
      </w:r>
      <w:r>
        <w:rPr/>
        <w:t>de</w:t>
      </w:r>
      <w:r>
        <w:rPr>
          <w:spacing w:val="37"/>
        </w:rPr>
        <w:t> </w:t>
      </w:r>
      <w:r>
        <w:rPr/>
        <w:t>un</w:t>
      </w:r>
      <w:r>
        <w:rPr>
          <w:spacing w:val="38"/>
        </w:rPr>
        <w:t> </w:t>
      </w:r>
      <w:r>
        <w:rPr/>
        <w:t>total</w:t>
      </w:r>
      <w:r>
        <w:rPr>
          <w:spacing w:val="37"/>
        </w:rPr>
        <w:t> </w:t>
      </w:r>
      <w:r>
        <w:rPr/>
        <w:t>de</w:t>
      </w:r>
      <w:r>
        <w:rPr>
          <w:spacing w:val="36"/>
        </w:rPr>
        <w:t> </w:t>
      </w:r>
      <w:r>
        <w:rPr/>
        <w:t>16 guaguas híbridas.</w:t>
      </w:r>
    </w:p>
    <w:p>
      <w:pPr>
        <w:pStyle w:val="Heading3"/>
        <w:numPr>
          <w:ilvl w:val="1"/>
          <w:numId w:val="31"/>
        </w:numPr>
        <w:tabs>
          <w:tab w:pos="1673" w:val="left" w:leader="none"/>
        </w:tabs>
        <w:spacing w:line="240" w:lineRule="auto" w:before="195" w:after="0"/>
        <w:ind w:left="1673" w:right="0" w:hanging="332"/>
        <w:jc w:val="left"/>
      </w:pPr>
      <w:bookmarkStart w:name="_TOC_250031" w:id="21"/>
      <w:r>
        <w:rPr/>
        <w:t>Protección</w:t>
      </w:r>
      <w:r>
        <w:rPr>
          <w:spacing w:val="-6"/>
        </w:rPr>
        <w:t> </w:t>
      </w:r>
      <w:r>
        <w:rPr/>
        <w:t>de</w:t>
      </w:r>
      <w:r>
        <w:rPr>
          <w:spacing w:val="-7"/>
        </w:rPr>
        <w:t> </w:t>
      </w:r>
      <w:r>
        <w:rPr/>
        <w:t>la</w:t>
      </w:r>
      <w:r>
        <w:rPr>
          <w:spacing w:val="-7"/>
        </w:rPr>
        <w:t> </w:t>
      </w:r>
      <w:bookmarkEnd w:id="21"/>
      <w:r>
        <w:rPr>
          <w:spacing w:val="-2"/>
        </w:rPr>
        <w:t>biodiversidad</w:t>
      </w:r>
    </w:p>
    <w:p>
      <w:pPr>
        <w:pStyle w:val="BodyText"/>
        <w:spacing w:before="44"/>
        <w:rPr>
          <w:b/>
        </w:rPr>
      </w:pPr>
    </w:p>
    <w:p>
      <w:pPr>
        <w:pStyle w:val="BodyText"/>
        <w:spacing w:line="362" w:lineRule="auto" w:before="1"/>
        <w:ind w:left="1341" w:right="1308"/>
      </w:pPr>
      <w:r>
        <w:rPr/>
        <w:t>Guaguas no tiene constancia de impactos causados sobre la biodiversidad derivados de sus</w:t>
      </w:r>
      <w:r>
        <w:rPr>
          <w:spacing w:val="80"/>
        </w:rPr>
        <w:t> </w:t>
      </w:r>
      <w:r>
        <w:rPr/>
        <w:t>actividades y operaciones en áreas protegidas.</w:t>
      </w:r>
    </w:p>
    <w:p>
      <w:pPr>
        <w:pStyle w:val="Heading3"/>
        <w:numPr>
          <w:ilvl w:val="1"/>
          <w:numId w:val="31"/>
        </w:numPr>
        <w:tabs>
          <w:tab w:pos="1670" w:val="left" w:leader="none"/>
        </w:tabs>
        <w:spacing w:line="240" w:lineRule="auto" w:before="195" w:after="0"/>
        <w:ind w:left="1670" w:right="0" w:hanging="329"/>
        <w:jc w:val="left"/>
      </w:pPr>
      <w:bookmarkStart w:name="_TOC_250030" w:id="22"/>
      <w:r>
        <w:rPr/>
        <w:t>Cumplimiento</w:t>
      </w:r>
      <w:r>
        <w:rPr>
          <w:spacing w:val="-9"/>
        </w:rPr>
        <w:t> </w:t>
      </w:r>
      <w:bookmarkEnd w:id="22"/>
      <w:r>
        <w:rPr>
          <w:spacing w:val="-2"/>
        </w:rPr>
        <w:t>Ambiental</w:t>
      </w:r>
    </w:p>
    <w:p>
      <w:pPr>
        <w:pStyle w:val="BodyText"/>
        <w:spacing w:before="44"/>
        <w:rPr>
          <w:b/>
        </w:rPr>
      </w:pPr>
    </w:p>
    <w:p>
      <w:pPr>
        <w:pStyle w:val="BodyText"/>
        <w:spacing w:line="362" w:lineRule="auto"/>
        <w:ind w:left="1341" w:right="1308"/>
      </w:pPr>
      <w:r>
        <w:rPr/>
        <w:t>No se ha identificado incumplimientos de las leyes o normativas en</w:t>
      </w:r>
      <w:r>
        <w:rPr>
          <w:spacing w:val="-1"/>
        </w:rPr>
        <w:t> </w:t>
      </w:r>
      <w:r>
        <w:rPr/>
        <w:t>materia de medio</w:t>
      </w:r>
      <w:r>
        <w:rPr>
          <w:spacing w:val="-1"/>
        </w:rPr>
        <w:t> </w:t>
      </w:r>
      <w:r>
        <w:rPr/>
        <w:t>ambiente en el ejercicio de su actividad económica durante el ejercicio 2025.</w:t>
      </w:r>
    </w:p>
    <w:p>
      <w:pPr>
        <w:pStyle w:val="BodyText"/>
      </w:pPr>
    </w:p>
    <w:p>
      <w:pPr>
        <w:pStyle w:val="BodyText"/>
        <w:spacing w:before="15"/>
      </w:pPr>
    </w:p>
    <w:p>
      <w:pPr>
        <w:pStyle w:val="Heading3"/>
        <w:numPr>
          <w:ilvl w:val="0"/>
          <w:numId w:val="31"/>
        </w:numPr>
        <w:tabs>
          <w:tab w:pos="1559" w:val="left" w:leader="none"/>
        </w:tabs>
        <w:spacing w:line="240" w:lineRule="auto" w:before="0" w:after="0"/>
        <w:ind w:left="1559" w:right="0" w:hanging="218"/>
        <w:jc w:val="left"/>
      </w:pPr>
      <w:bookmarkStart w:name="_TOC_250029" w:id="23"/>
      <w:r>
        <w:rPr/>
        <w:t>Cuestiones</w:t>
      </w:r>
      <w:r>
        <w:rPr>
          <w:spacing w:val="-6"/>
        </w:rPr>
        <w:t> </w:t>
      </w:r>
      <w:r>
        <w:rPr/>
        <w:t>Sociales</w:t>
      </w:r>
      <w:r>
        <w:rPr>
          <w:spacing w:val="-5"/>
        </w:rPr>
        <w:t> </w:t>
      </w:r>
      <w:r>
        <w:rPr/>
        <w:t>y</w:t>
      </w:r>
      <w:r>
        <w:rPr>
          <w:spacing w:val="-6"/>
        </w:rPr>
        <w:t> </w:t>
      </w:r>
      <w:r>
        <w:rPr/>
        <w:t>relativas</w:t>
      </w:r>
      <w:r>
        <w:rPr>
          <w:spacing w:val="-6"/>
        </w:rPr>
        <w:t> </w:t>
      </w:r>
      <w:r>
        <w:rPr/>
        <w:t>al</w:t>
      </w:r>
      <w:r>
        <w:rPr>
          <w:spacing w:val="-7"/>
        </w:rPr>
        <w:t> </w:t>
      </w:r>
      <w:bookmarkEnd w:id="23"/>
      <w:r>
        <w:rPr>
          <w:spacing w:val="-2"/>
        </w:rPr>
        <w:t>personal</w:t>
      </w:r>
    </w:p>
    <w:p>
      <w:pPr>
        <w:pStyle w:val="BodyText"/>
        <w:spacing w:before="46"/>
        <w:rPr>
          <w:b/>
        </w:rPr>
      </w:pPr>
    </w:p>
    <w:p>
      <w:pPr>
        <w:pStyle w:val="BodyText"/>
        <w:jc w:val="center"/>
      </w:pPr>
      <w:r>
        <w:rPr/>
        <w:t>En</w:t>
      </w:r>
      <w:r>
        <w:rPr>
          <w:spacing w:val="8"/>
        </w:rPr>
        <w:t> </w:t>
      </w:r>
      <w:r>
        <w:rPr/>
        <w:t>el</w:t>
      </w:r>
      <w:r>
        <w:rPr>
          <w:spacing w:val="5"/>
        </w:rPr>
        <w:t> </w:t>
      </w:r>
      <w:r>
        <w:rPr/>
        <w:t>2025</w:t>
      </w:r>
      <w:r>
        <w:rPr>
          <w:spacing w:val="8"/>
        </w:rPr>
        <w:t> </w:t>
      </w:r>
      <w:r>
        <w:rPr/>
        <w:t>seguimos</w:t>
      </w:r>
      <w:r>
        <w:rPr>
          <w:spacing w:val="8"/>
        </w:rPr>
        <w:t> </w:t>
      </w:r>
      <w:r>
        <w:rPr/>
        <w:t>aumentando</w:t>
      </w:r>
      <w:r>
        <w:rPr>
          <w:spacing w:val="10"/>
        </w:rPr>
        <w:t> </w:t>
      </w:r>
      <w:r>
        <w:rPr/>
        <w:t>la</w:t>
      </w:r>
      <w:r>
        <w:rPr>
          <w:spacing w:val="9"/>
        </w:rPr>
        <w:t> </w:t>
      </w:r>
      <w:r>
        <w:rPr/>
        <w:t>plantilla</w:t>
      </w:r>
      <w:r>
        <w:rPr>
          <w:spacing w:val="8"/>
        </w:rPr>
        <w:t> </w:t>
      </w:r>
      <w:r>
        <w:rPr/>
        <w:t>para</w:t>
      </w:r>
      <w:r>
        <w:rPr>
          <w:spacing w:val="7"/>
        </w:rPr>
        <w:t> </w:t>
      </w:r>
      <w:r>
        <w:rPr/>
        <w:t>dar</w:t>
      </w:r>
      <w:r>
        <w:rPr>
          <w:spacing w:val="9"/>
        </w:rPr>
        <w:t> </w:t>
      </w:r>
      <w:r>
        <w:rPr/>
        <w:t>respuesta</w:t>
      </w:r>
      <w:r>
        <w:rPr>
          <w:spacing w:val="8"/>
        </w:rPr>
        <w:t> </w:t>
      </w:r>
      <w:r>
        <w:rPr/>
        <w:t>al</w:t>
      </w:r>
      <w:r>
        <w:rPr>
          <w:spacing w:val="9"/>
        </w:rPr>
        <w:t> </w:t>
      </w:r>
      <w:r>
        <w:rPr/>
        <w:t>incremento</w:t>
      </w:r>
      <w:r>
        <w:rPr>
          <w:spacing w:val="8"/>
        </w:rPr>
        <w:t> </w:t>
      </w:r>
      <w:r>
        <w:rPr/>
        <w:t>del</w:t>
      </w:r>
      <w:r>
        <w:rPr>
          <w:spacing w:val="10"/>
        </w:rPr>
        <w:t> </w:t>
      </w:r>
      <w:r>
        <w:rPr/>
        <w:t>número</w:t>
      </w:r>
      <w:r>
        <w:rPr>
          <w:spacing w:val="6"/>
        </w:rPr>
        <w:t> </w:t>
      </w:r>
      <w:r>
        <w:rPr>
          <w:spacing w:val="-5"/>
        </w:rPr>
        <w:t>de</w:t>
      </w:r>
    </w:p>
    <w:p>
      <w:pPr>
        <w:pStyle w:val="BodyText"/>
        <w:spacing w:before="116"/>
        <w:ind w:left="2"/>
        <w:jc w:val="center"/>
      </w:pPr>
      <w:r>
        <w:rPr/>
        <mc:AlternateContent>
          <mc:Choice Requires="wps">
            <w:drawing>
              <wp:anchor distT="0" distB="0" distL="0" distR="0" allowOverlap="1" layoutInCell="1" locked="0" behindDoc="0" simplePos="0" relativeHeight="15800320">
                <wp:simplePos x="0" y="0"/>
                <wp:positionH relativeFrom="page">
                  <wp:posOffset>6966436</wp:posOffset>
                </wp:positionH>
                <wp:positionV relativeFrom="paragraph">
                  <wp:posOffset>128976</wp:posOffset>
                </wp:positionV>
                <wp:extent cx="263525" cy="327596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0.155635pt;width:20.75pt;height:257.95pt;mso-position-horizontal-relative:page;mso-position-vertical-relative:paragraph;z-index:15800320" type="#_x0000_t202" id="docshape20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viajeros</w:t>
      </w:r>
      <w:r>
        <w:rPr>
          <w:spacing w:val="69"/>
          <w:w w:val="150"/>
        </w:rPr>
        <w:t> </w:t>
      </w:r>
      <w:r>
        <w:rPr/>
        <w:t>como</w:t>
      </w:r>
      <w:r>
        <w:rPr>
          <w:spacing w:val="69"/>
          <w:w w:val="150"/>
        </w:rPr>
        <w:t> </w:t>
      </w:r>
      <w:r>
        <w:rPr/>
        <w:t>consecuencia</w:t>
      </w:r>
      <w:r>
        <w:rPr>
          <w:spacing w:val="69"/>
          <w:w w:val="150"/>
        </w:rPr>
        <w:t> </w:t>
      </w:r>
      <w:r>
        <w:rPr/>
        <w:t>de</w:t>
      </w:r>
      <w:r>
        <w:rPr>
          <w:spacing w:val="70"/>
          <w:w w:val="150"/>
        </w:rPr>
        <w:t> </w:t>
      </w:r>
      <w:r>
        <w:rPr/>
        <w:t>la</w:t>
      </w:r>
      <w:r>
        <w:rPr>
          <w:spacing w:val="70"/>
          <w:w w:val="150"/>
        </w:rPr>
        <w:t> </w:t>
      </w:r>
      <w:r>
        <w:rPr/>
        <w:t>gratuidad</w:t>
      </w:r>
      <w:r>
        <w:rPr>
          <w:spacing w:val="70"/>
          <w:w w:val="150"/>
        </w:rPr>
        <w:t> </w:t>
      </w:r>
      <w:r>
        <w:rPr/>
        <w:t>del</w:t>
      </w:r>
      <w:r>
        <w:rPr>
          <w:spacing w:val="67"/>
          <w:w w:val="150"/>
        </w:rPr>
        <w:t> </w:t>
      </w:r>
      <w:r>
        <w:rPr/>
        <w:t>transporte</w:t>
      </w:r>
      <w:r>
        <w:rPr>
          <w:spacing w:val="71"/>
          <w:w w:val="150"/>
        </w:rPr>
        <w:t> </w:t>
      </w:r>
      <w:r>
        <w:rPr/>
        <w:t>y</w:t>
      </w:r>
      <w:r>
        <w:rPr>
          <w:spacing w:val="67"/>
          <w:w w:val="150"/>
        </w:rPr>
        <w:t> </w:t>
      </w:r>
      <w:r>
        <w:rPr/>
        <w:t>en</w:t>
      </w:r>
      <w:r>
        <w:rPr>
          <w:spacing w:val="70"/>
          <w:w w:val="150"/>
        </w:rPr>
        <w:t> </w:t>
      </w:r>
      <w:r>
        <w:rPr/>
        <w:t>un</w:t>
      </w:r>
      <w:r>
        <w:rPr>
          <w:spacing w:val="70"/>
          <w:w w:val="150"/>
        </w:rPr>
        <w:t> </w:t>
      </w:r>
      <w:r>
        <w:rPr/>
        <w:t>entorno</w:t>
      </w:r>
      <w:r>
        <w:rPr>
          <w:spacing w:val="70"/>
          <w:w w:val="150"/>
        </w:rPr>
        <w:t> </w:t>
      </w:r>
      <w:r>
        <w:rPr>
          <w:spacing w:val="-2"/>
        </w:rPr>
        <w:t>laboral</w:t>
      </w:r>
    </w:p>
    <w:p>
      <w:pPr>
        <w:pStyle w:val="BodyText"/>
        <w:spacing w:line="360" w:lineRule="auto" w:before="115"/>
        <w:ind w:left="1341" w:right="1337"/>
        <w:jc w:val="both"/>
      </w:pPr>
      <w:r>
        <w:rPr/>
        <w:t>caracterizado por los elevados datos generalizados de absentismo, intensificación</w:t>
      </w:r>
      <w:r>
        <w:rPr>
          <w:spacing w:val="40"/>
        </w:rPr>
        <w:t> </w:t>
      </w:r>
      <w:r>
        <w:rPr/>
        <w:t>promulgación</w:t>
      </w:r>
      <w:r>
        <w:rPr>
          <w:spacing w:val="-2"/>
        </w:rPr>
        <w:t> </w:t>
      </w:r>
      <w:r>
        <w:rPr/>
        <w:t>de normativa laboral</w:t>
      </w:r>
      <w:r>
        <w:rPr>
          <w:spacing w:val="-2"/>
        </w:rPr>
        <w:t> </w:t>
      </w:r>
      <w:r>
        <w:rPr/>
        <w:t>como</w:t>
      </w:r>
      <w:r>
        <w:rPr>
          <w:spacing w:val="-4"/>
        </w:rPr>
        <w:t> </w:t>
      </w:r>
      <w:r>
        <w:rPr/>
        <w:t>la</w:t>
      </w:r>
      <w:r>
        <w:rPr>
          <w:spacing w:val="-4"/>
        </w:rPr>
        <w:t> </w:t>
      </w:r>
      <w:r>
        <w:rPr/>
        <w:t>ampliación de</w:t>
      </w:r>
      <w:r>
        <w:rPr>
          <w:spacing w:val="-4"/>
        </w:rPr>
        <w:t> </w:t>
      </w:r>
      <w:r>
        <w:rPr/>
        <w:t>permisos</w:t>
      </w:r>
      <w:r>
        <w:rPr>
          <w:spacing w:val="-5"/>
        </w:rPr>
        <w:t> </w:t>
      </w:r>
      <w:r>
        <w:rPr/>
        <w:t>retribuidos y</w:t>
      </w:r>
      <w:r>
        <w:rPr>
          <w:spacing w:val="-6"/>
        </w:rPr>
        <w:t> </w:t>
      </w:r>
      <w:r>
        <w:rPr/>
        <w:t>las dificultades para</w:t>
      </w:r>
      <w:r>
        <w:rPr>
          <w:spacing w:val="-3"/>
        </w:rPr>
        <w:t> </w:t>
      </w:r>
      <w:r>
        <w:rPr/>
        <w:t>disponer de</w:t>
      </w:r>
      <w:r>
        <w:rPr>
          <w:spacing w:val="-3"/>
        </w:rPr>
        <w:t> </w:t>
      </w:r>
      <w:r>
        <w:rPr/>
        <w:t>una</w:t>
      </w:r>
      <w:r>
        <w:rPr>
          <w:spacing w:val="-5"/>
        </w:rPr>
        <w:t> </w:t>
      </w:r>
      <w:r>
        <w:rPr/>
        <w:t>bolsa</w:t>
      </w:r>
      <w:r>
        <w:rPr>
          <w:spacing w:val="-3"/>
        </w:rPr>
        <w:t> </w:t>
      </w:r>
      <w:r>
        <w:rPr/>
        <w:t>de</w:t>
      </w:r>
      <w:r>
        <w:rPr>
          <w:spacing w:val="-1"/>
        </w:rPr>
        <w:t> </w:t>
      </w:r>
      <w:r>
        <w:rPr/>
        <w:t>empleo</w:t>
      </w:r>
      <w:r>
        <w:rPr>
          <w:spacing w:val="-1"/>
        </w:rPr>
        <w:t> </w:t>
      </w:r>
      <w:r>
        <w:rPr/>
        <w:t>de</w:t>
      </w:r>
      <w:r>
        <w:rPr>
          <w:spacing w:val="-1"/>
        </w:rPr>
        <w:t> </w:t>
      </w:r>
      <w:r>
        <w:rPr/>
        <w:t>conductores/as</w:t>
      </w:r>
      <w:r>
        <w:rPr>
          <w:spacing w:val="-2"/>
        </w:rPr>
        <w:t> </w:t>
      </w:r>
      <w:r>
        <w:rPr/>
        <w:t>derivado</w:t>
      </w:r>
      <w:r>
        <w:rPr>
          <w:spacing w:val="-1"/>
        </w:rPr>
        <w:t> </w:t>
      </w:r>
      <w:r>
        <w:rPr/>
        <w:t>de</w:t>
      </w:r>
      <w:r>
        <w:rPr>
          <w:spacing w:val="-1"/>
        </w:rPr>
        <w:t> </w:t>
      </w:r>
      <w:r>
        <w:rPr/>
        <w:t>la</w:t>
      </w:r>
      <w:r>
        <w:rPr>
          <w:spacing w:val="-5"/>
        </w:rPr>
        <w:t> </w:t>
      </w:r>
      <w:r>
        <w:rPr/>
        <w:t>reclamación</w:t>
      </w:r>
      <w:r>
        <w:rPr>
          <w:spacing w:val="-1"/>
        </w:rPr>
        <w:t> </w:t>
      </w:r>
      <w:r>
        <w:rPr/>
        <w:t>formulada por un grupo de personas aspirantes.</w:t>
      </w:r>
    </w:p>
    <w:p>
      <w:pPr>
        <w:pStyle w:val="BodyText"/>
        <w:spacing w:before="8"/>
      </w:pPr>
    </w:p>
    <w:p>
      <w:pPr>
        <w:pStyle w:val="BodyText"/>
        <w:spacing w:line="360" w:lineRule="auto"/>
        <w:ind w:left="1341" w:right="1337" w:firstLine="55"/>
        <w:jc w:val="both"/>
      </w:pPr>
      <w:r>
        <w:rPr/>
        <w:t>En 2025 se siguió contratando temporalmente conductores/as-perceptores/as que conformaban la lista extraordinaria y urgente, un total de 84 que unidos a los 83 del año 2024 agotaron esta lista. También se incorporaron 10 nuevos electromecánicos/as en la línea de profesionalización del taller en la que estamos trabajando para dar respuesta a las nuevas demandas de mantenimiento y</w:t>
      </w:r>
      <w:r>
        <w:rPr>
          <w:spacing w:val="-1"/>
        </w:rPr>
        <w:t> </w:t>
      </w:r>
      <w:r>
        <w:rPr/>
        <w:t>reparación por la progresiva incorporación de nuevos vehículos de combustible no fósil, principalmente eléctricos.</w:t>
      </w:r>
    </w:p>
    <w:p>
      <w:pPr>
        <w:pStyle w:val="BodyText"/>
        <w:spacing w:before="11"/>
      </w:pPr>
    </w:p>
    <w:p>
      <w:pPr>
        <w:pStyle w:val="BodyText"/>
        <w:spacing w:before="1"/>
        <w:jc w:val="center"/>
      </w:pPr>
      <w:r>
        <w:rPr/>
        <w:t>Al</w:t>
      </w:r>
      <w:r>
        <w:rPr>
          <w:spacing w:val="59"/>
        </w:rPr>
        <w:t> </w:t>
      </w:r>
      <w:r>
        <w:rPr/>
        <w:t>respecto</w:t>
      </w:r>
      <w:r>
        <w:rPr>
          <w:spacing w:val="64"/>
        </w:rPr>
        <w:t> </w:t>
      </w:r>
      <w:r>
        <w:rPr/>
        <w:t>del</w:t>
      </w:r>
      <w:r>
        <w:rPr>
          <w:spacing w:val="61"/>
        </w:rPr>
        <w:t> </w:t>
      </w:r>
      <w:r>
        <w:rPr/>
        <w:t>proceso</w:t>
      </w:r>
      <w:r>
        <w:rPr>
          <w:spacing w:val="63"/>
        </w:rPr>
        <w:t> </w:t>
      </w:r>
      <w:r>
        <w:rPr/>
        <w:t>selectivo</w:t>
      </w:r>
      <w:r>
        <w:rPr>
          <w:spacing w:val="63"/>
        </w:rPr>
        <w:t> </w:t>
      </w:r>
      <w:r>
        <w:rPr/>
        <w:t>para</w:t>
      </w:r>
      <w:r>
        <w:rPr>
          <w:spacing w:val="61"/>
        </w:rPr>
        <w:t> </w:t>
      </w:r>
      <w:r>
        <w:rPr/>
        <w:t>la</w:t>
      </w:r>
      <w:r>
        <w:rPr>
          <w:spacing w:val="62"/>
        </w:rPr>
        <w:t> </w:t>
      </w:r>
      <w:r>
        <w:rPr/>
        <w:t>constitución</w:t>
      </w:r>
      <w:r>
        <w:rPr>
          <w:spacing w:val="60"/>
        </w:rPr>
        <w:t> </w:t>
      </w:r>
      <w:r>
        <w:rPr/>
        <w:t>de</w:t>
      </w:r>
      <w:r>
        <w:rPr>
          <w:spacing w:val="61"/>
        </w:rPr>
        <w:t> </w:t>
      </w:r>
      <w:r>
        <w:rPr/>
        <w:t>una</w:t>
      </w:r>
      <w:r>
        <w:rPr>
          <w:spacing w:val="64"/>
        </w:rPr>
        <w:t> </w:t>
      </w:r>
      <w:r>
        <w:rPr/>
        <w:t>bolsa</w:t>
      </w:r>
      <w:r>
        <w:rPr>
          <w:spacing w:val="61"/>
        </w:rPr>
        <w:t> </w:t>
      </w:r>
      <w:r>
        <w:rPr/>
        <w:t>de</w:t>
      </w:r>
      <w:r>
        <w:rPr>
          <w:spacing w:val="61"/>
        </w:rPr>
        <w:t> </w:t>
      </w:r>
      <w:r>
        <w:rPr/>
        <w:t>empleo</w:t>
      </w:r>
      <w:r>
        <w:rPr>
          <w:spacing w:val="61"/>
        </w:rPr>
        <w:t> </w:t>
      </w:r>
      <w:r>
        <w:rPr/>
        <w:t>de</w:t>
      </w:r>
      <w:r>
        <w:rPr>
          <w:spacing w:val="64"/>
        </w:rPr>
        <w:t> </w:t>
      </w:r>
      <w:r>
        <w:rPr>
          <w:spacing w:val="-5"/>
        </w:rPr>
        <w:t>350</w:t>
      </w:r>
    </w:p>
    <w:p>
      <w:pPr>
        <w:pStyle w:val="BodyText"/>
        <w:spacing w:before="115"/>
        <w:jc w:val="center"/>
      </w:pPr>
      <w:r>
        <w:rPr/>
        <w:t>aspirantes</w:t>
      </w:r>
      <w:r>
        <w:rPr>
          <w:spacing w:val="31"/>
        </w:rPr>
        <w:t> </w:t>
      </w:r>
      <w:r>
        <w:rPr/>
        <w:t>a</w:t>
      </w:r>
      <w:r>
        <w:rPr>
          <w:spacing w:val="32"/>
        </w:rPr>
        <w:t> </w:t>
      </w:r>
      <w:r>
        <w:rPr/>
        <w:t>conductores/as-perceptores/as</w:t>
      </w:r>
      <w:r>
        <w:rPr>
          <w:spacing w:val="33"/>
        </w:rPr>
        <w:t> </w:t>
      </w:r>
      <w:r>
        <w:rPr/>
        <w:t>(febrero</w:t>
      </w:r>
      <w:r>
        <w:rPr>
          <w:spacing w:val="31"/>
        </w:rPr>
        <w:t> </w:t>
      </w:r>
      <w:r>
        <w:rPr/>
        <w:t>2024)</w:t>
      </w:r>
      <w:r>
        <w:rPr>
          <w:spacing w:val="30"/>
        </w:rPr>
        <w:t> </w:t>
      </w:r>
      <w:r>
        <w:rPr/>
        <w:t>suspendido</w:t>
      </w:r>
      <w:r>
        <w:rPr>
          <w:spacing w:val="33"/>
        </w:rPr>
        <w:t> </w:t>
      </w:r>
      <w:r>
        <w:rPr/>
        <w:t>consencuencia</w:t>
      </w:r>
      <w:r>
        <w:rPr>
          <w:spacing w:val="28"/>
        </w:rPr>
        <w:t> </w:t>
      </w:r>
      <w:r>
        <w:rPr/>
        <w:t>de</w:t>
      </w:r>
      <w:r>
        <w:rPr>
          <w:spacing w:val="33"/>
        </w:rPr>
        <w:t> </w:t>
      </w:r>
      <w:r>
        <w:rPr>
          <w:spacing w:val="-5"/>
        </w:rPr>
        <w:t>la</w:t>
      </w:r>
    </w:p>
    <w:p>
      <w:pPr>
        <w:pStyle w:val="BodyText"/>
        <w:spacing w:after="0"/>
        <w:jc w:val="center"/>
        <w:sectPr>
          <w:pgSz w:w="11910" w:h="16840"/>
          <w:pgMar w:header="384" w:footer="1060" w:top="1200" w:bottom="1260" w:left="360" w:right="360"/>
        </w:sectPr>
      </w:pPr>
    </w:p>
    <w:p>
      <w:pPr>
        <w:pStyle w:val="BodyText"/>
        <w:spacing w:before="215"/>
        <w:ind w:left="2"/>
        <w:jc w:val="center"/>
      </w:pPr>
      <w:r>
        <w:rPr/>
        <w:t>sentencia</w:t>
      </w:r>
      <w:r>
        <w:rPr>
          <w:spacing w:val="6"/>
        </w:rPr>
        <w:t> </w:t>
      </w:r>
      <w:r>
        <w:rPr/>
        <w:t>247/2024</w:t>
      </w:r>
      <w:r>
        <w:rPr>
          <w:spacing w:val="5"/>
        </w:rPr>
        <w:t> </w:t>
      </w:r>
      <w:r>
        <w:rPr/>
        <w:t>del</w:t>
      </w:r>
      <w:r>
        <w:rPr>
          <w:spacing w:val="4"/>
        </w:rPr>
        <w:t> </w:t>
      </w:r>
      <w:r>
        <w:rPr/>
        <w:t>Juzgado</w:t>
      </w:r>
      <w:r>
        <w:rPr>
          <w:spacing w:val="8"/>
        </w:rPr>
        <w:t> </w:t>
      </w:r>
      <w:r>
        <w:rPr/>
        <w:t>de</w:t>
      </w:r>
      <w:r>
        <w:rPr>
          <w:spacing w:val="6"/>
        </w:rPr>
        <w:t> </w:t>
      </w:r>
      <w:r>
        <w:rPr/>
        <w:t>lo</w:t>
      </w:r>
      <w:r>
        <w:rPr>
          <w:spacing w:val="7"/>
        </w:rPr>
        <w:t> </w:t>
      </w:r>
      <w:r>
        <w:rPr/>
        <w:t>Social</w:t>
      </w:r>
      <w:r>
        <w:rPr>
          <w:spacing w:val="8"/>
        </w:rPr>
        <w:t> </w:t>
      </w:r>
      <w:r>
        <w:rPr/>
        <w:t>nº11</w:t>
      </w:r>
      <w:r>
        <w:rPr>
          <w:spacing w:val="5"/>
        </w:rPr>
        <w:t> </w:t>
      </w:r>
      <w:r>
        <w:rPr/>
        <w:t>(autos</w:t>
      </w:r>
      <w:r>
        <w:rPr>
          <w:spacing w:val="8"/>
        </w:rPr>
        <w:t> </w:t>
      </w:r>
      <w:r>
        <w:rPr/>
        <w:t>375/2024)</w:t>
      </w:r>
      <w:r>
        <w:rPr>
          <w:spacing w:val="8"/>
        </w:rPr>
        <w:t> </w:t>
      </w:r>
      <w:r>
        <w:rPr/>
        <w:t>cuyo</w:t>
      </w:r>
      <w:r>
        <w:rPr>
          <w:spacing w:val="7"/>
        </w:rPr>
        <w:t> </w:t>
      </w:r>
      <w:r>
        <w:rPr/>
        <w:t>fallo</w:t>
      </w:r>
      <w:r>
        <w:rPr>
          <w:spacing w:val="4"/>
        </w:rPr>
        <w:t> </w:t>
      </w:r>
      <w:r>
        <w:rPr/>
        <w:t>fue</w:t>
      </w:r>
      <w:r>
        <w:rPr>
          <w:spacing w:val="7"/>
        </w:rPr>
        <w:t> </w:t>
      </w:r>
      <w:r>
        <w:rPr/>
        <w:t>objeto</w:t>
      </w:r>
      <w:r>
        <w:rPr>
          <w:spacing w:val="4"/>
        </w:rPr>
        <w:t> </w:t>
      </w:r>
      <w:r>
        <w:rPr/>
        <w:t>de</w:t>
      </w:r>
      <w:r>
        <w:rPr>
          <w:spacing w:val="5"/>
        </w:rPr>
        <w:t> </w:t>
      </w:r>
      <w:r>
        <w:rPr>
          <w:spacing w:val="-5"/>
        </w:rPr>
        <w:t>la</w:t>
      </w:r>
    </w:p>
    <w:p>
      <w:pPr>
        <w:pStyle w:val="BodyText"/>
        <w:spacing w:before="116"/>
        <w:ind w:left="1"/>
        <w:jc w:val="center"/>
      </w:pPr>
      <w:r>
        <w:rPr/>
        <w:t>presentación</w:t>
      </w:r>
      <w:r>
        <w:rPr>
          <w:spacing w:val="38"/>
        </w:rPr>
        <w:t> </w:t>
      </w:r>
      <w:r>
        <w:rPr/>
        <w:t>del</w:t>
      </w:r>
      <w:r>
        <w:rPr>
          <w:spacing w:val="36"/>
        </w:rPr>
        <w:t> </w:t>
      </w:r>
      <w:r>
        <w:rPr/>
        <w:t>recurso</w:t>
      </w:r>
      <w:r>
        <w:rPr>
          <w:spacing w:val="43"/>
        </w:rPr>
        <w:t> </w:t>
      </w:r>
      <w:r>
        <w:rPr/>
        <w:t>de</w:t>
      </w:r>
      <w:r>
        <w:rPr>
          <w:spacing w:val="40"/>
        </w:rPr>
        <w:t> </w:t>
      </w:r>
      <w:r>
        <w:rPr/>
        <w:t>suplicación</w:t>
      </w:r>
      <w:r>
        <w:rPr>
          <w:spacing w:val="39"/>
        </w:rPr>
        <w:t> </w:t>
      </w:r>
      <w:r>
        <w:rPr/>
        <w:t>ante</w:t>
      </w:r>
      <w:r>
        <w:rPr>
          <w:spacing w:val="40"/>
        </w:rPr>
        <w:t> </w:t>
      </w:r>
      <w:r>
        <w:rPr/>
        <w:t>el</w:t>
      </w:r>
      <w:r>
        <w:rPr>
          <w:spacing w:val="40"/>
        </w:rPr>
        <w:t> </w:t>
      </w:r>
      <w:r>
        <w:rPr/>
        <w:t>Tribunal</w:t>
      </w:r>
      <w:r>
        <w:rPr>
          <w:spacing w:val="38"/>
        </w:rPr>
        <w:t> </w:t>
      </w:r>
      <w:r>
        <w:rPr/>
        <w:t>Superior</w:t>
      </w:r>
      <w:r>
        <w:rPr>
          <w:spacing w:val="40"/>
        </w:rPr>
        <w:t> </w:t>
      </w:r>
      <w:r>
        <w:rPr/>
        <w:t>de</w:t>
      </w:r>
      <w:r>
        <w:rPr>
          <w:spacing w:val="40"/>
        </w:rPr>
        <w:t> </w:t>
      </w:r>
      <w:r>
        <w:rPr/>
        <w:t>Justicia</w:t>
      </w:r>
      <w:r>
        <w:rPr>
          <w:spacing w:val="41"/>
        </w:rPr>
        <w:t> </w:t>
      </w:r>
      <w:r>
        <w:rPr/>
        <w:t>de</w:t>
      </w:r>
      <w:r>
        <w:rPr>
          <w:spacing w:val="39"/>
        </w:rPr>
        <w:t> </w:t>
      </w:r>
      <w:r>
        <w:rPr>
          <w:spacing w:val="-2"/>
        </w:rPr>
        <w:t>Canarias,</w:t>
      </w:r>
    </w:p>
    <w:p>
      <w:pPr>
        <w:pStyle w:val="BodyText"/>
        <w:spacing w:before="113"/>
        <w:jc w:val="center"/>
      </w:pPr>
      <w:r>
        <w:rPr/>
        <w:t>finalmente</w:t>
      </w:r>
      <w:r>
        <w:rPr>
          <w:spacing w:val="40"/>
        </w:rPr>
        <w:t> </w:t>
      </w:r>
      <w:r>
        <w:rPr/>
        <w:t>fue</w:t>
      </w:r>
      <w:r>
        <w:rPr>
          <w:spacing w:val="40"/>
        </w:rPr>
        <w:t> </w:t>
      </w:r>
      <w:r>
        <w:rPr/>
        <w:t>resuelto</w:t>
      </w:r>
      <w:r>
        <w:rPr>
          <w:spacing w:val="41"/>
        </w:rPr>
        <w:t> </w:t>
      </w:r>
      <w:r>
        <w:rPr/>
        <w:t>de</w:t>
      </w:r>
      <w:r>
        <w:rPr>
          <w:spacing w:val="41"/>
        </w:rPr>
        <w:t> </w:t>
      </w:r>
      <w:r>
        <w:rPr/>
        <w:t>manera</w:t>
      </w:r>
      <w:r>
        <w:rPr>
          <w:spacing w:val="41"/>
        </w:rPr>
        <w:t> </w:t>
      </w:r>
      <w:r>
        <w:rPr/>
        <w:t>favorable</w:t>
      </w:r>
      <w:r>
        <w:rPr>
          <w:spacing w:val="39"/>
        </w:rPr>
        <w:t> </w:t>
      </w:r>
      <w:r>
        <w:rPr/>
        <w:t>para</w:t>
      </w:r>
      <w:r>
        <w:rPr>
          <w:spacing w:val="41"/>
        </w:rPr>
        <w:t> </w:t>
      </w:r>
      <w:r>
        <w:rPr/>
        <w:t>la</w:t>
      </w:r>
      <w:r>
        <w:rPr>
          <w:spacing w:val="39"/>
        </w:rPr>
        <w:t> </w:t>
      </w:r>
      <w:r>
        <w:rPr/>
        <w:t>empresa</w:t>
      </w:r>
      <w:r>
        <w:rPr>
          <w:spacing w:val="40"/>
        </w:rPr>
        <w:t> </w:t>
      </w:r>
      <w:r>
        <w:rPr/>
        <w:t>según</w:t>
      </w:r>
      <w:r>
        <w:rPr>
          <w:spacing w:val="40"/>
        </w:rPr>
        <w:t> </w:t>
      </w:r>
      <w:r>
        <w:rPr/>
        <w:t>sentencia</w:t>
      </w:r>
      <w:r>
        <w:rPr>
          <w:spacing w:val="40"/>
        </w:rPr>
        <w:t> </w:t>
      </w:r>
      <w:r>
        <w:rPr>
          <w:spacing w:val="-2"/>
        </w:rPr>
        <w:t>1239/2025.</w:t>
      </w:r>
    </w:p>
    <w:p>
      <w:pPr>
        <w:pStyle w:val="BodyText"/>
        <w:spacing w:line="360" w:lineRule="auto" w:before="116"/>
        <w:ind w:left="1341" w:right="1308"/>
      </w:pPr>
      <w:r>
        <w:rPr/>
        <w:t>Consecuencia de ello se ha reanudado el proceso al inicio del año 2026 con el fin de concretar nuevas contrataciones.</w:t>
      </w:r>
    </w:p>
    <w:p>
      <w:pPr>
        <w:pStyle w:val="BodyText"/>
        <w:spacing w:before="11"/>
      </w:pPr>
    </w:p>
    <w:p>
      <w:pPr>
        <w:pStyle w:val="BodyText"/>
        <w:ind w:left="1"/>
        <w:jc w:val="center"/>
      </w:pPr>
      <w:r>
        <w:rPr/>
        <w:t>En</w:t>
      </w:r>
      <w:r>
        <w:rPr>
          <w:spacing w:val="69"/>
        </w:rPr>
        <w:t> </w:t>
      </w:r>
      <w:r>
        <w:rPr/>
        <w:t>cuanto</w:t>
      </w:r>
      <w:r>
        <w:rPr>
          <w:spacing w:val="71"/>
        </w:rPr>
        <w:t> </w:t>
      </w:r>
      <w:r>
        <w:rPr/>
        <w:t>a</w:t>
      </w:r>
      <w:r>
        <w:rPr>
          <w:spacing w:val="70"/>
        </w:rPr>
        <w:t> </w:t>
      </w:r>
      <w:r>
        <w:rPr/>
        <w:t>la</w:t>
      </w:r>
      <w:r>
        <w:rPr>
          <w:spacing w:val="70"/>
        </w:rPr>
        <w:t> </w:t>
      </w:r>
      <w:r>
        <w:rPr/>
        <w:t>gestión</w:t>
      </w:r>
      <w:r>
        <w:rPr>
          <w:spacing w:val="72"/>
        </w:rPr>
        <w:t> </w:t>
      </w:r>
      <w:r>
        <w:rPr/>
        <w:t>de</w:t>
      </w:r>
      <w:r>
        <w:rPr>
          <w:spacing w:val="71"/>
        </w:rPr>
        <w:t> </w:t>
      </w:r>
      <w:r>
        <w:rPr/>
        <w:t>las</w:t>
      </w:r>
      <w:r>
        <w:rPr>
          <w:spacing w:val="71"/>
        </w:rPr>
        <w:t> </w:t>
      </w:r>
      <w:r>
        <w:rPr/>
        <w:t>relaciones</w:t>
      </w:r>
      <w:r>
        <w:rPr>
          <w:spacing w:val="71"/>
        </w:rPr>
        <w:t> </w:t>
      </w:r>
      <w:r>
        <w:rPr/>
        <w:t>laborales</w:t>
      </w:r>
      <w:r>
        <w:rPr>
          <w:spacing w:val="72"/>
        </w:rPr>
        <w:t> </w:t>
      </w:r>
      <w:r>
        <w:rPr/>
        <w:t>destacamos</w:t>
      </w:r>
      <w:r>
        <w:rPr>
          <w:spacing w:val="71"/>
        </w:rPr>
        <w:t> </w:t>
      </w:r>
      <w:r>
        <w:rPr/>
        <w:t>la</w:t>
      </w:r>
      <w:r>
        <w:rPr>
          <w:spacing w:val="68"/>
        </w:rPr>
        <w:t> </w:t>
      </w:r>
      <w:r>
        <w:rPr/>
        <w:t>continuación</w:t>
      </w:r>
      <w:r>
        <w:rPr>
          <w:spacing w:val="70"/>
        </w:rPr>
        <w:t> </w:t>
      </w:r>
      <w:r>
        <w:rPr/>
        <w:t>de</w:t>
      </w:r>
      <w:r>
        <w:rPr>
          <w:spacing w:val="70"/>
        </w:rPr>
        <w:t> </w:t>
      </w:r>
      <w:r>
        <w:rPr>
          <w:spacing w:val="-5"/>
        </w:rPr>
        <w:t>las</w:t>
      </w:r>
    </w:p>
    <w:p>
      <w:pPr>
        <w:pStyle w:val="BodyText"/>
        <w:spacing w:before="113"/>
        <w:ind w:left="1341"/>
      </w:pPr>
      <w:r>
        <w:rPr/>
        <w:t>negociaciones</w:t>
      </w:r>
      <w:r>
        <w:rPr>
          <w:spacing w:val="-9"/>
        </w:rPr>
        <w:t> </w:t>
      </w:r>
      <w:r>
        <w:rPr/>
        <w:t>del</w:t>
      </w:r>
      <w:r>
        <w:rPr>
          <w:spacing w:val="-10"/>
        </w:rPr>
        <w:t> </w:t>
      </w:r>
      <w:r>
        <w:rPr/>
        <w:t>convenio</w:t>
      </w:r>
      <w:r>
        <w:rPr>
          <w:spacing w:val="-11"/>
        </w:rPr>
        <w:t> </w:t>
      </w:r>
      <w:r>
        <w:rPr>
          <w:spacing w:val="-2"/>
        </w:rPr>
        <w:t>colectivo.</w:t>
      </w:r>
    </w:p>
    <w:p>
      <w:pPr>
        <w:pStyle w:val="BodyText"/>
        <w:spacing w:before="126"/>
      </w:pPr>
    </w:p>
    <w:p>
      <w:pPr>
        <w:pStyle w:val="BodyText"/>
        <w:spacing w:line="360" w:lineRule="auto"/>
        <w:ind w:left="1341" w:right="1337"/>
      </w:pPr>
      <w:r>
        <w:rPr/>
        <w:t>La plantilla ha aumentado en 26 trabajadores y trabajadoras, habiéndose incrementado en 24 conductores/as-perceptores/as,</w:t>
      </w:r>
      <w:r>
        <w:rPr>
          <w:spacing w:val="12"/>
        </w:rPr>
        <w:t> </w:t>
      </w:r>
      <w:r>
        <w:rPr/>
        <w:t>concretamente</w:t>
      </w:r>
      <w:r>
        <w:rPr>
          <w:spacing w:val="14"/>
        </w:rPr>
        <w:t> </w:t>
      </w:r>
      <w:r>
        <w:rPr/>
        <w:t>6</w:t>
      </w:r>
      <w:r>
        <w:rPr>
          <w:spacing w:val="10"/>
        </w:rPr>
        <w:t> </w:t>
      </w:r>
      <w:r>
        <w:rPr/>
        <w:t>hombres</w:t>
      </w:r>
      <w:r>
        <w:rPr>
          <w:spacing w:val="14"/>
        </w:rPr>
        <w:t> </w:t>
      </w:r>
      <w:r>
        <w:rPr/>
        <w:t>y</w:t>
      </w:r>
      <w:r>
        <w:rPr>
          <w:spacing w:val="10"/>
        </w:rPr>
        <w:t> </w:t>
      </w:r>
      <w:r>
        <w:rPr/>
        <w:t>18</w:t>
      </w:r>
      <w:r>
        <w:rPr>
          <w:spacing w:val="12"/>
        </w:rPr>
        <w:t> </w:t>
      </w:r>
      <w:r>
        <w:rPr/>
        <w:t>mujeres,</w:t>
      </w:r>
      <w:r>
        <w:rPr>
          <w:spacing w:val="14"/>
        </w:rPr>
        <w:t> </w:t>
      </w:r>
      <w:r>
        <w:rPr/>
        <w:t>y</w:t>
      </w:r>
      <w:r>
        <w:rPr>
          <w:spacing w:val="9"/>
        </w:rPr>
        <w:t> </w:t>
      </w:r>
      <w:r>
        <w:rPr/>
        <w:t>reducido</w:t>
      </w:r>
      <w:r>
        <w:rPr>
          <w:spacing w:val="15"/>
        </w:rPr>
        <w:t> </w:t>
      </w:r>
      <w:r>
        <w:rPr/>
        <w:t>en</w:t>
      </w:r>
      <w:r>
        <w:rPr>
          <w:spacing w:val="14"/>
        </w:rPr>
        <w:t> </w:t>
      </w:r>
      <w:r>
        <w:rPr/>
        <w:t>1</w:t>
      </w:r>
      <w:r>
        <w:rPr>
          <w:spacing w:val="12"/>
        </w:rPr>
        <w:t> </w:t>
      </w:r>
      <w:r>
        <w:rPr>
          <w:spacing w:val="-4"/>
        </w:rPr>
        <w:t>Jefe</w:t>
      </w:r>
    </w:p>
    <w:p>
      <w:pPr>
        <w:pStyle w:val="BodyText"/>
        <w:spacing w:line="229" w:lineRule="exact"/>
        <w:jc w:val="center"/>
      </w:pPr>
      <w:r>
        <w:rPr/>
        <w:t>de</w:t>
      </w:r>
      <w:r>
        <w:rPr>
          <w:spacing w:val="37"/>
        </w:rPr>
        <w:t> </w:t>
      </w:r>
      <w:r>
        <w:rPr/>
        <w:t>Servicio,</w:t>
      </w:r>
      <w:r>
        <w:rPr>
          <w:spacing w:val="38"/>
        </w:rPr>
        <w:t> </w:t>
      </w:r>
      <w:r>
        <w:rPr/>
        <w:t>1</w:t>
      </w:r>
      <w:r>
        <w:rPr>
          <w:spacing w:val="37"/>
        </w:rPr>
        <w:t> </w:t>
      </w:r>
      <w:r>
        <w:rPr/>
        <w:t>Técnico,</w:t>
      </w:r>
      <w:r>
        <w:rPr>
          <w:spacing w:val="37"/>
        </w:rPr>
        <w:t> </w:t>
      </w:r>
      <w:r>
        <w:rPr/>
        <w:t>2</w:t>
      </w:r>
      <w:r>
        <w:rPr>
          <w:spacing w:val="38"/>
        </w:rPr>
        <w:t> </w:t>
      </w:r>
      <w:r>
        <w:rPr/>
        <w:t>Mandos</w:t>
      </w:r>
      <w:r>
        <w:rPr>
          <w:spacing w:val="38"/>
        </w:rPr>
        <w:t> </w:t>
      </w:r>
      <w:r>
        <w:rPr/>
        <w:t>de</w:t>
      </w:r>
      <w:r>
        <w:rPr>
          <w:spacing w:val="37"/>
        </w:rPr>
        <w:t> </w:t>
      </w:r>
      <w:r>
        <w:rPr/>
        <w:t>Taller</w:t>
      </w:r>
      <w:r>
        <w:rPr>
          <w:spacing w:val="39"/>
        </w:rPr>
        <w:t> </w:t>
      </w:r>
      <w:r>
        <w:rPr/>
        <w:t>y</w:t>
      </w:r>
      <w:r>
        <w:rPr>
          <w:spacing w:val="36"/>
        </w:rPr>
        <w:t> </w:t>
      </w:r>
      <w:r>
        <w:rPr/>
        <w:t>3</w:t>
      </w:r>
      <w:r>
        <w:rPr>
          <w:spacing w:val="36"/>
        </w:rPr>
        <w:t> </w:t>
      </w:r>
      <w:r>
        <w:rPr/>
        <w:t>Mandos</w:t>
      </w:r>
      <w:r>
        <w:rPr>
          <w:spacing w:val="38"/>
        </w:rPr>
        <w:t> </w:t>
      </w:r>
      <w:r>
        <w:rPr/>
        <w:t>de</w:t>
      </w:r>
      <w:r>
        <w:rPr>
          <w:spacing w:val="35"/>
        </w:rPr>
        <w:t> </w:t>
      </w:r>
      <w:r>
        <w:rPr/>
        <w:t>Movimiento.</w:t>
      </w:r>
      <w:r>
        <w:rPr>
          <w:spacing w:val="39"/>
        </w:rPr>
        <w:t> </w:t>
      </w:r>
      <w:r>
        <w:rPr/>
        <w:t>Esto</w:t>
      </w:r>
      <w:r>
        <w:rPr>
          <w:spacing w:val="38"/>
        </w:rPr>
        <w:t> </w:t>
      </w:r>
      <w:r>
        <w:rPr/>
        <w:t>evidencia</w:t>
      </w:r>
      <w:r>
        <w:rPr>
          <w:spacing w:val="35"/>
        </w:rPr>
        <w:t> </w:t>
      </w:r>
      <w:r>
        <w:rPr>
          <w:spacing w:val="-5"/>
        </w:rPr>
        <w:t>la</w:t>
      </w:r>
    </w:p>
    <w:p>
      <w:pPr>
        <w:pStyle w:val="BodyText"/>
        <w:spacing w:before="115"/>
        <w:ind w:left="1"/>
        <w:jc w:val="center"/>
      </w:pPr>
      <w:r>
        <w:rPr/>
        <w:t>continuidad</w:t>
      </w:r>
      <w:r>
        <w:rPr>
          <w:spacing w:val="-4"/>
        </w:rPr>
        <w:t> </w:t>
      </w:r>
      <w:r>
        <w:rPr/>
        <w:t>en</w:t>
      </w:r>
      <w:r>
        <w:rPr>
          <w:spacing w:val="-4"/>
        </w:rPr>
        <w:t> </w:t>
      </w:r>
      <w:r>
        <w:rPr/>
        <w:t>las</w:t>
      </w:r>
      <w:r>
        <w:rPr>
          <w:spacing w:val="-5"/>
        </w:rPr>
        <w:t> </w:t>
      </w:r>
      <w:r>
        <w:rPr/>
        <w:t>contrataciones</w:t>
      </w:r>
      <w:r>
        <w:rPr>
          <w:spacing w:val="-7"/>
        </w:rPr>
        <w:t> </w:t>
      </w:r>
      <w:r>
        <w:rPr/>
        <w:t>realizadas</w:t>
      </w:r>
      <w:r>
        <w:rPr>
          <w:spacing w:val="-5"/>
        </w:rPr>
        <w:t> </w:t>
      </w:r>
      <w:r>
        <w:rPr/>
        <w:t>en</w:t>
      </w:r>
      <w:r>
        <w:rPr>
          <w:spacing w:val="-4"/>
        </w:rPr>
        <w:t> </w:t>
      </w:r>
      <w:r>
        <w:rPr/>
        <w:t>el</w:t>
      </w:r>
      <w:r>
        <w:rPr>
          <w:spacing w:val="-6"/>
        </w:rPr>
        <w:t> </w:t>
      </w:r>
      <w:r>
        <w:rPr/>
        <w:t>año</w:t>
      </w:r>
      <w:r>
        <w:rPr>
          <w:spacing w:val="-4"/>
        </w:rPr>
        <w:t> </w:t>
      </w:r>
      <w:r>
        <w:rPr/>
        <w:t>2025</w:t>
      </w:r>
      <w:r>
        <w:rPr>
          <w:spacing w:val="-6"/>
        </w:rPr>
        <w:t> </w:t>
      </w:r>
      <w:r>
        <w:rPr/>
        <w:t>que,</w:t>
      </w:r>
      <w:r>
        <w:rPr>
          <w:spacing w:val="-4"/>
        </w:rPr>
        <w:t> </w:t>
      </w:r>
      <w:r>
        <w:rPr/>
        <w:t>pese</w:t>
      </w:r>
      <w:r>
        <w:rPr>
          <w:spacing w:val="-6"/>
        </w:rPr>
        <w:t> </w:t>
      </w:r>
      <w:r>
        <w:rPr/>
        <w:t>a</w:t>
      </w:r>
      <w:r>
        <w:rPr>
          <w:spacing w:val="-6"/>
        </w:rPr>
        <w:t> </w:t>
      </w:r>
      <w:r>
        <w:rPr/>
        <w:t>las</w:t>
      </w:r>
      <w:r>
        <w:rPr>
          <w:spacing w:val="-6"/>
        </w:rPr>
        <w:t> </w:t>
      </w:r>
      <w:r>
        <w:rPr/>
        <w:t>bajas</w:t>
      </w:r>
      <w:r>
        <w:rPr>
          <w:spacing w:val="-3"/>
        </w:rPr>
        <w:t> </w:t>
      </w:r>
      <w:r>
        <w:rPr/>
        <w:t>por</w:t>
      </w:r>
      <w:r>
        <w:rPr>
          <w:spacing w:val="-5"/>
        </w:rPr>
        <w:t> </w:t>
      </w:r>
      <w:r>
        <w:rPr>
          <w:spacing w:val="-2"/>
        </w:rPr>
        <w:t>jubilación</w:t>
      </w:r>
    </w:p>
    <w:p>
      <w:pPr>
        <w:pStyle w:val="BodyText"/>
        <w:spacing w:before="116"/>
        <w:ind w:left="2"/>
        <w:jc w:val="center"/>
      </w:pPr>
      <w:r>
        <w:rPr/>
        <w:t>e</w:t>
      </w:r>
      <w:r>
        <w:rPr>
          <w:spacing w:val="45"/>
        </w:rPr>
        <w:t> </w:t>
      </w:r>
      <w:r>
        <w:rPr/>
        <w:t>invalidez</w:t>
      </w:r>
      <w:r>
        <w:rPr>
          <w:spacing w:val="42"/>
        </w:rPr>
        <w:t> </w:t>
      </w:r>
      <w:r>
        <w:rPr/>
        <w:t>permanente,</w:t>
      </w:r>
      <w:r>
        <w:rPr>
          <w:spacing w:val="47"/>
        </w:rPr>
        <w:t> </w:t>
      </w:r>
      <w:r>
        <w:rPr/>
        <w:t>la</w:t>
      </w:r>
      <w:r>
        <w:rPr>
          <w:spacing w:val="46"/>
        </w:rPr>
        <w:t> </w:t>
      </w:r>
      <w:r>
        <w:rPr/>
        <w:t>paralización</w:t>
      </w:r>
      <w:r>
        <w:rPr>
          <w:spacing w:val="45"/>
        </w:rPr>
        <w:t> </w:t>
      </w:r>
      <w:r>
        <w:rPr/>
        <w:t>del</w:t>
      </w:r>
      <w:r>
        <w:rPr>
          <w:spacing w:val="45"/>
        </w:rPr>
        <w:t> </w:t>
      </w:r>
      <w:r>
        <w:rPr/>
        <w:t>proceso</w:t>
      </w:r>
      <w:r>
        <w:rPr>
          <w:spacing w:val="44"/>
        </w:rPr>
        <w:t> </w:t>
      </w:r>
      <w:r>
        <w:rPr/>
        <w:t>selectivo</w:t>
      </w:r>
      <w:r>
        <w:rPr>
          <w:spacing w:val="43"/>
        </w:rPr>
        <w:t> </w:t>
      </w:r>
      <w:r>
        <w:rPr/>
        <w:t>de</w:t>
      </w:r>
      <w:r>
        <w:rPr>
          <w:spacing w:val="44"/>
        </w:rPr>
        <w:t> </w:t>
      </w:r>
      <w:r>
        <w:rPr/>
        <w:t>bolsa</w:t>
      </w:r>
      <w:r>
        <w:rPr>
          <w:spacing w:val="45"/>
        </w:rPr>
        <w:t> </w:t>
      </w:r>
      <w:r>
        <w:rPr/>
        <w:t>de</w:t>
      </w:r>
      <w:r>
        <w:rPr>
          <w:spacing w:val="46"/>
        </w:rPr>
        <w:t> </w:t>
      </w:r>
      <w:r>
        <w:rPr/>
        <w:t>conductores,</w:t>
      </w:r>
      <w:r>
        <w:rPr>
          <w:spacing w:val="44"/>
        </w:rPr>
        <w:t> </w:t>
      </w:r>
      <w:r>
        <w:rPr>
          <w:spacing w:val="-5"/>
        </w:rPr>
        <w:t>el</w:t>
      </w:r>
    </w:p>
    <w:p>
      <w:pPr>
        <w:pStyle w:val="BodyText"/>
        <w:spacing w:line="360" w:lineRule="auto" w:before="116"/>
        <w:ind w:left="1341" w:right="1338"/>
        <w:jc w:val="both"/>
      </w:pPr>
      <w:r>
        <w:rPr/>
        <w:t>balance ha sido positivo al incorporarse a la empresa 97 nuevos empleados/as, de los cuales ochenta y tres (83) fueron personal conductor-perceptor, cuatro (4) del grupo de técnicos y 10 </w:t>
      </w:r>
      <w:r>
        <w:rPr>
          <w:spacing w:val="-2"/>
        </w:rPr>
        <w:t>electromecánicos.</w:t>
      </w:r>
    </w:p>
    <w:p>
      <w:pPr>
        <w:pStyle w:val="BodyText"/>
        <w:spacing w:before="9"/>
      </w:pPr>
    </w:p>
    <w:p>
      <w:pPr>
        <w:pStyle w:val="BodyText"/>
        <w:spacing w:line="360" w:lineRule="auto"/>
        <w:ind w:left="1341" w:right="1337"/>
        <w:jc w:val="both"/>
      </w:pPr>
      <w:r>
        <w:rPr/>
        <w:t>En cuanto al tipo de contratación laboral, durante el año 2025 sigue destacando la</w:t>
      </w:r>
      <w:r>
        <w:rPr>
          <w:spacing w:val="-1"/>
        </w:rPr>
        <w:t> </w:t>
      </w:r>
      <w:r>
        <w:rPr/>
        <w:t>contratación indefinida con un 71,68%. Esto lo hemos conseguido ya que, tras la resolución favorable a la empresa del recurso de suplicación del TSJC autos 375/2024 del JS nº 11, se han podido convertir</w:t>
      </w:r>
      <w:r>
        <w:rPr>
          <w:spacing w:val="-3"/>
        </w:rPr>
        <w:t> </w:t>
      </w:r>
      <w:r>
        <w:rPr/>
        <w:t>contratos</w:t>
      </w:r>
      <w:r>
        <w:rPr>
          <w:spacing w:val="-1"/>
        </w:rPr>
        <w:t> </w:t>
      </w:r>
      <w:r>
        <w:rPr/>
        <w:t>temporales</w:t>
      </w:r>
      <w:r>
        <w:rPr>
          <w:spacing w:val="-2"/>
        </w:rPr>
        <w:t> </w:t>
      </w:r>
      <w:r>
        <w:rPr/>
        <w:t>en indefinidos</w:t>
      </w:r>
      <w:r>
        <w:rPr>
          <w:spacing w:val="-1"/>
        </w:rPr>
        <w:t> </w:t>
      </w:r>
      <w:r>
        <w:rPr/>
        <w:t>conforme</w:t>
      </w:r>
      <w:r>
        <w:rPr>
          <w:spacing w:val="-4"/>
        </w:rPr>
        <w:t> </w:t>
      </w:r>
      <w:r>
        <w:rPr/>
        <w:t>nos</w:t>
      </w:r>
      <w:r>
        <w:rPr>
          <w:spacing w:val="-2"/>
        </w:rPr>
        <w:t> </w:t>
      </w:r>
      <w:r>
        <w:rPr/>
        <w:t>ha</w:t>
      </w:r>
      <w:r>
        <w:rPr>
          <w:spacing w:val="-2"/>
        </w:rPr>
        <w:t> </w:t>
      </w:r>
      <w:r>
        <w:rPr/>
        <w:t>permitido la</w:t>
      </w:r>
      <w:r>
        <w:rPr>
          <w:spacing w:val="-4"/>
        </w:rPr>
        <w:t> </w:t>
      </w:r>
      <w:r>
        <w:rPr/>
        <w:t>Tasa</w:t>
      </w:r>
      <w:r>
        <w:rPr>
          <w:spacing w:val="-4"/>
        </w:rPr>
        <w:t> </w:t>
      </w:r>
      <w:r>
        <w:rPr/>
        <w:t>de</w:t>
      </w:r>
      <w:r>
        <w:rPr>
          <w:spacing w:val="-4"/>
        </w:rPr>
        <w:t> </w:t>
      </w:r>
      <w:r>
        <w:rPr/>
        <w:t>Reposición.</w:t>
      </w:r>
    </w:p>
    <w:p>
      <w:pPr>
        <w:pStyle w:val="BodyText"/>
        <w:spacing w:before="10"/>
      </w:pPr>
    </w:p>
    <w:p>
      <w:pPr>
        <w:pStyle w:val="BodyText"/>
        <w:ind w:left="2"/>
        <w:jc w:val="center"/>
      </w:pPr>
      <w:r>
        <w:rPr/>
        <w:t>Pese</w:t>
      </w:r>
      <w:r>
        <w:rPr>
          <w:spacing w:val="69"/>
          <w:w w:val="150"/>
        </w:rPr>
        <w:t> </w:t>
      </w:r>
      <w:r>
        <w:rPr/>
        <w:t>a</w:t>
      </w:r>
      <w:r>
        <w:rPr>
          <w:spacing w:val="69"/>
          <w:w w:val="150"/>
        </w:rPr>
        <w:t> </w:t>
      </w:r>
      <w:r>
        <w:rPr/>
        <w:t>este</w:t>
      </w:r>
      <w:r>
        <w:rPr>
          <w:spacing w:val="70"/>
          <w:w w:val="150"/>
        </w:rPr>
        <w:t> </w:t>
      </w:r>
      <w:r>
        <w:rPr/>
        <w:t>esfuerzo</w:t>
      </w:r>
      <w:r>
        <w:rPr>
          <w:spacing w:val="74"/>
          <w:w w:val="150"/>
        </w:rPr>
        <w:t> </w:t>
      </w:r>
      <w:r>
        <w:rPr/>
        <w:t>y</w:t>
      </w:r>
      <w:r>
        <w:rPr>
          <w:spacing w:val="71"/>
          <w:w w:val="150"/>
        </w:rPr>
        <w:t> </w:t>
      </w:r>
      <w:r>
        <w:rPr/>
        <w:t>derivado</w:t>
      </w:r>
      <w:r>
        <w:rPr>
          <w:spacing w:val="69"/>
          <w:w w:val="150"/>
        </w:rPr>
        <w:t> </w:t>
      </w:r>
      <w:r>
        <w:rPr/>
        <w:t>de</w:t>
      </w:r>
      <w:r>
        <w:rPr>
          <w:spacing w:val="71"/>
          <w:w w:val="150"/>
        </w:rPr>
        <w:t> </w:t>
      </w:r>
      <w:r>
        <w:rPr/>
        <w:t>la</w:t>
      </w:r>
      <w:r>
        <w:rPr>
          <w:spacing w:val="69"/>
          <w:w w:val="150"/>
        </w:rPr>
        <w:t> </w:t>
      </w:r>
      <w:r>
        <w:rPr/>
        <w:t>incorporación</w:t>
      </w:r>
      <w:r>
        <w:rPr>
          <w:spacing w:val="69"/>
          <w:w w:val="150"/>
        </w:rPr>
        <w:t> </w:t>
      </w:r>
      <w:r>
        <w:rPr/>
        <w:t>de</w:t>
      </w:r>
      <w:r>
        <w:rPr>
          <w:spacing w:val="70"/>
          <w:w w:val="150"/>
        </w:rPr>
        <w:t> </w:t>
      </w:r>
      <w:r>
        <w:rPr/>
        <w:t>un</w:t>
      </w:r>
      <w:r>
        <w:rPr>
          <w:spacing w:val="69"/>
          <w:w w:val="150"/>
        </w:rPr>
        <w:t> </w:t>
      </w:r>
      <w:r>
        <w:rPr/>
        <w:t>número</w:t>
      </w:r>
      <w:r>
        <w:rPr>
          <w:spacing w:val="69"/>
          <w:w w:val="150"/>
        </w:rPr>
        <w:t> </w:t>
      </w:r>
      <w:r>
        <w:rPr/>
        <w:t>importante</w:t>
      </w:r>
      <w:r>
        <w:rPr>
          <w:spacing w:val="69"/>
          <w:w w:val="150"/>
        </w:rPr>
        <w:t> </w:t>
      </w:r>
      <w:r>
        <w:rPr>
          <w:spacing w:val="-5"/>
        </w:rPr>
        <w:t>de</w:t>
      </w:r>
    </w:p>
    <w:p>
      <w:pPr>
        <w:pStyle w:val="BodyText"/>
        <w:spacing w:before="116"/>
        <w:ind w:left="1"/>
        <w:jc w:val="center"/>
      </w:pPr>
      <w:r>
        <w:rPr/>
        <w:t>conductores/as</w:t>
      </w:r>
      <w:r>
        <w:rPr>
          <w:spacing w:val="33"/>
        </w:rPr>
        <w:t> </w:t>
      </w:r>
      <w:r>
        <w:rPr/>
        <w:t>con</w:t>
      </w:r>
      <w:r>
        <w:rPr>
          <w:spacing w:val="33"/>
        </w:rPr>
        <w:t> </w:t>
      </w:r>
      <w:r>
        <w:rPr/>
        <w:t>contrato</w:t>
      </w:r>
      <w:r>
        <w:rPr>
          <w:spacing w:val="34"/>
        </w:rPr>
        <w:t> </w:t>
      </w:r>
      <w:r>
        <w:rPr/>
        <w:t>temporal</w:t>
      </w:r>
      <w:r>
        <w:rPr>
          <w:spacing w:val="31"/>
        </w:rPr>
        <w:t> </w:t>
      </w:r>
      <w:r>
        <w:rPr/>
        <w:t>de</w:t>
      </w:r>
      <w:r>
        <w:rPr>
          <w:spacing w:val="32"/>
        </w:rPr>
        <w:t> </w:t>
      </w:r>
      <w:r>
        <w:rPr/>
        <w:t>la</w:t>
      </w:r>
      <w:r>
        <w:rPr>
          <w:spacing w:val="35"/>
        </w:rPr>
        <w:t> </w:t>
      </w:r>
      <w:r>
        <w:rPr/>
        <w:t>lista</w:t>
      </w:r>
      <w:r>
        <w:rPr>
          <w:spacing w:val="33"/>
        </w:rPr>
        <w:t> </w:t>
      </w:r>
      <w:r>
        <w:rPr/>
        <w:t>extraordinaria</w:t>
      </w:r>
      <w:r>
        <w:rPr>
          <w:spacing w:val="35"/>
        </w:rPr>
        <w:t> </w:t>
      </w:r>
      <w:r>
        <w:rPr/>
        <w:t>y</w:t>
      </w:r>
      <w:r>
        <w:rPr>
          <w:spacing w:val="30"/>
        </w:rPr>
        <w:t> </w:t>
      </w:r>
      <w:r>
        <w:rPr/>
        <w:t>urgente,</w:t>
      </w:r>
      <w:r>
        <w:rPr>
          <w:spacing w:val="34"/>
        </w:rPr>
        <w:t> </w:t>
      </w:r>
      <w:r>
        <w:rPr/>
        <w:t>esta</w:t>
      </w:r>
      <w:r>
        <w:rPr>
          <w:spacing w:val="34"/>
        </w:rPr>
        <w:t> </w:t>
      </w:r>
      <w:r>
        <w:rPr/>
        <w:t>situación</w:t>
      </w:r>
      <w:r>
        <w:rPr>
          <w:spacing w:val="31"/>
        </w:rPr>
        <w:t> </w:t>
      </w:r>
      <w:r>
        <w:rPr>
          <w:spacing w:val="-5"/>
        </w:rPr>
        <w:t>ha</w:t>
      </w:r>
    </w:p>
    <w:p>
      <w:pPr>
        <w:pStyle w:val="BodyText"/>
        <w:spacing w:before="113"/>
        <w:jc w:val="center"/>
      </w:pPr>
      <w:r>
        <w:rPr/>
        <w:t>repercutido</w:t>
      </w:r>
      <w:r>
        <w:rPr>
          <w:spacing w:val="53"/>
        </w:rPr>
        <w:t> </w:t>
      </w:r>
      <w:r>
        <w:rPr/>
        <w:t>en</w:t>
      </w:r>
      <w:r>
        <w:rPr>
          <w:spacing w:val="53"/>
        </w:rPr>
        <w:t> </w:t>
      </w:r>
      <w:r>
        <w:rPr/>
        <w:t>un</w:t>
      </w:r>
      <w:r>
        <w:rPr>
          <w:spacing w:val="53"/>
        </w:rPr>
        <w:t> </w:t>
      </w:r>
      <w:r>
        <w:rPr/>
        <w:t>aumento</w:t>
      </w:r>
      <w:r>
        <w:rPr>
          <w:spacing w:val="54"/>
        </w:rPr>
        <w:t> </w:t>
      </w:r>
      <w:r>
        <w:rPr/>
        <w:t>de</w:t>
      </w:r>
      <w:r>
        <w:rPr>
          <w:spacing w:val="52"/>
        </w:rPr>
        <w:t> </w:t>
      </w:r>
      <w:r>
        <w:rPr/>
        <w:t>la</w:t>
      </w:r>
      <w:r>
        <w:rPr>
          <w:spacing w:val="53"/>
        </w:rPr>
        <w:t> </w:t>
      </w:r>
      <w:r>
        <w:rPr/>
        <w:t>tasa</w:t>
      </w:r>
      <w:r>
        <w:rPr>
          <w:spacing w:val="52"/>
        </w:rPr>
        <w:t> </w:t>
      </w:r>
      <w:r>
        <w:rPr/>
        <w:t>de</w:t>
      </w:r>
      <w:r>
        <w:rPr>
          <w:spacing w:val="54"/>
        </w:rPr>
        <w:t> </w:t>
      </w:r>
      <w:r>
        <w:rPr/>
        <w:t>temporalidad</w:t>
      </w:r>
      <w:r>
        <w:rPr>
          <w:spacing w:val="53"/>
        </w:rPr>
        <w:t> </w:t>
      </w:r>
      <w:r>
        <w:rPr/>
        <w:t>que</w:t>
      </w:r>
      <w:r>
        <w:rPr>
          <w:spacing w:val="53"/>
        </w:rPr>
        <w:t> </w:t>
      </w:r>
      <w:r>
        <w:rPr/>
        <w:t>ha</w:t>
      </w:r>
      <w:r>
        <w:rPr>
          <w:spacing w:val="52"/>
        </w:rPr>
        <w:t> </w:t>
      </w:r>
      <w:r>
        <w:rPr/>
        <w:t>sido</w:t>
      </w:r>
      <w:r>
        <w:rPr>
          <w:spacing w:val="53"/>
        </w:rPr>
        <w:t> </w:t>
      </w:r>
      <w:r>
        <w:rPr/>
        <w:t>del</w:t>
      </w:r>
      <w:r>
        <w:rPr>
          <w:spacing w:val="52"/>
        </w:rPr>
        <w:t> </w:t>
      </w:r>
      <w:r>
        <w:rPr/>
        <w:t>28,32%</w:t>
      </w:r>
      <w:r>
        <w:rPr>
          <w:spacing w:val="53"/>
        </w:rPr>
        <w:t> </w:t>
      </w:r>
      <w:r>
        <w:rPr>
          <w:spacing w:val="-2"/>
        </w:rPr>
        <w:t>(224,88</w:t>
      </w:r>
    </w:p>
    <w:p>
      <w:pPr>
        <w:pStyle w:val="BodyText"/>
        <w:spacing w:line="360" w:lineRule="auto" w:before="116"/>
        <w:ind w:left="1341" w:right="1334"/>
        <w:jc w:val="both"/>
      </w:pPr>
      <w:r>
        <w:rPr/>
        <mc:AlternateContent>
          <mc:Choice Requires="wps">
            <w:drawing>
              <wp:anchor distT="0" distB="0" distL="0" distR="0" allowOverlap="1" layoutInCell="1" locked="0" behindDoc="0" simplePos="0" relativeHeight="15800832">
                <wp:simplePos x="0" y="0"/>
                <wp:positionH relativeFrom="page">
                  <wp:posOffset>6966436</wp:posOffset>
                </wp:positionH>
                <wp:positionV relativeFrom="paragraph">
                  <wp:posOffset>299602</wp:posOffset>
                </wp:positionV>
                <wp:extent cx="263525" cy="327596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3.590742pt;width:20.75pt;height:257.95pt;mso-position-horizontal-relative:page;mso-position-vertical-relative:paragraph;z-index:15800832" type="#_x0000_t202" id="docshape20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temporales en una plantilla media de 794,03), lo que ha significado un incremento de 4,65 puntos con respecto a la del 2024, que se situó en 23,67% (174,57 temporales con respecto a la plantilla media total de 737,63). Este año 2025, a estos efectos, los contratos temporales de los jubilados parciales se han considerado como indefinidos ya que proceden de un contrato </w:t>
      </w:r>
      <w:r>
        <w:rPr>
          <w:spacing w:val="-2"/>
        </w:rPr>
        <w:t>indefinido.</w:t>
      </w:r>
    </w:p>
    <w:p>
      <w:pPr>
        <w:pStyle w:val="BodyText"/>
        <w:spacing w:before="10"/>
      </w:pPr>
    </w:p>
    <w:p>
      <w:pPr>
        <w:pStyle w:val="BodyText"/>
        <w:spacing w:line="360" w:lineRule="auto"/>
        <w:ind w:left="1341" w:right="1335"/>
        <w:jc w:val="both"/>
      </w:pPr>
      <w:r>
        <w:rPr/>
        <w:t>Respecto al absentismo por incapacidad temporal ha disminuido, pasando del 16,04% en el 2024 al 14,22% en el 2025. Durante el 2025 el absentismo bajó en incapacidad temporal por contingencias comunes, produciéndose un ligero aumento</w:t>
      </w:r>
      <w:r>
        <w:rPr>
          <w:spacing w:val="-2"/>
        </w:rPr>
        <w:t> </w:t>
      </w:r>
      <w:r>
        <w:rPr/>
        <w:t>en el</w:t>
      </w:r>
      <w:r>
        <w:rPr>
          <w:spacing w:val="-3"/>
        </w:rPr>
        <w:t> </w:t>
      </w:r>
      <w:r>
        <w:rPr/>
        <w:t>de contingencias profesionales (1,11%).</w:t>
      </w:r>
      <w:r>
        <w:rPr>
          <w:spacing w:val="-5"/>
        </w:rPr>
        <w:t> </w:t>
      </w:r>
      <w:r>
        <w:rPr/>
        <w:t>Seguimos</w:t>
      </w:r>
      <w:r>
        <w:rPr>
          <w:spacing w:val="-6"/>
        </w:rPr>
        <w:t> </w:t>
      </w:r>
      <w:r>
        <w:rPr/>
        <w:t>destacando</w:t>
      </w:r>
      <w:r>
        <w:rPr>
          <w:spacing w:val="-2"/>
        </w:rPr>
        <w:t> </w:t>
      </w:r>
      <w:r>
        <w:rPr/>
        <w:t>en</w:t>
      </w:r>
      <w:r>
        <w:rPr>
          <w:spacing w:val="-5"/>
        </w:rPr>
        <w:t> </w:t>
      </w:r>
      <w:r>
        <w:rPr/>
        <w:t>este</w:t>
      </w:r>
      <w:r>
        <w:rPr>
          <w:spacing w:val="-4"/>
        </w:rPr>
        <w:t> </w:t>
      </w:r>
      <w:r>
        <w:rPr/>
        <w:t>punto</w:t>
      </w:r>
      <w:r>
        <w:rPr>
          <w:spacing w:val="-5"/>
        </w:rPr>
        <w:t> </w:t>
      </w:r>
      <w:r>
        <w:rPr/>
        <w:t>la</w:t>
      </w:r>
      <w:r>
        <w:rPr>
          <w:spacing w:val="-6"/>
        </w:rPr>
        <w:t> </w:t>
      </w:r>
      <w:r>
        <w:rPr/>
        <w:t>imposibilidad</w:t>
      </w:r>
      <w:r>
        <w:rPr>
          <w:spacing w:val="-5"/>
        </w:rPr>
        <w:t> </w:t>
      </w:r>
      <w:r>
        <w:rPr/>
        <w:t>que</w:t>
      </w:r>
      <w:r>
        <w:rPr>
          <w:spacing w:val="-5"/>
        </w:rPr>
        <w:t> </w:t>
      </w:r>
      <w:r>
        <w:rPr/>
        <w:t>nos</w:t>
      </w:r>
      <w:r>
        <w:rPr>
          <w:spacing w:val="-2"/>
        </w:rPr>
        <w:t> </w:t>
      </w:r>
      <w:r>
        <w:rPr/>
        <w:t>encontramos</w:t>
      </w:r>
      <w:r>
        <w:rPr>
          <w:spacing w:val="-5"/>
        </w:rPr>
        <w:t> </w:t>
      </w:r>
      <w:r>
        <w:rPr/>
        <w:t>para</w:t>
      </w:r>
      <w:r>
        <w:rPr>
          <w:spacing w:val="-5"/>
        </w:rPr>
        <w:t> </w:t>
      </w:r>
      <w:r>
        <w:rPr>
          <w:spacing w:val="-2"/>
        </w:rPr>
        <w:t>poder</w:t>
      </w:r>
    </w:p>
    <w:p>
      <w:pPr>
        <w:pStyle w:val="BodyText"/>
        <w:spacing w:before="1"/>
        <w:ind w:right="1"/>
        <w:jc w:val="center"/>
      </w:pPr>
      <w:r>
        <w:rPr/>
        <w:t>reducir</w:t>
      </w:r>
      <w:r>
        <w:rPr>
          <w:spacing w:val="43"/>
        </w:rPr>
        <w:t> </w:t>
      </w:r>
      <w:r>
        <w:rPr/>
        <w:t>los</w:t>
      </w:r>
      <w:r>
        <w:rPr>
          <w:spacing w:val="46"/>
        </w:rPr>
        <w:t> </w:t>
      </w:r>
      <w:r>
        <w:rPr/>
        <w:t>elevados</w:t>
      </w:r>
      <w:r>
        <w:rPr>
          <w:spacing w:val="46"/>
        </w:rPr>
        <w:t> </w:t>
      </w:r>
      <w:r>
        <w:rPr/>
        <w:t>datos</w:t>
      </w:r>
      <w:r>
        <w:rPr>
          <w:spacing w:val="48"/>
        </w:rPr>
        <w:t> </w:t>
      </w:r>
      <w:r>
        <w:rPr/>
        <w:t>de</w:t>
      </w:r>
      <w:r>
        <w:rPr>
          <w:spacing w:val="44"/>
        </w:rPr>
        <w:t> </w:t>
      </w:r>
      <w:r>
        <w:rPr/>
        <w:t>absentismo</w:t>
      </w:r>
      <w:r>
        <w:rPr>
          <w:spacing w:val="43"/>
        </w:rPr>
        <w:t> </w:t>
      </w:r>
      <w:r>
        <w:rPr/>
        <w:t>ya</w:t>
      </w:r>
      <w:r>
        <w:rPr>
          <w:spacing w:val="43"/>
        </w:rPr>
        <w:t> </w:t>
      </w:r>
      <w:r>
        <w:rPr/>
        <w:t>que</w:t>
      </w:r>
      <w:r>
        <w:rPr>
          <w:spacing w:val="43"/>
        </w:rPr>
        <w:t> </w:t>
      </w:r>
      <w:r>
        <w:rPr/>
        <w:t>seguimos</w:t>
      </w:r>
      <w:r>
        <w:rPr>
          <w:spacing w:val="46"/>
        </w:rPr>
        <w:t> </w:t>
      </w:r>
      <w:r>
        <w:rPr/>
        <w:t>dependiendo</w:t>
      </w:r>
      <w:r>
        <w:rPr>
          <w:spacing w:val="45"/>
        </w:rPr>
        <w:t> </w:t>
      </w:r>
      <w:r>
        <w:rPr/>
        <w:t>de</w:t>
      </w:r>
      <w:r>
        <w:rPr>
          <w:spacing w:val="47"/>
        </w:rPr>
        <w:t> </w:t>
      </w:r>
      <w:r>
        <w:rPr/>
        <w:t>los</w:t>
      </w:r>
      <w:r>
        <w:rPr>
          <w:spacing w:val="46"/>
        </w:rPr>
        <w:t> </w:t>
      </w:r>
      <w:r>
        <w:rPr>
          <w:spacing w:val="-2"/>
        </w:rPr>
        <w:t>servicios</w:t>
      </w:r>
    </w:p>
    <w:p>
      <w:pPr>
        <w:pStyle w:val="BodyText"/>
        <w:spacing w:line="362" w:lineRule="auto" w:before="113"/>
        <w:ind w:left="1341" w:right="1333"/>
        <w:jc w:val="both"/>
      </w:pPr>
      <w:r>
        <w:rPr/>
        <w:t>sanitarios públicos, a pesar del adelanto de las pruebas diagnósticas realizadas con cargo a la empresa y del esfuerzo que venimos haciendo con medidas como la de mejora del bienestar y salud de los trabajadores.</w:t>
      </w:r>
    </w:p>
    <w:p>
      <w:pPr>
        <w:pStyle w:val="BodyText"/>
        <w:spacing w:after="0" w:line="362" w:lineRule="auto"/>
        <w:jc w:val="both"/>
        <w:sectPr>
          <w:pgSz w:w="11910" w:h="16840"/>
          <w:pgMar w:header="384" w:footer="1060" w:top="1200" w:bottom="1260" w:left="360" w:right="360"/>
        </w:sectPr>
      </w:pPr>
    </w:p>
    <w:p>
      <w:pPr>
        <w:pStyle w:val="BodyText"/>
        <w:spacing w:line="362" w:lineRule="auto" w:before="215"/>
        <w:ind w:left="1341" w:right="1308"/>
      </w:pPr>
      <w:r>
        <w:rPr/>
        <w:t>Desde</w:t>
      </w:r>
      <w:r>
        <w:rPr>
          <w:spacing w:val="-2"/>
        </w:rPr>
        <w:t> </w:t>
      </w:r>
      <w:r>
        <w:rPr/>
        <w:t>el punto de vista estratégico,</w:t>
      </w:r>
      <w:r>
        <w:rPr>
          <w:spacing w:val="-2"/>
        </w:rPr>
        <w:t> </w:t>
      </w:r>
      <w:r>
        <w:rPr/>
        <w:t>recordamos que seguimos desarrollando</w:t>
      </w:r>
      <w:r>
        <w:rPr>
          <w:spacing w:val="-2"/>
        </w:rPr>
        <w:t> </w:t>
      </w:r>
      <w:r>
        <w:rPr/>
        <w:t>acciones que nos ayuden a alcanzar estos dos objetivos:</w:t>
      </w:r>
    </w:p>
    <w:p>
      <w:pPr>
        <w:pStyle w:val="Heading3"/>
        <w:numPr>
          <w:ilvl w:val="0"/>
          <w:numId w:val="38"/>
        </w:numPr>
        <w:tabs>
          <w:tab w:pos="2059" w:val="left" w:leader="none"/>
        </w:tabs>
        <w:spacing w:line="240" w:lineRule="auto" w:before="194" w:after="0"/>
        <w:ind w:left="2059" w:right="0" w:hanging="358"/>
        <w:jc w:val="left"/>
      </w:pPr>
      <w:r>
        <w:rPr/>
        <w:t>Alinear</w:t>
      </w:r>
      <w:r>
        <w:rPr>
          <w:spacing w:val="54"/>
        </w:rPr>
        <w:t> </w:t>
      </w:r>
      <w:r>
        <w:rPr/>
        <w:t>perfiles,</w:t>
      </w:r>
      <w:r>
        <w:rPr>
          <w:spacing w:val="58"/>
        </w:rPr>
        <w:t> </w:t>
      </w:r>
      <w:r>
        <w:rPr/>
        <w:t>competencias</w:t>
      </w:r>
      <w:r>
        <w:rPr>
          <w:spacing w:val="63"/>
        </w:rPr>
        <w:t> </w:t>
      </w:r>
      <w:r>
        <w:rPr/>
        <w:t>y</w:t>
      </w:r>
      <w:r>
        <w:rPr>
          <w:spacing w:val="54"/>
        </w:rPr>
        <w:t> </w:t>
      </w:r>
      <w:r>
        <w:rPr/>
        <w:t>modelos</w:t>
      </w:r>
      <w:r>
        <w:rPr>
          <w:spacing w:val="57"/>
        </w:rPr>
        <w:t> </w:t>
      </w:r>
      <w:r>
        <w:rPr/>
        <w:t>de</w:t>
      </w:r>
      <w:r>
        <w:rPr>
          <w:spacing w:val="57"/>
        </w:rPr>
        <w:t> </w:t>
      </w:r>
      <w:r>
        <w:rPr/>
        <w:t>organización</w:t>
      </w:r>
      <w:r>
        <w:rPr>
          <w:spacing w:val="59"/>
        </w:rPr>
        <w:t> </w:t>
      </w:r>
      <w:r>
        <w:rPr/>
        <w:t>con</w:t>
      </w:r>
      <w:r>
        <w:rPr>
          <w:spacing w:val="56"/>
        </w:rPr>
        <w:t> </w:t>
      </w:r>
      <w:r>
        <w:rPr/>
        <w:t>la</w:t>
      </w:r>
      <w:r>
        <w:rPr>
          <w:spacing w:val="56"/>
        </w:rPr>
        <w:t> </w:t>
      </w:r>
      <w:r>
        <w:rPr>
          <w:spacing w:val="-2"/>
        </w:rPr>
        <w:t>estrategia.</w:t>
      </w:r>
    </w:p>
    <w:p>
      <w:pPr>
        <w:pStyle w:val="BodyText"/>
        <w:spacing w:before="115"/>
        <w:ind w:left="2061"/>
      </w:pPr>
      <w:r>
        <w:rPr/>
        <w:t>Consiste</w:t>
      </w:r>
      <w:r>
        <w:rPr>
          <w:spacing w:val="58"/>
        </w:rPr>
        <w:t> </w:t>
      </w:r>
      <w:r>
        <w:rPr/>
        <w:t>en</w:t>
      </w:r>
      <w:r>
        <w:rPr>
          <w:spacing w:val="60"/>
        </w:rPr>
        <w:t> </w:t>
      </w:r>
      <w:r>
        <w:rPr/>
        <w:t>incorporar</w:t>
      </w:r>
      <w:r>
        <w:rPr>
          <w:spacing w:val="59"/>
        </w:rPr>
        <w:t> </w:t>
      </w:r>
      <w:r>
        <w:rPr/>
        <w:t>nuevas</w:t>
      </w:r>
      <w:r>
        <w:rPr>
          <w:spacing w:val="60"/>
        </w:rPr>
        <w:t> </w:t>
      </w:r>
      <w:r>
        <w:rPr/>
        <w:t>aportaciones</w:t>
      </w:r>
      <w:r>
        <w:rPr>
          <w:spacing w:val="59"/>
        </w:rPr>
        <w:t> </w:t>
      </w:r>
      <w:r>
        <w:rPr/>
        <w:t>de</w:t>
      </w:r>
      <w:r>
        <w:rPr>
          <w:spacing w:val="58"/>
        </w:rPr>
        <w:t> </w:t>
      </w:r>
      <w:r>
        <w:rPr/>
        <w:t>valor</w:t>
      </w:r>
      <w:r>
        <w:rPr>
          <w:spacing w:val="61"/>
        </w:rPr>
        <w:t> </w:t>
      </w:r>
      <w:r>
        <w:rPr/>
        <w:t>por</w:t>
      </w:r>
      <w:r>
        <w:rPr>
          <w:spacing w:val="61"/>
        </w:rPr>
        <w:t> </w:t>
      </w:r>
      <w:r>
        <w:rPr/>
        <w:t>parte</w:t>
      </w:r>
      <w:r>
        <w:rPr>
          <w:spacing w:val="58"/>
        </w:rPr>
        <w:t> </w:t>
      </w:r>
      <w:r>
        <w:rPr/>
        <w:t>de</w:t>
      </w:r>
      <w:r>
        <w:rPr>
          <w:spacing w:val="60"/>
        </w:rPr>
        <w:t> </w:t>
      </w:r>
      <w:r>
        <w:rPr/>
        <w:t>las</w:t>
      </w:r>
      <w:r>
        <w:rPr>
          <w:spacing w:val="60"/>
        </w:rPr>
        <w:t> </w:t>
      </w:r>
      <w:r>
        <w:rPr>
          <w:spacing w:val="-2"/>
        </w:rPr>
        <w:t>personas,</w:t>
      </w:r>
    </w:p>
    <w:p>
      <w:pPr>
        <w:pStyle w:val="BodyText"/>
        <w:spacing w:before="116"/>
        <w:ind w:left="2061"/>
      </w:pPr>
      <w:r>
        <w:rPr/>
        <w:t>apoyadas</w:t>
      </w:r>
      <w:r>
        <w:rPr>
          <w:spacing w:val="21"/>
        </w:rPr>
        <w:t> </w:t>
      </w:r>
      <w:r>
        <w:rPr/>
        <w:t>en</w:t>
      </w:r>
      <w:r>
        <w:rPr>
          <w:spacing w:val="19"/>
        </w:rPr>
        <w:t> </w:t>
      </w:r>
      <w:r>
        <w:rPr/>
        <w:t>el</w:t>
      </w:r>
      <w:r>
        <w:rPr>
          <w:spacing w:val="20"/>
        </w:rPr>
        <w:t> </w:t>
      </w:r>
      <w:r>
        <w:rPr/>
        <w:t>uso</w:t>
      </w:r>
      <w:r>
        <w:rPr>
          <w:spacing w:val="22"/>
        </w:rPr>
        <w:t> </w:t>
      </w:r>
      <w:r>
        <w:rPr/>
        <w:t>de</w:t>
      </w:r>
      <w:r>
        <w:rPr>
          <w:spacing w:val="18"/>
        </w:rPr>
        <w:t> </w:t>
      </w:r>
      <w:r>
        <w:rPr/>
        <w:t>la</w:t>
      </w:r>
      <w:r>
        <w:rPr>
          <w:spacing w:val="21"/>
        </w:rPr>
        <w:t> </w:t>
      </w:r>
      <w:r>
        <w:rPr/>
        <w:t>tecnología</w:t>
      </w:r>
      <w:r>
        <w:rPr>
          <w:spacing w:val="21"/>
        </w:rPr>
        <w:t> </w:t>
      </w:r>
      <w:r>
        <w:rPr/>
        <w:t>y</w:t>
      </w:r>
      <w:r>
        <w:rPr>
          <w:spacing w:val="17"/>
        </w:rPr>
        <w:t> </w:t>
      </w:r>
      <w:r>
        <w:rPr/>
        <w:t>en</w:t>
      </w:r>
      <w:r>
        <w:rPr>
          <w:spacing w:val="22"/>
        </w:rPr>
        <w:t> </w:t>
      </w:r>
      <w:r>
        <w:rPr/>
        <w:t>la</w:t>
      </w:r>
      <w:r>
        <w:rPr>
          <w:spacing w:val="21"/>
        </w:rPr>
        <w:t> </w:t>
      </w:r>
      <w:r>
        <w:rPr/>
        <w:t>revisión</w:t>
      </w:r>
      <w:r>
        <w:rPr>
          <w:spacing w:val="22"/>
        </w:rPr>
        <w:t> </w:t>
      </w:r>
      <w:r>
        <w:rPr/>
        <w:t>de</w:t>
      </w:r>
      <w:r>
        <w:rPr>
          <w:spacing w:val="21"/>
        </w:rPr>
        <w:t> </w:t>
      </w:r>
      <w:r>
        <w:rPr/>
        <w:t>cómo</w:t>
      </w:r>
      <w:r>
        <w:rPr>
          <w:spacing w:val="18"/>
        </w:rPr>
        <w:t> </w:t>
      </w:r>
      <w:r>
        <w:rPr/>
        <w:t>estamos</w:t>
      </w:r>
      <w:r>
        <w:rPr>
          <w:spacing w:val="21"/>
        </w:rPr>
        <w:t> </w:t>
      </w:r>
      <w:r>
        <w:rPr/>
        <w:t>haciendo</w:t>
      </w:r>
      <w:r>
        <w:rPr>
          <w:spacing w:val="20"/>
        </w:rPr>
        <w:t> </w:t>
      </w:r>
      <w:r>
        <w:rPr>
          <w:spacing w:val="-5"/>
        </w:rPr>
        <w:t>las</w:t>
      </w:r>
    </w:p>
    <w:p>
      <w:pPr>
        <w:pStyle w:val="BodyText"/>
        <w:spacing w:after="0"/>
        <w:sectPr>
          <w:pgSz w:w="11910" w:h="16840"/>
          <w:pgMar w:header="384" w:footer="1060" w:top="1200" w:bottom="1260" w:left="360" w:right="360"/>
        </w:sectPr>
      </w:pPr>
    </w:p>
    <w:p>
      <w:pPr>
        <w:pStyle w:val="BodyText"/>
        <w:spacing w:before="116"/>
        <w:ind w:left="2061"/>
      </w:pPr>
      <w:r>
        <w:rPr/>
        <w:t>cosas</w:t>
      </w:r>
      <w:r>
        <w:rPr>
          <w:spacing w:val="50"/>
        </w:rPr>
        <w:t> </w:t>
      </w:r>
      <w:r>
        <w:rPr/>
        <w:t>para</w:t>
      </w:r>
      <w:r>
        <w:rPr>
          <w:spacing w:val="49"/>
        </w:rPr>
        <w:t> </w:t>
      </w:r>
      <w:r>
        <w:rPr>
          <w:spacing w:val="-2"/>
        </w:rPr>
        <w:t>“trabajar</w:t>
      </w:r>
    </w:p>
    <w:p>
      <w:pPr>
        <w:pStyle w:val="BodyText"/>
        <w:spacing w:before="116"/>
        <w:ind w:left="75"/>
      </w:pPr>
      <w:r>
        <w:rPr/>
        <w:br w:type="column"/>
      </w:r>
      <w:r>
        <w:rPr/>
        <w:t>mejor”</w:t>
      </w:r>
      <w:r>
        <w:rPr>
          <w:spacing w:val="48"/>
        </w:rPr>
        <w:t> </w:t>
      </w:r>
      <w:r>
        <w:rPr/>
        <w:t>y</w:t>
      </w:r>
      <w:r>
        <w:rPr>
          <w:spacing w:val="43"/>
        </w:rPr>
        <w:t> </w:t>
      </w:r>
      <w:r>
        <w:rPr/>
        <w:t>disponer</w:t>
      </w:r>
      <w:r>
        <w:rPr>
          <w:spacing w:val="47"/>
        </w:rPr>
        <w:t> </w:t>
      </w:r>
      <w:r>
        <w:rPr/>
        <w:t>periódicamente</w:t>
      </w:r>
      <w:r>
        <w:rPr>
          <w:spacing w:val="47"/>
        </w:rPr>
        <w:t> </w:t>
      </w:r>
      <w:r>
        <w:rPr/>
        <w:t>de</w:t>
      </w:r>
      <w:r>
        <w:rPr>
          <w:spacing w:val="49"/>
        </w:rPr>
        <w:t> </w:t>
      </w:r>
      <w:r>
        <w:rPr>
          <w:spacing w:val="-4"/>
        </w:rPr>
        <w:t>datos</w:t>
      </w:r>
    </w:p>
    <w:p>
      <w:pPr>
        <w:pStyle w:val="BodyText"/>
        <w:spacing w:before="116"/>
        <w:ind w:left="71"/>
      </w:pPr>
      <w:r>
        <w:rPr/>
        <w:br w:type="column"/>
      </w:r>
      <w:r>
        <w:rPr/>
        <w:t>que</w:t>
      </w:r>
      <w:r>
        <w:rPr>
          <w:spacing w:val="48"/>
        </w:rPr>
        <w:t> </w:t>
      </w:r>
      <w:r>
        <w:rPr>
          <w:spacing w:val="-2"/>
        </w:rPr>
        <w:t>fundamenten</w:t>
      </w:r>
    </w:p>
    <w:p>
      <w:pPr>
        <w:pStyle w:val="BodyText"/>
        <w:spacing w:after="0"/>
        <w:sectPr>
          <w:type w:val="continuous"/>
          <w:pgSz w:w="11910" w:h="16840"/>
          <w:pgMar w:header="384" w:footer="1060" w:top="1700" w:bottom="1040" w:left="360" w:right="360"/>
          <w:cols w:num="3" w:equalWidth="0">
            <w:col w:w="3947" w:space="40"/>
            <w:col w:w="4138" w:space="39"/>
            <w:col w:w="3026"/>
          </w:cols>
        </w:sectPr>
      </w:pPr>
    </w:p>
    <w:p>
      <w:pPr>
        <w:pStyle w:val="BodyText"/>
        <w:spacing w:line="357" w:lineRule="auto" w:before="115"/>
        <w:ind w:left="2061" w:right="1340"/>
        <w:jc w:val="both"/>
      </w:pPr>
      <w:r>
        <w:rPr/>
        <mc:AlternateContent>
          <mc:Choice Requires="wps">
            <w:drawing>
              <wp:anchor distT="0" distB="0" distL="0" distR="0" allowOverlap="1" layoutInCell="1" locked="0" behindDoc="0" simplePos="0" relativeHeight="15801344">
                <wp:simplePos x="0" y="0"/>
                <wp:positionH relativeFrom="page">
                  <wp:posOffset>6966436</wp:posOffset>
                </wp:positionH>
                <wp:positionV relativeFrom="page">
                  <wp:posOffset>6553363</wp:posOffset>
                </wp:positionV>
                <wp:extent cx="263525" cy="327596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1344" type="#_x0000_t202" id="docshape20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decisiones para anticiparnos a</w:t>
      </w:r>
      <w:r>
        <w:rPr>
          <w:spacing w:val="-2"/>
        </w:rPr>
        <w:t> </w:t>
      </w:r>
      <w:r>
        <w:rPr/>
        <w:t>nuevas necesidades y/o previsión de problemas,</w:t>
      </w:r>
      <w:r>
        <w:rPr>
          <w:spacing w:val="-4"/>
        </w:rPr>
        <w:t> </w:t>
      </w:r>
      <w:r>
        <w:rPr/>
        <w:t>ante la realidad cambiante e incierta.</w:t>
      </w:r>
    </w:p>
    <w:p>
      <w:pPr>
        <w:pStyle w:val="ListParagraph"/>
        <w:numPr>
          <w:ilvl w:val="0"/>
          <w:numId w:val="38"/>
        </w:numPr>
        <w:tabs>
          <w:tab w:pos="2059" w:val="left" w:leader="none"/>
          <w:tab w:pos="2061" w:val="left" w:leader="none"/>
        </w:tabs>
        <w:spacing w:line="362" w:lineRule="auto" w:before="1" w:after="0"/>
        <w:ind w:left="2061" w:right="1332" w:hanging="360"/>
        <w:jc w:val="both"/>
        <w:rPr>
          <w:sz w:val="20"/>
        </w:rPr>
      </w:pPr>
      <w:r>
        <w:rPr>
          <w:b/>
          <w:sz w:val="20"/>
        </w:rPr>
        <w:t>Desplegar un modelo de cultura colaborativa y comunicación ágil. </w:t>
      </w:r>
      <w:r>
        <w:rPr>
          <w:sz w:val="20"/>
        </w:rPr>
        <w:t>Consiste en identificar e incorporar prácticas organizativas y de comunicación que facilite las relaciones personales en el contexto laboral y promueva equipos de trabajo eficaces y eficientes, en los departamentos y entre los departamentos, para la generación</w:t>
      </w:r>
      <w:r>
        <w:rPr>
          <w:spacing w:val="40"/>
          <w:sz w:val="20"/>
        </w:rPr>
        <w:t> </w:t>
      </w:r>
      <w:r>
        <w:rPr>
          <w:sz w:val="20"/>
        </w:rPr>
        <w:t>continúa de valor y talento a través del conocimiento y experiencias compartidas.</w:t>
      </w:r>
    </w:p>
    <w:p>
      <w:pPr>
        <w:pStyle w:val="ListParagraph"/>
        <w:spacing w:after="0" w:line="362" w:lineRule="auto"/>
        <w:jc w:val="both"/>
        <w:rPr>
          <w:sz w:val="20"/>
        </w:rPr>
        <w:sectPr>
          <w:type w:val="continuous"/>
          <w:pgSz w:w="11910" w:h="16840"/>
          <w:pgMar w:header="384" w:footer="1060" w:top="1700" w:bottom="1040" w:left="360" w:right="360"/>
        </w:sectPr>
      </w:pPr>
    </w:p>
    <w:p>
      <w:pPr>
        <w:pStyle w:val="Heading3"/>
        <w:numPr>
          <w:ilvl w:val="1"/>
          <w:numId w:val="31"/>
        </w:numPr>
        <w:tabs>
          <w:tab w:pos="1673" w:val="left" w:leader="none"/>
        </w:tabs>
        <w:spacing w:line="240" w:lineRule="auto" w:before="215" w:after="0"/>
        <w:ind w:left="1673" w:right="0" w:hanging="332"/>
        <w:jc w:val="left"/>
      </w:pPr>
      <w:bookmarkStart w:name="_TOC_250028" w:id="24"/>
      <w:bookmarkEnd w:id="24"/>
      <w:r>
        <w:rPr>
          <w:spacing w:val="-2"/>
        </w:rPr>
        <w:t>Empleo</w:t>
      </w:r>
    </w:p>
    <w:p>
      <w:pPr>
        <w:pStyle w:val="BodyText"/>
        <w:spacing w:before="44"/>
        <w:rPr>
          <w:b/>
        </w:rPr>
      </w:pPr>
    </w:p>
    <w:p>
      <w:pPr>
        <w:pStyle w:val="BodyText"/>
        <w:spacing w:line="362" w:lineRule="auto"/>
        <w:ind w:left="1341" w:right="1308"/>
      </w:pPr>
      <w:r>
        <w:rPr/>
        <w:t>En</w:t>
      </w:r>
      <w:r>
        <w:rPr>
          <w:spacing w:val="21"/>
        </w:rPr>
        <w:t> </w:t>
      </w:r>
      <w:r>
        <w:rPr/>
        <w:t>cuanto</w:t>
      </w:r>
      <w:r>
        <w:rPr>
          <w:spacing w:val="21"/>
        </w:rPr>
        <w:t> </w:t>
      </w:r>
      <w:r>
        <w:rPr/>
        <w:t>al</w:t>
      </w:r>
      <w:r>
        <w:rPr>
          <w:spacing w:val="21"/>
        </w:rPr>
        <w:t> </w:t>
      </w:r>
      <w:r>
        <w:rPr/>
        <w:t>capital</w:t>
      </w:r>
      <w:r>
        <w:rPr>
          <w:spacing w:val="19"/>
        </w:rPr>
        <w:t> </w:t>
      </w:r>
      <w:r>
        <w:rPr/>
        <w:t>humano,</w:t>
      </w:r>
      <w:r>
        <w:rPr>
          <w:spacing w:val="21"/>
        </w:rPr>
        <w:t> </w:t>
      </w:r>
      <w:r>
        <w:rPr/>
        <w:t>GMSA</w:t>
      </w:r>
      <w:r>
        <w:rPr>
          <w:spacing w:val="21"/>
        </w:rPr>
        <w:t> </w:t>
      </w:r>
      <w:r>
        <w:rPr/>
        <w:t>cuenta</w:t>
      </w:r>
      <w:r>
        <w:rPr>
          <w:spacing w:val="21"/>
        </w:rPr>
        <w:t> </w:t>
      </w:r>
      <w:r>
        <w:rPr/>
        <w:t>con</w:t>
      </w:r>
      <w:r>
        <w:rPr>
          <w:spacing w:val="19"/>
        </w:rPr>
        <w:t> </w:t>
      </w:r>
      <w:r>
        <w:rPr/>
        <w:t>una</w:t>
      </w:r>
      <w:r>
        <w:rPr>
          <w:spacing w:val="21"/>
        </w:rPr>
        <w:t> </w:t>
      </w:r>
      <w:r>
        <w:rPr/>
        <w:t>plantilla</w:t>
      </w:r>
      <w:r>
        <w:rPr>
          <w:spacing w:val="19"/>
        </w:rPr>
        <w:t> </w:t>
      </w:r>
      <w:r>
        <w:rPr/>
        <w:t>a</w:t>
      </w:r>
      <w:r>
        <w:rPr>
          <w:spacing w:val="19"/>
        </w:rPr>
        <w:t> </w:t>
      </w:r>
      <w:r>
        <w:rPr/>
        <w:t>31</w:t>
      </w:r>
      <w:r>
        <w:rPr>
          <w:spacing w:val="21"/>
        </w:rPr>
        <w:t> </w:t>
      </w:r>
      <w:r>
        <w:rPr/>
        <w:t>de</w:t>
      </w:r>
      <w:r>
        <w:rPr>
          <w:spacing w:val="21"/>
        </w:rPr>
        <w:t> </w:t>
      </w:r>
      <w:r>
        <w:rPr/>
        <w:t>diciembre</w:t>
      </w:r>
      <w:r>
        <w:rPr>
          <w:spacing w:val="19"/>
        </w:rPr>
        <w:t> </w:t>
      </w:r>
      <w:r>
        <w:rPr/>
        <w:t>de</w:t>
      </w:r>
      <w:r>
        <w:rPr>
          <w:spacing w:val="21"/>
        </w:rPr>
        <w:t> </w:t>
      </w:r>
      <w:r>
        <w:rPr/>
        <w:t>2025,</w:t>
      </w:r>
      <w:r>
        <w:rPr>
          <w:spacing w:val="21"/>
        </w:rPr>
        <w:t> </w:t>
      </w:r>
      <w:r>
        <w:rPr/>
        <w:t>de 840 empleados/as, distribuidos de la siguiente forma:</w:t>
      </w:r>
    </w:p>
    <w:p>
      <w:pPr>
        <w:pStyle w:val="BodyText"/>
        <w:spacing w:before="3" w:after="1"/>
        <w:rPr>
          <w:sz w:val="17"/>
        </w:rPr>
      </w:pPr>
    </w:p>
    <w:tbl>
      <w:tblPr>
        <w:tblW w:w="0" w:type="auto"/>
        <w:jc w:val="left"/>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2145"/>
        <w:gridCol w:w="909"/>
        <w:gridCol w:w="751"/>
        <w:gridCol w:w="873"/>
        <w:gridCol w:w="899"/>
        <w:gridCol w:w="899"/>
        <w:gridCol w:w="719"/>
      </w:tblGrid>
      <w:tr>
        <w:trPr>
          <w:trHeight w:val="1026" w:hRule="atLeast"/>
        </w:trPr>
        <w:tc>
          <w:tcPr>
            <w:tcW w:w="1267" w:type="dxa"/>
            <w:shd w:val="clear" w:color="auto" w:fill="D9D9D9"/>
          </w:tcPr>
          <w:p>
            <w:pPr>
              <w:pStyle w:val="TableParagraph"/>
              <w:rPr>
                <w:sz w:val="12"/>
              </w:rPr>
            </w:pPr>
          </w:p>
          <w:p>
            <w:pPr>
              <w:pStyle w:val="TableParagraph"/>
              <w:spacing w:before="129"/>
              <w:rPr>
                <w:sz w:val="12"/>
              </w:rPr>
            </w:pPr>
          </w:p>
          <w:p>
            <w:pPr>
              <w:pStyle w:val="TableParagraph"/>
              <w:ind w:left="7"/>
              <w:jc w:val="center"/>
              <w:rPr>
                <w:b/>
                <w:sz w:val="12"/>
              </w:rPr>
            </w:pPr>
            <w:r>
              <w:rPr>
                <w:b/>
                <w:spacing w:val="-2"/>
                <w:sz w:val="12"/>
              </w:rPr>
              <w:t>GRUPO</w:t>
            </w:r>
          </w:p>
        </w:tc>
        <w:tc>
          <w:tcPr>
            <w:tcW w:w="2145" w:type="dxa"/>
            <w:shd w:val="clear" w:color="auto" w:fill="D9D9D9"/>
          </w:tcPr>
          <w:p>
            <w:pPr>
              <w:pStyle w:val="TableParagraph"/>
              <w:rPr>
                <w:sz w:val="12"/>
              </w:rPr>
            </w:pPr>
          </w:p>
          <w:p>
            <w:pPr>
              <w:pStyle w:val="TableParagraph"/>
              <w:spacing w:before="129"/>
              <w:rPr>
                <w:sz w:val="12"/>
              </w:rPr>
            </w:pPr>
          </w:p>
          <w:p>
            <w:pPr>
              <w:pStyle w:val="TableParagraph"/>
              <w:ind w:left="22" w:right="20"/>
              <w:jc w:val="center"/>
              <w:rPr>
                <w:b/>
                <w:sz w:val="12"/>
              </w:rPr>
            </w:pPr>
            <w:r>
              <w:rPr>
                <w:b/>
                <w:spacing w:val="-2"/>
                <w:sz w:val="12"/>
              </w:rPr>
              <w:t>NIVEL</w:t>
            </w:r>
          </w:p>
        </w:tc>
        <w:tc>
          <w:tcPr>
            <w:tcW w:w="909" w:type="dxa"/>
            <w:shd w:val="clear" w:color="auto" w:fill="D7D7D7"/>
          </w:tcPr>
          <w:p>
            <w:pPr>
              <w:pStyle w:val="TableParagraph"/>
              <w:rPr>
                <w:sz w:val="12"/>
              </w:rPr>
            </w:pPr>
          </w:p>
          <w:p>
            <w:pPr>
              <w:pStyle w:val="TableParagraph"/>
              <w:spacing w:before="129"/>
              <w:rPr>
                <w:sz w:val="12"/>
              </w:rPr>
            </w:pPr>
          </w:p>
          <w:p>
            <w:pPr>
              <w:pStyle w:val="TableParagraph"/>
              <w:ind w:left="16" w:right="9"/>
              <w:jc w:val="center"/>
              <w:rPr>
                <w:b/>
                <w:sz w:val="12"/>
              </w:rPr>
            </w:pPr>
            <w:r>
              <w:rPr>
                <w:b/>
                <w:spacing w:val="-2"/>
                <w:sz w:val="12"/>
              </w:rPr>
              <w:t>NÚMERO</w:t>
            </w:r>
          </w:p>
        </w:tc>
        <w:tc>
          <w:tcPr>
            <w:tcW w:w="751" w:type="dxa"/>
            <w:shd w:val="clear" w:color="auto" w:fill="D7D7D7"/>
          </w:tcPr>
          <w:p>
            <w:pPr>
              <w:pStyle w:val="TableParagraph"/>
              <w:rPr>
                <w:sz w:val="12"/>
              </w:rPr>
            </w:pPr>
          </w:p>
          <w:p>
            <w:pPr>
              <w:pStyle w:val="TableParagraph"/>
              <w:spacing w:before="129"/>
              <w:rPr>
                <w:sz w:val="12"/>
              </w:rPr>
            </w:pPr>
          </w:p>
          <w:p>
            <w:pPr>
              <w:pStyle w:val="TableParagraph"/>
              <w:ind w:left="11"/>
              <w:jc w:val="center"/>
              <w:rPr>
                <w:b/>
                <w:sz w:val="12"/>
              </w:rPr>
            </w:pPr>
            <w:r>
              <w:rPr>
                <w:b/>
                <w:spacing w:val="-10"/>
                <w:sz w:val="12"/>
              </w:rPr>
              <w:t>%</w:t>
            </w:r>
          </w:p>
        </w:tc>
        <w:tc>
          <w:tcPr>
            <w:tcW w:w="873" w:type="dxa"/>
            <w:shd w:val="clear" w:color="auto" w:fill="D7D7D7"/>
          </w:tcPr>
          <w:p>
            <w:pPr>
              <w:pStyle w:val="TableParagraph"/>
              <w:rPr>
                <w:sz w:val="12"/>
              </w:rPr>
            </w:pPr>
          </w:p>
          <w:p>
            <w:pPr>
              <w:pStyle w:val="TableParagraph"/>
              <w:spacing w:before="129"/>
              <w:rPr>
                <w:sz w:val="12"/>
              </w:rPr>
            </w:pPr>
          </w:p>
          <w:p>
            <w:pPr>
              <w:pStyle w:val="TableParagraph"/>
              <w:ind w:left="56" w:right="44"/>
              <w:jc w:val="center"/>
              <w:rPr>
                <w:b/>
                <w:sz w:val="12"/>
              </w:rPr>
            </w:pPr>
            <w:r>
              <w:rPr>
                <w:b/>
                <w:spacing w:val="-2"/>
                <w:sz w:val="12"/>
              </w:rPr>
              <w:t>HOMBRES</w:t>
            </w:r>
          </w:p>
        </w:tc>
        <w:tc>
          <w:tcPr>
            <w:tcW w:w="899" w:type="dxa"/>
            <w:shd w:val="clear" w:color="auto" w:fill="D7D7D7"/>
          </w:tcPr>
          <w:p>
            <w:pPr>
              <w:pStyle w:val="TableParagraph"/>
              <w:rPr>
                <w:sz w:val="12"/>
              </w:rPr>
            </w:pPr>
          </w:p>
          <w:p>
            <w:pPr>
              <w:pStyle w:val="TableParagraph"/>
              <w:spacing w:before="129"/>
              <w:rPr>
                <w:sz w:val="12"/>
              </w:rPr>
            </w:pPr>
          </w:p>
          <w:p>
            <w:pPr>
              <w:pStyle w:val="TableParagraph"/>
              <w:ind w:left="15" w:right="2"/>
              <w:jc w:val="center"/>
              <w:rPr>
                <w:b/>
                <w:sz w:val="12"/>
              </w:rPr>
            </w:pPr>
            <w:r>
              <w:rPr>
                <w:b/>
                <w:spacing w:val="-10"/>
                <w:sz w:val="12"/>
              </w:rPr>
              <w:t>%</w:t>
            </w:r>
          </w:p>
        </w:tc>
        <w:tc>
          <w:tcPr>
            <w:tcW w:w="899" w:type="dxa"/>
            <w:shd w:val="clear" w:color="auto" w:fill="D7D7D7"/>
          </w:tcPr>
          <w:p>
            <w:pPr>
              <w:pStyle w:val="TableParagraph"/>
              <w:rPr>
                <w:sz w:val="12"/>
              </w:rPr>
            </w:pPr>
          </w:p>
          <w:p>
            <w:pPr>
              <w:pStyle w:val="TableParagraph"/>
              <w:spacing w:before="129"/>
              <w:rPr>
                <w:sz w:val="12"/>
              </w:rPr>
            </w:pPr>
          </w:p>
          <w:p>
            <w:pPr>
              <w:pStyle w:val="TableParagraph"/>
              <w:ind w:left="15" w:right="3"/>
              <w:jc w:val="center"/>
              <w:rPr>
                <w:b/>
                <w:sz w:val="12"/>
              </w:rPr>
            </w:pPr>
            <w:r>
              <w:rPr>
                <w:b/>
                <w:spacing w:val="-2"/>
                <w:sz w:val="12"/>
              </w:rPr>
              <w:t>MUJERES</w:t>
            </w:r>
          </w:p>
        </w:tc>
        <w:tc>
          <w:tcPr>
            <w:tcW w:w="719" w:type="dxa"/>
            <w:shd w:val="clear" w:color="auto" w:fill="D7D7D7"/>
          </w:tcPr>
          <w:p>
            <w:pPr>
              <w:pStyle w:val="TableParagraph"/>
              <w:rPr>
                <w:sz w:val="12"/>
              </w:rPr>
            </w:pPr>
          </w:p>
          <w:p>
            <w:pPr>
              <w:pStyle w:val="TableParagraph"/>
              <w:spacing w:before="129"/>
              <w:rPr>
                <w:sz w:val="12"/>
              </w:rPr>
            </w:pPr>
          </w:p>
          <w:p>
            <w:pPr>
              <w:pStyle w:val="TableParagraph"/>
              <w:ind w:left="25" w:right="5"/>
              <w:jc w:val="center"/>
              <w:rPr>
                <w:b/>
                <w:sz w:val="12"/>
              </w:rPr>
            </w:pPr>
            <w:r>
              <w:rPr>
                <w:b/>
                <w:spacing w:val="-10"/>
                <w:sz w:val="12"/>
              </w:rPr>
              <w:t>%</w:t>
            </w:r>
          </w:p>
        </w:tc>
      </w:tr>
      <w:tr>
        <w:trPr>
          <w:trHeight w:val="407" w:hRule="atLeast"/>
        </w:trPr>
        <w:tc>
          <w:tcPr>
            <w:tcW w:w="1267" w:type="dxa"/>
          </w:tcPr>
          <w:p>
            <w:pPr>
              <w:pStyle w:val="TableParagraph"/>
              <w:spacing w:before="96"/>
              <w:ind w:left="7"/>
              <w:jc w:val="center"/>
              <w:rPr>
                <w:b/>
                <w:sz w:val="12"/>
              </w:rPr>
            </w:pPr>
            <w:r>
              <w:rPr>
                <w:b/>
                <w:sz w:val="12"/>
              </w:rPr>
              <w:t>ALTA</w:t>
            </w:r>
            <w:r>
              <w:rPr>
                <w:b/>
                <w:spacing w:val="-2"/>
                <w:sz w:val="12"/>
              </w:rPr>
              <w:t> DIRECCIÓN</w:t>
            </w:r>
          </w:p>
        </w:tc>
        <w:tc>
          <w:tcPr>
            <w:tcW w:w="2145" w:type="dxa"/>
          </w:tcPr>
          <w:p>
            <w:pPr>
              <w:pStyle w:val="TableParagraph"/>
              <w:spacing w:before="98"/>
              <w:ind w:left="69"/>
              <w:rPr>
                <w:sz w:val="12"/>
              </w:rPr>
            </w:pPr>
            <w:r>
              <w:rPr>
                <w:sz w:val="12"/>
              </w:rPr>
              <w:t>DIRECTOR</w:t>
            </w:r>
            <w:r>
              <w:rPr>
                <w:spacing w:val="-4"/>
                <w:sz w:val="12"/>
              </w:rPr>
              <w:t> </w:t>
            </w:r>
            <w:r>
              <w:rPr>
                <w:spacing w:val="-2"/>
                <w:sz w:val="12"/>
              </w:rPr>
              <w:t>GENERAL</w:t>
            </w:r>
          </w:p>
        </w:tc>
        <w:tc>
          <w:tcPr>
            <w:tcW w:w="909" w:type="dxa"/>
          </w:tcPr>
          <w:p>
            <w:pPr>
              <w:pStyle w:val="TableParagraph"/>
              <w:ind w:left="16" w:right="8"/>
              <w:jc w:val="center"/>
              <w:rPr>
                <w:sz w:val="12"/>
              </w:rPr>
            </w:pPr>
            <w:r>
              <w:rPr>
                <w:spacing w:val="-10"/>
                <w:sz w:val="12"/>
              </w:rPr>
              <w:t>1</w:t>
            </w:r>
          </w:p>
        </w:tc>
        <w:tc>
          <w:tcPr>
            <w:tcW w:w="751" w:type="dxa"/>
          </w:tcPr>
          <w:p>
            <w:pPr>
              <w:pStyle w:val="TableParagraph"/>
              <w:ind w:left="11" w:right="2"/>
              <w:jc w:val="center"/>
              <w:rPr>
                <w:sz w:val="12"/>
              </w:rPr>
            </w:pPr>
            <w:r>
              <w:rPr>
                <w:spacing w:val="-2"/>
                <w:sz w:val="12"/>
              </w:rPr>
              <w:t>0,12%</w:t>
            </w:r>
          </w:p>
        </w:tc>
        <w:tc>
          <w:tcPr>
            <w:tcW w:w="873" w:type="dxa"/>
          </w:tcPr>
          <w:p>
            <w:pPr>
              <w:pStyle w:val="TableParagraph"/>
              <w:ind w:left="56" w:right="43"/>
              <w:jc w:val="center"/>
              <w:rPr>
                <w:sz w:val="12"/>
              </w:rPr>
            </w:pPr>
            <w:r>
              <w:rPr>
                <w:spacing w:val="-10"/>
                <w:sz w:val="12"/>
              </w:rPr>
              <w:t>1</w:t>
            </w:r>
          </w:p>
        </w:tc>
        <w:tc>
          <w:tcPr>
            <w:tcW w:w="899" w:type="dxa"/>
          </w:tcPr>
          <w:p>
            <w:pPr>
              <w:pStyle w:val="TableParagraph"/>
              <w:ind w:left="15" w:right="2"/>
              <w:jc w:val="center"/>
              <w:rPr>
                <w:sz w:val="12"/>
              </w:rPr>
            </w:pPr>
            <w:r>
              <w:rPr>
                <w:spacing w:val="-2"/>
                <w:sz w:val="12"/>
              </w:rPr>
              <w:t>0,13%</w:t>
            </w:r>
          </w:p>
        </w:tc>
        <w:tc>
          <w:tcPr>
            <w:tcW w:w="899" w:type="dxa"/>
          </w:tcPr>
          <w:p>
            <w:pPr>
              <w:pStyle w:val="TableParagraph"/>
              <w:ind w:left="15" w:right="1"/>
              <w:jc w:val="center"/>
              <w:rPr>
                <w:sz w:val="12"/>
              </w:rPr>
            </w:pPr>
            <w:r>
              <w:rPr>
                <w:spacing w:val="-10"/>
                <w:sz w:val="12"/>
              </w:rPr>
              <w:t>0</w:t>
            </w:r>
          </w:p>
        </w:tc>
        <w:tc>
          <w:tcPr>
            <w:tcW w:w="719" w:type="dxa"/>
          </w:tcPr>
          <w:p>
            <w:pPr>
              <w:pStyle w:val="TableParagraph"/>
              <w:ind w:left="25" w:right="7"/>
              <w:jc w:val="center"/>
              <w:rPr>
                <w:sz w:val="12"/>
              </w:rPr>
            </w:pPr>
            <w:r>
              <w:rPr>
                <w:spacing w:val="-2"/>
                <w:sz w:val="12"/>
              </w:rPr>
              <w:t>0,00%</w:t>
            </w:r>
          </w:p>
        </w:tc>
      </w:tr>
      <w:tr>
        <w:trPr>
          <w:trHeight w:val="407" w:hRule="atLeast"/>
        </w:trPr>
        <w:tc>
          <w:tcPr>
            <w:tcW w:w="1267" w:type="dxa"/>
            <w:vMerge w:val="restart"/>
          </w:tcPr>
          <w:p>
            <w:pPr>
              <w:pStyle w:val="TableParagraph"/>
              <w:rPr>
                <w:sz w:val="12"/>
              </w:rPr>
            </w:pPr>
          </w:p>
          <w:p>
            <w:pPr>
              <w:pStyle w:val="TableParagraph"/>
              <w:spacing w:before="134"/>
              <w:rPr>
                <w:sz w:val="12"/>
              </w:rPr>
            </w:pPr>
          </w:p>
          <w:p>
            <w:pPr>
              <w:pStyle w:val="TableParagraph"/>
              <w:spacing w:line="360" w:lineRule="auto"/>
              <w:ind w:left="307" w:right="296" w:firstLine="74"/>
              <w:rPr>
                <w:b/>
                <w:sz w:val="12"/>
              </w:rPr>
            </w:pPr>
            <w:r>
              <w:rPr>
                <w:b/>
                <w:sz w:val="12"/>
              </w:rPr>
              <w:t>GRUPO</w:t>
            </w:r>
            <w:r>
              <w:rPr>
                <w:b/>
                <w:spacing w:val="-7"/>
                <w:sz w:val="12"/>
              </w:rPr>
              <w:t> </w:t>
            </w:r>
            <w:r>
              <w:rPr>
                <w:b/>
                <w:sz w:val="12"/>
              </w:rPr>
              <w:t>I</w:t>
            </w:r>
            <w:r>
              <w:rPr>
                <w:b/>
                <w:spacing w:val="40"/>
                <w:sz w:val="12"/>
              </w:rPr>
              <w:t> </w:t>
            </w:r>
            <w:r>
              <w:rPr>
                <w:b/>
                <w:spacing w:val="-2"/>
                <w:sz w:val="12"/>
              </w:rPr>
              <w:t>DIRECTIVO</w:t>
            </w:r>
          </w:p>
        </w:tc>
        <w:tc>
          <w:tcPr>
            <w:tcW w:w="2145" w:type="dxa"/>
          </w:tcPr>
          <w:p>
            <w:pPr>
              <w:pStyle w:val="TableParagraph"/>
              <w:spacing w:before="98"/>
              <w:ind w:left="69"/>
              <w:rPr>
                <w:sz w:val="12"/>
              </w:rPr>
            </w:pPr>
            <w:r>
              <w:rPr>
                <w:sz w:val="12"/>
              </w:rPr>
              <w:t>JEFE</w:t>
            </w:r>
            <w:r>
              <w:rPr>
                <w:spacing w:val="-2"/>
                <w:sz w:val="12"/>
              </w:rPr>
              <w:t> SERVICIO</w:t>
            </w:r>
          </w:p>
        </w:tc>
        <w:tc>
          <w:tcPr>
            <w:tcW w:w="909" w:type="dxa"/>
          </w:tcPr>
          <w:p>
            <w:pPr>
              <w:pStyle w:val="TableParagraph"/>
              <w:spacing w:line="136" w:lineRule="exact"/>
              <w:ind w:left="16" w:right="8"/>
              <w:jc w:val="center"/>
              <w:rPr>
                <w:sz w:val="12"/>
              </w:rPr>
            </w:pPr>
            <w:r>
              <w:rPr>
                <w:spacing w:val="-5"/>
                <w:sz w:val="12"/>
              </w:rPr>
              <w:t>11</w:t>
            </w:r>
          </w:p>
        </w:tc>
        <w:tc>
          <w:tcPr>
            <w:tcW w:w="751" w:type="dxa"/>
          </w:tcPr>
          <w:p>
            <w:pPr>
              <w:pStyle w:val="TableParagraph"/>
              <w:spacing w:line="136" w:lineRule="exact"/>
              <w:ind w:left="11"/>
              <w:jc w:val="center"/>
              <w:rPr>
                <w:sz w:val="12"/>
              </w:rPr>
            </w:pPr>
            <w:r>
              <w:rPr>
                <w:spacing w:val="-2"/>
                <w:sz w:val="12"/>
              </w:rPr>
              <w:t>1,31%</w:t>
            </w:r>
          </w:p>
        </w:tc>
        <w:tc>
          <w:tcPr>
            <w:tcW w:w="873" w:type="dxa"/>
          </w:tcPr>
          <w:p>
            <w:pPr>
              <w:pStyle w:val="TableParagraph"/>
              <w:spacing w:line="136" w:lineRule="exact"/>
              <w:ind w:left="56" w:right="43"/>
              <w:jc w:val="center"/>
              <w:rPr>
                <w:sz w:val="12"/>
              </w:rPr>
            </w:pPr>
            <w:r>
              <w:rPr>
                <w:spacing w:val="-10"/>
                <w:sz w:val="12"/>
              </w:rPr>
              <w:t>8</w:t>
            </w:r>
          </w:p>
        </w:tc>
        <w:tc>
          <w:tcPr>
            <w:tcW w:w="899" w:type="dxa"/>
          </w:tcPr>
          <w:p>
            <w:pPr>
              <w:pStyle w:val="TableParagraph"/>
              <w:spacing w:line="136" w:lineRule="exact"/>
              <w:ind w:left="15" w:right="2"/>
              <w:jc w:val="center"/>
              <w:rPr>
                <w:sz w:val="12"/>
              </w:rPr>
            </w:pPr>
            <w:r>
              <w:rPr>
                <w:spacing w:val="-2"/>
                <w:sz w:val="12"/>
              </w:rPr>
              <w:t>1,08%</w:t>
            </w:r>
          </w:p>
        </w:tc>
        <w:tc>
          <w:tcPr>
            <w:tcW w:w="899" w:type="dxa"/>
          </w:tcPr>
          <w:p>
            <w:pPr>
              <w:pStyle w:val="TableParagraph"/>
              <w:spacing w:line="136" w:lineRule="exact"/>
              <w:ind w:left="15" w:right="1"/>
              <w:jc w:val="center"/>
              <w:rPr>
                <w:sz w:val="12"/>
              </w:rPr>
            </w:pPr>
            <w:r>
              <w:rPr>
                <w:spacing w:val="-10"/>
                <w:sz w:val="12"/>
              </w:rPr>
              <w:t>3</w:t>
            </w:r>
          </w:p>
        </w:tc>
        <w:tc>
          <w:tcPr>
            <w:tcW w:w="719" w:type="dxa"/>
          </w:tcPr>
          <w:p>
            <w:pPr>
              <w:pStyle w:val="TableParagraph"/>
              <w:spacing w:line="136" w:lineRule="exact"/>
              <w:ind w:left="25" w:right="7"/>
              <w:jc w:val="center"/>
              <w:rPr>
                <w:sz w:val="12"/>
              </w:rPr>
            </w:pPr>
            <w:r>
              <w:rPr>
                <w:spacing w:val="-2"/>
                <w:sz w:val="12"/>
              </w:rPr>
              <w:t>3,09%</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JEFE</w:t>
            </w:r>
            <w:r>
              <w:rPr>
                <w:spacing w:val="-2"/>
                <w:sz w:val="12"/>
              </w:rPr>
              <w:t> </w:t>
            </w:r>
            <w:r>
              <w:rPr>
                <w:sz w:val="12"/>
              </w:rPr>
              <w:t>DE</w:t>
            </w:r>
            <w:r>
              <w:rPr>
                <w:spacing w:val="-2"/>
                <w:sz w:val="12"/>
              </w:rPr>
              <w:t> GRUPO</w:t>
            </w:r>
          </w:p>
        </w:tc>
        <w:tc>
          <w:tcPr>
            <w:tcW w:w="909" w:type="dxa"/>
          </w:tcPr>
          <w:p>
            <w:pPr>
              <w:pStyle w:val="TableParagraph"/>
              <w:spacing w:line="136" w:lineRule="exact"/>
              <w:ind w:left="16" w:right="8"/>
              <w:jc w:val="center"/>
              <w:rPr>
                <w:sz w:val="12"/>
              </w:rPr>
            </w:pPr>
            <w:r>
              <w:rPr>
                <w:spacing w:val="-10"/>
                <w:sz w:val="12"/>
              </w:rPr>
              <w:t>3</w:t>
            </w:r>
          </w:p>
        </w:tc>
        <w:tc>
          <w:tcPr>
            <w:tcW w:w="751" w:type="dxa"/>
          </w:tcPr>
          <w:p>
            <w:pPr>
              <w:pStyle w:val="TableParagraph"/>
              <w:spacing w:line="136" w:lineRule="exact"/>
              <w:ind w:left="11" w:right="2"/>
              <w:jc w:val="center"/>
              <w:rPr>
                <w:sz w:val="12"/>
              </w:rPr>
            </w:pPr>
            <w:r>
              <w:rPr>
                <w:spacing w:val="-2"/>
                <w:sz w:val="12"/>
              </w:rPr>
              <w:t>0,36%</w:t>
            </w:r>
          </w:p>
        </w:tc>
        <w:tc>
          <w:tcPr>
            <w:tcW w:w="873" w:type="dxa"/>
          </w:tcPr>
          <w:p>
            <w:pPr>
              <w:pStyle w:val="TableParagraph"/>
              <w:spacing w:line="136" w:lineRule="exact"/>
              <w:ind w:left="56" w:right="43"/>
              <w:jc w:val="center"/>
              <w:rPr>
                <w:sz w:val="12"/>
              </w:rPr>
            </w:pPr>
            <w:r>
              <w:rPr>
                <w:spacing w:val="-10"/>
                <w:sz w:val="12"/>
              </w:rPr>
              <w:t>1</w:t>
            </w:r>
          </w:p>
        </w:tc>
        <w:tc>
          <w:tcPr>
            <w:tcW w:w="899" w:type="dxa"/>
          </w:tcPr>
          <w:p>
            <w:pPr>
              <w:pStyle w:val="TableParagraph"/>
              <w:spacing w:line="136" w:lineRule="exact"/>
              <w:ind w:left="15" w:right="2"/>
              <w:jc w:val="center"/>
              <w:rPr>
                <w:sz w:val="12"/>
              </w:rPr>
            </w:pPr>
            <w:r>
              <w:rPr>
                <w:spacing w:val="-2"/>
                <w:sz w:val="12"/>
              </w:rPr>
              <w:t>0,13%</w:t>
            </w:r>
          </w:p>
        </w:tc>
        <w:tc>
          <w:tcPr>
            <w:tcW w:w="899" w:type="dxa"/>
          </w:tcPr>
          <w:p>
            <w:pPr>
              <w:pStyle w:val="TableParagraph"/>
              <w:spacing w:line="136" w:lineRule="exact"/>
              <w:ind w:left="15" w:right="1"/>
              <w:jc w:val="center"/>
              <w:rPr>
                <w:sz w:val="12"/>
              </w:rPr>
            </w:pPr>
            <w:r>
              <w:rPr>
                <w:spacing w:val="-10"/>
                <w:sz w:val="12"/>
              </w:rPr>
              <w:t>2</w:t>
            </w:r>
          </w:p>
        </w:tc>
        <w:tc>
          <w:tcPr>
            <w:tcW w:w="719" w:type="dxa"/>
          </w:tcPr>
          <w:p>
            <w:pPr>
              <w:pStyle w:val="TableParagraph"/>
              <w:spacing w:line="136" w:lineRule="exact"/>
              <w:ind w:left="25" w:right="7"/>
              <w:jc w:val="center"/>
              <w:rPr>
                <w:sz w:val="12"/>
              </w:rPr>
            </w:pPr>
            <w:r>
              <w:rPr>
                <w:spacing w:val="-2"/>
                <w:sz w:val="12"/>
              </w:rPr>
              <w:t>2,06%</w:t>
            </w:r>
          </w:p>
        </w:tc>
      </w:tr>
      <w:tr>
        <w:trPr>
          <w:trHeight w:val="405" w:hRule="atLeast"/>
        </w:trPr>
        <w:tc>
          <w:tcPr>
            <w:tcW w:w="1267" w:type="dxa"/>
            <w:vMerge/>
            <w:tcBorders>
              <w:top w:val="nil"/>
            </w:tcBorders>
          </w:tcPr>
          <w:p>
            <w:pPr>
              <w:rPr>
                <w:sz w:val="2"/>
                <w:szCs w:val="2"/>
              </w:rPr>
            </w:pPr>
          </w:p>
        </w:tc>
        <w:tc>
          <w:tcPr>
            <w:tcW w:w="2145" w:type="dxa"/>
          </w:tcPr>
          <w:p>
            <w:pPr>
              <w:pStyle w:val="TableParagraph"/>
              <w:spacing w:before="96"/>
              <w:ind w:left="69"/>
              <w:rPr>
                <w:sz w:val="12"/>
              </w:rPr>
            </w:pPr>
            <w:r>
              <w:rPr>
                <w:sz w:val="12"/>
              </w:rPr>
              <w:t>JEFE</w:t>
            </w:r>
            <w:r>
              <w:rPr>
                <w:spacing w:val="-2"/>
                <w:sz w:val="12"/>
              </w:rPr>
              <w:t> </w:t>
            </w:r>
            <w:r>
              <w:rPr>
                <w:sz w:val="12"/>
              </w:rPr>
              <w:t>DE</w:t>
            </w:r>
            <w:r>
              <w:rPr>
                <w:spacing w:val="-2"/>
                <w:sz w:val="12"/>
              </w:rPr>
              <w:t> </w:t>
            </w:r>
            <w:r>
              <w:rPr>
                <w:sz w:val="12"/>
              </w:rPr>
              <w:t>OFICINA</w:t>
            </w:r>
            <w:r>
              <w:rPr>
                <w:spacing w:val="-1"/>
                <w:sz w:val="12"/>
              </w:rPr>
              <w:t> </w:t>
            </w:r>
            <w:r>
              <w:rPr>
                <w:spacing w:val="-2"/>
                <w:sz w:val="12"/>
              </w:rPr>
              <w:t>TÉCNICA</w:t>
            </w:r>
          </w:p>
        </w:tc>
        <w:tc>
          <w:tcPr>
            <w:tcW w:w="909" w:type="dxa"/>
          </w:tcPr>
          <w:p>
            <w:pPr>
              <w:pStyle w:val="TableParagraph"/>
              <w:spacing w:line="136" w:lineRule="exact"/>
              <w:ind w:left="16" w:right="8"/>
              <w:jc w:val="center"/>
              <w:rPr>
                <w:sz w:val="12"/>
              </w:rPr>
            </w:pPr>
            <w:r>
              <w:rPr>
                <w:spacing w:val="-10"/>
                <w:sz w:val="12"/>
              </w:rPr>
              <w:t>6</w:t>
            </w:r>
          </w:p>
        </w:tc>
        <w:tc>
          <w:tcPr>
            <w:tcW w:w="751" w:type="dxa"/>
          </w:tcPr>
          <w:p>
            <w:pPr>
              <w:pStyle w:val="TableParagraph"/>
              <w:spacing w:line="136" w:lineRule="exact"/>
              <w:ind w:left="11" w:right="2"/>
              <w:jc w:val="center"/>
              <w:rPr>
                <w:sz w:val="12"/>
              </w:rPr>
            </w:pPr>
            <w:r>
              <w:rPr>
                <w:spacing w:val="-2"/>
                <w:sz w:val="12"/>
              </w:rPr>
              <w:t>0,71%</w:t>
            </w:r>
          </w:p>
        </w:tc>
        <w:tc>
          <w:tcPr>
            <w:tcW w:w="873" w:type="dxa"/>
          </w:tcPr>
          <w:p>
            <w:pPr>
              <w:pStyle w:val="TableParagraph"/>
              <w:spacing w:line="136" w:lineRule="exact"/>
              <w:ind w:left="56" w:right="43"/>
              <w:jc w:val="center"/>
              <w:rPr>
                <w:sz w:val="12"/>
              </w:rPr>
            </w:pPr>
            <w:r>
              <w:rPr>
                <w:spacing w:val="-10"/>
                <w:sz w:val="12"/>
              </w:rPr>
              <w:t>3</w:t>
            </w:r>
          </w:p>
        </w:tc>
        <w:tc>
          <w:tcPr>
            <w:tcW w:w="899" w:type="dxa"/>
          </w:tcPr>
          <w:p>
            <w:pPr>
              <w:pStyle w:val="TableParagraph"/>
              <w:spacing w:line="136" w:lineRule="exact"/>
              <w:ind w:left="15" w:right="2"/>
              <w:jc w:val="center"/>
              <w:rPr>
                <w:sz w:val="12"/>
              </w:rPr>
            </w:pPr>
            <w:r>
              <w:rPr>
                <w:spacing w:val="-2"/>
                <w:sz w:val="12"/>
              </w:rPr>
              <w:t>0,40%</w:t>
            </w:r>
          </w:p>
        </w:tc>
        <w:tc>
          <w:tcPr>
            <w:tcW w:w="899" w:type="dxa"/>
          </w:tcPr>
          <w:p>
            <w:pPr>
              <w:pStyle w:val="TableParagraph"/>
              <w:spacing w:line="136" w:lineRule="exact"/>
              <w:ind w:left="15" w:right="1"/>
              <w:jc w:val="center"/>
              <w:rPr>
                <w:sz w:val="12"/>
              </w:rPr>
            </w:pPr>
            <w:r>
              <w:rPr>
                <w:spacing w:val="-10"/>
                <w:sz w:val="12"/>
              </w:rPr>
              <w:t>3</w:t>
            </w:r>
          </w:p>
        </w:tc>
        <w:tc>
          <w:tcPr>
            <w:tcW w:w="719" w:type="dxa"/>
          </w:tcPr>
          <w:p>
            <w:pPr>
              <w:pStyle w:val="TableParagraph"/>
              <w:spacing w:line="136" w:lineRule="exact"/>
              <w:ind w:left="25" w:right="7"/>
              <w:jc w:val="center"/>
              <w:rPr>
                <w:sz w:val="12"/>
              </w:rPr>
            </w:pPr>
            <w:r>
              <w:rPr>
                <w:spacing w:val="-2"/>
                <w:sz w:val="12"/>
              </w:rPr>
              <w:t>3,09%</w:t>
            </w:r>
          </w:p>
        </w:tc>
      </w:tr>
      <w:tr>
        <w:trPr>
          <w:trHeight w:val="407" w:hRule="atLeast"/>
        </w:trPr>
        <w:tc>
          <w:tcPr>
            <w:tcW w:w="1267" w:type="dxa"/>
            <w:vMerge w:val="restart"/>
          </w:tcPr>
          <w:p>
            <w:pPr>
              <w:pStyle w:val="TableParagraph"/>
              <w:rPr>
                <w:sz w:val="12"/>
              </w:rPr>
            </w:pPr>
          </w:p>
          <w:p>
            <w:pPr>
              <w:pStyle w:val="TableParagraph"/>
              <w:spacing w:before="28"/>
              <w:rPr>
                <w:sz w:val="12"/>
              </w:rPr>
            </w:pPr>
          </w:p>
          <w:p>
            <w:pPr>
              <w:pStyle w:val="TableParagraph"/>
              <w:spacing w:before="1"/>
              <w:ind w:left="76"/>
              <w:rPr>
                <w:b/>
                <w:sz w:val="12"/>
              </w:rPr>
            </w:pPr>
            <w:r>
              <w:rPr>
                <w:b/>
                <w:sz w:val="12"/>
              </w:rPr>
              <w:t>GRUPO</w:t>
            </w:r>
            <w:r>
              <w:rPr>
                <w:b/>
                <w:spacing w:val="-2"/>
                <w:sz w:val="12"/>
              </w:rPr>
              <w:t> </w:t>
            </w:r>
            <w:r>
              <w:rPr>
                <w:b/>
                <w:sz w:val="12"/>
              </w:rPr>
              <w:t>II</w:t>
            </w:r>
            <w:r>
              <w:rPr>
                <w:b/>
                <w:spacing w:val="-4"/>
                <w:sz w:val="12"/>
              </w:rPr>
              <w:t> </w:t>
            </w:r>
            <w:r>
              <w:rPr>
                <w:b/>
                <w:spacing w:val="-2"/>
                <w:sz w:val="12"/>
              </w:rPr>
              <w:t>TÉCNICO</w:t>
            </w:r>
          </w:p>
        </w:tc>
        <w:tc>
          <w:tcPr>
            <w:tcW w:w="2145" w:type="dxa"/>
          </w:tcPr>
          <w:p>
            <w:pPr>
              <w:pStyle w:val="TableParagraph"/>
              <w:spacing w:before="98"/>
              <w:ind w:left="69"/>
              <w:rPr>
                <w:sz w:val="12"/>
              </w:rPr>
            </w:pPr>
            <w:r>
              <w:rPr>
                <w:sz w:val="12"/>
              </w:rPr>
              <w:t>TÉCNICO</w:t>
            </w:r>
            <w:r>
              <w:rPr>
                <w:spacing w:val="-3"/>
                <w:sz w:val="12"/>
              </w:rPr>
              <w:t> </w:t>
            </w:r>
            <w:r>
              <w:rPr>
                <w:spacing w:val="-2"/>
                <w:sz w:val="12"/>
              </w:rPr>
              <w:t>SUPERIOR</w:t>
            </w:r>
          </w:p>
        </w:tc>
        <w:tc>
          <w:tcPr>
            <w:tcW w:w="909" w:type="dxa"/>
          </w:tcPr>
          <w:p>
            <w:pPr>
              <w:pStyle w:val="TableParagraph"/>
              <w:spacing w:line="136" w:lineRule="exact"/>
              <w:ind w:left="16" w:right="8"/>
              <w:jc w:val="center"/>
              <w:rPr>
                <w:sz w:val="12"/>
              </w:rPr>
            </w:pPr>
            <w:r>
              <w:rPr>
                <w:spacing w:val="-5"/>
                <w:sz w:val="12"/>
              </w:rPr>
              <w:t>14</w:t>
            </w:r>
          </w:p>
        </w:tc>
        <w:tc>
          <w:tcPr>
            <w:tcW w:w="751" w:type="dxa"/>
          </w:tcPr>
          <w:p>
            <w:pPr>
              <w:pStyle w:val="TableParagraph"/>
              <w:spacing w:line="136" w:lineRule="exact"/>
              <w:ind w:left="11"/>
              <w:jc w:val="center"/>
              <w:rPr>
                <w:sz w:val="12"/>
              </w:rPr>
            </w:pPr>
            <w:r>
              <w:rPr>
                <w:spacing w:val="-2"/>
                <w:sz w:val="12"/>
              </w:rPr>
              <w:t>1,67%</w:t>
            </w:r>
          </w:p>
        </w:tc>
        <w:tc>
          <w:tcPr>
            <w:tcW w:w="873" w:type="dxa"/>
          </w:tcPr>
          <w:p>
            <w:pPr>
              <w:pStyle w:val="TableParagraph"/>
              <w:spacing w:line="136" w:lineRule="exact"/>
              <w:ind w:left="56" w:right="44"/>
              <w:jc w:val="center"/>
              <w:rPr>
                <w:sz w:val="12"/>
              </w:rPr>
            </w:pPr>
            <w:r>
              <w:rPr>
                <w:spacing w:val="-5"/>
                <w:sz w:val="12"/>
              </w:rPr>
              <w:t>11</w:t>
            </w:r>
          </w:p>
        </w:tc>
        <w:tc>
          <w:tcPr>
            <w:tcW w:w="899" w:type="dxa"/>
          </w:tcPr>
          <w:p>
            <w:pPr>
              <w:pStyle w:val="TableParagraph"/>
              <w:spacing w:line="136" w:lineRule="exact"/>
              <w:ind w:left="15" w:right="3"/>
              <w:jc w:val="center"/>
              <w:rPr>
                <w:sz w:val="12"/>
              </w:rPr>
            </w:pPr>
            <w:r>
              <w:rPr>
                <w:spacing w:val="-2"/>
                <w:sz w:val="12"/>
              </w:rPr>
              <w:t>1,48%</w:t>
            </w:r>
          </w:p>
        </w:tc>
        <w:tc>
          <w:tcPr>
            <w:tcW w:w="899" w:type="dxa"/>
          </w:tcPr>
          <w:p>
            <w:pPr>
              <w:pStyle w:val="TableParagraph"/>
              <w:spacing w:line="136" w:lineRule="exact"/>
              <w:ind w:left="15" w:right="1"/>
              <w:jc w:val="center"/>
              <w:rPr>
                <w:sz w:val="12"/>
              </w:rPr>
            </w:pPr>
            <w:r>
              <w:rPr>
                <w:spacing w:val="-10"/>
                <w:sz w:val="12"/>
              </w:rPr>
              <w:t>3</w:t>
            </w:r>
          </w:p>
        </w:tc>
        <w:tc>
          <w:tcPr>
            <w:tcW w:w="719" w:type="dxa"/>
          </w:tcPr>
          <w:p>
            <w:pPr>
              <w:pStyle w:val="TableParagraph"/>
              <w:spacing w:line="136" w:lineRule="exact"/>
              <w:ind w:left="25" w:right="7"/>
              <w:jc w:val="center"/>
              <w:rPr>
                <w:sz w:val="12"/>
              </w:rPr>
            </w:pPr>
            <w:r>
              <w:rPr>
                <w:spacing w:val="-2"/>
                <w:sz w:val="12"/>
              </w:rPr>
              <w:t>3,09%</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pacing w:val="-2"/>
                <w:sz w:val="12"/>
              </w:rPr>
              <w:t>TÉCNICO</w:t>
            </w:r>
          </w:p>
        </w:tc>
        <w:tc>
          <w:tcPr>
            <w:tcW w:w="909" w:type="dxa"/>
          </w:tcPr>
          <w:p>
            <w:pPr>
              <w:pStyle w:val="TableParagraph"/>
              <w:spacing w:line="136" w:lineRule="exact"/>
              <w:ind w:left="16" w:right="8"/>
              <w:jc w:val="center"/>
              <w:rPr>
                <w:sz w:val="12"/>
              </w:rPr>
            </w:pPr>
            <w:r>
              <w:rPr>
                <w:spacing w:val="-10"/>
                <w:sz w:val="12"/>
              </w:rPr>
              <w:t>3</w:t>
            </w:r>
          </w:p>
        </w:tc>
        <w:tc>
          <w:tcPr>
            <w:tcW w:w="751" w:type="dxa"/>
          </w:tcPr>
          <w:p>
            <w:pPr>
              <w:pStyle w:val="TableParagraph"/>
              <w:spacing w:line="136" w:lineRule="exact"/>
              <w:ind w:left="11" w:right="2"/>
              <w:jc w:val="center"/>
              <w:rPr>
                <w:sz w:val="12"/>
              </w:rPr>
            </w:pPr>
            <w:r>
              <w:rPr>
                <w:spacing w:val="-2"/>
                <w:sz w:val="12"/>
              </w:rPr>
              <w:t>0,36%</w:t>
            </w:r>
          </w:p>
        </w:tc>
        <w:tc>
          <w:tcPr>
            <w:tcW w:w="873" w:type="dxa"/>
          </w:tcPr>
          <w:p>
            <w:pPr>
              <w:pStyle w:val="TableParagraph"/>
              <w:spacing w:line="136" w:lineRule="exact"/>
              <w:ind w:left="56" w:right="43"/>
              <w:jc w:val="center"/>
              <w:rPr>
                <w:sz w:val="12"/>
              </w:rPr>
            </w:pPr>
            <w:r>
              <w:rPr>
                <w:spacing w:val="-10"/>
                <w:sz w:val="12"/>
              </w:rPr>
              <w:t>1</w:t>
            </w:r>
          </w:p>
        </w:tc>
        <w:tc>
          <w:tcPr>
            <w:tcW w:w="899" w:type="dxa"/>
          </w:tcPr>
          <w:p>
            <w:pPr>
              <w:pStyle w:val="TableParagraph"/>
              <w:spacing w:line="136" w:lineRule="exact"/>
              <w:ind w:left="15" w:right="2"/>
              <w:jc w:val="center"/>
              <w:rPr>
                <w:sz w:val="12"/>
              </w:rPr>
            </w:pPr>
            <w:r>
              <w:rPr>
                <w:spacing w:val="-2"/>
                <w:sz w:val="12"/>
              </w:rPr>
              <w:t>0,13%</w:t>
            </w:r>
          </w:p>
        </w:tc>
        <w:tc>
          <w:tcPr>
            <w:tcW w:w="899" w:type="dxa"/>
          </w:tcPr>
          <w:p>
            <w:pPr>
              <w:pStyle w:val="TableParagraph"/>
              <w:spacing w:line="136" w:lineRule="exact"/>
              <w:ind w:left="15" w:right="1"/>
              <w:jc w:val="center"/>
              <w:rPr>
                <w:sz w:val="12"/>
              </w:rPr>
            </w:pPr>
            <w:r>
              <w:rPr>
                <w:spacing w:val="-10"/>
                <w:sz w:val="12"/>
              </w:rPr>
              <w:t>2</w:t>
            </w:r>
          </w:p>
        </w:tc>
        <w:tc>
          <w:tcPr>
            <w:tcW w:w="719" w:type="dxa"/>
          </w:tcPr>
          <w:p>
            <w:pPr>
              <w:pStyle w:val="TableParagraph"/>
              <w:spacing w:line="136" w:lineRule="exact"/>
              <w:ind w:left="25" w:right="7"/>
              <w:jc w:val="center"/>
              <w:rPr>
                <w:sz w:val="12"/>
              </w:rPr>
            </w:pPr>
            <w:r>
              <w:rPr>
                <w:spacing w:val="-2"/>
                <w:sz w:val="12"/>
              </w:rPr>
              <w:t>2,06%</w:t>
            </w:r>
          </w:p>
        </w:tc>
      </w:tr>
      <w:tr>
        <w:trPr>
          <w:trHeight w:val="407" w:hRule="atLeast"/>
        </w:trPr>
        <w:tc>
          <w:tcPr>
            <w:tcW w:w="1267" w:type="dxa"/>
            <w:vMerge w:val="restart"/>
          </w:tcPr>
          <w:p>
            <w:pPr>
              <w:pStyle w:val="TableParagraph"/>
              <w:rPr>
                <w:sz w:val="12"/>
              </w:rPr>
            </w:pPr>
          </w:p>
          <w:p>
            <w:pPr>
              <w:pStyle w:val="TableParagraph"/>
              <w:rPr>
                <w:sz w:val="12"/>
              </w:rPr>
            </w:pPr>
          </w:p>
          <w:p>
            <w:pPr>
              <w:pStyle w:val="TableParagraph"/>
              <w:spacing w:before="97"/>
              <w:rPr>
                <w:sz w:val="12"/>
              </w:rPr>
            </w:pPr>
          </w:p>
          <w:p>
            <w:pPr>
              <w:pStyle w:val="TableParagraph"/>
              <w:ind w:left="103"/>
              <w:rPr>
                <w:b/>
                <w:sz w:val="12"/>
              </w:rPr>
            </w:pPr>
            <w:r>
              <w:rPr>
                <w:b/>
                <w:sz w:val="12"/>
              </w:rPr>
              <w:t>GRUPO</w:t>
            </w:r>
            <w:r>
              <w:rPr>
                <w:b/>
                <w:spacing w:val="-2"/>
                <w:sz w:val="12"/>
              </w:rPr>
              <w:t> </w:t>
            </w:r>
            <w:r>
              <w:rPr>
                <w:b/>
                <w:sz w:val="12"/>
              </w:rPr>
              <w:t>III</w:t>
            </w:r>
            <w:r>
              <w:rPr>
                <w:b/>
                <w:spacing w:val="-2"/>
                <w:sz w:val="12"/>
              </w:rPr>
              <w:t> MANDO</w:t>
            </w:r>
          </w:p>
        </w:tc>
        <w:tc>
          <w:tcPr>
            <w:tcW w:w="2145" w:type="dxa"/>
          </w:tcPr>
          <w:p>
            <w:pPr>
              <w:pStyle w:val="TableParagraph"/>
              <w:spacing w:before="98"/>
              <w:ind w:left="69"/>
              <w:rPr>
                <w:sz w:val="12"/>
              </w:rPr>
            </w:pPr>
            <w:r>
              <w:rPr>
                <w:sz w:val="12"/>
              </w:rPr>
              <w:t>MANDO</w:t>
            </w:r>
            <w:r>
              <w:rPr>
                <w:spacing w:val="-3"/>
                <w:sz w:val="12"/>
              </w:rPr>
              <w:t> </w:t>
            </w:r>
            <w:r>
              <w:rPr>
                <w:sz w:val="12"/>
              </w:rPr>
              <w:t>DE</w:t>
            </w:r>
            <w:r>
              <w:rPr>
                <w:spacing w:val="-2"/>
                <w:sz w:val="12"/>
              </w:rPr>
              <w:t> MOVIMIENTO</w:t>
            </w:r>
          </w:p>
        </w:tc>
        <w:tc>
          <w:tcPr>
            <w:tcW w:w="909" w:type="dxa"/>
          </w:tcPr>
          <w:p>
            <w:pPr>
              <w:pStyle w:val="TableParagraph"/>
              <w:spacing w:line="136" w:lineRule="exact"/>
              <w:ind w:left="16" w:right="8"/>
              <w:jc w:val="center"/>
              <w:rPr>
                <w:sz w:val="12"/>
              </w:rPr>
            </w:pPr>
            <w:r>
              <w:rPr>
                <w:spacing w:val="-5"/>
                <w:sz w:val="12"/>
              </w:rPr>
              <w:t>22</w:t>
            </w:r>
          </w:p>
        </w:tc>
        <w:tc>
          <w:tcPr>
            <w:tcW w:w="751" w:type="dxa"/>
          </w:tcPr>
          <w:p>
            <w:pPr>
              <w:pStyle w:val="TableParagraph"/>
              <w:spacing w:line="136" w:lineRule="exact"/>
              <w:ind w:left="11"/>
              <w:jc w:val="center"/>
              <w:rPr>
                <w:sz w:val="12"/>
              </w:rPr>
            </w:pPr>
            <w:r>
              <w:rPr>
                <w:spacing w:val="-2"/>
                <w:sz w:val="12"/>
              </w:rPr>
              <w:t>2,62%</w:t>
            </w:r>
          </w:p>
        </w:tc>
        <w:tc>
          <w:tcPr>
            <w:tcW w:w="873" w:type="dxa"/>
          </w:tcPr>
          <w:p>
            <w:pPr>
              <w:pStyle w:val="TableParagraph"/>
              <w:spacing w:line="136" w:lineRule="exact"/>
              <w:ind w:left="56" w:right="44"/>
              <w:jc w:val="center"/>
              <w:rPr>
                <w:sz w:val="12"/>
              </w:rPr>
            </w:pPr>
            <w:r>
              <w:rPr>
                <w:spacing w:val="-5"/>
                <w:sz w:val="12"/>
              </w:rPr>
              <w:t>22</w:t>
            </w:r>
          </w:p>
        </w:tc>
        <w:tc>
          <w:tcPr>
            <w:tcW w:w="899" w:type="dxa"/>
          </w:tcPr>
          <w:p>
            <w:pPr>
              <w:pStyle w:val="TableParagraph"/>
              <w:spacing w:line="136" w:lineRule="exact"/>
              <w:ind w:left="15" w:right="3"/>
              <w:jc w:val="center"/>
              <w:rPr>
                <w:sz w:val="12"/>
              </w:rPr>
            </w:pPr>
            <w:r>
              <w:rPr>
                <w:spacing w:val="-2"/>
                <w:sz w:val="12"/>
              </w:rPr>
              <w:t>2,96%</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05" w:hRule="atLeast"/>
        </w:trPr>
        <w:tc>
          <w:tcPr>
            <w:tcW w:w="1267" w:type="dxa"/>
            <w:vMerge/>
            <w:tcBorders>
              <w:top w:val="nil"/>
            </w:tcBorders>
          </w:tcPr>
          <w:p>
            <w:pPr>
              <w:rPr>
                <w:sz w:val="2"/>
                <w:szCs w:val="2"/>
              </w:rPr>
            </w:pPr>
          </w:p>
        </w:tc>
        <w:tc>
          <w:tcPr>
            <w:tcW w:w="2145" w:type="dxa"/>
          </w:tcPr>
          <w:p>
            <w:pPr>
              <w:pStyle w:val="TableParagraph"/>
              <w:spacing w:before="96"/>
              <w:ind w:left="69"/>
              <w:rPr>
                <w:sz w:val="12"/>
              </w:rPr>
            </w:pPr>
            <w:r>
              <w:rPr>
                <w:sz w:val="12"/>
              </w:rPr>
              <w:t>MANDO</w:t>
            </w:r>
            <w:r>
              <w:rPr>
                <w:spacing w:val="-4"/>
                <w:sz w:val="12"/>
              </w:rPr>
              <w:t> </w:t>
            </w:r>
            <w:r>
              <w:rPr>
                <w:sz w:val="12"/>
              </w:rPr>
              <w:t>DE</w:t>
            </w:r>
            <w:r>
              <w:rPr>
                <w:spacing w:val="-3"/>
                <w:sz w:val="12"/>
              </w:rPr>
              <w:t> </w:t>
            </w:r>
            <w:r>
              <w:rPr>
                <w:spacing w:val="-2"/>
                <w:sz w:val="12"/>
              </w:rPr>
              <w:t>TALLER</w:t>
            </w:r>
          </w:p>
        </w:tc>
        <w:tc>
          <w:tcPr>
            <w:tcW w:w="909" w:type="dxa"/>
          </w:tcPr>
          <w:p>
            <w:pPr>
              <w:pStyle w:val="TableParagraph"/>
              <w:spacing w:line="136" w:lineRule="exact"/>
              <w:ind w:left="16" w:right="8"/>
              <w:jc w:val="center"/>
              <w:rPr>
                <w:sz w:val="12"/>
              </w:rPr>
            </w:pPr>
            <w:r>
              <w:rPr>
                <w:spacing w:val="-10"/>
                <w:sz w:val="12"/>
              </w:rPr>
              <w:t>5</w:t>
            </w:r>
          </w:p>
        </w:tc>
        <w:tc>
          <w:tcPr>
            <w:tcW w:w="751" w:type="dxa"/>
          </w:tcPr>
          <w:p>
            <w:pPr>
              <w:pStyle w:val="TableParagraph"/>
              <w:spacing w:line="136" w:lineRule="exact"/>
              <w:ind w:left="11" w:right="2"/>
              <w:jc w:val="center"/>
              <w:rPr>
                <w:sz w:val="12"/>
              </w:rPr>
            </w:pPr>
            <w:r>
              <w:rPr>
                <w:spacing w:val="-2"/>
                <w:sz w:val="12"/>
              </w:rPr>
              <w:t>0,60%</w:t>
            </w:r>
          </w:p>
        </w:tc>
        <w:tc>
          <w:tcPr>
            <w:tcW w:w="873" w:type="dxa"/>
          </w:tcPr>
          <w:p>
            <w:pPr>
              <w:pStyle w:val="TableParagraph"/>
              <w:spacing w:line="136" w:lineRule="exact"/>
              <w:ind w:left="56" w:right="43"/>
              <w:jc w:val="center"/>
              <w:rPr>
                <w:sz w:val="12"/>
              </w:rPr>
            </w:pPr>
            <w:r>
              <w:rPr>
                <w:spacing w:val="-10"/>
                <w:sz w:val="12"/>
              </w:rPr>
              <w:t>5</w:t>
            </w:r>
          </w:p>
        </w:tc>
        <w:tc>
          <w:tcPr>
            <w:tcW w:w="899" w:type="dxa"/>
          </w:tcPr>
          <w:p>
            <w:pPr>
              <w:pStyle w:val="TableParagraph"/>
              <w:spacing w:line="136" w:lineRule="exact"/>
              <w:ind w:left="15" w:right="2"/>
              <w:jc w:val="center"/>
              <w:rPr>
                <w:sz w:val="12"/>
              </w:rPr>
            </w:pPr>
            <w:r>
              <w:rPr>
                <w:spacing w:val="-2"/>
                <w:sz w:val="12"/>
              </w:rPr>
              <w:t>0,67%</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MANDO</w:t>
            </w:r>
            <w:r>
              <w:rPr>
                <w:spacing w:val="-3"/>
                <w:sz w:val="12"/>
              </w:rPr>
              <w:t> </w:t>
            </w:r>
            <w:r>
              <w:rPr>
                <w:sz w:val="12"/>
              </w:rPr>
              <w:t>DE</w:t>
            </w:r>
            <w:r>
              <w:rPr>
                <w:spacing w:val="-2"/>
                <w:sz w:val="12"/>
              </w:rPr>
              <w:t> ADMINISTRACIÓN</w:t>
            </w:r>
          </w:p>
        </w:tc>
        <w:tc>
          <w:tcPr>
            <w:tcW w:w="909" w:type="dxa"/>
          </w:tcPr>
          <w:p>
            <w:pPr>
              <w:pStyle w:val="TableParagraph"/>
              <w:spacing w:line="136" w:lineRule="exact"/>
              <w:ind w:left="16" w:right="8"/>
              <w:jc w:val="center"/>
              <w:rPr>
                <w:sz w:val="12"/>
              </w:rPr>
            </w:pPr>
            <w:r>
              <w:rPr>
                <w:spacing w:val="-5"/>
                <w:sz w:val="12"/>
              </w:rPr>
              <w:t>12</w:t>
            </w:r>
          </w:p>
        </w:tc>
        <w:tc>
          <w:tcPr>
            <w:tcW w:w="751" w:type="dxa"/>
          </w:tcPr>
          <w:p>
            <w:pPr>
              <w:pStyle w:val="TableParagraph"/>
              <w:spacing w:line="136" w:lineRule="exact"/>
              <w:ind w:left="11"/>
              <w:jc w:val="center"/>
              <w:rPr>
                <w:sz w:val="12"/>
              </w:rPr>
            </w:pPr>
            <w:r>
              <w:rPr>
                <w:spacing w:val="-2"/>
                <w:sz w:val="12"/>
              </w:rPr>
              <w:t>1,43%</w:t>
            </w:r>
          </w:p>
        </w:tc>
        <w:tc>
          <w:tcPr>
            <w:tcW w:w="873" w:type="dxa"/>
          </w:tcPr>
          <w:p>
            <w:pPr>
              <w:pStyle w:val="TableParagraph"/>
              <w:spacing w:line="136" w:lineRule="exact"/>
              <w:ind w:left="56" w:right="43"/>
              <w:jc w:val="center"/>
              <w:rPr>
                <w:sz w:val="12"/>
              </w:rPr>
            </w:pPr>
            <w:r>
              <w:rPr>
                <w:spacing w:val="-10"/>
                <w:sz w:val="12"/>
              </w:rPr>
              <w:t>5</w:t>
            </w:r>
          </w:p>
        </w:tc>
        <w:tc>
          <w:tcPr>
            <w:tcW w:w="899" w:type="dxa"/>
          </w:tcPr>
          <w:p>
            <w:pPr>
              <w:pStyle w:val="TableParagraph"/>
              <w:spacing w:line="136" w:lineRule="exact"/>
              <w:ind w:left="15" w:right="2"/>
              <w:jc w:val="center"/>
              <w:rPr>
                <w:sz w:val="12"/>
              </w:rPr>
            </w:pPr>
            <w:r>
              <w:rPr>
                <w:spacing w:val="-2"/>
                <w:sz w:val="12"/>
              </w:rPr>
              <w:t>0,67%</w:t>
            </w:r>
          </w:p>
        </w:tc>
        <w:tc>
          <w:tcPr>
            <w:tcW w:w="899" w:type="dxa"/>
          </w:tcPr>
          <w:p>
            <w:pPr>
              <w:pStyle w:val="TableParagraph"/>
              <w:spacing w:line="136" w:lineRule="exact"/>
              <w:ind w:left="15" w:right="1"/>
              <w:jc w:val="center"/>
              <w:rPr>
                <w:sz w:val="12"/>
              </w:rPr>
            </w:pPr>
            <w:r>
              <w:rPr>
                <w:spacing w:val="-10"/>
                <w:sz w:val="12"/>
              </w:rPr>
              <w:t>7</w:t>
            </w:r>
          </w:p>
        </w:tc>
        <w:tc>
          <w:tcPr>
            <w:tcW w:w="719" w:type="dxa"/>
          </w:tcPr>
          <w:p>
            <w:pPr>
              <w:pStyle w:val="TableParagraph"/>
              <w:spacing w:line="136" w:lineRule="exact"/>
              <w:ind w:left="25" w:right="7"/>
              <w:jc w:val="center"/>
              <w:rPr>
                <w:sz w:val="12"/>
              </w:rPr>
            </w:pPr>
            <w:r>
              <w:rPr>
                <w:spacing w:val="-2"/>
                <w:sz w:val="12"/>
              </w:rPr>
              <w:t>7,22%</w:t>
            </w:r>
          </w:p>
        </w:tc>
      </w:tr>
      <w:tr>
        <w:trPr>
          <w:trHeight w:val="407" w:hRule="atLeast"/>
        </w:trPr>
        <w:tc>
          <w:tcPr>
            <w:tcW w:w="1267" w:type="dxa"/>
            <w:vMerge w:val="restart"/>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3"/>
              <w:rPr>
                <w:sz w:val="12"/>
              </w:rPr>
            </w:pPr>
          </w:p>
          <w:p>
            <w:pPr>
              <w:pStyle w:val="TableParagraph"/>
              <w:ind w:left="115"/>
              <w:rPr>
                <w:b/>
                <w:sz w:val="12"/>
              </w:rPr>
            </w:pPr>
            <w:r>
              <w:rPr>
                <w:b/>
                <w:sz w:val="12"/>
              </w:rPr>
              <w:t>GRUPO</w:t>
            </w:r>
            <w:r>
              <w:rPr>
                <w:b/>
                <w:spacing w:val="-4"/>
                <w:sz w:val="12"/>
              </w:rPr>
              <w:t> </w:t>
            </w:r>
            <w:r>
              <w:rPr>
                <w:b/>
                <w:sz w:val="12"/>
              </w:rPr>
              <w:t>IV</w:t>
            </w:r>
            <w:r>
              <w:rPr>
                <w:b/>
                <w:spacing w:val="-2"/>
                <w:sz w:val="12"/>
              </w:rPr>
              <w:t> OFICIO</w:t>
            </w:r>
          </w:p>
        </w:tc>
        <w:tc>
          <w:tcPr>
            <w:tcW w:w="2145" w:type="dxa"/>
          </w:tcPr>
          <w:p>
            <w:pPr>
              <w:pStyle w:val="TableParagraph"/>
              <w:spacing w:before="98"/>
              <w:ind w:left="69"/>
              <w:rPr>
                <w:sz w:val="12"/>
              </w:rPr>
            </w:pPr>
            <w:r>
              <w:rPr>
                <w:sz w:val="12"/>
              </w:rPr>
              <w:t>CONDUCTOR</w:t>
            </w:r>
            <w:r>
              <w:rPr>
                <w:spacing w:val="-5"/>
                <w:sz w:val="12"/>
              </w:rPr>
              <w:t> </w:t>
            </w:r>
            <w:r>
              <w:rPr>
                <w:spacing w:val="-2"/>
                <w:sz w:val="12"/>
              </w:rPr>
              <w:t>PERCEPTOR</w:t>
            </w:r>
          </w:p>
        </w:tc>
        <w:tc>
          <w:tcPr>
            <w:tcW w:w="909" w:type="dxa"/>
          </w:tcPr>
          <w:p>
            <w:pPr>
              <w:pStyle w:val="TableParagraph"/>
              <w:spacing w:line="136" w:lineRule="exact"/>
              <w:ind w:left="16" w:right="4"/>
              <w:jc w:val="center"/>
              <w:rPr>
                <w:sz w:val="12"/>
              </w:rPr>
            </w:pPr>
            <w:r>
              <w:rPr>
                <w:spacing w:val="-5"/>
                <w:sz w:val="12"/>
              </w:rPr>
              <w:t>705</w:t>
            </w:r>
          </w:p>
        </w:tc>
        <w:tc>
          <w:tcPr>
            <w:tcW w:w="751" w:type="dxa"/>
          </w:tcPr>
          <w:p>
            <w:pPr>
              <w:pStyle w:val="TableParagraph"/>
              <w:spacing w:line="136" w:lineRule="exact"/>
              <w:ind w:left="11" w:right="1"/>
              <w:jc w:val="center"/>
              <w:rPr>
                <w:sz w:val="12"/>
              </w:rPr>
            </w:pPr>
            <w:r>
              <w:rPr>
                <w:spacing w:val="-2"/>
                <w:sz w:val="12"/>
              </w:rPr>
              <w:t>83,93%</w:t>
            </w:r>
          </w:p>
        </w:tc>
        <w:tc>
          <w:tcPr>
            <w:tcW w:w="873" w:type="dxa"/>
          </w:tcPr>
          <w:p>
            <w:pPr>
              <w:pStyle w:val="TableParagraph"/>
              <w:spacing w:line="136" w:lineRule="exact"/>
              <w:ind w:left="56" w:right="44"/>
              <w:jc w:val="center"/>
              <w:rPr>
                <w:sz w:val="12"/>
              </w:rPr>
            </w:pPr>
            <w:r>
              <w:rPr>
                <w:spacing w:val="-5"/>
                <w:sz w:val="12"/>
              </w:rPr>
              <w:t>641</w:t>
            </w:r>
          </w:p>
        </w:tc>
        <w:tc>
          <w:tcPr>
            <w:tcW w:w="899" w:type="dxa"/>
          </w:tcPr>
          <w:p>
            <w:pPr>
              <w:pStyle w:val="TableParagraph"/>
              <w:spacing w:line="136" w:lineRule="exact"/>
              <w:ind w:left="15" w:right="2"/>
              <w:jc w:val="center"/>
              <w:rPr>
                <w:sz w:val="12"/>
              </w:rPr>
            </w:pPr>
            <w:r>
              <w:rPr>
                <w:spacing w:val="-2"/>
                <w:sz w:val="12"/>
              </w:rPr>
              <w:t>86,27%</w:t>
            </w:r>
          </w:p>
        </w:tc>
        <w:tc>
          <w:tcPr>
            <w:tcW w:w="899" w:type="dxa"/>
          </w:tcPr>
          <w:p>
            <w:pPr>
              <w:pStyle w:val="TableParagraph"/>
              <w:spacing w:line="136" w:lineRule="exact"/>
              <w:ind w:left="15" w:right="2"/>
              <w:jc w:val="center"/>
              <w:rPr>
                <w:sz w:val="12"/>
              </w:rPr>
            </w:pPr>
            <w:r>
              <w:rPr>
                <w:spacing w:val="-5"/>
                <w:sz w:val="12"/>
              </w:rPr>
              <w:t>64</w:t>
            </w:r>
          </w:p>
        </w:tc>
        <w:tc>
          <w:tcPr>
            <w:tcW w:w="719" w:type="dxa"/>
          </w:tcPr>
          <w:p>
            <w:pPr>
              <w:pStyle w:val="TableParagraph"/>
              <w:spacing w:line="136" w:lineRule="exact"/>
              <w:ind w:left="25" w:right="6"/>
              <w:jc w:val="center"/>
              <w:rPr>
                <w:sz w:val="12"/>
              </w:rPr>
            </w:pPr>
            <w:r>
              <w:rPr>
                <w:spacing w:val="-2"/>
                <w:sz w:val="12"/>
              </w:rPr>
              <w:t>65,98%</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INSPECTOR</w:t>
            </w:r>
            <w:r>
              <w:rPr>
                <w:spacing w:val="-4"/>
                <w:sz w:val="12"/>
              </w:rPr>
              <w:t> </w:t>
            </w:r>
            <w:r>
              <w:rPr>
                <w:sz w:val="12"/>
              </w:rPr>
              <w:t>DE</w:t>
            </w:r>
            <w:r>
              <w:rPr>
                <w:spacing w:val="-3"/>
                <w:sz w:val="12"/>
              </w:rPr>
              <w:t> </w:t>
            </w:r>
            <w:r>
              <w:rPr>
                <w:spacing w:val="-2"/>
                <w:sz w:val="12"/>
              </w:rPr>
              <w:t>CALIDAD</w:t>
            </w:r>
          </w:p>
        </w:tc>
        <w:tc>
          <w:tcPr>
            <w:tcW w:w="909" w:type="dxa"/>
          </w:tcPr>
          <w:p>
            <w:pPr>
              <w:pStyle w:val="TableParagraph"/>
              <w:spacing w:line="136" w:lineRule="exact"/>
              <w:ind w:left="16" w:right="8"/>
              <w:jc w:val="center"/>
              <w:rPr>
                <w:sz w:val="12"/>
              </w:rPr>
            </w:pPr>
            <w:r>
              <w:rPr>
                <w:spacing w:val="-10"/>
                <w:sz w:val="12"/>
              </w:rPr>
              <w:t>0</w:t>
            </w:r>
          </w:p>
        </w:tc>
        <w:tc>
          <w:tcPr>
            <w:tcW w:w="751" w:type="dxa"/>
          </w:tcPr>
          <w:p>
            <w:pPr>
              <w:pStyle w:val="TableParagraph"/>
              <w:spacing w:line="136" w:lineRule="exact"/>
              <w:ind w:left="11" w:right="2"/>
              <w:jc w:val="center"/>
              <w:rPr>
                <w:sz w:val="12"/>
              </w:rPr>
            </w:pPr>
            <w:r>
              <w:rPr>
                <w:spacing w:val="-2"/>
                <w:sz w:val="12"/>
              </w:rPr>
              <w:t>0,00%</w:t>
            </w:r>
          </w:p>
        </w:tc>
        <w:tc>
          <w:tcPr>
            <w:tcW w:w="873" w:type="dxa"/>
          </w:tcPr>
          <w:p>
            <w:pPr>
              <w:pStyle w:val="TableParagraph"/>
              <w:spacing w:line="136" w:lineRule="exact"/>
              <w:ind w:left="56" w:right="43"/>
              <w:jc w:val="center"/>
              <w:rPr>
                <w:sz w:val="12"/>
              </w:rPr>
            </w:pPr>
            <w:r>
              <w:rPr>
                <w:spacing w:val="-10"/>
                <w:sz w:val="12"/>
              </w:rPr>
              <w:t>0</w:t>
            </w:r>
          </w:p>
        </w:tc>
        <w:tc>
          <w:tcPr>
            <w:tcW w:w="899" w:type="dxa"/>
          </w:tcPr>
          <w:p>
            <w:pPr>
              <w:pStyle w:val="TableParagraph"/>
              <w:spacing w:line="136" w:lineRule="exact"/>
              <w:ind w:left="15" w:right="2"/>
              <w:jc w:val="center"/>
              <w:rPr>
                <w:sz w:val="12"/>
              </w:rPr>
            </w:pPr>
            <w:r>
              <w:rPr>
                <w:spacing w:val="-2"/>
                <w:sz w:val="12"/>
              </w:rPr>
              <w:t>0,00%</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05" w:hRule="atLeast"/>
        </w:trPr>
        <w:tc>
          <w:tcPr>
            <w:tcW w:w="1267" w:type="dxa"/>
            <w:vMerge/>
            <w:tcBorders>
              <w:top w:val="nil"/>
            </w:tcBorders>
          </w:tcPr>
          <w:p>
            <w:pPr>
              <w:rPr>
                <w:sz w:val="2"/>
                <w:szCs w:val="2"/>
              </w:rPr>
            </w:pPr>
          </w:p>
        </w:tc>
        <w:tc>
          <w:tcPr>
            <w:tcW w:w="2145" w:type="dxa"/>
          </w:tcPr>
          <w:p>
            <w:pPr>
              <w:pStyle w:val="TableParagraph"/>
              <w:spacing w:before="96"/>
              <w:ind w:left="69"/>
              <w:rPr>
                <w:sz w:val="12"/>
              </w:rPr>
            </w:pPr>
            <w:r>
              <w:rPr>
                <w:sz w:val="12"/>
              </w:rPr>
              <w:t>OFICIAL</w:t>
            </w:r>
            <w:r>
              <w:rPr>
                <w:spacing w:val="-1"/>
                <w:sz w:val="12"/>
              </w:rPr>
              <w:t> </w:t>
            </w:r>
            <w:r>
              <w:rPr>
                <w:sz w:val="12"/>
              </w:rPr>
              <w:t>TALLER</w:t>
            </w:r>
            <w:r>
              <w:rPr>
                <w:spacing w:val="-2"/>
                <w:sz w:val="12"/>
              </w:rPr>
              <w:t> ESPECIALISTA</w:t>
            </w:r>
          </w:p>
        </w:tc>
        <w:tc>
          <w:tcPr>
            <w:tcW w:w="909" w:type="dxa"/>
          </w:tcPr>
          <w:p>
            <w:pPr>
              <w:pStyle w:val="TableParagraph"/>
              <w:spacing w:line="136" w:lineRule="exact"/>
              <w:ind w:left="16" w:right="8"/>
              <w:jc w:val="center"/>
              <w:rPr>
                <w:sz w:val="12"/>
              </w:rPr>
            </w:pPr>
            <w:r>
              <w:rPr>
                <w:spacing w:val="-5"/>
                <w:sz w:val="12"/>
              </w:rPr>
              <w:t>40</w:t>
            </w:r>
          </w:p>
        </w:tc>
        <w:tc>
          <w:tcPr>
            <w:tcW w:w="751" w:type="dxa"/>
          </w:tcPr>
          <w:p>
            <w:pPr>
              <w:pStyle w:val="TableParagraph"/>
              <w:spacing w:line="136" w:lineRule="exact"/>
              <w:ind w:left="11"/>
              <w:jc w:val="center"/>
              <w:rPr>
                <w:sz w:val="12"/>
              </w:rPr>
            </w:pPr>
            <w:r>
              <w:rPr>
                <w:spacing w:val="-2"/>
                <w:sz w:val="12"/>
              </w:rPr>
              <w:t>4,76%</w:t>
            </w:r>
          </w:p>
        </w:tc>
        <w:tc>
          <w:tcPr>
            <w:tcW w:w="873" w:type="dxa"/>
          </w:tcPr>
          <w:p>
            <w:pPr>
              <w:pStyle w:val="TableParagraph"/>
              <w:spacing w:line="136" w:lineRule="exact"/>
              <w:ind w:left="56" w:right="44"/>
              <w:jc w:val="center"/>
              <w:rPr>
                <w:sz w:val="12"/>
              </w:rPr>
            </w:pPr>
            <w:r>
              <w:rPr>
                <w:spacing w:val="-5"/>
                <w:sz w:val="12"/>
              </w:rPr>
              <w:t>40</w:t>
            </w:r>
          </w:p>
        </w:tc>
        <w:tc>
          <w:tcPr>
            <w:tcW w:w="899" w:type="dxa"/>
          </w:tcPr>
          <w:p>
            <w:pPr>
              <w:pStyle w:val="TableParagraph"/>
              <w:spacing w:line="136" w:lineRule="exact"/>
              <w:ind w:left="15" w:right="3"/>
              <w:jc w:val="center"/>
              <w:rPr>
                <w:sz w:val="12"/>
              </w:rPr>
            </w:pPr>
            <w:r>
              <w:rPr>
                <w:spacing w:val="-2"/>
                <w:sz w:val="12"/>
              </w:rPr>
              <w:t>5,38%</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AUXILIAR</w:t>
            </w:r>
            <w:r>
              <w:rPr>
                <w:spacing w:val="-7"/>
                <w:sz w:val="12"/>
              </w:rPr>
              <w:t> </w:t>
            </w:r>
            <w:r>
              <w:rPr>
                <w:spacing w:val="-2"/>
                <w:sz w:val="12"/>
              </w:rPr>
              <w:t>TALLER</w:t>
            </w:r>
          </w:p>
        </w:tc>
        <w:tc>
          <w:tcPr>
            <w:tcW w:w="909" w:type="dxa"/>
          </w:tcPr>
          <w:p>
            <w:pPr>
              <w:pStyle w:val="TableParagraph"/>
              <w:spacing w:line="136" w:lineRule="exact"/>
              <w:ind w:left="16" w:right="8"/>
              <w:jc w:val="center"/>
              <w:rPr>
                <w:sz w:val="12"/>
              </w:rPr>
            </w:pPr>
            <w:r>
              <w:rPr>
                <w:spacing w:val="-10"/>
                <w:sz w:val="12"/>
              </w:rPr>
              <w:t>0</w:t>
            </w:r>
          </w:p>
        </w:tc>
        <w:tc>
          <w:tcPr>
            <w:tcW w:w="751" w:type="dxa"/>
          </w:tcPr>
          <w:p>
            <w:pPr>
              <w:pStyle w:val="TableParagraph"/>
              <w:spacing w:line="136" w:lineRule="exact"/>
              <w:ind w:left="11" w:right="2"/>
              <w:jc w:val="center"/>
              <w:rPr>
                <w:sz w:val="12"/>
              </w:rPr>
            </w:pPr>
            <w:r>
              <w:rPr>
                <w:spacing w:val="-2"/>
                <w:sz w:val="12"/>
              </w:rPr>
              <w:t>0,00%</w:t>
            </w:r>
          </w:p>
        </w:tc>
        <w:tc>
          <w:tcPr>
            <w:tcW w:w="873" w:type="dxa"/>
          </w:tcPr>
          <w:p>
            <w:pPr>
              <w:pStyle w:val="TableParagraph"/>
              <w:spacing w:line="136" w:lineRule="exact"/>
              <w:ind w:left="56" w:right="43"/>
              <w:jc w:val="center"/>
              <w:rPr>
                <w:sz w:val="12"/>
              </w:rPr>
            </w:pPr>
            <w:r>
              <w:rPr>
                <w:spacing w:val="-10"/>
                <w:sz w:val="12"/>
              </w:rPr>
              <w:t>0</w:t>
            </w:r>
          </w:p>
        </w:tc>
        <w:tc>
          <w:tcPr>
            <w:tcW w:w="899" w:type="dxa"/>
          </w:tcPr>
          <w:p>
            <w:pPr>
              <w:pStyle w:val="TableParagraph"/>
              <w:spacing w:line="136" w:lineRule="exact"/>
              <w:ind w:left="15" w:right="2"/>
              <w:jc w:val="center"/>
              <w:rPr>
                <w:sz w:val="12"/>
              </w:rPr>
            </w:pPr>
            <w:r>
              <w:rPr>
                <w:spacing w:val="-2"/>
                <w:sz w:val="12"/>
              </w:rPr>
              <w:t>0,00%</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07"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OFICIAL</w:t>
            </w:r>
            <w:r>
              <w:rPr>
                <w:spacing w:val="-3"/>
                <w:sz w:val="12"/>
              </w:rPr>
              <w:t> </w:t>
            </w:r>
            <w:r>
              <w:rPr>
                <w:sz w:val="12"/>
              </w:rPr>
              <w:t>ADMINISTRACIÓN</w:t>
            </w:r>
            <w:r>
              <w:rPr>
                <w:spacing w:val="-3"/>
                <w:sz w:val="12"/>
              </w:rPr>
              <w:t> </w:t>
            </w:r>
            <w:r>
              <w:rPr>
                <w:spacing w:val="-4"/>
                <w:sz w:val="12"/>
              </w:rPr>
              <w:t>ESPE.</w:t>
            </w:r>
          </w:p>
        </w:tc>
        <w:tc>
          <w:tcPr>
            <w:tcW w:w="909" w:type="dxa"/>
          </w:tcPr>
          <w:p>
            <w:pPr>
              <w:pStyle w:val="TableParagraph"/>
              <w:spacing w:line="136" w:lineRule="exact"/>
              <w:ind w:left="16" w:right="8"/>
              <w:jc w:val="center"/>
              <w:rPr>
                <w:sz w:val="12"/>
              </w:rPr>
            </w:pPr>
            <w:r>
              <w:rPr>
                <w:spacing w:val="-5"/>
                <w:sz w:val="12"/>
              </w:rPr>
              <w:t>18</w:t>
            </w:r>
          </w:p>
        </w:tc>
        <w:tc>
          <w:tcPr>
            <w:tcW w:w="751" w:type="dxa"/>
          </w:tcPr>
          <w:p>
            <w:pPr>
              <w:pStyle w:val="TableParagraph"/>
              <w:spacing w:line="136" w:lineRule="exact"/>
              <w:ind w:left="11"/>
              <w:jc w:val="center"/>
              <w:rPr>
                <w:sz w:val="12"/>
              </w:rPr>
            </w:pPr>
            <w:r>
              <w:rPr>
                <w:spacing w:val="-2"/>
                <w:sz w:val="12"/>
              </w:rPr>
              <w:t>2,14%</w:t>
            </w:r>
          </w:p>
        </w:tc>
        <w:tc>
          <w:tcPr>
            <w:tcW w:w="873" w:type="dxa"/>
          </w:tcPr>
          <w:p>
            <w:pPr>
              <w:pStyle w:val="TableParagraph"/>
              <w:spacing w:line="136" w:lineRule="exact"/>
              <w:ind w:left="56" w:right="43"/>
              <w:jc w:val="center"/>
              <w:rPr>
                <w:sz w:val="12"/>
              </w:rPr>
            </w:pPr>
            <w:r>
              <w:rPr>
                <w:spacing w:val="-10"/>
                <w:sz w:val="12"/>
              </w:rPr>
              <w:t>5</w:t>
            </w:r>
          </w:p>
        </w:tc>
        <w:tc>
          <w:tcPr>
            <w:tcW w:w="899" w:type="dxa"/>
          </w:tcPr>
          <w:p>
            <w:pPr>
              <w:pStyle w:val="TableParagraph"/>
              <w:spacing w:line="136" w:lineRule="exact"/>
              <w:ind w:left="15" w:right="2"/>
              <w:jc w:val="center"/>
              <w:rPr>
                <w:sz w:val="12"/>
              </w:rPr>
            </w:pPr>
            <w:r>
              <w:rPr>
                <w:spacing w:val="-2"/>
                <w:sz w:val="12"/>
              </w:rPr>
              <w:t>0,67%</w:t>
            </w:r>
          </w:p>
        </w:tc>
        <w:tc>
          <w:tcPr>
            <w:tcW w:w="899" w:type="dxa"/>
          </w:tcPr>
          <w:p>
            <w:pPr>
              <w:pStyle w:val="TableParagraph"/>
              <w:spacing w:line="136" w:lineRule="exact"/>
              <w:ind w:left="15" w:right="2"/>
              <w:jc w:val="center"/>
              <w:rPr>
                <w:sz w:val="12"/>
              </w:rPr>
            </w:pPr>
            <w:r>
              <w:rPr>
                <w:spacing w:val="-5"/>
                <w:sz w:val="12"/>
              </w:rPr>
              <w:t>13</w:t>
            </w:r>
          </w:p>
        </w:tc>
        <w:tc>
          <w:tcPr>
            <w:tcW w:w="719" w:type="dxa"/>
          </w:tcPr>
          <w:p>
            <w:pPr>
              <w:pStyle w:val="TableParagraph"/>
              <w:spacing w:line="136" w:lineRule="exact"/>
              <w:ind w:left="25" w:right="6"/>
              <w:jc w:val="center"/>
              <w:rPr>
                <w:sz w:val="12"/>
              </w:rPr>
            </w:pPr>
            <w:r>
              <w:rPr>
                <w:spacing w:val="-2"/>
                <w:sz w:val="12"/>
              </w:rPr>
              <w:t>13,40%</w:t>
            </w:r>
          </w:p>
        </w:tc>
      </w:tr>
      <w:tr>
        <w:trPr>
          <w:trHeight w:val="405" w:hRule="atLeast"/>
        </w:trPr>
        <w:tc>
          <w:tcPr>
            <w:tcW w:w="1267" w:type="dxa"/>
            <w:vMerge/>
            <w:tcBorders>
              <w:top w:val="nil"/>
            </w:tcBorders>
          </w:tcPr>
          <w:p>
            <w:pPr>
              <w:rPr>
                <w:sz w:val="2"/>
                <w:szCs w:val="2"/>
              </w:rPr>
            </w:pPr>
          </w:p>
        </w:tc>
        <w:tc>
          <w:tcPr>
            <w:tcW w:w="2145" w:type="dxa"/>
          </w:tcPr>
          <w:p>
            <w:pPr>
              <w:pStyle w:val="TableParagraph"/>
              <w:spacing w:before="98"/>
              <w:ind w:left="69"/>
              <w:rPr>
                <w:sz w:val="12"/>
              </w:rPr>
            </w:pPr>
            <w:r>
              <w:rPr>
                <w:sz w:val="12"/>
              </w:rPr>
              <w:t>AUXILIAR</w:t>
            </w:r>
            <w:r>
              <w:rPr>
                <w:spacing w:val="-5"/>
                <w:sz w:val="12"/>
              </w:rPr>
              <w:t> </w:t>
            </w:r>
            <w:r>
              <w:rPr>
                <w:spacing w:val="-2"/>
                <w:sz w:val="12"/>
              </w:rPr>
              <w:t>ADMIN/ESPECIALISTA</w:t>
            </w:r>
          </w:p>
        </w:tc>
        <w:tc>
          <w:tcPr>
            <w:tcW w:w="909" w:type="dxa"/>
          </w:tcPr>
          <w:p>
            <w:pPr>
              <w:pStyle w:val="TableParagraph"/>
              <w:spacing w:line="136" w:lineRule="exact"/>
              <w:ind w:left="16" w:right="8"/>
              <w:jc w:val="center"/>
              <w:rPr>
                <w:sz w:val="12"/>
              </w:rPr>
            </w:pPr>
            <w:r>
              <w:rPr>
                <w:spacing w:val="-10"/>
                <w:sz w:val="12"/>
              </w:rPr>
              <w:t>0</w:t>
            </w:r>
          </w:p>
        </w:tc>
        <w:tc>
          <w:tcPr>
            <w:tcW w:w="751" w:type="dxa"/>
          </w:tcPr>
          <w:p>
            <w:pPr>
              <w:pStyle w:val="TableParagraph"/>
              <w:spacing w:line="136" w:lineRule="exact"/>
              <w:ind w:left="11" w:right="2"/>
              <w:jc w:val="center"/>
              <w:rPr>
                <w:sz w:val="12"/>
              </w:rPr>
            </w:pPr>
            <w:r>
              <w:rPr>
                <w:spacing w:val="-2"/>
                <w:sz w:val="12"/>
              </w:rPr>
              <w:t>0,00%</w:t>
            </w:r>
          </w:p>
        </w:tc>
        <w:tc>
          <w:tcPr>
            <w:tcW w:w="873" w:type="dxa"/>
          </w:tcPr>
          <w:p>
            <w:pPr>
              <w:pStyle w:val="TableParagraph"/>
              <w:spacing w:line="136" w:lineRule="exact"/>
              <w:ind w:left="56" w:right="43"/>
              <w:jc w:val="center"/>
              <w:rPr>
                <w:sz w:val="12"/>
              </w:rPr>
            </w:pPr>
            <w:r>
              <w:rPr>
                <w:spacing w:val="-10"/>
                <w:sz w:val="12"/>
              </w:rPr>
              <w:t>0</w:t>
            </w:r>
          </w:p>
        </w:tc>
        <w:tc>
          <w:tcPr>
            <w:tcW w:w="899" w:type="dxa"/>
          </w:tcPr>
          <w:p>
            <w:pPr>
              <w:pStyle w:val="TableParagraph"/>
              <w:spacing w:line="136" w:lineRule="exact"/>
              <w:ind w:left="15" w:right="2"/>
              <w:jc w:val="center"/>
              <w:rPr>
                <w:sz w:val="12"/>
              </w:rPr>
            </w:pPr>
            <w:r>
              <w:rPr>
                <w:spacing w:val="-2"/>
                <w:sz w:val="12"/>
              </w:rPr>
              <w:t>0,00%</w:t>
            </w:r>
          </w:p>
        </w:tc>
        <w:tc>
          <w:tcPr>
            <w:tcW w:w="899" w:type="dxa"/>
          </w:tcPr>
          <w:p>
            <w:pPr>
              <w:pStyle w:val="TableParagraph"/>
              <w:spacing w:line="136" w:lineRule="exact"/>
              <w:ind w:left="15" w:right="1"/>
              <w:jc w:val="center"/>
              <w:rPr>
                <w:sz w:val="12"/>
              </w:rPr>
            </w:pPr>
            <w:r>
              <w:rPr>
                <w:spacing w:val="-10"/>
                <w:sz w:val="12"/>
              </w:rPr>
              <w:t>0</w:t>
            </w:r>
          </w:p>
        </w:tc>
        <w:tc>
          <w:tcPr>
            <w:tcW w:w="719" w:type="dxa"/>
          </w:tcPr>
          <w:p>
            <w:pPr>
              <w:pStyle w:val="TableParagraph"/>
              <w:spacing w:line="136" w:lineRule="exact"/>
              <w:ind w:left="25" w:right="7"/>
              <w:jc w:val="center"/>
              <w:rPr>
                <w:sz w:val="12"/>
              </w:rPr>
            </w:pPr>
            <w:r>
              <w:rPr>
                <w:spacing w:val="-2"/>
                <w:sz w:val="12"/>
              </w:rPr>
              <w:t>0,00%</w:t>
            </w:r>
          </w:p>
        </w:tc>
      </w:tr>
      <w:tr>
        <w:trPr>
          <w:trHeight w:val="421" w:hRule="atLeast"/>
        </w:trPr>
        <w:tc>
          <w:tcPr>
            <w:tcW w:w="3412" w:type="dxa"/>
            <w:gridSpan w:val="2"/>
          </w:tcPr>
          <w:p>
            <w:pPr>
              <w:pStyle w:val="TableParagraph"/>
              <w:spacing w:before="103"/>
              <w:ind w:left="6"/>
              <w:jc w:val="center"/>
              <w:rPr>
                <w:b/>
                <w:sz w:val="12"/>
              </w:rPr>
            </w:pPr>
            <w:r>
              <w:rPr>
                <w:b/>
                <w:spacing w:val="-2"/>
                <w:sz w:val="12"/>
              </w:rPr>
              <w:t>TOTAL</w:t>
            </w:r>
          </w:p>
        </w:tc>
        <w:tc>
          <w:tcPr>
            <w:tcW w:w="909" w:type="dxa"/>
          </w:tcPr>
          <w:p>
            <w:pPr>
              <w:pStyle w:val="TableParagraph"/>
              <w:ind w:left="16" w:right="9"/>
              <w:jc w:val="center"/>
              <w:rPr>
                <w:rFonts w:ascii="Calibri"/>
                <w:b/>
                <w:sz w:val="12"/>
              </w:rPr>
            </w:pPr>
            <w:r>
              <w:rPr>
                <w:rFonts w:ascii="Calibri"/>
                <w:b/>
                <w:spacing w:val="-5"/>
                <w:sz w:val="12"/>
              </w:rPr>
              <w:t>840</w:t>
            </w:r>
          </w:p>
        </w:tc>
        <w:tc>
          <w:tcPr>
            <w:tcW w:w="751" w:type="dxa"/>
          </w:tcPr>
          <w:p>
            <w:pPr>
              <w:pStyle w:val="TableParagraph"/>
              <w:ind w:left="11" w:right="3"/>
              <w:jc w:val="center"/>
              <w:rPr>
                <w:rFonts w:ascii="Calibri"/>
                <w:b/>
                <w:sz w:val="12"/>
              </w:rPr>
            </w:pPr>
            <w:r>
              <w:rPr>
                <w:rFonts w:ascii="Calibri"/>
                <w:b/>
                <w:spacing w:val="-4"/>
                <w:sz w:val="12"/>
              </w:rPr>
              <w:t>100%</w:t>
            </w:r>
          </w:p>
        </w:tc>
        <w:tc>
          <w:tcPr>
            <w:tcW w:w="873" w:type="dxa"/>
          </w:tcPr>
          <w:p>
            <w:pPr>
              <w:pStyle w:val="TableParagraph"/>
              <w:ind w:left="56" w:right="45"/>
              <w:jc w:val="center"/>
              <w:rPr>
                <w:rFonts w:ascii="Calibri"/>
                <w:b/>
                <w:sz w:val="12"/>
              </w:rPr>
            </w:pPr>
            <w:r>
              <w:rPr>
                <w:rFonts w:ascii="Calibri"/>
                <w:b/>
                <w:spacing w:val="-5"/>
                <w:sz w:val="12"/>
              </w:rPr>
              <w:t>743</w:t>
            </w:r>
          </w:p>
        </w:tc>
        <w:tc>
          <w:tcPr>
            <w:tcW w:w="899" w:type="dxa"/>
          </w:tcPr>
          <w:p>
            <w:pPr>
              <w:pStyle w:val="TableParagraph"/>
              <w:ind w:left="15" w:right="4"/>
              <w:jc w:val="center"/>
              <w:rPr>
                <w:rFonts w:ascii="Calibri"/>
                <w:b/>
                <w:sz w:val="12"/>
              </w:rPr>
            </w:pPr>
            <w:r>
              <w:rPr>
                <w:rFonts w:ascii="Calibri"/>
                <w:b/>
                <w:spacing w:val="-4"/>
                <w:sz w:val="12"/>
              </w:rPr>
              <w:t>100%</w:t>
            </w:r>
          </w:p>
        </w:tc>
        <w:tc>
          <w:tcPr>
            <w:tcW w:w="899" w:type="dxa"/>
          </w:tcPr>
          <w:p>
            <w:pPr>
              <w:pStyle w:val="TableParagraph"/>
              <w:ind w:left="15"/>
              <w:jc w:val="center"/>
              <w:rPr>
                <w:rFonts w:ascii="Calibri"/>
                <w:b/>
                <w:sz w:val="12"/>
              </w:rPr>
            </w:pPr>
            <w:r>
              <w:rPr>
                <w:rFonts w:ascii="Calibri"/>
                <w:b/>
                <w:spacing w:val="-5"/>
                <w:sz w:val="12"/>
              </w:rPr>
              <w:t>97</w:t>
            </w:r>
          </w:p>
        </w:tc>
        <w:tc>
          <w:tcPr>
            <w:tcW w:w="719" w:type="dxa"/>
          </w:tcPr>
          <w:p>
            <w:pPr>
              <w:pStyle w:val="TableParagraph"/>
              <w:ind w:left="25" w:right="8"/>
              <w:jc w:val="center"/>
              <w:rPr>
                <w:rFonts w:ascii="Calibri"/>
                <w:b/>
                <w:sz w:val="12"/>
              </w:rPr>
            </w:pPr>
            <w:r>
              <w:rPr>
                <w:rFonts w:ascii="Calibri"/>
                <w:b/>
                <w:spacing w:val="-4"/>
                <w:sz w:val="12"/>
              </w:rPr>
              <w:t>100%</w:t>
            </w:r>
          </w:p>
        </w:tc>
      </w:tr>
    </w:tbl>
    <w:p>
      <w:pPr>
        <w:pStyle w:val="BodyText"/>
        <w:spacing w:before="8"/>
        <w:ind w:left="1341"/>
      </w:pPr>
      <w:r>
        <w:rPr/>
        <mc:AlternateContent>
          <mc:Choice Requires="wps">
            <w:drawing>
              <wp:anchor distT="0" distB="0" distL="0" distR="0" allowOverlap="1" layoutInCell="1" locked="0" behindDoc="0" simplePos="0" relativeHeight="15801856">
                <wp:simplePos x="0" y="0"/>
                <wp:positionH relativeFrom="page">
                  <wp:posOffset>6966436</wp:posOffset>
                </wp:positionH>
                <wp:positionV relativeFrom="paragraph">
                  <wp:posOffset>-137504</wp:posOffset>
                </wp:positionV>
                <wp:extent cx="263525" cy="327596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0.827139pt;width:20.75pt;height:257.95pt;mso-position-horizontal-relative:page;mso-position-vertical-relative:paragraph;z-index:15801856" type="#_x0000_t202" id="docshape20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29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w:t>
      </w:r>
      <w:r>
        <w:rPr>
          <w:spacing w:val="-5"/>
        </w:rPr>
        <w:t> </w:t>
      </w:r>
      <w:r>
        <w:rPr/>
        <w:t>%</w:t>
      </w:r>
      <w:r>
        <w:rPr>
          <w:spacing w:val="-3"/>
        </w:rPr>
        <w:t> </w:t>
      </w:r>
      <w:r>
        <w:rPr/>
        <w:t>sobre</w:t>
      </w:r>
      <w:r>
        <w:rPr>
          <w:spacing w:val="-2"/>
        </w:rPr>
        <w:t> </w:t>
      </w:r>
      <w:r>
        <w:rPr/>
        <w:t>total</w:t>
      </w:r>
      <w:r>
        <w:rPr>
          <w:spacing w:val="-5"/>
        </w:rPr>
        <w:t> </w:t>
      </w:r>
      <w:r>
        <w:rPr/>
        <w:t>de</w:t>
      </w:r>
      <w:r>
        <w:rPr>
          <w:spacing w:val="-4"/>
        </w:rPr>
        <w:t> </w:t>
      </w:r>
      <w:r>
        <w:rPr/>
        <w:t>hombres</w:t>
      </w:r>
      <w:r>
        <w:rPr>
          <w:spacing w:val="-4"/>
        </w:rPr>
        <w:t> </w:t>
      </w:r>
      <w:r>
        <w:rPr/>
        <w:t>o</w:t>
      </w:r>
      <w:r>
        <w:rPr>
          <w:spacing w:val="-1"/>
        </w:rPr>
        <w:t> </w:t>
      </w:r>
      <w:r>
        <w:rPr/>
        <w:t>sobre</w:t>
      </w:r>
      <w:r>
        <w:rPr>
          <w:spacing w:val="-5"/>
        </w:rPr>
        <w:t> </w:t>
      </w:r>
      <w:r>
        <w:rPr/>
        <w:t>total</w:t>
      </w:r>
      <w:r>
        <w:rPr>
          <w:spacing w:val="-4"/>
        </w:rPr>
        <w:t> </w:t>
      </w:r>
      <w:r>
        <w:rPr/>
        <w:t>de</w:t>
      </w:r>
      <w:r>
        <w:rPr>
          <w:spacing w:val="-5"/>
        </w:rPr>
        <w:t> </w:t>
      </w:r>
      <w:r>
        <w:rPr/>
        <w:t>mujeres</w:t>
      </w:r>
      <w:r>
        <w:rPr>
          <w:spacing w:val="-2"/>
        </w:rPr>
        <w:t> respectivamente</w:t>
      </w:r>
    </w:p>
    <w:p>
      <w:pPr>
        <w:pStyle w:val="BodyText"/>
        <w:spacing w:after="0"/>
        <w:sectPr>
          <w:pgSz w:w="11910" w:h="16840"/>
          <w:pgMar w:header="384" w:footer="1060" w:top="1200" w:bottom="1260" w:left="360" w:right="360"/>
        </w:sectPr>
      </w:pPr>
    </w:p>
    <w:p>
      <w:pPr>
        <w:pStyle w:val="BodyText"/>
        <w:spacing w:before="218"/>
        <w:ind w:left="1341"/>
      </w:pPr>
      <w:r>
        <w:rPr/>
        <mc:AlternateContent>
          <mc:Choice Requires="wps">
            <w:drawing>
              <wp:anchor distT="0" distB="0" distL="0" distR="0" allowOverlap="1" layoutInCell="1" locked="0" behindDoc="0" simplePos="0" relativeHeight="15802368">
                <wp:simplePos x="0" y="0"/>
                <wp:positionH relativeFrom="page">
                  <wp:posOffset>6966436</wp:posOffset>
                </wp:positionH>
                <wp:positionV relativeFrom="page">
                  <wp:posOffset>6553363</wp:posOffset>
                </wp:positionV>
                <wp:extent cx="263525" cy="327596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2368" type="#_x0000_t202" id="docshape20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w:t>
      </w:r>
      <w:r>
        <w:rPr>
          <w:spacing w:val="-6"/>
        </w:rPr>
        <w:t> </w:t>
      </w:r>
      <w:r>
        <w:rPr/>
        <w:t>evolución</w:t>
      </w:r>
      <w:r>
        <w:rPr>
          <w:spacing w:val="-5"/>
        </w:rPr>
        <w:t> </w:t>
      </w:r>
      <w:r>
        <w:rPr/>
        <w:t>de</w:t>
      </w:r>
      <w:r>
        <w:rPr>
          <w:spacing w:val="-7"/>
        </w:rPr>
        <w:t> </w:t>
      </w:r>
      <w:r>
        <w:rPr/>
        <w:t>la</w:t>
      </w:r>
      <w:r>
        <w:rPr>
          <w:spacing w:val="-6"/>
        </w:rPr>
        <w:t> </w:t>
      </w:r>
      <w:r>
        <w:rPr/>
        <w:t>plantilla</w:t>
      </w:r>
      <w:r>
        <w:rPr>
          <w:spacing w:val="-5"/>
        </w:rPr>
        <w:t> </w:t>
      </w:r>
      <w:r>
        <w:rPr/>
        <w:t>a</w:t>
      </w:r>
      <w:r>
        <w:rPr>
          <w:spacing w:val="-4"/>
        </w:rPr>
        <w:t> </w:t>
      </w:r>
      <w:r>
        <w:rPr/>
        <w:t>31/12/2025</w:t>
      </w:r>
      <w:r>
        <w:rPr>
          <w:spacing w:val="-7"/>
        </w:rPr>
        <w:t> </w:t>
      </w:r>
      <w:r>
        <w:rPr/>
        <w:t>con</w:t>
      </w:r>
      <w:r>
        <w:rPr>
          <w:spacing w:val="-5"/>
        </w:rPr>
        <w:t> </w:t>
      </w:r>
      <w:r>
        <w:rPr/>
        <w:t>respecto</w:t>
      </w:r>
      <w:r>
        <w:rPr>
          <w:spacing w:val="-3"/>
        </w:rPr>
        <w:t> </w:t>
      </w:r>
      <w:r>
        <w:rPr/>
        <w:t>al</w:t>
      </w:r>
      <w:r>
        <w:rPr>
          <w:spacing w:val="-5"/>
        </w:rPr>
        <w:t> </w:t>
      </w:r>
      <w:r>
        <w:rPr/>
        <w:t>2024</w:t>
      </w:r>
      <w:r>
        <w:rPr>
          <w:spacing w:val="-3"/>
        </w:rPr>
        <w:t> </w:t>
      </w:r>
      <w:r>
        <w:rPr/>
        <w:t>ha</w:t>
      </w:r>
      <w:r>
        <w:rPr>
          <w:spacing w:val="-5"/>
        </w:rPr>
        <w:t> </w:t>
      </w:r>
      <w:r>
        <w:rPr/>
        <w:t>sido</w:t>
      </w:r>
      <w:r>
        <w:rPr>
          <w:spacing w:val="-5"/>
        </w:rPr>
        <w:t> </w:t>
      </w:r>
      <w:r>
        <w:rPr/>
        <w:t>la</w:t>
      </w:r>
      <w:r>
        <w:rPr>
          <w:spacing w:val="-6"/>
        </w:rPr>
        <w:t> </w:t>
      </w:r>
      <w:r>
        <w:rPr>
          <w:spacing w:val="-2"/>
        </w:rPr>
        <w:t>siguiente:</w:t>
      </w:r>
    </w:p>
    <w:p>
      <w:pPr>
        <w:pStyle w:val="BodyText"/>
        <w:spacing w:before="85"/>
      </w:pPr>
    </w:p>
    <w:tbl>
      <w:tblPr>
        <w:tblW w:w="0" w:type="auto"/>
        <w:jc w:val="left"/>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1970"/>
        <w:gridCol w:w="885"/>
        <w:gridCol w:w="907"/>
        <w:gridCol w:w="981"/>
        <w:gridCol w:w="820"/>
        <w:gridCol w:w="935"/>
        <w:gridCol w:w="909"/>
      </w:tblGrid>
      <w:tr>
        <w:trPr>
          <w:trHeight w:val="263" w:hRule="atLeast"/>
        </w:trPr>
        <w:tc>
          <w:tcPr>
            <w:tcW w:w="8578" w:type="dxa"/>
            <w:gridSpan w:val="8"/>
            <w:shd w:val="clear" w:color="auto" w:fill="D7D7D7"/>
          </w:tcPr>
          <w:p>
            <w:pPr>
              <w:pStyle w:val="TableParagraph"/>
              <w:spacing w:before="1"/>
              <w:ind w:left="10"/>
              <w:jc w:val="center"/>
              <w:rPr>
                <w:rFonts w:ascii="Calibri" w:hAnsi="Calibri"/>
                <w:b/>
                <w:sz w:val="14"/>
              </w:rPr>
            </w:pPr>
            <w:r>
              <w:rPr>
                <w:rFonts w:ascii="Calibri" w:hAnsi="Calibri"/>
                <w:b/>
                <w:sz w:val="14"/>
              </w:rPr>
              <w:t>∆</w:t>
            </w:r>
            <w:r>
              <w:rPr>
                <w:rFonts w:ascii="Calibri" w:hAnsi="Calibri"/>
                <w:b/>
                <w:spacing w:val="-4"/>
                <w:sz w:val="14"/>
              </w:rPr>
              <w:t> </w:t>
            </w:r>
            <w:r>
              <w:rPr>
                <w:rFonts w:ascii="Calibri" w:hAnsi="Calibri"/>
                <w:b/>
                <w:sz w:val="14"/>
              </w:rPr>
              <w:t>2025-</w:t>
            </w:r>
            <w:r>
              <w:rPr>
                <w:rFonts w:ascii="Calibri" w:hAnsi="Calibri"/>
                <w:b/>
                <w:spacing w:val="-4"/>
                <w:sz w:val="14"/>
              </w:rPr>
              <w:t>2024</w:t>
            </w:r>
          </w:p>
        </w:tc>
      </w:tr>
      <w:tr>
        <w:trPr>
          <w:trHeight w:val="1029" w:hRule="atLeast"/>
        </w:trPr>
        <w:tc>
          <w:tcPr>
            <w:tcW w:w="1171" w:type="dxa"/>
            <w:shd w:val="clear" w:color="auto" w:fill="D7D7D7"/>
          </w:tcPr>
          <w:p>
            <w:pPr>
              <w:pStyle w:val="TableParagraph"/>
              <w:rPr>
                <w:sz w:val="14"/>
              </w:rPr>
            </w:pPr>
          </w:p>
          <w:p>
            <w:pPr>
              <w:pStyle w:val="TableParagraph"/>
              <w:spacing w:before="64"/>
              <w:rPr>
                <w:sz w:val="14"/>
              </w:rPr>
            </w:pPr>
          </w:p>
          <w:p>
            <w:pPr>
              <w:pStyle w:val="TableParagraph"/>
              <w:spacing w:before="1"/>
              <w:ind w:left="7" w:right="1"/>
              <w:jc w:val="center"/>
              <w:rPr>
                <w:b/>
                <w:sz w:val="14"/>
              </w:rPr>
            </w:pPr>
            <w:r>
              <w:rPr>
                <w:b/>
                <w:spacing w:val="-2"/>
                <w:sz w:val="14"/>
              </w:rPr>
              <w:t>GRUPO</w:t>
            </w:r>
          </w:p>
        </w:tc>
        <w:tc>
          <w:tcPr>
            <w:tcW w:w="1970" w:type="dxa"/>
            <w:shd w:val="clear" w:color="auto" w:fill="D7D7D7"/>
          </w:tcPr>
          <w:p>
            <w:pPr>
              <w:pStyle w:val="TableParagraph"/>
              <w:rPr>
                <w:sz w:val="14"/>
              </w:rPr>
            </w:pPr>
          </w:p>
          <w:p>
            <w:pPr>
              <w:pStyle w:val="TableParagraph"/>
              <w:spacing w:before="64"/>
              <w:rPr>
                <w:sz w:val="14"/>
              </w:rPr>
            </w:pPr>
          </w:p>
          <w:p>
            <w:pPr>
              <w:pStyle w:val="TableParagraph"/>
              <w:spacing w:before="1"/>
              <w:ind w:left="6"/>
              <w:jc w:val="center"/>
              <w:rPr>
                <w:b/>
                <w:sz w:val="14"/>
              </w:rPr>
            </w:pPr>
            <w:r>
              <w:rPr>
                <w:b/>
                <w:spacing w:val="-2"/>
                <w:sz w:val="14"/>
              </w:rPr>
              <w:t>NIVEL</w:t>
            </w:r>
          </w:p>
        </w:tc>
        <w:tc>
          <w:tcPr>
            <w:tcW w:w="885" w:type="dxa"/>
            <w:shd w:val="clear" w:color="auto" w:fill="D7D7D7"/>
          </w:tcPr>
          <w:p>
            <w:pPr>
              <w:pStyle w:val="TableParagraph"/>
              <w:rPr>
                <w:sz w:val="14"/>
              </w:rPr>
            </w:pPr>
          </w:p>
          <w:p>
            <w:pPr>
              <w:pStyle w:val="TableParagraph"/>
              <w:spacing w:before="64"/>
              <w:rPr>
                <w:sz w:val="14"/>
              </w:rPr>
            </w:pPr>
          </w:p>
          <w:p>
            <w:pPr>
              <w:pStyle w:val="TableParagraph"/>
              <w:spacing w:before="1"/>
              <w:ind w:left="11"/>
              <w:jc w:val="center"/>
              <w:rPr>
                <w:b/>
                <w:sz w:val="14"/>
              </w:rPr>
            </w:pPr>
            <w:r>
              <w:rPr>
                <w:b/>
                <w:spacing w:val="-2"/>
                <w:sz w:val="14"/>
              </w:rPr>
              <w:t>NÚMERO</w:t>
            </w:r>
          </w:p>
        </w:tc>
        <w:tc>
          <w:tcPr>
            <w:tcW w:w="907" w:type="dxa"/>
            <w:shd w:val="clear" w:color="auto" w:fill="D7D7D7"/>
          </w:tcPr>
          <w:p>
            <w:pPr>
              <w:pStyle w:val="TableParagraph"/>
              <w:rPr>
                <w:sz w:val="14"/>
              </w:rPr>
            </w:pPr>
          </w:p>
          <w:p>
            <w:pPr>
              <w:pStyle w:val="TableParagraph"/>
              <w:spacing w:before="64"/>
              <w:rPr>
                <w:sz w:val="14"/>
              </w:rPr>
            </w:pPr>
          </w:p>
          <w:p>
            <w:pPr>
              <w:pStyle w:val="TableParagraph"/>
              <w:spacing w:before="1"/>
              <w:ind w:left="42" w:right="36"/>
              <w:jc w:val="center"/>
              <w:rPr>
                <w:b/>
                <w:sz w:val="14"/>
              </w:rPr>
            </w:pPr>
            <w:r>
              <w:rPr>
                <w:b/>
                <w:spacing w:val="-10"/>
                <w:sz w:val="14"/>
              </w:rPr>
              <w:t>%</w:t>
            </w:r>
          </w:p>
        </w:tc>
        <w:tc>
          <w:tcPr>
            <w:tcW w:w="981" w:type="dxa"/>
            <w:shd w:val="clear" w:color="auto" w:fill="D7D7D7"/>
          </w:tcPr>
          <w:p>
            <w:pPr>
              <w:pStyle w:val="TableParagraph"/>
              <w:rPr>
                <w:sz w:val="14"/>
              </w:rPr>
            </w:pPr>
          </w:p>
          <w:p>
            <w:pPr>
              <w:pStyle w:val="TableParagraph"/>
              <w:spacing w:before="64"/>
              <w:rPr>
                <w:sz w:val="14"/>
              </w:rPr>
            </w:pPr>
          </w:p>
          <w:p>
            <w:pPr>
              <w:pStyle w:val="TableParagraph"/>
              <w:spacing w:before="1"/>
              <w:ind w:left="8" w:right="5"/>
              <w:jc w:val="center"/>
              <w:rPr>
                <w:b/>
                <w:sz w:val="14"/>
              </w:rPr>
            </w:pPr>
            <w:r>
              <w:rPr>
                <w:b/>
                <w:spacing w:val="-2"/>
                <w:sz w:val="14"/>
              </w:rPr>
              <w:t>HOMBRES</w:t>
            </w:r>
          </w:p>
        </w:tc>
        <w:tc>
          <w:tcPr>
            <w:tcW w:w="820" w:type="dxa"/>
            <w:shd w:val="clear" w:color="auto" w:fill="D7D7D7"/>
          </w:tcPr>
          <w:p>
            <w:pPr>
              <w:pStyle w:val="TableParagraph"/>
              <w:rPr>
                <w:sz w:val="14"/>
              </w:rPr>
            </w:pPr>
          </w:p>
          <w:p>
            <w:pPr>
              <w:pStyle w:val="TableParagraph"/>
              <w:spacing w:before="64"/>
              <w:rPr>
                <w:sz w:val="14"/>
              </w:rPr>
            </w:pPr>
          </w:p>
          <w:p>
            <w:pPr>
              <w:pStyle w:val="TableParagraph"/>
              <w:spacing w:before="1"/>
              <w:ind w:left="18" w:right="5"/>
              <w:jc w:val="center"/>
              <w:rPr>
                <w:b/>
                <w:sz w:val="14"/>
              </w:rPr>
            </w:pPr>
            <w:r>
              <w:rPr>
                <w:b/>
                <w:spacing w:val="-10"/>
                <w:sz w:val="14"/>
              </w:rPr>
              <w:t>%</w:t>
            </w:r>
          </w:p>
        </w:tc>
        <w:tc>
          <w:tcPr>
            <w:tcW w:w="935" w:type="dxa"/>
            <w:shd w:val="clear" w:color="auto" w:fill="D7D7D7"/>
          </w:tcPr>
          <w:p>
            <w:pPr>
              <w:pStyle w:val="TableParagraph"/>
              <w:rPr>
                <w:sz w:val="14"/>
              </w:rPr>
            </w:pPr>
          </w:p>
          <w:p>
            <w:pPr>
              <w:pStyle w:val="TableParagraph"/>
              <w:spacing w:before="64"/>
              <w:rPr>
                <w:sz w:val="14"/>
              </w:rPr>
            </w:pPr>
          </w:p>
          <w:p>
            <w:pPr>
              <w:pStyle w:val="TableParagraph"/>
              <w:spacing w:before="1"/>
              <w:ind w:left="15" w:right="1"/>
              <w:jc w:val="center"/>
              <w:rPr>
                <w:b/>
                <w:sz w:val="14"/>
              </w:rPr>
            </w:pPr>
            <w:r>
              <w:rPr>
                <w:b/>
                <w:spacing w:val="-2"/>
                <w:sz w:val="14"/>
              </w:rPr>
              <w:t>MUJERES</w:t>
            </w:r>
          </w:p>
        </w:tc>
        <w:tc>
          <w:tcPr>
            <w:tcW w:w="909" w:type="dxa"/>
            <w:shd w:val="clear" w:color="auto" w:fill="D7D7D7"/>
          </w:tcPr>
          <w:p>
            <w:pPr>
              <w:pStyle w:val="TableParagraph"/>
              <w:rPr>
                <w:sz w:val="14"/>
              </w:rPr>
            </w:pPr>
          </w:p>
          <w:p>
            <w:pPr>
              <w:pStyle w:val="TableParagraph"/>
              <w:spacing w:before="64"/>
              <w:rPr>
                <w:sz w:val="14"/>
              </w:rPr>
            </w:pPr>
          </w:p>
          <w:p>
            <w:pPr>
              <w:pStyle w:val="TableParagraph"/>
              <w:spacing w:before="1"/>
              <w:ind w:left="16" w:right="2"/>
              <w:jc w:val="center"/>
              <w:rPr>
                <w:b/>
                <w:sz w:val="14"/>
              </w:rPr>
            </w:pPr>
            <w:r>
              <w:rPr>
                <w:b/>
                <w:spacing w:val="-10"/>
                <w:sz w:val="14"/>
              </w:rPr>
              <w:t>%</w:t>
            </w:r>
          </w:p>
        </w:tc>
      </w:tr>
      <w:tr>
        <w:trPr>
          <w:trHeight w:val="482" w:hRule="atLeast"/>
        </w:trPr>
        <w:tc>
          <w:tcPr>
            <w:tcW w:w="1171" w:type="dxa"/>
          </w:tcPr>
          <w:p>
            <w:pPr>
              <w:pStyle w:val="TableParagraph"/>
              <w:spacing w:line="154" w:lineRule="exact"/>
              <w:ind w:left="7"/>
              <w:jc w:val="center"/>
              <w:rPr>
                <w:b/>
                <w:sz w:val="14"/>
              </w:rPr>
            </w:pPr>
            <w:r>
              <w:rPr>
                <w:b/>
                <w:spacing w:val="-4"/>
                <w:sz w:val="14"/>
              </w:rPr>
              <w:t>ALTA</w:t>
            </w:r>
          </w:p>
          <w:p>
            <w:pPr>
              <w:pStyle w:val="TableParagraph"/>
              <w:spacing w:before="79"/>
              <w:ind w:left="7" w:right="3"/>
              <w:jc w:val="center"/>
              <w:rPr>
                <w:b/>
                <w:sz w:val="14"/>
              </w:rPr>
            </w:pPr>
            <w:r>
              <w:rPr>
                <w:b/>
                <w:spacing w:val="-2"/>
                <w:sz w:val="14"/>
              </w:rPr>
              <w:t>DIRECCIÓN</w:t>
            </w:r>
          </w:p>
        </w:tc>
        <w:tc>
          <w:tcPr>
            <w:tcW w:w="1970" w:type="dxa"/>
          </w:tcPr>
          <w:p>
            <w:pPr>
              <w:pStyle w:val="TableParagraph"/>
              <w:spacing w:before="115"/>
              <w:ind w:left="69"/>
              <w:rPr>
                <w:sz w:val="14"/>
              </w:rPr>
            </w:pPr>
            <w:r>
              <w:rPr>
                <w:spacing w:val="-2"/>
                <w:sz w:val="14"/>
              </w:rPr>
              <w:t>DIRECTOR</w:t>
            </w:r>
            <w:r>
              <w:rPr>
                <w:spacing w:val="5"/>
                <w:sz w:val="14"/>
              </w:rPr>
              <w:t> </w:t>
            </w:r>
            <w:r>
              <w:rPr>
                <w:spacing w:val="-2"/>
                <w:sz w:val="14"/>
              </w:rPr>
              <w:t>GENERAL</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07" w:hRule="atLeast"/>
        </w:trPr>
        <w:tc>
          <w:tcPr>
            <w:tcW w:w="1171" w:type="dxa"/>
            <w:vMerge w:val="restart"/>
          </w:tcPr>
          <w:p>
            <w:pPr>
              <w:pStyle w:val="TableParagraph"/>
              <w:rPr>
                <w:sz w:val="14"/>
              </w:rPr>
            </w:pPr>
          </w:p>
          <w:p>
            <w:pPr>
              <w:pStyle w:val="TableParagraph"/>
              <w:spacing w:before="96"/>
              <w:rPr>
                <w:sz w:val="14"/>
              </w:rPr>
            </w:pPr>
          </w:p>
          <w:p>
            <w:pPr>
              <w:pStyle w:val="TableParagraph"/>
              <w:spacing w:line="362" w:lineRule="auto"/>
              <w:ind w:left="203" w:right="193" w:firstLine="86"/>
              <w:rPr>
                <w:b/>
                <w:sz w:val="14"/>
              </w:rPr>
            </w:pPr>
            <w:r>
              <w:rPr>
                <w:b/>
                <w:sz w:val="14"/>
              </w:rPr>
              <w:t>GRUPO</w:t>
            </w:r>
            <w:r>
              <w:rPr>
                <w:b/>
                <w:spacing w:val="-4"/>
                <w:sz w:val="14"/>
              </w:rPr>
              <w:t> </w:t>
            </w:r>
            <w:r>
              <w:rPr>
                <w:b/>
                <w:sz w:val="14"/>
              </w:rPr>
              <w:t>I</w:t>
            </w:r>
            <w:r>
              <w:rPr>
                <w:b/>
                <w:spacing w:val="40"/>
                <w:sz w:val="14"/>
              </w:rPr>
              <w:t> </w:t>
            </w:r>
            <w:r>
              <w:rPr>
                <w:b/>
                <w:spacing w:val="-2"/>
                <w:sz w:val="14"/>
              </w:rPr>
              <w:t>DIRECTIVO</w:t>
            </w:r>
          </w:p>
        </w:tc>
        <w:tc>
          <w:tcPr>
            <w:tcW w:w="1970" w:type="dxa"/>
          </w:tcPr>
          <w:p>
            <w:pPr>
              <w:pStyle w:val="TableParagraph"/>
              <w:spacing w:before="79"/>
              <w:ind w:left="69"/>
              <w:rPr>
                <w:sz w:val="14"/>
              </w:rPr>
            </w:pPr>
            <w:r>
              <w:rPr>
                <w:sz w:val="14"/>
              </w:rPr>
              <w:t>JEFE</w:t>
            </w:r>
            <w:r>
              <w:rPr>
                <w:spacing w:val="-6"/>
                <w:sz w:val="14"/>
              </w:rPr>
              <w:t> </w:t>
            </w:r>
            <w:r>
              <w:rPr>
                <w:spacing w:val="-2"/>
                <w:sz w:val="14"/>
              </w:rPr>
              <w:t>SERVICIO</w:t>
            </w:r>
          </w:p>
        </w:tc>
        <w:tc>
          <w:tcPr>
            <w:tcW w:w="885" w:type="dxa"/>
          </w:tcPr>
          <w:p>
            <w:pPr>
              <w:pStyle w:val="TableParagraph"/>
              <w:spacing w:line="136" w:lineRule="exact"/>
              <w:ind w:left="11" w:right="1"/>
              <w:jc w:val="center"/>
              <w:rPr>
                <w:sz w:val="12"/>
              </w:rPr>
            </w:pPr>
            <w:r>
              <w:rPr>
                <w:sz w:val="12"/>
              </w:rPr>
              <w:t>-</w:t>
            </w:r>
            <w:r>
              <w:rPr>
                <w:spacing w:val="-10"/>
                <w:sz w:val="12"/>
              </w:rPr>
              <w:t>1</w:t>
            </w:r>
          </w:p>
        </w:tc>
        <w:tc>
          <w:tcPr>
            <w:tcW w:w="907" w:type="dxa"/>
          </w:tcPr>
          <w:p>
            <w:pPr>
              <w:pStyle w:val="TableParagraph"/>
              <w:spacing w:line="136" w:lineRule="exact"/>
              <w:ind w:left="42" w:right="32"/>
              <w:jc w:val="center"/>
              <w:rPr>
                <w:sz w:val="12"/>
              </w:rPr>
            </w:pPr>
            <w:r>
              <w:rPr>
                <w:sz w:val="12"/>
              </w:rPr>
              <w:t>-</w:t>
            </w:r>
            <w:r>
              <w:rPr>
                <w:spacing w:val="-2"/>
                <w:sz w:val="12"/>
              </w:rPr>
              <w:t>8,33%</w:t>
            </w:r>
          </w:p>
        </w:tc>
        <w:tc>
          <w:tcPr>
            <w:tcW w:w="981" w:type="dxa"/>
          </w:tcPr>
          <w:p>
            <w:pPr>
              <w:pStyle w:val="TableParagraph"/>
              <w:spacing w:line="136" w:lineRule="exact"/>
              <w:ind w:left="8" w:right="1"/>
              <w:jc w:val="center"/>
              <w:rPr>
                <w:sz w:val="12"/>
              </w:rPr>
            </w:pPr>
            <w:r>
              <w:rPr>
                <w:sz w:val="12"/>
              </w:rPr>
              <w:t>-</w:t>
            </w:r>
            <w:r>
              <w:rPr>
                <w:spacing w:val="-10"/>
                <w:sz w:val="12"/>
              </w:rPr>
              <w:t>1</w:t>
            </w:r>
          </w:p>
        </w:tc>
        <w:tc>
          <w:tcPr>
            <w:tcW w:w="820" w:type="dxa"/>
          </w:tcPr>
          <w:p>
            <w:pPr>
              <w:pStyle w:val="TableParagraph"/>
              <w:spacing w:line="136" w:lineRule="exact"/>
              <w:ind w:left="18" w:right="1"/>
              <w:jc w:val="center"/>
              <w:rPr>
                <w:sz w:val="12"/>
              </w:rPr>
            </w:pPr>
            <w:r>
              <w:rPr>
                <w:sz w:val="12"/>
              </w:rPr>
              <w:t>-</w:t>
            </w:r>
            <w:r>
              <w:rPr>
                <w:spacing w:val="-2"/>
                <w:sz w:val="12"/>
              </w:rPr>
              <w:t>11,11%</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22" w:hRule="atLeast"/>
        </w:trPr>
        <w:tc>
          <w:tcPr>
            <w:tcW w:w="1171" w:type="dxa"/>
            <w:vMerge/>
            <w:tcBorders>
              <w:top w:val="nil"/>
            </w:tcBorders>
          </w:tcPr>
          <w:p>
            <w:pPr>
              <w:rPr>
                <w:sz w:val="2"/>
                <w:szCs w:val="2"/>
              </w:rPr>
            </w:pPr>
          </w:p>
        </w:tc>
        <w:tc>
          <w:tcPr>
            <w:tcW w:w="1970" w:type="dxa"/>
          </w:tcPr>
          <w:p>
            <w:pPr>
              <w:pStyle w:val="TableParagraph"/>
              <w:spacing w:before="84"/>
              <w:ind w:left="69"/>
              <w:rPr>
                <w:sz w:val="14"/>
              </w:rPr>
            </w:pPr>
            <w:r>
              <w:rPr>
                <w:sz w:val="14"/>
              </w:rPr>
              <w:t>JEFE</w:t>
            </w:r>
            <w:r>
              <w:rPr>
                <w:spacing w:val="-4"/>
                <w:sz w:val="14"/>
              </w:rPr>
              <w:t> </w:t>
            </w:r>
            <w:r>
              <w:rPr>
                <w:sz w:val="14"/>
              </w:rPr>
              <w:t>DE</w:t>
            </w:r>
            <w:r>
              <w:rPr>
                <w:spacing w:val="-4"/>
                <w:sz w:val="14"/>
              </w:rPr>
              <w:t> </w:t>
            </w:r>
            <w:r>
              <w:rPr>
                <w:spacing w:val="-2"/>
                <w:sz w:val="14"/>
              </w:rPr>
              <w:t>GRUPO</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82" w:hRule="atLeast"/>
        </w:trPr>
        <w:tc>
          <w:tcPr>
            <w:tcW w:w="1171" w:type="dxa"/>
            <w:vMerge/>
            <w:tcBorders>
              <w:top w:val="nil"/>
            </w:tcBorders>
          </w:tcPr>
          <w:p>
            <w:pPr>
              <w:rPr>
                <w:sz w:val="2"/>
                <w:szCs w:val="2"/>
              </w:rPr>
            </w:pPr>
          </w:p>
        </w:tc>
        <w:tc>
          <w:tcPr>
            <w:tcW w:w="1970" w:type="dxa"/>
          </w:tcPr>
          <w:p>
            <w:pPr>
              <w:pStyle w:val="TableParagraph"/>
              <w:spacing w:line="157" w:lineRule="exact"/>
              <w:ind w:left="69"/>
              <w:rPr>
                <w:sz w:val="14"/>
              </w:rPr>
            </w:pPr>
            <w:r>
              <w:rPr>
                <w:sz w:val="14"/>
              </w:rPr>
              <w:t>JEFE</w:t>
            </w:r>
            <w:r>
              <w:rPr>
                <w:spacing w:val="-4"/>
                <w:sz w:val="14"/>
              </w:rPr>
              <w:t> </w:t>
            </w:r>
            <w:r>
              <w:rPr>
                <w:sz w:val="14"/>
              </w:rPr>
              <w:t>DE</w:t>
            </w:r>
            <w:r>
              <w:rPr>
                <w:spacing w:val="-4"/>
                <w:sz w:val="14"/>
              </w:rPr>
              <w:t> </w:t>
            </w:r>
            <w:r>
              <w:rPr>
                <w:spacing w:val="-2"/>
                <w:sz w:val="14"/>
              </w:rPr>
              <w:t>OFICINA</w:t>
            </w:r>
          </w:p>
          <w:p>
            <w:pPr>
              <w:pStyle w:val="TableParagraph"/>
              <w:spacing w:before="79"/>
              <w:ind w:left="69"/>
              <w:rPr>
                <w:sz w:val="14"/>
              </w:rPr>
            </w:pPr>
            <w:r>
              <w:rPr>
                <w:spacing w:val="-2"/>
                <w:sz w:val="14"/>
              </w:rPr>
              <w:t>TÉCNICA</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07" w:hRule="atLeast"/>
        </w:trPr>
        <w:tc>
          <w:tcPr>
            <w:tcW w:w="1171" w:type="dxa"/>
            <w:vMerge w:val="restart"/>
          </w:tcPr>
          <w:p>
            <w:pPr>
              <w:pStyle w:val="TableParagraph"/>
              <w:spacing w:before="2"/>
              <w:rPr>
                <w:sz w:val="14"/>
              </w:rPr>
            </w:pPr>
          </w:p>
          <w:p>
            <w:pPr>
              <w:pStyle w:val="TableParagraph"/>
              <w:spacing w:line="362" w:lineRule="auto"/>
              <w:ind w:left="268" w:right="250" w:firstLine="2"/>
              <w:rPr>
                <w:b/>
                <w:sz w:val="14"/>
              </w:rPr>
            </w:pPr>
            <w:r>
              <w:rPr>
                <w:b/>
                <w:sz w:val="14"/>
              </w:rPr>
              <w:t>GRUPO</w:t>
            </w:r>
            <w:r>
              <w:rPr>
                <w:b/>
                <w:spacing w:val="-10"/>
                <w:sz w:val="14"/>
              </w:rPr>
              <w:t> </w:t>
            </w:r>
            <w:r>
              <w:rPr>
                <w:b/>
                <w:sz w:val="14"/>
              </w:rPr>
              <w:t>II</w:t>
            </w:r>
            <w:r>
              <w:rPr>
                <w:b/>
                <w:spacing w:val="40"/>
                <w:sz w:val="14"/>
              </w:rPr>
              <w:t> </w:t>
            </w:r>
            <w:r>
              <w:rPr>
                <w:b/>
                <w:spacing w:val="-2"/>
                <w:sz w:val="14"/>
              </w:rPr>
              <w:t>TÉCNICO</w:t>
            </w:r>
          </w:p>
        </w:tc>
        <w:tc>
          <w:tcPr>
            <w:tcW w:w="1970" w:type="dxa"/>
          </w:tcPr>
          <w:p>
            <w:pPr>
              <w:pStyle w:val="TableParagraph"/>
              <w:spacing w:before="79"/>
              <w:ind w:left="69"/>
              <w:rPr>
                <w:sz w:val="14"/>
              </w:rPr>
            </w:pPr>
            <w:r>
              <w:rPr>
                <w:sz w:val="14"/>
              </w:rPr>
              <w:t>TÉCNICO</w:t>
            </w:r>
            <w:r>
              <w:rPr>
                <w:spacing w:val="-8"/>
                <w:sz w:val="14"/>
              </w:rPr>
              <w:t> </w:t>
            </w:r>
            <w:r>
              <w:rPr>
                <w:spacing w:val="-2"/>
                <w:sz w:val="14"/>
              </w:rPr>
              <w:t>SUPERIOR</w:t>
            </w:r>
          </w:p>
        </w:tc>
        <w:tc>
          <w:tcPr>
            <w:tcW w:w="885" w:type="dxa"/>
          </w:tcPr>
          <w:p>
            <w:pPr>
              <w:pStyle w:val="TableParagraph"/>
              <w:spacing w:line="136" w:lineRule="exact"/>
              <w:ind w:left="11" w:right="3"/>
              <w:jc w:val="center"/>
              <w:rPr>
                <w:sz w:val="12"/>
              </w:rPr>
            </w:pPr>
            <w:r>
              <w:rPr>
                <w:spacing w:val="-10"/>
                <w:sz w:val="12"/>
              </w:rPr>
              <w:t>2</w:t>
            </w:r>
          </w:p>
        </w:tc>
        <w:tc>
          <w:tcPr>
            <w:tcW w:w="907" w:type="dxa"/>
          </w:tcPr>
          <w:p>
            <w:pPr>
              <w:pStyle w:val="TableParagraph"/>
              <w:spacing w:line="136" w:lineRule="exact"/>
              <w:ind w:left="42" w:right="35"/>
              <w:jc w:val="center"/>
              <w:rPr>
                <w:sz w:val="12"/>
              </w:rPr>
            </w:pPr>
            <w:r>
              <w:rPr>
                <w:spacing w:val="-2"/>
                <w:sz w:val="12"/>
              </w:rPr>
              <w:t>16,67%</w:t>
            </w:r>
          </w:p>
        </w:tc>
        <w:tc>
          <w:tcPr>
            <w:tcW w:w="981" w:type="dxa"/>
          </w:tcPr>
          <w:p>
            <w:pPr>
              <w:pStyle w:val="TableParagraph"/>
              <w:spacing w:line="136" w:lineRule="exact"/>
              <w:ind w:left="8" w:right="3"/>
              <w:jc w:val="center"/>
              <w:rPr>
                <w:sz w:val="12"/>
              </w:rPr>
            </w:pPr>
            <w:r>
              <w:rPr>
                <w:spacing w:val="-10"/>
                <w:sz w:val="12"/>
              </w:rPr>
              <w:t>1</w:t>
            </w:r>
          </w:p>
        </w:tc>
        <w:tc>
          <w:tcPr>
            <w:tcW w:w="820" w:type="dxa"/>
          </w:tcPr>
          <w:p>
            <w:pPr>
              <w:pStyle w:val="TableParagraph"/>
              <w:spacing w:line="136" w:lineRule="exact"/>
              <w:ind w:left="18" w:right="4"/>
              <w:jc w:val="center"/>
              <w:rPr>
                <w:sz w:val="12"/>
              </w:rPr>
            </w:pPr>
            <w:r>
              <w:rPr>
                <w:spacing w:val="-2"/>
                <w:sz w:val="12"/>
              </w:rPr>
              <w:t>10,00%</w:t>
            </w:r>
          </w:p>
        </w:tc>
        <w:tc>
          <w:tcPr>
            <w:tcW w:w="935" w:type="dxa"/>
          </w:tcPr>
          <w:p>
            <w:pPr>
              <w:pStyle w:val="TableParagraph"/>
              <w:spacing w:line="136" w:lineRule="exact"/>
              <w:ind w:left="15"/>
              <w:jc w:val="center"/>
              <w:rPr>
                <w:sz w:val="12"/>
              </w:rPr>
            </w:pPr>
            <w:r>
              <w:rPr>
                <w:spacing w:val="-10"/>
                <w:sz w:val="12"/>
              </w:rPr>
              <w:t>1</w:t>
            </w:r>
          </w:p>
        </w:tc>
        <w:tc>
          <w:tcPr>
            <w:tcW w:w="909" w:type="dxa"/>
          </w:tcPr>
          <w:p>
            <w:pPr>
              <w:pStyle w:val="TableParagraph"/>
              <w:spacing w:line="136" w:lineRule="exact"/>
              <w:ind w:left="16" w:right="1"/>
              <w:jc w:val="center"/>
              <w:rPr>
                <w:sz w:val="12"/>
              </w:rPr>
            </w:pPr>
            <w:r>
              <w:rPr>
                <w:spacing w:val="-2"/>
                <w:sz w:val="12"/>
              </w:rPr>
              <w:t>50,00%</w:t>
            </w:r>
          </w:p>
        </w:tc>
      </w:tr>
      <w:tr>
        <w:trPr>
          <w:trHeight w:val="407" w:hRule="atLeast"/>
        </w:trPr>
        <w:tc>
          <w:tcPr>
            <w:tcW w:w="1171" w:type="dxa"/>
            <w:vMerge/>
            <w:tcBorders>
              <w:top w:val="nil"/>
            </w:tcBorders>
          </w:tcPr>
          <w:p>
            <w:pPr>
              <w:rPr>
                <w:sz w:val="2"/>
                <w:szCs w:val="2"/>
              </w:rPr>
            </w:pPr>
          </w:p>
        </w:tc>
        <w:tc>
          <w:tcPr>
            <w:tcW w:w="1970" w:type="dxa"/>
          </w:tcPr>
          <w:p>
            <w:pPr>
              <w:pStyle w:val="TableParagraph"/>
              <w:spacing w:before="77"/>
              <w:ind w:left="69"/>
              <w:rPr>
                <w:sz w:val="14"/>
              </w:rPr>
            </w:pPr>
            <w:r>
              <w:rPr>
                <w:spacing w:val="-2"/>
                <w:sz w:val="14"/>
              </w:rPr>
              <w:t>TÉCNICO</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jc w:val="center"/>
              <w:rPr>
                <w:sz w:val="12"/>
              </w:rPr>
            </w:pPr>
            <w:r>
              <w:rPr>
                <w:sz w:val="12"/>
              </w:rPr>
              <w:t>-</w:t>
            </w:r>
            <w:r>
              <w:rPr>
                <w:spacing w:val="-10"/>
                <w:sz w:val="12"/>
              </w:rPr>
              <w:t>1</w:t>
            </w:r>
          </w:p>
        </w:tc>
        <w:tc>
          <w:tcPr>
            <w:tcW w:w="820" w:type="dxa"/>
          </w:tcPr>
          <w:p>
            <w:pPr>
              <w:pStyle w:val="TableParagraph"/>
              <w:spacing w:line="136" w:lineRule="exact"/>
              <w:ind w:left="18"/>
              <w:jc w:val="center"/>
              <w:rPr>
                <w:sz w:val="12"/>
              </w:rPr>
            </w:pPr>
            <w:r>
              <w:rPr>
                <w:sz w:val="12"/>
              </w:rPr>
              <w:t>-</w:t>
            </w:r>
            <w:r>
              <w:rPr>
                <w:spacing w:val="-2"/>
                <w:sz w:val="12"/>
              </w:rPr>
              <w:t>50,00%</w:t>
            </w:r>
          </w:p>
        </w:tc>
        <w:tc>
          <w:tcPr>
            <w:tcW w:w="935" w:type="dxa"/>
          </w:tcPr>
          <w:p>
            <w:pPr>
              <w:pStyle w:val="TableParagraph"/>
              <w:spacing w:line="136" w:lineRule="exact"/>
              <w:ind w:left="15"/>
              <w:jc w:val="center"/>
              <w:rPr>
                <w:sz w:val="12"/>
              </w:rPr>
            </w:pPr>
            <w:r>
              <w:rPr>
                <w:spacing w:val="-10"/>
                <w:sz w:val="12"/>
              </w:rPr>
              <w:t>1</w:t>
            </w:r>
          </w:p>
        </w:tc>
        <w:tc>
          <w:tcPr>
            <w:tcW w:w="909" w:type="dxa"/>
          </w:tcPr>
          <w:p>
            <w:pPr>
              <w:pStyle w:val="TableParagraph"/>
              <w:spacing w:line="136" w:lineRule="exact"/>
              <w:ind w:left="16"/>
              <w:jc w:val="center"/>
              <w:rPr>
                <w:sz w:val="12"/>
              </w:rPr>
            </w:pPr>
            <w:r>
              <w:rPr>
                <w:spacing w:val="-2"/>
                <w:sz w:val="12"/>
              </w:rPr>
              <w:t>100,00%</w:t>
            </w:r>
          </w:p>
        </w:tc>
      </w:tr>
      <w:tr>
        <w:trPr>
          <w:trHeight w:val="405" w:hRule="atLeast"/>
        </w:trPr>
        <w:tc>
          <w:tcPr>
            <w:tcW w:w="1171" w:type="dxa"/>
            <w:vMerge w:val="restart"/>
          </w:tcPr>
          <w:p>
            <w:pPr>
              <w:pStyle w:val="TableParagraph"/>
              <w:rPr>
                <w:sz w:val="14"/>
              </w:rPr>
            </w:pPr>
          </w:p>
          <w:p>
            <w:pPr>
              <w:pStyle w:val="TableParagraph"/>
              <w:spacing w:before="88"/>
              <w:rPr>
                <w:sz w:val="14"/>
              </w:rPr>
            </w:pPr>
          </w:p>
          <w:p>
            <w:pPr>
              <w:pStyle w:val="TableParagraph"/>
              <w:spacing w:line="357" w:lineRule="auto" w:before="1"/>
              <w:ind w:left="321" w:right="231" w:hanging="70"/>
              <w:rPr>
                <w:b/>
                <w:sz w:val="14"/>
              </w:rPr>
            </w:pPr>
            <w:r>
              <w:rPr>
                <w:b/>
                <w:sz w:val="14"/>
              </w:rPr>
              <w:t>GRUPO</w:t>
            </w:r>
            <w:r>
              <w:rPr>
                <w:b/>
                <w:spacing w:val="-10"/>
                <w:sz w:val="14"/>
              </w:rPr>
              <w:t> </w:t>
            </w:r>
            <w:r>
              <w:rPr>
                <w:b/>
                <w:sz w:val="14"/>
              </w:rPr>
              <w:t>III</w:t>
            </w:r>
            <w:r>
              <w:rPr>
                <w:b/>
                <w:spacing w:val="40"/>
                <w:sz w:val="14"/>
              </w:rPr>
              <w:t> </w:t>
            </w:r>
            <w:r>
              <w:rPr>
                <w:b/>
                <w:spacing w:val="-4"/>
                <w:sz w:val="14"/>
              </w:rPr>
              <w:t>MANDO</w:t>
            </w:r>
          </w:p>
        </w:tc>
        <w:tc>
          <w:tcPr>
            <w:tcW w:w="1970" w:type="dxa"/>
          </w:tcPr>
          <w:p>
            <w:pPr>
              <w:pStyle w:val="TableParagraph"/>
              <w:spacing w:before="77"/>
              <w:ind w:left="69"/>
              <w:rPr>
                <w:sz w:val="14"/>
              </w:rPr>
            </w:pPr>
            <w:r>
              <w:rPr>
                <w:sz w:val="14"/>
              </w:rPr>
              <w:t>MANDO</w:t>
            </w:r>
            <w:r>
              <w:rPr>
                <w:spacing w:val="-7"/>
                <w:sz w:val="14"/>
              </w:rPr>
              <w:t> </w:t>
            </w:r>
            <w:r>
              <w:rPr>
                <w:sz w:val="14"/>
              </w:rPr>
              <w:t>DE</w:t>
            </w:r>
            <w:r>
              <w:rPr>
                <w:spacing w:val="-1"/>
                <w:sz w:val="14"/>
              </w:rPr>
              <w:t> </w:t>
            </w:r>
            <w:r>
              <w:rPr>
                <w:spacing w:val="-2"/>
                <w:sz w:val="14"/>
              </w:rPr>
              <w:t>MOVIMIENTO</w:t>
            </w:r>
          </w:p>
        </w:tc>
        <w:tc>
          <w:tcPr>
            <w:tcW w:w="885" w:type="dxa"/>
          </w:tcPr>
          <w:p>
            <w:pPr>
              <w:pStyle w:val="TableParagraph"/>
              <w:spacing w:line="136" w:lineRule="exact"/>
              <w:ind w:left="11" w:right="1"/>
              <w:jc w:val="center"/>
              <w:rPr>
                <w:sz w:val="12"/>
              </w:rPr>
            </w:pPr>
            <w:r>
              <w:rPr>
                <w:sz w:val="12"/>
              </w:rPr>
              <w:t>-</w:t>
            </w:r>
            <w:r>
              <w:rPr>
                <w:spacing w:val="-10"/>
                <w:sz w:val="12"/>
              </w:rPr>
              <w:t>3</w:t>
            </w:r>
          </w:p>
        </w:tc>
        <w:tc>
          <w:tcPr>
            <w:tcW w:w="907" w:type="dxa"/>
          </w:tcPr>
          <w:p>
            <w:pPr>
              <w:pStyle w:val="TableParagraph"/>
              <w:spacing w:line="136" w:lineRule="exact"/>
              <w:ind w:left="42" w:right="33"/>
              <w:jc w:val="center"/>
              <w:rPr>
                <w:sz w:val="12"/>
              </w:rPr>
            </w:pPr>
            <w:r>
              <w:rPr>
                <w:sz w:val="12"/>
              </w:rPr>
              <w:t>-</w:t>
            </w:r>
            <w:r>
              <w:rPr>
                <w:spacing w:val="-2"/>
                <w:sz w:val="12"/>
              </w:rPr>
              <w:t>12,00%</w:t>
            </w:r>
          </w:p>
        </w:tc>
        <w:tc>
          <w:tcPr>
            <w:tcW w:w="981" w:type="dxa"/>
          </w:tcPr>
          <w:p>
            <w:pPr>
              <w:pStyle w:val="TableParagraph"/>
              <w:spacing w:line="136" w:lineRule="exact"/>
              <w:ind w:left="8" w:right="2"/>
              <w:jc w:val="center"/>
              <w:rPr>
                <w:sz w:val="12"/>
              </w:rPr>
            </w:pPr>
            <w:r>
              <w:rPr>
                <w:sz w:val="12"/>
              </w:rPr>
              <w:t>-</w:t>
            </w:r>
            <w:r>
              <w:rPr>
                <w:spacing w:val="-10"/>
                <w:sz w:val="12"/>
              </w:rPr>
              <w:t>3</w:t>
            </w:r>
          </w:p>
        </w:tc>
        <w:tc>
          <w:tcPr>
            <w:tcW w:w="820" w:type="dxa"/>
          </w:tcPr>
          <w:p>
            <w:pPr>
              <w:pStyle w:val="TableParagraph"/>
              <w:spacing w:line="136" w:lineRule="exact"/>
              <w:ind w:left="18" w:right="2"/>
              <w:jc w:val="center"/>
              <w:rPr>
                <w:sz w:val="12"/>
              </w:rPr>
            </w:pPr>
            <w:r>
              <w:rPr>
                <w:sz w:val="12"/>
              </w:rPr>
              <w:t>-</w:t>
            </w:r>
            <w:r>
              <w:rPr>
                <w:spacing w:val="-2"/>
                <w:sz w:val="12"/>
              </w:rPr>
              <w:t>12,00%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07" w:hRule="atLeast"/>
        </w:trPr>
        <w:tc>
          <w:tcPr>
            <w:tcW w:w="1171" w:type="dxa"/>
            <w:vMerge/>
            <w:tcBorders>
              <w:top w:val="nil"/>
            </w:tcBorders>
          </w:tcPr>
          <w:p>
            <w:pPr>
              <w:rPr>
                <w:sz w:val="2"/>
                <w:szCs w:val="2"/>
              </w:rPr>
            </w:pPr>
          </w:p>
        </w:tc>
        <w:tc>
          <w:tcPr>
            <w:tcW w:w="1970" w:type="dxa"/>
          </w:tcPr>
          <w:p>
            <w:pPr>
              <w:pStyle w:val="TableParagraph"/>
              <w:spacing w:before="79"/>
              <w:ind w:left="69"/>
              <w:rPr>
                <w:sz w:val="14"/>
              </w:rPr>
            </w:pPr>
            <w:r>
              <w:rPr>
                <w:sz w:val="14"/>
              </w:rPr>
              <w:t>MANDO</w:t>
            </w:r>
            <w:r>
              <w:rPr>
                <w:spacing w:val="-7"/>
                <w:sz w:val="14"/>
              </w:rPr>
              <w:t> </w:t>
            </w:r>
            <w:r>
              <w:rPr>
                <w:sz w:val="14"/>
              </w:rPr>
              <w:t>DE</w:t>
            </w:r>
            <w:r>
              <w:rPr>
                <w:spacing w:val="-3"/>
                <w:sz w:val="14"/>
              </w:rPr>
              <w:t> </w:t>
            </w:r>
            <w:r>
              <w:rPr>
                <w:spacing w:val="-2"/>
                <w:sz w:val="14"/>
              </w:rPr>
              <w:t>TALLER</w:t>
            </w:r>
          </w:p>
        </w:tc>
        <w:tc>
          <w:tcPr>
            <w:tcW w:w="885" w:type="dxa"/>
          </w:tcPr>
          <w:p>
            <w:pPr>
              <w:pStyle w:val="TableParagraph"/>
              <w:ind w:left="11" w:right="1"/>
              <w:jc w:val="center"/>
              <w:rPr>
                <w:sz w:val="12"/>
              </w:rPr>
            </w:pPr>
            <w:r>
              <w:rPr>
                <w:sz w:val="12"/>
              </w:rPr>
              <w:t>-</w:t>
            </w:r>
            <w:r>
              <w:rPr>
                <w:spacing w:val="-10"/>
                <w:sz w:val="12"/>
              </w:rPr>
              <w:t>2</w:t>
            </w:r>
          </w:p>
        </w:tc>
        <w:tc>
          <w:tcPr>
            <w:tcW w:w="907" w:type="dxa"/>
          </w:tcPr>
          <w:p>
            <w:pPr>
              <w:pStyle w:val="TableParagraph"/>
              <w:ind w:left="42" w:right="33"/>
              <w:jc w:val="center"/>
              <w:rPr>
                <w:sz w:val="12"/>
              </w:rPr>
            </w:pPr>
            <w:r>
              <w:rPr>
                <w:sz w:val="12"/>
              </w:rPr>
              <w:t>-</w:t>
            </w:r>
            <w:r>
              <w:rPr>
                <w:spacing w:val="-2"/>
                <w:sz w:val="12"/>
              </w:rPr>
              <w:t>28,57%</w:t>
            </w:r>
          </w:p>
        </w:tc>
        <w:tc>
          <w:tcPr>
            <w:tcW w:w="981" w:type="dxa"/>
          </w:tcPr>
          <w:p>
            <w:pPr>
              <w:pStyle w:val="TableParagraph"/>
              <w:ind w:left="8" w:right="2"/>
              <w:jc w:val="center"/>
              <w:rPr>
                <w:sz w:val="12"/>
              </w:rPr>
            </w:pPr>
            <w:r>
              <w:rPr>
                <w:sz w:val="12"/>
              </w:rPr>
              <w:t>-</w:t>
            </w:r>
            <w:r>
              <w:rPr>
                <w:spacing w:val="-10"/>
                <w:sz w:val="12"/>
              </w:rPr>
              <w:t>2</w:t>
            </w:r>
          </w:p>
        </w:tc>
        <w:tc>
          <w:tcPr>
            <w:tcW w:w="820" w:type="dxa"/>
          </w:tcPr>
          <w:p>
            <w:pPr>
              <w:pStyle w:val="TableParagraph"/>
              <w:ind w:left="18" w:right="2"/>
              <w:jc w:val="center"/>
              <w:rPr>
                <w:sz w:val="12"/>
              </w:rPr>
            </w:pPr>
            <w:r>
              <w:rPr>
                <w:sz w:val="12"/>
              </w:rPr>
              <w:t>-</w:t>
            </w:r>
            <w:r>
              <w:rPr>
                <w:spacing w:val="-2"/>
                <w:sz w:val="12"/>
              </w:rPr>
              <w:t>28,57%</w:t>
            </w:r>
          </w:p>
        </w:tc>
        <w:tc>
          <w:tcPr>
            <w:tcW w:w="935" w:type="dxa"/>
          </w:tcPr>
          <w:p>
            <w:pPr>
              <w:pStyle w:val="TableParagraph"/>
              <w:ind w:left="15"/>
              <w:jc w:val="center"/>
              <w:rPr>
                <w:sz w:val="12"/>
              </w:rPr>
            </w:pPr>
            <w:r>
              <w:rPr>
                <w:spacing w:val="-10"/>
                <w:sz w:val="12"/>
              </w:rPr>
              <w:t>0</w:t>
            </w:r>
          </w:p>
        </w:tc>
        <w:tc>
          <w:tcPr>
            <w:tcW w:w="909" w:type="dxa"/>
          </w:tcPr>
          <w:p>
            <w:pPr>
              <w:pStyle w:val="TableParagraph"/>
              <w:ind w:left="16" w:right="1"/>
              <w:jc w:val="center"/>
              <w:rPr>
                <w:sz w:val="12"/>
              </w:rPr>
            </w:pPr>
            <w:r>
              <w:rPr>
                <w:spacing w:val="-2"/>
                <w:sz w:val="12"/>
              </w:rPr>
              <w:t>0,00%</w:t>
            </w:r>
          </w:p>
        </w:tc>
      </w:tr>
      <w:tr>
        <w:trPr>
          <w:trHeight w:val="482" w:hRule="atLeast"/>
        </w:trPr>
        <w:tc>
          <w:tcPr>
            <w:tcW w:w="1171" w:type="dxa"/>
            <w:vMerge/>
            <w:tcBorders>
              <w:top w:val="nil"/>
            </w:tcBorders>
          </w:tcPr>
          <w:p>
            <w:pPr>
              <w:rPr>
                <w:sz w:val="2"/>
                <w:szCs w:val="2"/>
              </w:rPr>
            </w:pPr>
          </w:p>
        </w:tc>
        <w:tc>
          <w:tcPr>
            <w:tcW w:w="1970" w:type="dxa"/>
          </w:tcPr>
          <w:p>
            <w:pPr>
              <w:pStyle w:val="TableParagraph"/>
              <w:spacing w:line="157" w:lineRule="exact"/>
              <w:ind w:left="69"/>
              <w:rPr>
                <w:sz w:val="14"/>
              </w:rPr>
            </w:pPr>
            <w:r>
              <w:rPr>
                <w:sz w:val="14"/>
              </w:rPr>
              <w:t>MANDO</w:t>
            </w:r>
            <w:r>
              <w:rPr>
                <w:spacing w:val="-9"/>
                <w:sz w:val="14"/>
              </w:rPr>
              <w:t> </w:t>
            </w:r>
            <w:r>
              <w:rPr>
                <w:spacing w:val="-7"/>
                <w:sz w:val="14"/>
              </w:rPr>
              <w:t>DE</w:t>
            </w:r>
          </w:p>
          <w:p>
            <w:pPr>
              <w:pStyle w:val="TableParagraph"/>
              <w:spacing w:before="81"/>
              <w:ind w:left="69"/>
              <w:rPr>
                <w:sz w:val="14"/>
              </w:rPr>
            </w:pPr>
            <w:r>
              <w:rPr>
                <w:spacing w:val="-2"/>
                <w:sz w:val="14"/>
              </w:rPr>
              <w:t>ADMINISTRACIÓN</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07" w:hRule="atLeast"/>
        </w:trPr>
        <w:tc>
          <w:tcPr>
            <w:tcW w:w="1171"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48"/>
              <w:rPr>
                <w:sz w:val="14"/>
              </w:rPr>
            </w:pPr>
          </w:p>
          <w:p>
            <w:pPr>
              <w:pStyle w:val="TableParagraph"/>
              <w:spacing w:line="357" w:lineRule="auto"/>
              <w:ind w:left="343" w:right="234" w:hanging="99"/>
              <w:rPr>
                <w:b/>
                <w:sz w:val="14"/>
              </w:rPr>
            </w:pPr>
            <w:r>
              <w:rPr>
                <w:b/>
                <w:spacing w:val="-2"/>
                <w:sz w:val="14"/>
              </w:rPr>
              <w:t>GRUPO</w:t>
            </w:r>
            <w:r>
              <w:rPr>
                <w:b/>
                <w:spacing w:val="-8"/>
                <w:sz w:val="14"/>
              </w:rPr>
              <w:t> </w:t>
            </w:r>
            <w:r>
              <w:rPr>
                <w:b/>
                <w:spacing w:val="-2"/>
                <w:sz w:val="14"/>
              </w:rPr>
              <w:t>IV</w:t>
            </w:r>
            <w:r>
              <w:rPr>
                <w:b/>
                <w:spacing w:val="40"/>
                <w:sz w:val="14"/>
              </w:rPr>
              <w:t> </w:t>
            </w:r>
            <w:r>
              <w:rPr>
                <w:b/>
                <w:spacing w:val="-2"/>
                <w:sz w:val="14"/>
              </w:rPr>
              <w:t>OFICIO</w:t>
            </w:r>
          </w:p>
        </w:tc>
        <w:tc>
          <w:tcPr>
            <w:tcW w:w="1970" w:type="dxa"/>
          </w:tcPr>
          <w:p>
            <w:pPr>
              <w:pStyle w:val="TableParagraph"/>
              <w:spacing w:before="79"/>
              <w:ind w:left="69"/>
              <w:rPr>
                <w:sz w:val="14"/>
              </w:rPr>
            </w:pPr>
            <w:r>
              <w:rPr>
                <w:spacing w:val="-2"/>
                <w:sz w:val="14"/>
              </w:rPr>
              <w:t>CONDUCTOR</w:t>
            </w:r>
            <w:r>
              <w:rPr>
                <w:spacing w:val="5"/>
                <w:sz w:val="14"/>
              </w:rPr>
              <w:t> </w:t>
            </w:r>
            <w:r>
              <w:rPr>
                <w:spacing w:val="-2"/>
                <w:sz w:val="14"/>
              </w:rPr>
              <w:t>PERCEPTOR</w:t>
            </w:r>
          </w:p>
        </w:tc>
        <w:tc>
          <w:tcPr>
            <w:tcW w:w="885" w:type="dxa"/>
          </w:tcPr>
          <w:p>
            <w:pPr>
              <w:pStyle w:val="TableParagraph"/>
              <w:ind w:left="11" w:right="3"/>
              <w:jc w:val="center"/>
              <w:rPr>
                <w:sz w:val="12"/>
              </w:rPr>
            </w:pPr>
            <w:r>
              <w:rPr>
                <w:spacing w:val="-5"/>
                <w:sz w:val="12"/>
              </w:rPr>
              <w:t>24</w:t>
            </w:r>
          </w:p>
        </w:tc>
        <w:tc>
          <w:tcPr>
            <w:tcW w:w="907" w:type="dxa"/>
          </w:tcPr>
          <w:p>
            <w:pPr>
              <w:pStyle w:val="TableParagraph"/>
              <w:ind w:left="42" w:right="34"/>
              <w:jc w:val="center"/>
              <w:rPr>
                <w:sz w:val="12"/>
              </w:rPr>
            </w:pPr>
            <w:r>
              <w:rPr>
                <w:spacing w:val="-2"/>
                <w:sz w:val="12"/>
              </w:rPr>
              <w:t>3,52%</w:t>
            </w:r>
          </w:p>
        </w:tc>
        <w:tc>
          <w:tcPr>
            <w:tcW w:w="981" w:type="dxa"/>
          </w:tcPr>
          <w:p>
            <w:pPr>
              <w:pStyle w:val="TableParagraph"/>
              <w:ind w:left="8" w:right="2"/>
              <w:jc w:val="center"/>
              <w:rPr>
                <w:sz w:val="12"/>
              </w:rPr>
            </w:pPr>
            <w:r>
              <w:rPr>
                <w:spacing w:val="-10"/>
                <w:sz w:val="12"/>
              </w:rPr>
              <w:t>6</w:t>
            </w:r>
          </w:p>
        </w:tc>
        <w:tc>
          <w:tcPr>
            <w:tcW w:w="820" w:type="dxa"/>
          </w:tcPr>
          <w:p>
            <w:pPr>
              <w:pStyle w:val="TableParagraph"/>
              <w:ind w:left="18" w:right="3"/>
              <w:jc w:val="center"/>
              <w:rPr>
                <w:sz w:val="12"/>
              </w:rPr>
            </w:pPr>
            <w:r>
              <w:rPr>
                <w:spacing w:val="-2"/>
                <w:sz w:val="12"/>
              </w:rPr>
              <w:t>0,94%</w:t>
            </w:r>
          </w:p>
        </w:tc>
        <w:tc>
          <w:tcPr>
            <w:tcW w:w="935" w:type="dxa"/>
          </w:tcPr>
          <w:p>
            <w:pPr>
              <w:pStyle w:val="TableParagraph"/>
              <w:ind w:left="15"/>
              <w:jc w:val="center"/>
              <w:rPr>
                <w:sz w:val="12"/>
              </w:rPr>
            </w:pPr>
            <w:r>
              <w:rPr>
                <w:spacing w:val="-5"/>
                <w:sz w:val="12"/>
              </w:rPr>
              <w:t>18</w:t>
            </w:r>
          </w:p>
        </w:tc>
        <w:tc>
          <w:tcPr>
            <w:tcW w:w="909" w:type="dxa"/>
          </w:tcPr>
          <w:p>
            <w:pPr>
              <w:pStyle w:val="TableParagraph"/>
              <w:ind w:left="16"/>
              <w:jc w:val="center"/>
              <w:rPr>
                <w:sz w:val="12"/>
              </w:rPr>
            </w:pPr>
            <w:r>
              <w:rPr>
                <w:spacing w:val="-2"/>
                <w:sz w:val="12"/>
              </w:rPr>
              <w:t>39,13%</w:t>
            </w:r>
          </w:p>
        </w:tc>
      </w:tr>
      <w:tr>
        <w:trPr>
          <w:trHeight w:val="407" w:hRule="atLeast"/>
        </w:trPr>
        <w:tc>
          <w:tcPr>
            <w:tcW w:w="1171" w:type="dxa"/>
            <w:vMerge/>
            <w:tcBorders>
              <w:top w:val="nil"/>
            </w:tcBorders>
          </w:tcPr>
          <w:p>
            <w:pPr>
              <w:rPr>
                <w:sz w:val="2"/>
                <w:szCs w:val="2"/>
              </w:rPr>
            </w:pPr>
          </w:p>
        </w:tc>
        <w:tc>
          <w:tcPr>
            <w:tcW w:w="1970" w:type="dxa"/>
          </w:tcPr>
          <w:p>
            <w:pPr>
              <w:pStyle w:val="TableParagraph"/>
              <w:spacing w:before="79"/>
              <w:ind w:left="69"/>
              <w:rPr>
                <w:sz w:val="14"/>
              </w:rPr>
            </w:pPr>
            <w:r>
              <w:rPr>
                <w:sz w:val="14"/>
              </w:rPr>
              <w:t>INSPECTOR</w:t>
            </w:r>
            <w:r>
              <w:rPr>
                <w:spacing w:val="-5"/>
                <w:sz w:val="14"/>
              </w:rPr>
              <w:t> </w:t>
            </w:r>
            <w:r>
              <w:rPr>
                <w:sz w:val="14"/>
              </w:rPr>
              <w:t>DE</w:t>
            </w:r>
            <w:r>
              <w:rPr>
                <w:spacing w:val="-7"/>
                <w:sz w:val="14"/>
              </w:rPr>
              <w:t> </w:t>
            </w:r>
            <w:r>
              <w:rPr>
                <w:spacing w:val="-2"/>
                <w:sz w:val="14"/>
              </w:rPr>
              <w:t>CALIDAD</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82" w:hRule="atLeast"/>
        </w:trPr>
        <w:tc>
          <w:tcPr>
            <w:tcW w:w="1171" w:type="dxa"/>
            <w:vMerge/>
            <w:tcBorders>
              <w:top w:val="nil"/>
            </w:tcBorders>
          </w:tcPr>
          <w:p>
            <w:pPr>
              <w:rPr>
                <w:sz w:val="2"/>
                <w:szCs w:val="2"/>
              </w:rPr>
            </w:pPr>
          </w:p>
        </w:tc>
        <w:tc>
          <w:tcPr>
            <w:tcW w:w="1970" w:type="dxa"/>
          </w:tcPr>
          <w:p>
            <w:pPr>
              <w:pStyle w:val="TableParagraph"/>
              <w:spacing w:line="157" w:lineRule="exact"/>
              <w:ind w:left="69"/>
              <w:rPr>
                <w:sz w:val="14"/>
              </w:rPr>
            </w:pPr>
            <w:r>
              <w:rPr>
                <w:sz w:val="14"/>
              </w:rPr>
              <w:t>OFICIAL</w:t>
            </w:r>
            <w:r>
              <w:rPr>
                <w:spacing w:val="-9"/>
                <w:sz w:val="14"/>
              </w:rPr>
              <w:t> </w:t>
            </w:r>
            <w:r>
              <w:rPr>
                <w:spacing w:val="-2"/>
                <w:sz w:val="14"/>
              </w:rPr>
              <w:t>TALLER</w:t>
            </w:r>
          </w:p>
          <w:p>
            <w:pPr>
              <w:pStyle w:val="TableParagraph"/>
              <w:spacing w:before="81"/>
              <w:ind w:left="69"/>
              <w:rPr>
                <w:sz w:val="14"/>
              </w:rPr>
            </w:pPr>
            <w:r>
              <w:rPr>
                <w:spacing w:val="-2"/>
                <w:sz w:val="14"/>
              </w:rPr>
              <w:t>ESPECIALISTA</w:t>
            </w:r>
          </w:p>
        </w:tc>
        <w:tc>
          <w:tcPr>
            <w:tcW w:w="885" w:type="dxa"/>
          </w:tcPr>
          <w:p>
            <w:pPr>
              <w:pStyle w:val="TableParagraph"/>
              <w:spacing w:line="136" w:lineRule="exact"/>
              <w:ind w:left="11" w:right="3"/>
              <w:jc w:val="center"/>
              <w:rPr>
                <w:sz w:val="12"/>
              </w:rPr>
            </w:pPr>
            <w:r>
              <w:rPr>
                <w:spacing w:val="-10"/>
                <w:sz w:val="12"/>
              </w:rPr>
              <w:t>6</w:t>
            </w:r>
          </w:p>
        </w:tc>
        <w:tc>
          <w:tcPr>
            <w:tcW w:w="907" w:type="dxa"/>
          </w:tcPr>
          <w:p>
            <w:pPr>
              <w:pStyle w:val="TableParagraph"/>
              <w:spacing w:line="136" w:lineRule="exact"/>
              <w:ind w:left="42" w:right="35"/>
              <w:jc w:val="center"/>
              <w:rPr>
                <w:sz w:val="12"/>
              </w:rPr>
            </w:pPr>
            <w:r>
              <w:rPr>
                <w:spacing w:val="-2"/>
                <w:sz w:val="12"/>
              </w:rPr>
              <w:t>17,65%</w:t>
            </w:r>
          </w:p>
        </w:tc>
        <w:tc>
          <w:tcPr>
            <w:tcW w:w="981" w:type="dxa"/>
          </w:tcPr>
          <w:p>
            <w:pPr>
              <w:pStyle w:val="TableParagraph"/>
              <w:spacing w:line="136" w:lineRule="exact"/>
              <w:ind w:left="8" w:right="3"/>
              <w:jc w:val="center"/>
              <w:rPr>
                <w:sz w:val="12"/>
              </w:rPr>
            </w:pPr>
            <w:r>
              <w:rPr>
                <w:spacing w:val="-10"/>
                <w:sz w:val="12"/>
              </w:rPr>
              <w:t>6</w:t>
            </w:r>
          </w:p>
        </w:tc>
        <w:tc>
          <w:tcPr>
            <w:tcW w:w="820" w:type="dxa"/>
          </w:tcPr>
          <w:p>
            <w:pPr>
              <w:pStyle w:val="TableParagraph"/>
              <w:spacing w:line="136" w:lineRule="exact"/>
              <w:ind w:left="18" w:right="4"/>
              <w:jc w:val="center"/>
              <w:rPr>
                <w:sz w:val="12"/>
              </w:rPr>
            </w:pPr>
            <w:r>
              <w:rPr>
                <w:spacing w:val="-2"/>
                <w:sz w:val="12"/>
              </w:rPr>
              <w:t>17,65%</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07" w:hRule="atLeast"/>
        </w:trPr>
        <w:tc>
          <w:tcPr>
            <w:tcW w:w="1171" w:type="dxa"/>
            <w:vMerge/>
            <w:tcBorders>
              <w:top w:val="nil"/>
            </w:tcBorders>
          </w:tcPr>
          <w:p>
            <w:pPr>
              <w:rPr>
                <w:sz w:val="2"/>
                <w:szCs w:val="2"/>
              </w:rPr>
            </w:pPr>
          </w:p>
        </w:tc>
        <w:tc>
          <w:tcPr>
            <w:tcW w:w="1970" w:type="dxa"/>
          </w:tcPr>
          <w:p>
            <w:pPr>
              <w:pStyle w:val="TableParagraph"/>
              <w:spacing w:before="79"/>
              <w:ind w:left="69"/>
              <w:rPr>
                <w:sz w:val="14"/>
              </w:rPr>
            </w:pPr>
            <w:r>
              <w:rPr>
                <w:sz w:val="14"/>
              </w:rPr>
              <w:t>AUXILIAR</w:t>
            </w:r>
            <w:r>
              <w:rPr>
                <w:spacing w:val="-10"/>
                <w:sz w:val="14"/>
              </w:rPr>
              <w:t> </w:t>
            </w:r>
            <w:r>
              <w:rPr>
                <w:spacing w:val="-2"/>
                <w:sz w:val="14"/>
              </w:rPr>
              <w:t>TALLER</w:t>
            </w:r>
          </w:p>
        </w:tc>
        <w:tc>
          <w:tcPr>
            <w:tcW w:w="885" w:type="dxa"/>
          </w:tcPr>
          <w:p>
            <w:pPr>
              <w:pStyle w:val="TableParagraph"/>
              <w:ind w:left="11" w:right="3"/>
              <w:jc w:val="center"/>
              <w:rPr>
                <w:sz w:val="12"/>
              </w:rPr>
            </w:pPr>
            <w:r>
              <w:rPr>
                <w:spacing w:val="-10"/>
                <w:sz w:val="12"/>
              </w:rPr>
              <w:t>0</w:t>
            </w:r>
          </w:p>
        </w:tc>
        <w:tc>
          <w:tcPr>
            <w:tcW w:w="907" w:type="dxa"/>
          </w:tcPr>
          <w:p>
            <w:pPr>
              <w:pStyle w:val="TableParagraph"/>
              <w:ind w:left="42" w:right="35"/>
              <w:jc w:val="center"/>
              <w:rPr>
                <w:sz w:val="12"/>
              </w:rPr>
            </w:pPr>
            <w:r>
              <w:rPr>
                <w:spacing w:val="-2"/>
                <w:sz w:val="12"/>
              </w:rPr>
              <w:t>0,00%</w:t>
            </w:r>
          </w:p>
        </w:tc>
        <w:tc>
          <w:tcPr>
            <w:tcW w:w="981" w:type="dxa"/>
          </w:tcPr>
          <w:p>
            <w:pPr>
              <w:pStyle w:val="TableParagraph"/>
              <w:ind w:left="8" w:right="2"/>
              <w:jc w:val="center"/>
              <w:rPr>
                <w:sz w:val="12"/>
              </w:rPr>
            </w:pPr>
            <w:r>
              <w:rPr>
                <w:spacing w:val="-10"/>
                <w:sz w:val="12"/>
              </w:rPr>
              <w:t>0</w:t>
            </w:r>
          </w:p>
        </w:tc>
        <w:tc>
          <w:tcPr>
            <w:tcW w:w="820" w:type="dxa"/>
          </w:tcPr>
          <w:p>
            <w:pPr>
              <w:pStyle w:val="TableParagraph"/>
              <w:ind w:left="18" w:right="3"/>
              <w:jc w:val="center"/>
              <w:rPr>
                <w:sz w:val="12"/>
              </w:rPr>
            </w:pPr>
            <w:r>
              <w:rPr>
                <w:spacing w:val="-2"/>
                <w:sz w:val="12"/>
              </w:rPr>
              <w:t>0,00%</w:t>
            </w:r>
          </w:p>
        </w:tc>
        <w:tc>
          <w:tcPr>
            <w:tcW w:w="935" w:type="dxa"/>
          </w:tcPr>
          <w:p>
            <w:pPr>
              <w:pStyle w:val="TableParagraph"/>
              <w:ind w:left="15"/>
              <w:jc w:val="center"/>
              <w:rPr>
                <w:sz w:val="12"/>
              </w:rPr>
            </w:pPr>
            <w:r>
              <w:rPr>
                <w:spacing w:val="-10"/>
                <w:sz w:val="12"/>
              </w:rPr>
              <w:t>0</w:t>
            </w:r>
          </w:p>
        </w:tc>
        <w:tc>
          <w:tcPr>
            <w:tcW w:w="909" w:type="dxa"/>
          </w:tcPr>
          <w:p>
            <w:pPr>
              <w:pStyle w:val="TableParagraph"/>
              <w:ind w:left="16" w:right="1"/>
              <w:jc w:val="center"/>
              <w:rPr>
                <w:sz w:val="12"/>
              </w:rPr>
            </w:pPr>
            <w:r>
              <w:rPr>
                <w:spacing w:val="-2"/>
                <w:sz w:val="12"/>
              </w:rPr>
              <w:t>0,00%</w:t>
            </w:r>
          </w:p>
        </w:tc>
      </w:tr>
      <w:tr>
        <w:trPr>
          <w:trHeight w:val="484" w:hRule="atLeast"/>
        </w:trPr>
        <w:tc>
          <w:tcPr>
            <w:tcW w:w="1171" w:type="dxa"/>
            <w:vMerge/>
            <w:tcBorders>
              <w:top w:val="nil"/>
            </w:tcBorders>
          </w:tcPr>
          <w:p>
            <w:pPr>
              <w:rPr>
                <w:sz w:val="2"/>
                <w:szCs w:val="2"/>
              </w:rPr>
            </w:pPr>
          </w:p>
        </w:tc>
        <w:tc>
          <w:tcPr>
            <w:tcW w:w="1970" w:type="dxa"/>
          </w:tcPr>
          <w:p>
            <w:pPr>
              <w:pStyle w:val="TableParagraph"/>
              <w:spacing w:line="157" w:lineRule="exact"/>
              <w:ind w:left="69"/>
              <w:rPr>
                <w:sz w:val="14"/>
              </w:rPr>
            </w:pPr>
            <w:r>
              <w:rPr>
                <w:sz w:val="14"/>
              </w:rPr>
              <w:t>OFICIAL</w:t>
            </w:r>
            <w:r>
              <w:rPr>
                <w:spacing w:val="-9"/>
                <w:sz w:val="14"/>
              </w:rPr>
              <w:t> </w:t>
            </w:r>
            <w:r>
              <w:rPr>
                <w:spacing w:val="-2"/>
                <w:sz w:val="14"/>
              </w:rPr>
              <w:t>ADMINISTRACIÓN</w:t>
            </w:r>
          </w:p>
          <w:p>
            <w:pPr>
              <w:pStyle w:val="TableParagraph"/>
              <w:spacing w:before="81"/>
              <w:ind w:left="69"/>
              <w:rPr>
                <w:sz w:val="14"/>
              </w:rPr>
            </w:pPr>
            <w:r>
              <w:rPr>
                <w:spacing w:val="-2"/>
                <w:sz w:val="14"/>
              </w:rPr>
              <w:t>ESPE.</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82" w:hRule="atLeast"/>
        </w:trPr>
        <w:tc>
          <w:tcPr>
            <w:tcW w:w="1171" w:type="dxa"/>
            <w:vMerge/>
            <w:tcBorders>
              <w:top w:val="nil"/>
            </w:tcBorders>
          </w:tcPr>
          <w:p>
            <w:pPr>
              <w:rPr>
                <w:sz w:val="2"/>
                <w:szCs w:val="2"/>
              </w:rPr>
            </w:pPr>
          </w:p>
        </w:tc>
        <w:tc>
          <w:tcPr>
            <w:tcW w:w="1970" w:type="dxa"/>
          </w:tcPr>
          <w:p>
            <w:pPr>
              <w:pStyle w:val="TableParagraph"/>
              <w:spacing w:line="157" w:lineRule="exact"/>
              <w:ind w:left="69"/>
              <w:rPr>
                <w:sz w:val="14"/>
              </w:rPr>
            </w:pPr>
            <w:r>
              <w:rPr>
                <w:spacing w:val="-2"/>
                <w:sz w:val="14"/>
              </w:rPr>
              <w:t>AUXILIAR</w:t>
            </w:r>
          </w:p>
          <w:p>
            <w:pPr>
              <w:pStyle w:val="TableParagraph"/>
              <w:spacing w:before="79"/>
              <w:ind w:left="69"/>
              <w:rPr>
                <w:sz w:val="14"/>
              </w:rPr>
            </w:pPr>
            <w:r>
              <w:rPr>
                <w:spacing w:val="-2"/>
                <w:sz w:val="14"/>
              </w:rPr>
              <w:t>ADMIN/ESPECIALISTA</w:t>
            </w:r>
          </w:p>
        </w:tc>
        <w:tc>
          <w:tcPr>
            <w:tcW w:w="885" w:type="dxa"/>
          </w:tcPr>
          <w:p>
            <w:pPr>
              <w:pStyle w:val="TableParagraph"/>
              <w:spacing w:line="136" w:lineRule="exact"/>
              <w:ind w:left="11" w:right="3"/>
              <w:jc w:val="center"/>
              <w:rPr>
                <w:sz w:val="12"/>
              </w:rPr>
            </w:pPr>
            <w:r>
              <w:rPr>
                <w:spacing w:val="-10"/>
                <w:sz w:val="12"/>
              </w:rPr>
              <w:t>0</w:t>
            </w:r>
          </w:p>
        </w:tc>
        <w:tc>
          <w:tcPr>
            <w:tcW w:w="907" w:type="dxa"/>
          </w:tcPr>
          <w:p>
            <w:pPr>
              <w:pStyle w:val="TableParagraph"/>
              <w:spacing w:line="136" w:lineRule="exact"/>
              <w:ind w:left="42" w:right="35"/>
              <w:jc w:val="center"/>
              <w:rPr>
                <w:sz w:val="12"/>
              </w:rPr>
            </w:pPr>
            <w:r>
              <w:rPr>
                <w:spacing w:val="-2"/>
                <w:sz w:val="12"/>
              </w:rPr>
              <w:t>0,00%</w:t>
            </w:r>
          </w:p>
        </w:tc>
        <w:tc>
          <w:tcPr>
            <w:tcW w:w="981" w:type="dxa"/>
          </w:tcPr>
          <w:p>
            <w:pPr>
              <w:pStyle w:val="TableParagraph"/>
              <w:spacing w:line="136" w:lineRule="exact"/>
              <w:ind w:left="8" w:right="2"/>
              <w:jc w:val="center"/>
              <w:rPr>
                <w:sz w:val="12"/>
              </w:rPr>
            </w:pPr>
            <w:r>
              <w:rPr>
                <w:spacing w:val="-10"/>
                <w:sz w:val="12"/>
              </w:rPr>
              <w:t>0</w:t>
            </w:r>
          </w:p>
        </w:tc>
        <w:tc>
          <w:tcPr>
            <w:tcW w:w="820" w:type="dxa"/>
          </w:tcPr>
          <w:p>
            <w:pPr>
              <w:pStyle w:val="TableParagraph"/>
              <w:spacing w:line="136" w:lineRule="exact"/>
              <w:ind w:left="18" w:right="3"/>
              <w:jc w:val="center"/>
              <w:rPr>
                <w:sz w:val="12"/>
              </w:rPr>
            </w:pPr>
            <w:r>
              <w:rPr>
                <w:spacing w:val="-2"/>
                <w:sz w:val="12"/>
              </w:rPr>
              <w:t>0,00%</w:t>
            </w:r>
          </w:p>
        </w:tc>
        <w:tc>
          <w:tcPr>
            <w:tcW w:w="935" w:type="dxa"/>
          </w:tcPr>
          <w:p>
            <w:pPr>
              <w:pStyle w:val="TableParagraph"/>
              <w:spacing w:line="136" w:lineRule="exact"/>
              <w:ind w:left="15"/>
              <w:jc w:val="center"/>
              <w:rPr>
                <w:sz w:val="12"/>
              </w:rPr>
            </w:pPr>
            <w:r>
              <w:rPr>
                <w:spacing w:val="-10"/>
                <w:sz w:val="12"/>
              </w:rPr>
              <w:t>0</w:t>
            </w:r>
          </w:p>
        </w:tc>
        <w:tc>
          <w:tcPr>
            <w:tcW w:w="909" w:type="dxa"/>
          </w:tcPr>
          <w:p>
            <w:pPr>
              <w:pStyle w:val="TableParagraph"/>
              <w:spacing w:line="136" w:lineRule="exact"/>
              <w:ind w:left="16" w:right="1"/>
              <w:jc w:val="center"/>
              <w:rPr>
                <w:sz w:val="12"/>
              </w:rPr>
            </w:pPr>
            <w:r>
              <w:rPr>
                <w:spacing w:val="-2"/>
                <w:sz w:val="12"/>
              </w:rPr>
              <w:t>0,00%</w:t>
            </w:r>
          </w:p>
        </w:tc>
      </w:tr>
      <w:tr>
        <w:trPr>
          <w:trHeight w:val="441" w:hRule="atLeast"/>
        </w:trPr>
        <w:tc>
          <w:tcPr>
            <w:tcW w:w="1171" w:type="dxa"/>
          </w:tcPr>
          <w:p>
            <w:pPr>
              <w:pStyle w:val="TableParagraph"/>
              <w:spacing w:before="94"/>
              <w:ind w:left="7"/>
              <w:jc w:val="center"/>
              <w:rPr>
                <w:b/>
                <w:sz w:val="14"/>
              </w:rPr>
            </w:pPr>
            <w:r>
              <w:rPr>
                <w:b/>
                <w:spacing w:val="-2"/>
                <w:sz w:val="14"/>
              </w:rPr>
              <w:t>TOTAL</w:t>
            </w:r>
          </w:p>
        </w:tc>
        <w:tc>
          <w:tcPr>
            <w:tcW w:w="1970" w:type="dxa"/>
          </w:tcPr>
          <w:p>
            <w:pPr>
              <w:pStyle w:val="TableParagraph"/>
              <w:rPr>
                <w:rFonts w:ascii="Times New Roman"/>
                <w:sz w:val="12"/>
              </w:rPr>
            </w:pPr>
          </w:p>
        </w:tc>
        <w:tc>
          <w:tcPr>
            <w:tcW w:w="885" w:type="dxa"/>
          </w:tcPr>
          <w:p>
            <w:pPr>
              <w:pStyle w:val="TableParagraph"/>
              <w:spacing w:line="154" w:lineRule="exact"/>
              <w:ind w:left="11" w:right="2"/>
              <w:jc w:val="center"/>
              <w:rPr>
                <w:b/>
                <w:sz w:val="14"/>
              </w:rPr>
            </w:pPr>
            <w:r>
              <w:rPr>
                <w:b/>
                <w:spacing w:val="-5"/>
                <w:sz w:val="14"/>
              </w:rPr>
              <w:t>26</w:t>
            </w:r>
          </w:p>
        </w:tc>
        <w:tc>
          <w:tcPr>
            <w:tcW w:w="907" w:type="dxa"/>
          </w:tcPr>
          <w:p>
            <w:pPr>
              <w:pStyle w:val="TableParagraph"/>
              <w:spacing w:line="157" w:lineRule="exact"/>
              <w:ind w:left="42"/>
              <w:jc w:val="center"/>
              <w:rPr>
                <w:sz w:val="14"/>
              </w:rPr>
            </w:pPr>
            <w:r>
              <w:rPr>
                <w:spacing w:val="-2"/>
                <w:sz w:val="14"/>
              </w:rPr>
              <w:t>3,19%</w:t>
            </w:r>
          </w:p>
        </w:tc>
        <w:tc>
          <w:tcPr>
            <w:tcW w:w="981" w:type="dxa"/>
          </w:tcPr>
          <w:p>
            <w:pPr>
              <w:pStyle w:val="TableParagraph"/>
              <w:spacing w:line="154" w:lineRule="exact"/>
              <w:ind w:left="8" w:right="2"/>
              <w:jc w:val="center"/>
              <w:rPr>
                <w:b/>
                <w:sz w:val="14"/>
              </w:rPr>
            </w:pPr>
            <w:r>
              <w:rPr>
                <w:b/>
                <w:spacing w:val="-10"/>
                <w:sz w:val="14"/>
              </w:rPr>
              <w:t>6</w:t>
            </w:r>
          </w:p>
        </w:tc>
        <w:tc>
          <w:tcPr>
            <w:tcW w:w="820" w:type="dxa"/>
          </w:tcPr>
          <w:p>
            <w:pPr>
              <w:pStyle w:val="TableParagraph"/>
              <w:spacing w:line="157" w:lineRule="exact"/>
              <w:ind w:left="18" w:right="8"/>
              <w:jc w:val="center"/>
              <w:rPr>
                <w:sz w:val="14"/>
              </w:rPr>
            </w:pPr>
            <w:r>
              <w:rPr>
                <w:spacing w:val="-2"/>
                <w:sz w:val="14"/>
              </w:rPr>
              <w:t>0,81%</w:t>
            </w:r>
          </w:p>
        </w:tc>
        <w:tc>
          <w:tcPr>
            <w:tcW w:w="935" w:type="dxa"/>
          </w:tcPr>
          <w:p>
            <w:pPr>
              <w:pStyle w:val="TableParagraph"/>
              <w:spacing w:line="154" w:lineRule="exact"/>
              <w:ind w:left="15" w:right="4"/>
              <w:jc w:val="center"/>
              <w:rPr>
                <w:b/>
                <w:sz w:val="14"/>
              </w:rPr>
            </w:pPr>
            <w:r>
              <w:rPr>
                <w:b/>
                <w:spacing w:val="-5"/>
                <w:sz w:val="14"/>
              </w:rPr>
              <w:t>20</w:t>
            </w:r>
          </w:p>
        </w:tc>
        <w:tc>
          <w:tcPr>
            <w:tcW w:w="909" w:type="dxa"/>
          </w:tcPr>
          <w:p>
            <w:pPr>
              <w:pStyle w:val="TableParagraph"/>
              <w:spacing w:line="157" w:lineRule="exact"/>
              <w:ind w:left="16" w:right="5"/>
              <w:jc w:val="center"/>
              <w:rPr>
                <w:sz w:val="14"/>
              </w:rPr>
            </w:pPr>
            <w:r>
              <w:rPr>
                <w:spacing w:val="-2"/>
                <w:sz w:val="14"/>
              </w:rPr>
              <w:t>25,97%</w:t>
            </w:r>
          </w:p>
        </w:tc>
      </w:tr>
    </w:tbl>
    <w:p>
      <w:pPr>
        <w:pStyle w:val="TableParagraph"/>
        <w:spacing w:after="0" w:line="157" w:lineRule="exact"/>
        <w:jc w:val="center"/>
        <w:rPr>
          <w:sz w:val="14"/>
        </w:rPr>
        <w:sectPr>
          <w:pgSz w:w="11910" w:h="16840"/>
          <w:pgMar w:header="384" w:footer="1060" w:top="1200" w:bottom="1260" w:left="360" w:right="360"/>
        </w:sectPr>
      </w:pPr>
    </w:p>
    <w:p>
      <w:pPr>
        <w:pStyle w:val="BodyText"/>
        <w:spacing w:line="362" w:lineRule="auto" w:before="215"/>
        <w:ind w:left="1341" w:right="1308"/>
      </w:pPr>
      <w:r>
        <w:rPr/>
        <mc:AlternateContent>
          <mc:Choice Requires="wps">
            <w:drawing>
              <wp:anchor distT="0" distB="0" distL="0" distR="0" allowOverlap="1" layoutInCell="1" locked="0" behindDoc="0" simplePos="0" relativeHeight="15803904">
                <wp:simplePos x="0" y="0"/>
                <wp:positionH relativeFrom="page">
                  <wp:posOffset>6966436</wp:posOffset>
                </wp:positionH>
                <wp:positionV relativeFrom="page">
                  <wp:posOffset>6553363</wp:posOffset>
                </wp:positionV>
                <wp:extent cx="263525" cy="327596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3904" type="#_x0000_t202" id="docshape20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31</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Número total de la plantilla 2025 distribuida por tipo contrato, grupo profesional, edad, y sexo</w:t>
      </w:r>
      <w:r>
        <w:rPr>
          <w:spacing w:val="40"/>
        </w:rPr>
        <w:t> </w:t>
      </w:r>
      <w:r>
        <w:rPr>
          <w:spacing w:val="-2"/>
        </w:rPr>
        <w:t>(Promedio):</w:t>
      </w:r>
    </w:p>
    <w:p>
      <w:pPr>
        <w:pStyle w:val="BodyText"/>
        <w:spacing w:before="3"/>
        <w:rPr>
          <w:sz w:val="17"/>
        </w:rPr>
      </w:pPr>
    </w:p>
    <w:tbl>
      <w:tblPr>
        <w:tblW w:w="0" w:type="auto"/>
        <w:jc w:val="left"/>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
        <w:gridCol w:w="1521"/>
        <w:gridCol w:w="2174"/>
        <w:gridCol w:w="720"/>
        <w:gridCol w:w="720"/>
        <w:gridCol w:w="720"/>
        <w:gridCol w:w="626"/>
        <w:gridCol w:w="93"/>
        <w:gridCol w:w="719"/>
        <w:gridCol w:w="719"/>
      </w:tblGrid>
      <w:tr>
        <w:trPr>
          <w:trHeight w:val="313" w:hRule="atLeast"/>
        </w:trPr>
        <w:tc>
          <w:tcPr>
            <w:tcW w:w="446" w:type="dxa"/>
            <w:vMerge w:val="restart"/>
            <w:tcBorders>
              <w:top w:val="nil"/>
              <w:left w:val="nil"/>
              <w:right w:val="nil"/>
            </w:tcBorders>
          </w:tcPr>
          <w:p>
            <w:pPr>
              <w:pStyle w:val="TableParagraph"/>
              <w:rPr>
                <w:rFonts w:ascii="Times New Roman"/>
                <w:sz w:val="14"/>
              </w:rPr>
            </w:pPr>
          </w:p>
        </w:tc>
        <w:tc>
          <w:tcPr>
            <w:tcW w:w="3695" w:type="dxa"/>
            <w:gridSpan w:val="2"/>
            <w:tcBorders>
              <w:top w:val="nil"/>
              <w:left w:val="nil"/>
            </w:tcBorders>
          </w:tcPr>
          <w:p>
            <w:pPr>
              <w:pStyle w:val="TableParagraph"/>
              <w:rPr>
                <w:rFonts w:ascii="Times New Roman"/>
                <w:sz w:val="14"/>
              </w:rPr>
            </w:pPr>
          </w:p>
        </w:tc>
        <w:tc>
          <w:tcPr>
            <w:tcW w:w="4317" w:type="dxa"/>
            <w:gridSpan w:val="7"/>
            <w:shd w:val="clear" w:color="auto" w:fill="D7D7D7"/>
          </w:tcPr>
          <w:p>
            <w:pPr>
              <w:pStyle w:val="TableParagraph"/>
              <w:spacing w:before="24"/>
              <w:ind w:left="23"/>
              <w:jc w:val="center"/>
              <w:rPr>
                <w:rFonts w:ascii="Calibri"/>
                <w:b/>
                <w:sz w:val="14"/>
              </w:rPr>
            </w:pPr>
            <w:r>
              <w:rPr>
                <w:rFonts w:ascii="Calibri"/>
                <w:b/>
                <w:spacing w:val="-4"/>
                <w:sz w:val="14"/>
              </w:rPr>
              <w:t>2025</w:t>
            </w:r>
          </w:p>
        </w:tc>
      </w:tr>
      <w:tr>
        <w:trPr>
          <w:trHeight w:val="301" w:hRule="atLeast"/>
        </w:trPr>
        <w:tc>
          <w:tcPr>
            <w:tcW w:w="446" w:type="dxa"/>
            <w:vMerge/>
            <w:tcBorders>
              <w:top w:val="nil"/>
              <w:left w:val="nil"/>
              <w:right w:val="nil"/>
            </w:tcBorders>
          </w:tcPr>
          <w:p>
            <w:pPr>
              <w:rPr>
                <w:sz w:val="2"/>
                <w:szCs w:val="2"/>
              </w:rPr>
            </w:pPr>
          </w:p>
        </w:tc>
        <w:tc>
          <w:tcPr>
            <w:tcW w:w="1521" w:type="dxa"/>
            <w:vMerge w:val="restart"/>
            <w:tcBorders>
              <w:bottom w:val="single" w:sz="4" w:space="0" w:color="000000"/>
              <w:right w:val="single" w:sz="4" w:space="0" w:color="000000"/>
            </w:tcBorders>
            <w:shd w:val="clear" w:color="auto" w:fill="D7D7D7"/>
          </w:tcPr>
          <w:p>
            <w:pPr>
              <w:pStyle w:val="TableParagraph"/>
              <w:spacing w:before="24"/>
              <w:rPr>
                <w:sz w:val="14"/>
              </w:rPr>
            </w:pPr>
          </w:p>
          <w:p>
            <w:pPr>
              <w:pStyle w:val="TableParagraph"/>
              <w:ind w:left="11"/>
              <w:jc w:val="center"/>
              <w:rPr>
                <w:rFonts w:ascii="Calibri"/>
                <w:b/>
                <w:sz w:val="14"/>
              </w:rPr>
            </w:pPr>
            <w:r>
              <w:rPr>
                <w:rFonts w:ascii="Calibri"/>
                <w:b/>
                <w:spacing w:val="-2"/>
                <w:sz w:val="14"/>
              </w:rPr>
              <w:t>GRUPO</w:t>
            </w:r>
          </w:p>
        </w:tc>
        <w:tc>
          <w:tcPr>
            <w:tcW w:w="2174" w:type="dxa"/>
            <w:vMerge w:val="restart"/>
            <w:tcBorders>
              <w:left w:val="single" w:sz="4" w:space="0" w:color="000000"/>
              <w:bottom w:val="single" w:sz="4" w:space="0" w:color="000000"/>
            </w:tcBorders>
            <w:shd w:val="clear" w:color="auto" w:fill="D7D7D7"/>
          </w:tcPr>
          <w:p>
            <w:pPr>
              <w:pStyle w:val="TableParagraph"/>
              <w:spacing w:before="24"/>
              <w:rPr>
                <w:sz w:val="14"/>
              </w:rPr>
            </w:pPr>
          </w:p>
          <w:p>
            <w:pPr>
              <w:pStyle w:val="TableParagraph"/>
              <w:ind w:left="22"/>
              <w:jc w:val="center"/>
              <w:rPr>
                <w:rFonts w:ascii="Calibri"/>
                <w:b/>
                <w:sz w:val="14"/>
              </w:rPr>
            </w:pPr>
            <w:r>
              <w:rPr>
                <w:rFonts w:ascii="Calibri"/>
                <w:b/>
                <w:spacing w:val="-2"/>
                <w:sz w:val="14"/>
              </w:rPr>
              <w:t>NIVEL</w:t>
            </w:r>
          </w:p>
        </w:tc>
        <w:tc>
          <w:tcPr>
            <w:tcW w:w="1440" w:type="dxa"/>
            <w:gridSpan w:val="2"/>
            <w:tcBorders>
              <w:right w:val="single" w:sz="4" w:space="0" w:color="000000"/>
            </w:tcBorders>
            <w:shd w:val="clear" w:color="auto" w:fill="D7D7D7"/>
          </w:tcPr>
          <w:p>
            <w:pPr>
              <w:pStyle w:val="TableParagraph"/>
              <w:spacing w:before="20"/>
              <w:ind w:left="447"/>
              <w:rPr>
                <w:rFonts w:ascii="Calibri" w:hAnsi="Calibri"/>
                <w:b/>
                <w:sz w:val="14"/>
              </w:rPr>
            </w:pPr>
            <w:r>
              <w:rPr>
                <w:rFonts w:ascii="Calibri" w:hAnsi="Calibri"/>
                <w:b/>
                <w:sz w:val="14"/>
              </w:rPr>
              <w:t>&lt;</w:t>
            </w:r>
            <w:r>
              <w:rPr>
                <w:rFonts w:ascii="Calibri" w:hAnsi="Calibri"/>
                <w:b/>
                <w:spacing w:val="-3"/>
                <w:sz w:val="14"/>
              </w:rPr>
              <w:t> </w:t>
            </w:r>
            <w:r>
              <w:rPr>
                <w:rFonts w:ascii="Calibri" w:hAnsi="Calibri"/>
                <w:b/>
                <w:sz w:val="14"/>
              </w:rPr>
              <w:t>30</w:t>
            </w:r>
            <w:r>
              <w:rPr>
                <w:rFonts w:ascii="Calibri" w:hAnsi="Calibri"/>
                <w:b/>
                <w:spacing w:val="-2"/>
                <w:sz w:val="14"/>
              </w:rPr>
              <w:t> </w:t>
            </w:r>
            <w:r>
              <w:rPr>
                <w:rFonts w:ascii="Calibri" w:hAnsi="Calibri"/>
                <w:b/>
                <w:spacing w:val="-4"/>
                <w:sz w:val="14"/>
              </w:rPr>
              <w:t>años</w:t>
            </w:r>
          </w:p>
        </w:tc>
        <w:tc>
          <w:tcPr>
            <w:tcW w:w="1346" w:type="dxa"/>
            <w:gridSpan w:val="2"/>
            <w:tcBorders>
              <w:left w:val="single" w:sz="4" w:space="0" w:color="000000"/>
              <w:right w:val="single" w:sz="24" w:space="0" w:color="D7D7D7"/>
            </w:tcBorders>
            <w:shd w:val="clear" w:color="auto" w:fill="D7D7D7"/>
          </w:tcPr>
          <w:p>
            <w:pPr>
              <w:pStyle w:val="TableParagraph"/>
              <w:spacing w:before="20"/>
              <w:ind w:left="378"/>
              <w:rPr>
                <w:rFonts w:ascii="Calibri" w:hAnsi="Calibri"/>
                <w:b/>
                <w:sz w:val="14"/>
              </w:rPr>
            </w:pPr>
            <w:r>
              <w:rPr>
                <w:rFonts w:ascii="Calibri" w:hAnsi="Calibri"/>
                <w:b/>
                <w:sz w:val="14"/>
              </w:rPr>
              <w:t>30</w:t>
            </w:r>
            <w:r>
              <w:rPr>
                <w:rFonts w:ascii="Calibri" w:hAnsi="Calibri"/>
                <w:b/>
                <w:spacing w:val="-4"/>
                <w:sz w:val="14"/>
              </w:rPr>
              <w:t> </w:t>
            </w:r>
            <w:r>
              <w:rPr>
                <w:rFonts w:ascii="Calibri" w:hAnsi="Calibri"/>
                <w:b/>
                <w:sz w:val="14"/>
              </w:rPr>
              <w:t>-</w:t>
            </w:r>
            <w:r>
              <w:rPr>
                <w:rFonts w:ascii="Calibri" w:hAnsi="Calibri"/>
                <w:b/>
                <w:spacing w:val="2"/>
                <w:sz w:val="14"/>
              </w:rPr>
              <w:t> </w:t>
            </w:r>
            <w:r>
              <w:rPr>
                <w:rFonts w:ascii="Calibri" w:hAnsi="Calibri"/>
                <w:b/>
                <w:sz w:val="14"/>
              </w:rPr>
              <w:t>50</w:t>
            </w:r>
            <w:r>
              <w:rPr>
                <w:rFonts w:ascii="Calibri" w:hAnsi="Calibri"/>
                <w:b/>
                <w:spacing w:val="-3"/>
                <w:sz w:val="14"/>
              </w:rPr>
              <w:t> </w:t>
            </w:r>
            <w:r>
              <w:rPr>
                <w:rFonts w:ascii="Calibri" w:hAnsi="Calibri"/>
                <w:b/>
                <w:spacing w:val="-4"/>
                <w:sz w:val="14"/>
              </w:rPr>
              <w:t>años</w:t>
            </w:r>
          </w:p>
        </w:tc>
        <w:tc>
          <w:tcPr>
            <w:tcW w:w="93" w:type="dxa"/>
            <w:tcBorders>
              <w:left w:val="single" w:sz="24" w:space="0" w:color="D7D7D7"/>
              <w:right w:val="single" w:sz="4" w:space="0" w:color="000000"/>
            </w:tcBorders>
            <w:shd w:val="clear" w:color="auto" w:fill="D7D7D7"/>
          </w:tcPr>
          <w:p>
            <w:pPr>
              <w:pStyle w:val="TableParagraph"/>
              <w:rPr>
                <w:rFonts w:ascii="Times New Roman"/>
                <w:sz w:val="14"/>
              </w:rPr>
            </w:pPr>
          </w:p>
        </w:tc>
        <w:tc>
          <w:tcPr>
            <w:tcW w:w="1438" w:type="dxa"/>
            <w:gridSpan w:val="2"/>
            <w:tcBorders>
              <w:left w:val="single" w:sz="4" w:space="0" w:color="000000"/>
            </w:tcBorders>
            <w:shd w:val="clear" w:color="auto" w:fill="D7D7D7"/>
          </w:tcPr>
          <w:p>
            <w:pPr>
              <w:pStyle w:val="TableParagraph"/>
              <w:spacing w:before="20"/>
              <w:ind w:left="451"/>
              <w:rPr>
                <w:rFonts w:ascii="Calibri" w:hAnsi="Calibri"/>
                <w:b/>
                <w:sz w:val="14"/>
              </w:rPr>
            </w:pPr>
            <w:r>
              <w:rPr>
                <w:rFonts w:ascii="Calibri" w:hAnsi="Calibri"/>
                <w:b/>
                <w:sz w:val="14"/>
              </w:rPr>
              <w:t>&gt;</w:t>
            </w:r>
            <w:r>
              <w:rPr>
                <w:rFonts w:ascii="Calibri" w:hAnsi="Calibri"/>
                <w:b/>
                <w:spacing w:val="-3"/>
                <w:sz w:val="14"/>
              </w:rPr>
              <w:t> </w:t>
            </w:r>
            <w:r>
              <w:rPr>
                <w:rFonts w:ascii="Calibri" w:hAnsi="Calibri"/>
                <w:b/>
                <w:sz w:val="14"/>
              </w:rPr>
              <w:t>50</w:t>
            </w:r>
            <w:r>
              <w:rPr>
                <w:rFonts w:ascii="Calibri" w:hAnsi="Calibri"/>
                <w:b/>
                <w:spacing w:val="-2"/>
                <w:sz w:val="14"/>
              </w:rPr>
              <w:t> </w:t>
            </w:r>
            <w:r>
              <w:rPr>
                <w:rFonts w:ascii="Calibri" w:hAnsi="Calibri"/>
                <w:b/>
                <w:spacing w:val="-4"/>
                <w:sz w:val="14"/>
              </w:rPr>
              <w:t>años</w:t>
            </w:r>
          </w:p>
        </w:tc>
      </w:tr>
      <w:tr>
        <w:trPr>
          <w:trHeight w:val="308" w:hRule="atLeast"/>
        </w:trPr>
        <w:tc>
          <w:tcPr>
            <w:tcW w:w="446" w:type="dxa"/>
            <w:vMerge/>
            <w:tcBorders>
              <w:top w:val="nil"/>
              <w:left w:val="nil"/>
              <w:right w:val="nil"/>
            </w:tcBorders>
          </w:tcPr>
          <w:p>
            <w:pPr>
              <w:rPr>
                <w:sz w:val="2"/>
                <w:szCs w:val="2"/>
              </w:rPr>
            </w:pPr>
          </w:p>
        </w:tc>
        <w:tc>
          <w:tcPr>
            <w:tcW w:w="1521" w:type="dxa"/>
            <w:vMerge/>
            <w:tcBorders>
              <w:top w:val="nil"/>
              <w:bottom w:val="single" w:sz="4" w:space="0" w:color="000000"/>
              <w:right w:val="single" w:sz="4" w:space="0" w:color="000000"/>
            </w:tcBorders>
            <w:shd w:val="clear" w:color="auto" w:fill="D7D7D7"/>
          </w:tcPr>
          <w:p>
            <w:pPr>
              <w:rPr>
                <w:sz w:val="2"/>
                <w:szCs w:val="2"/>
              </w:rPr>
            </w:pPr>
          </w:p>
        </w:tc>
        <w:tc>
          <w:tcPr>
            <w:tcW w:w="2174" w:type="dxa"/>
            <w:vMerge/>
            <w:tcBorders>
              <w:top w:val="nil"/>
              <w:left w:val="single" w:sz="4" w:space="0" w:color="000000"/>
              <w:bottom w:val="single" w:sz="4" w:space="0" w:color="000000"/>
            </w:tcBorders>
            <w:shd w:val="clear" w:color="auto" w:fill="D7D7D7"/>
          </w:tcPr>
          <w:p>
            <w:pPr>
              <w:rPr>
                <w:sz w:val="2"/>
                <w:szCs w:val="2"/>
              </w:rPr>
            </w:pPr>
          </w:p>
        </w:tc>
        <w:tc>
          <w:tcPr>
            <w:tcW w:w="720" w:type="dxa"/>
            <w:tcBorders>
              <w:bottom w:val="single" w:sz="4" w:space="0" w:color="000000"/>
              <w:right w:val="single" w:sz="4" w:space="0" w:color="000000"/>
            </w:tcBorders>
            <w:shd w:val="clear" w:color="auto" w:fill="D7D7D7"/>
          </w:tcPr>
          <w:p>
            <w:pPr>
              <w:pStyle w:val="TableParagraph"/>
              <w:spacing w:before="24"/>
              <w:ind w:left="20"/>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24"/>
              <w:ind w:left="33" w:right="15"/>
              <w:jc w:val="center"/>
              <w:rPr>
                <w:rFonts w:ascii="Calibri"/>
                <w:b/>
                <w:sz w:val="14"/>
              </w:rPr>
            </w:pPr>
            <w:r>
              <w:rPr>
                <w:rFonts w:ascii="Calibri"/>
                <w:b/>
                <w:spacing w:val="-2"/>
                <w:sz w:val="14"/>
              </w:rPr>
              <w:t>MUJER</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24"/>
              <w:ind w:left="35" w:right="15"/>
              <w:jc w:val="center"/>
              <w:rPr>
                <w:rFonts w:ascii="Calibri"/>
                <w:b/>
                <w:sz w:val="14"/>
              </w:rPr>
            </w:pPr>
            <w:r>
              <w:rPr>
                <w:rFonts w:ascii="Calibri"/>
                <w:b/>
                <w:spacing w:val="-2"/>
                <w:sz w:val="14"/>
              </w:rPr>
              <w:t>HOMBRE</w:t>
            </w:r>
          </w:p>
        </w:tc>
        <w:tc>
          <w:tcPr>
            <w:tcW w:w="626" w:type="dxa"/>
            <w:tcBorders>
              <w:left w:val="single" w:sz="4" w:space="0" w:color="000000"/>
              <w:bottom w:val="single" w:sz="4" w:space="0" w:color="000000"/>
              <w:right w:val="single" w:sz="24" w:space="0" w:color="D7D7D7"/>
            </w:tcBorders>
            <w:shd w:val="clear" w:color="auto" w:fill="D7D7D7"/>
          </w:tcPr>
          <w:p>
            <w:pPr>
              <w:pStyle w:val="TableParagraph"/>
              <w:spacing w:before="24"/>
              <w:ind w:left="139" w:right="2"/>
              <w:jc w:val="center"/>
              <w:rPr>
                <w:rFonts w:ascii="Calibri"/>
                <w:b/>
                <w:sz w:val="14"/>
              </w:rPr>
            </w:pPr>
            <w:r>
              <w:rPr>
                <w:rFonts w:ascii="Calibri"/>
                <w:b/>
                <w:spacing w:val="-2"/>
                <w:sz w:val="14"/>
              </w:rPr>
              <w:t>MUJER</w:t>
            </w:r>
          </w:p>
        </w:tc>
        <w:tc>
          <w:tcPr>
            <w:tcW w:w="93" w:type="dxa"/>
            <w:tcBorders>
              <w:left w:val="single" w:sz="24" w:space="0" w:color="D7D7D7"/>
              <w:bottom w:val="single" w:sz="4" w:space="0" w:color="000000"/>
              <w:right w:val="single" w:sz="4" w:space="0" w:color="000000"/>
            </w:tcBorders>
            <w:shd w:val="clear" w:color="auto" w:fill="D7D7D7"/>
          </w:tcPr>
          <w:p>
            <w:pPr>
              <w:pStyle w:val="TableParagraph"/>
              <w:rPr>
                <w:rFonts w:ascii="Times New Roman"/>
                <w:sz w:val="14"/>
              </w:rPr>
            </w:pPr>
          </w:p>
        </w:tc>
        <w:tc>
          <w:tcPr>
            <w:tcW w:w="719" w:type="dxa"/>
            <w:tcBorders>
              <w:left w:val="single" w:sz="4" w:space="0" w:color="000000"/>
              <w:bottom w:val="single" w:sz="4" w:space="0" w:color="000000"/>
              <w:right w:val="single" w:sz="4" w:space="0" w:color="000000"/>
            </w:tcBorders>
            <w:shd w:val="clear" w:color="auto" w:fill="D7D7D7"/>
          </w:tcPr>
          <w:p>
            <w:pPr>
              <w:pStyle w:val="TableParagraph"/>
              <w:spacing w:before="24"/>
              <w:ind w:left="25" w:right="2"/>
              <w:jc w:val="center"/>
              <w:rPr>
                <w:rFonts w:ascii="Calibri"/>
                <w:b/>
                <w:sz w:val="14"/>
              </w:rPr>
            </w:pPr>
            <w:r>
              <w:rPr>
                <w:rFonts w:ascii="Calibri"/>
                <w:b/>
                <w:spacing w:val="-2"/>
                <w:sz w:val="14"/>
              </w:rPr>
              <w:t>HOMBRE</w:t>
            </w:r>
          </w:p>
        </w:tc>
        <w:tc>
          <w:tcPr>
            <w:tcW w:w="719" w:type="dxa"/>
            <w:tcBorders>
              <w:left w:val="single" w:sz="4" w:space="0" w:color="000000"/>
              <w:bottom w:val="single" w:sz="4" w:space="0" w:color="000000"/>
            </w:tcBorders>
            <w:shd w:val="clear" w:color="auto" w:fill="D7D7D7"/>
          </w:tcPr>
          <w:p>
            <w:pPr>
              <w:pStyle w:val="TableParagraph"/>
              <w:spacing w:before="24"/>
              <w:ind w:left="30" w:right="2"/>
              <w:jc w:val="center"/>
              <w:rPr>
                <w:rFonts w:ascii="Calibri"/>
                <w:b/>
                <w:sz w:val="14"/>
              </w:rPr>
            </w:pPr>
            <w:r>
              <w:rPr>
                <w:rFonts w:ascii="Calibri"/>
                <w:b/>
                <w:spacing w:val="-2"/>
                <w:sz w:val="14"/>
              </w:rPr>
              <w:t>MUJER</w:t>
            </w:r>
          </w:p>
        </w:tc>
      </w:tr>
      <w:tr>
        <w:trPr>
          <w:trHeight w:val="299" w:hRule="atLeast"/>
        </w:trPr>
        <w:tc>
          <w:tcPr>
            <w:tcW w:w="446" w:type="dxa"/>
            <w:vMerge w:val="restart"/>
            <w:textDirection w:val="btLr"/>
          </w:tcPr>
          <w:p>
            <w:pPr>
              <w:pStyle w:val="TableParagraph"/>
              <w:spacing w:before="70"/>
              <w:ind w:left="4" w:right="9"/>
              <w:jc w:val="center"/>
              <w:rPr>
                <w:rFonts w:ascii="Calibri"/>
                <w:b/>
                <w:sz w:val="16"/>
              </w:rPr>
            </w:pPr>
            <w:r>
              <w:rPr>
                <w:rFonts w:ascii="Calibri"/>
                <w:b/>
                <w:spacing w:val="-2"/>
                <w:sz w:val="16"/>
              </w:rPr>
              <w:t>INDEFINIDOS</w:t>
            </w:r>
          </w:p>
        </w:tc>
        <w:tc>
          <w:tcPr>
            <w:tcW w:w="1521" w:type="dxa"/>
            <w:tcBorders>
              <w:top w:val="single" w:sz="4" w:space="0" w:color="000000"/>
              <w:bottom w:val="single" w:sz="4" w:space="0" w:color="000000"/>
              <w:right w:val="single" w:sz="4" w:space="0" w:color="000000"/>
            </w:tcBorders>
          </w:tcPr>
          <w:p>
            <w:pPr>
              <w:pStyle w:val="TableParagraph"/>
              <w:spacing w:before="24"/>
              <w:ind w:left="8"/>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80"/>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5,00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2,00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3,46</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1"/>
              <w:jc w:val="center"/>
              <w:rPr>
                <w:sz w:val="14"/>
              </w:rPr>
            </w:pPr>
            <w:r>
              <w:rPr>
                <w:spacing w:val="-4"/>
                <w:sz w:val="14"/>
              </w:rPr>
              <w:t>1,00</w:t>
            </w: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1,00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1,00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jc w:val="center"/>
              <w:rPr>
                <w:sz w:val="14"/>
              </w:rPr>
            </w:pPr>
            <w:r>
              <w:rPr>
                <w:spacing w:val="-4"/>
                <w:sz w:val="14"/>
              </w:rPr>
              <w:t>1,00</w:t>
            </w: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2,00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1,00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1"/>
              <w:jc w:val="center"/>
              <w:rPr>
                <w:sz w:val="14"/>
              </w:rPr>
            </w:pPr>
            <w:r>
              <w:rPr>
                <w:spacing w:val="-4"/>
                <w:sz w:val="14"/>
              </w:rPr>
              <w:t>3,00</w:t>
            </w:r>
          </w:p>
        </w:tc>
      </w:tr>
      <w:tr>
        <w:trPr>
          <w:trHeight w:val="301"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spacing w:before="24"/>
              <w:rPr>
                <w:sz w:val="14"/>
              </w:rPr>
            </w:pPr>
          </w:p>
          <w:p>
            <w:pPr>
              <w:pStyle w:val="TableParagraph"/>
              <w:ind w:left="220"/>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hAnsi="Calibri"/>
                <w:sz w:val="14"/>
              </w:rPr>
            </w:pPr>
            <w:r>
              <w:rPr>
                <w:rFonts w:ascii="Calibri" w:hAnsi="Calibri"/>
                <w:sz w:val="14"/>
              </w:rPr>
              <w:t>TÉCNICO</w:t>
            </w:r>
            <w:r>
              <w:rPr>
                <w:rFonts w:ascii="Calibri" w:hAnsi="Calibri"/>
                <w:spacing w:val="-8"/>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9,42</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3,35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1,00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1,58</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1,45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16"/>
              <w:rPr>
                <w:rFonts w:ascii="Calibri"/>
                <w:b/>
                <w:sz w:val="14"/>
              </w:rPr>
            </w:pPr>
            <w:r>
              <w:rPr>
                <w:rFonts w:ascii="Calibri"/>
                <w:b/>
                <w:sz w:val="14"/>
              </w:rPr>
              <mc:AlternateContent>
                <mc:Choice Requires="wps">
                  <w:drawing>
                    <wp:anchor distT="0" distB="0" distL="0" distR="0" allowOverlap="1" layoutInCell="1" locked="0" behindDoc="1" simplePos="0" relativeHeight="476771328">
                      <wp:simplePos x="0" y="0"/>
                      <wp:positionH relativeFrom="column">
                        <wp:posOffset>-237743</wp:posOffset>
                      </wp:positionH>
                      <wp:positionV relativeFrom="paragraph">
                        <wp:posOffset>-193611</wp:posOffset>
                      </wp:positionV>
                      <wp:extent cx="125095" cy="190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25095" cy="1905"/>
                                <a:chExt cx="125095" cy="1905"/>
                              </a:xfrm>
                            </wpg:grpSpPr>
                            <wps:wsp>
                              <wps:cNvPr id="273" name="Graphic 273"/>
                              <wps:cNvSpPr/>
                              <wps:spPr>
                                <a:xfrm>
                                  <a:off x="0" y="0"/>
                                  <a:ext cx="125095" cy="1905"/>
                                </a:xfrm>
                                <a:custGeom>
                                  <a:avLst/>
                                  <a:gdLst/>
                                  <a:ahLst/>
                                  <a:cxnLst/>
                                  <a:rect l="l" t="t" r="r" b="b"/>
                                  <a:pathLst>
                                    <a:path w="125095" h="1905">
                                      <a:moveTo>
                                        <a:pt x="124968" y="1524"/>
                                      </a:moveTo>
                                      <a:lnTo>
                                        <a:pt x="0" y="1524"/>
                                      </a:lnTo>
                                      <a:lnTo>
                                        <a:pt x="0" y="0"/>
                                      </a:lnTo>
                                      <a:lnTo>
                                        <a:pt x="124968" y="0"/>
                                      </a:lnTo>
                                      <a:lnTo>
                                        <a:pt x="124968" y="152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8.719999pt;margin-top:-15.245003pt;width:9.85pt;height:.15pt;mso-position-horizontal-relative:column;mso-position-vertical-relative:paragraph;z-index:-26545152" id="docshapegroup210" coordorigin="-374,-305" coordsize="197,3">
                      <v:rect style="position:absolute;left:-375;top:-305;width:197;height:3" id="docshape211" filled="true" fillcolor="#ffff00" stroked="false">
                        <v:fill type="solid"/>
                      </v:rect>
                      <w10:wrap type="none"/>
                    </v:group>
                  </w:pict>
                </mc:Fallback>
              </mc:AlternateContent>
            </w: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2,89</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2"/>
                <w:sz w:val="14"/>
              </w:rPr>
              <w:t>21,86</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2,00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2,59</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hAnsi="Calibri"/>
                <w:sz w:val="14"/>
              </w:rPr>
            </w:pPr>
            <w:r>
              <w:rPr>
                <w:rFonts w:ascii="Calibri" w:hAnsi="Calibri"/>
                <w:sz w:val="14"/>
              </w:rPr>
              <w:t>MANDO</w:t>
            </w:r>
            <w:r>
              <w:rPr>
                <w:rFonts w:ascii="Calibri" w:hAnsi="Calibri"/>
                <w:spacing w:val="-5"/>
                <w:sz w:val="14"/>
              </w:rPr>
              <w:t> </w:t>
            </w:r>
            <w:r>
              <w:rPr>
                <w:rFonts w:ascii="Calibri" w:hAnsi="Calibri"/>
                <w:sz w:val="14"/>
              </w:rPr>
              <w:t>DE</w:t>
            </w:r>
            <w:r>
              <w:rPr>
                <w:rFonts w:ascii="Calibri" w:hAnsi="Calibri"/>
                <w:spacing w:val="-2"/>
                <w:sz w:val="14"/>
              </w:rPr>
              <w:t> 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2,00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2,00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3,00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1"/>
              <w:jc w:val="center"/>
              <w:rPr>
                <w:sz w:val="14"/>
              </w:rPr>
            </w:pPr>
            <w:r>
              <w:rPr>
                <w:spacing w:val="-4"/>
                <w:sz w:val="14"/>
              </w:rPr>
              <w:t>4,70</w:t>
            </w: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8"/>
              <w:rPr>
                <w:sz w:val="14"/>
              </w:rPr>
            </w:pPr>
          </w:p>
          <w:p>
            <w:pPr>
              <w:pStyle w:val="TableParagraph"/>
              <w:spacing w:before="1"/>
              <w:ind w:left="252"/>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2"/>
                <w:sz w:val="14"/>
              </w:rPr>
              <w:t>142,83</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190"/>
              <w:rPr>
                <w:sz w:val="14"/>
              </w:rPr>
            </w:pPr>
            <w:r>
              <w:rPr>
                <w:spacing w:val="-2"/>
                <w:sz w:val="14"/>
              </w:rPr>
              <w:t>10,84</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3"/>
              <w:jc w:val="center"/>
              <w:rPr>
                <w:sz w:val="14"/>
              </w:rPr>
            </w:pPr>
            <w:r>
              <w:rPr>
                <w:spacing w:val="-2"/>
                <w:sz w:val="14"/>
              </w:rPr>
              <w:t>269,81</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jc w:val="center"/>
              <w:rPr>
                <w:sz w:val="14"/>
              </w:rPr>
            </w:pPr>
            <w:r>
              <w:rPr>
                <w:spacing w:val="-4"/>
                <w:sz w:val="14"/>
              </w:rPr>
              <w:t>8,05</w:t>
            </w: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OFICIAL</w:t>
            </w:r>
            <w:r>
              <w:rPr>
                <w:rFonts w:ascii="Calibri"/>
                <w:spacing w:val="-7"/>
                <w:sz w:val="14"/>
              </w:rPr>
              <w:t> </w:t>
            </w:r>
            <w:r>
              <w:rPr>
                <w:rFonts w:ascii="Calibri"/>
                <w:sz w:val="14"/>
              </w:rPr>
              <w:t>TALLER</w:t>
            </w:r>
            <w:r>
              <w:rPr>
                <w:rFonts w:ascii="Calibri"/>
                <w:spacing w:val="-5"/>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spacing w:before="60"/>
              <w:ind w:left="20" w:right="5"/>
              <w:jc w:val="center"/>
              <w:rPr>
                <w:sz w:val="14"/>
              </w:rPr>
            </w:pPr>
            <w:r>
              <w:rPr>
                <w:spacing w:val="-4"/>
                <w:sz w:val="14"/>
              </w:rPr>
              <w:t>0,99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2"/>
                <w:sz w:val="14"/>
              </w:rPr>
              <w:t>22,22</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9"/>
              <w:rPr>
                <w:sz w:val="14"/>
              </w:rPr>
            </w:pPr>
            <w:r>
              <w:rPr>
                <w:spacing w:val="-4"/>
                <w:sz w:val="14"/>
              </w:rPr>
              <w:t>0,24</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2"/>
                <w:sz w:val="14"/>
              </w:rPr>
              <w:t>18,00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AUXILIAR</w:t>
            </w:r>
            <w:r>
              <w:rPr>
                <w:rFonts w:ascii="Calibri"/>
                <w:spacing w:val="-4"/>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3,00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28"/>
              <w:rPr>
                <w:sz w:val="14"/>
              </w:rPr>
            </w:pPr>
            <w:r>
              <w:rPr>
                <w:spacing w:val="-4"/>
                <w:sz w:val="14"/>
              </w:rPr>
              <w:t>9,88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2"/>
              <w:jc w:val="center"/>
              <w:rPr>
                <w:sz w:val="14"/>
              </w:rPr>
            </w:pPr>
            <w:r>
              <w:rPr>
                <w:spacing w:val="-4"/>
                <w:sz w:val="14"/>
              </w:rPr>
              <w:t>2,00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60"/>
              <w:ind w:left="25" w:right="1"/>
              <w:jc w:val="center"/>
              <w:rPr>
                <w:sz w:val="14"/>
              </w:rPr>
            </w:pPr>
            <w:r>
              <w:rPr>
                <w:spacing w:val="-4"/>
                <w:sz w:val="14"/>
              </w:rPr>
              <w:t>3,00</w:t>
            </w:r>
          </w:p>
        </w:tc>
      </w:tr>
      <w:tr>
        <w:trPr>
          <w:trHeight w:val="304" w:hRule="atLeast"/>
        </w:trPr>
        <w:tc>
          <w:tcPr>
            <w:tcW w:w="446" w:type="dxa"/>
            <w:vMerge/>
            <w:tcBorders>
              <w:top w:val="nil"/>
            </w:tcBorders>
            <w:textDirection w:val="btLr"/>
          </w:tcPr>
          <w:p>
            <w:pPr>
              <w:rPr>
                <w:sz w:val="2"/>
                <w:szCs w:val="2"/>
              </w:rPr>
            </w:pPr>
          </w:p>
        </w:tc>
        <w:tc>
          <w:tcPr>
            <w:tcW w:w="1521" w:type="dxa"/>
            <w:vMerge/>
            <w:tcBorders>
              <w:top w:val="nil"/>
              <w:right w:val="single" w:sz="4" w:space="0" w:color="000000"/>
            </w:tcBorders>
          </w:tcPr>
          <w:p>
            <w:pPr>
              <w:rPr>
                <w:sz w:val="2"/>
                <w:szCs w:val="2"/>
              </w:rPr>
            </w:pPr>
          </w:p>
        </w:tc>
        <w:tc>
          <w:tcPr>
            <w:tcW w:w="2174" w:type="dxa"/>
            <w:tcBorders>
              <w:top w:val="single" w:sz="4" w:space="0" w:color="000000"/>
              <w:left w:val="single" w:sz="4" w:space="0" w:color="000000"/>
            </w:tcBorders>
          </w:tcPr>
          <w:p>
            <w:pPr>
              <w:pStyle w:val="TableParagraph"/>
              <w:spacing w:before="22"/>
              <w:ind w:left="75"/>
              <w:rPr>
                <w:rFonts w:ascii="Calibri"/>
                <w:sz w:val="14"/>
              </w:rPr>
            </w:pPr>
            <w:r>
              <w:rPr>
                <w:rFonts w:ascii="Calibri"/>
                <w:sz w:val="14"/>
              </w:rPr>
              <w:t>AUXILIAR</w:t>
            </w:r>
            <w:r>
              <w:rPr>
                <w:rFonts w:ascii="Calibri"/>
                <w:spacing w:val="-4"/>
                <w:sz w:val="14"/>
              </w:rPr>
              <w:t> </w:t>
            </w:r>
            <w:r>
              <w:rPr>
                <w:rFonts w:ascii="Calibri"/>
                <w:spacing w:val="-2"/>
                <w:sz w:val="14"/>
              </w:rPr>
              <w:t>ADMIN/ESPECIALISTA</w:t>
            </w:r>
          </w:p>
        </w:tc>
        <w:tc>
          <w:tcPr>
            <w:tcW w:w="720" w:type="dxa"/>
            <w:tcBorders>
              <w:top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tcBorders>
          </w:tcPr>
          <w:p>
            <w:pPr>
              <w:pStyle w:val="TableParagraph"/>
              <w:rPr>
                <w:rFonts w:ascii="Times New Roman"/>
                <w:sz w:val="14"/>
              </w:rPr>
            </w:pPr>
          </w:p>
        </w:tc>
      </w:tr>
      <w:tr>
        <w:trPr>
          <w:trHeight w:val="294" w:hRule="atLeast"/>
        </w:trPr>
        <w:tc>
          <w:tcPr>
            <w:tcW w:w="446" w:type="dxa"/>
            <w:vMerge w:val="restart"/>
            <w:tcBorders>
              <w:left w:val="nil"/>
              <w:right w:val="single" w:sz="4" w:space="0" w:color="000000"/>
            </w:tcBorders>
          </w:tcPr>
          <w:p>
            <w:pPr>
              <w:pStyle w:val="TableParagraph"/>
              <w:rPr>
                <w:rFonts w:ascii="Times New Roman"/>
                <w:sz w:val="14"/>
              </w:rPr>
            </w:pPr>
          </w:p>
        </w:tc>
        <w:tc>
          <w:tcPr>
            <w:tcW w:w="1521" w:type="dxa"/>
            <w:vMerge w:val="restart"/>
            <w:tcBorders>
              <w:left w:val="single" w:sz="4" w:space="0" w:color="000000"/>
              <w:bottom w:val="single" w:sz="4" w:space="0" w:color="000000"/>
              <w:right w:val="single" w:sz="4" w:space="0" w:color="000000"/>
            </w:tcBorders>
            <w:shd w:val="clear" w:color="auto" w:fill="D7D7D7"/>
          </w:tcPr>
          <w:p>
            <w:pPr>
              <w:pStyle w:val="TableParagraph"/>
              <w:spacing w:before="12"/>
              <w:rPr>
                <w:sz w:val="14"/>
              </w:rPr>
            </w:pPr>
          </w:p>
          <w:p>
            <w:pPr>
              <w:pStyle w:val="TableParagraph"/>
              <w:ind w:left="16"/>
              <w:jc w:val="center"/>
              <w:rPr>
                <w:rFonts w:ascii="Calibri"/>
                <w:b/>
                <w:sz w:val="14"/>
              </w:rPr>
            </w:pPr>
            <w:r>
              <w:rPr>
                <w:rFonts w:ascii="Calibri"/>
                <w:b/>
                <w:spacing w:val="-2"/>
                <w:sz w:val="14"/>
              </w:rPr>
              <w:t>GRUPO</w:t>
            </w:r>
          </w:p>
        </w:tc>
        <w:tc>
          <w:tcPr>
            <w:tcW w:w="2174" w:type="dxa"/>
            <w:vMerge w:val="restart"/>
            <w:tcBorders>
              <w:left w:val="single" w:sz="4" w:space="0" w:color="000000"/>
              <w:bottom w:val="single" w:sz="4" w:space="0" w:color="000000"/>
            </w:tcBorders>
            <w:shd w:val="clear" w:color="auto" w:fill="D7D7D7"/>
          </w:tcPr>
          <w:p>
            <w:pPr>
              <w:pStyle w:val="TableParagraph"/>
              <w:spacing w:before="12"/>
              <w:rPr>
                <w:sz w:val="14"/>
              </w:rPr>
            </w:pPr>
          </w:p>
          <w:p>
            <w:pPr>
              <w:pStyle w:val="TableParagraph"/>
              <w:ind w:left="22"/>
              <w:jc w:val="center"/>
              <w:rPr>
                <w:rFonts w:ascii="Calibri"/>
                <w:b/>
                <w:sz w:val="14"/>
              </w:rPr>
            </w:pPr>
            <w:r>
              <w:rPr>
                <w:rFonts w:ascii="Calibri"/>
                <w:b/>
                <w:spacing w:val="-2"/>
                <w:sz w:val="14"/>
              </w:rPr>
              <w:t>NIVEL</w:t>
            </w:r>
          </w:p>
        </w:tc>
        <w:tc>
          <w:tcPr>
            <w:tcW w:w="1440" w:type="dxa"/>
            <w:gridSpan w:val="2"/>
            <w:tcBorders>
              <w:bottom w:val="single" w:sz="4" w:space="0" w:color="000000"/>
              <w:right w:val="single" w:sz="4" w:space="0" w:color="000000"/>
            </w:tcBorders>
            <w:shd w:val="clear" w:color="auto" w:fill="D7D7D7"/>
          </w:tcPr>
          <w:p>
            <w:pPr>
              <w:pStyle w:val="TableParagraph"/>
              <w:spacing w:before="20"/>
              <w:ind w:left="449"/>
              <w:rPr>
                <w:rFonts w:ascii="Calibri" w:hAnsi="Calibri"/>
                <w:sz w:val="14"/>
              </w:rPr>
            </w:pPr>
            <w:r>
              <w:rPr>
                <w:rFonts w:ascii="Calibri" w:hAnsi="Calibri"/>
                <w:sz w:val="14"/>
              </w:rPr>
              <w:t>&lt;</w:t>
            </w:r>
            <w:r>
              <w:rPr>
                <w:rFonts w:ascii="Calibri" w:hAnsi="Calibri"/>
                <w:spacing w:val="-3"/>
                <w:sz w:val="14"/>
              </w:rPr>
              <w:t> </w:t>
            </w:r>
            <w:r>
              <w:rPr>
                <w:rFonts w:ascii="Calibri" w:hAnsi="Calibri"/>
                <w:sz w:val="14"/>
              </w:rPr>
              <w:t>30</w:t>
            </w:r>
            <w:r>
              <w:rPr>
                <w:rFonts w:ascii="Calibri" w:hAnsi="Calibri"/>
                <w:spacing w:val="-2"/>
                <w:sz w:val="14"/>
              </w:rPr>
              <w:t> </w:t>
            </w:r>
            <w:r>
              <w:rPr>
                <w:rFonts w:ascii="Calibri" w:hAnsi="Calibri"/>
                <w:spacing w:val="-4"/>
                <w:sz w:val="14"/>
              </w:rPr>
              <w:t>años</w:t>
            </w:r>
          </w:p>
        </w:tc>
        <w:tc>
          <w:tcPr>
            <w:tcW w:w="1346" w:type="dxa"/>
            <w:gridSpan w:val="2"/>
            <w:tcBorders>
              <w:left w:val="single" w:sz="4" w:space="0" w:color="000000"/>
              <w:bottom w:val="single" w:sz="4" w:space="0" w:color="000000"/>
              <w:right w:val="single" w:sz="24" w:space="0" w:color="D7D7D7"/>
            </w:tcBorders>
            <w:shd w:val="clear" w:color="auto" w:fill="D7D7D7"/>
          </w:tcPr>
          <w:p>
            <w:pPr>
              <w:pStyle w:val="TableParagraph"/>
              <w:spacing w:before="20"/>
              <w:ind w:left="380"/>
              <w:rPr>
                <w:rFonts w:ascii="Calibri" w:hAnsi="Calibri"/>
                <w:sz w:val="14"/>
              </w:rPr>
            </w:pPr>
            <w:r>
              <w:rPr>
                <w:rFonts w:ascii="Calibri" w:hAnsi="Calibri"/>
                <w:sz w:val="14"/>
              </w:rPr>
              <w:t>30</w:t>
            </w:r>
            <w:r>
              <w:rPr>
                <w:rFonts w:ascii="Calibri" w:hAnsi="Calibri"/>
                <w:spacing w:val="-4"/>
                <w:sz w:val="14"/>
              </w:rPr>
              <w:t> </w:t>
            </w:r>
            <w:r>
              <w:rPr>
                <w:rFonts w:ascii="Calibri" w:hAnsi="Calibri"/>
                <w:sz w:val="14"/>
              </w:rPr>
              <w:t>-</w:t>
            </w:r>
            <w:r>
              <w:rPr>
                <w:rFonts w:ascii="Calibri" w:hAnsi="Calibri"/>
                <w:spacing w:val="2"/>
                <w:sz w:val="14"/>
              </w:rPr>
              <w:t> </w:t>
            </w:r>
            <w:r>
              <w:rPr>
                <w:rFonts w:ascii="Calibri" w:hAnsi="Calibri"/>
                <w:sz w:val="14"/>
              </w:rPr>
              <w:t>50</w:t>
            </w:r>
            <w:r>
              <w:rPr>
                <w:rFonts w:ascii="Calibri" w:hAnsi="Calibri"/>
                <w:spacing w:val="-3"/>
                <w:sz w:val="14"/>
              </w:rPr>
              <w:t> </w:t>
            </w:r>
            <w:r>
              <w:rPr>
                <w:rFonts w:ascii="Calibri" w:hAnsi="Calibri"/>
                <w:spacing w:val="-4"/>
                <w:sz w:val="14"/>
              </w:rPr>
              <w:t>años</w:t>
            </w:r>
          </w:p>
        </w:tc>
        <w:tc>
          <w:tcPr>
            <w:tcW w:w="93" w:type="dxa"/>
            <w:tcBorders>
              <w:left w:val="single" w:sz="24" w:space="0" w:color="D7D7D7"/>
              <w:bottom w:val="single" w:sz="4" w:space="0" w:color="000000"/>
              <w:right w:val="single" w:sz="4" w:space="0" w:color="000000"/>
            </w:tcBorders>
            <w:shd w:val="clear" w:color="auto" w:fill="D7D7D7"/>
          </w:tcPr>
          <w:p>
            <w:pPr>
              <w:pStyle w:val="TableParagraph"/>
              <w:rPr>
                <w:rFonts w:ascii="Times New Roman"/>
                <w:sz w:val="14"/>
              </w:rPr>
            </w:pPr>
          </w:p>
        </w:tc>
        <w:tc>
          <w:tcPr>
            <w:tcW w:w="1438" w:type="dxa"/>
            <w:gridSpan w:val="2"/>
            <w:tcBorders>
              <w:left w:val="single" w:sz="4" w:space="0" w:color="000000"/>
              <w:bottom w:val="single" w:sz="4" w:space="0" w:color="000000"/>
            </w:tcBorders>
            <w:shd w:val="clear" w:color="auto" w:fill="D7D7D7"/>
          </w:tcPr>
          <w:p>
            <w:pPr>
              <w:pStyle w:val="TableParagraph"/>
              <w:spacing w:before="20"/>
              <w:ind w:left="453"/>
              <w:rPr>
                <w:rFonts w:ascii="Calibri" w:hAnsi="Calibri"/>
                <w:sz w:val="14"/>
              </w:rPr>
            </w:pPr>
            <w:r>
              <w:rPr>
                <w:rFonts w:ascii="Calibri" w:hAnsi="Calibri"/>
                <w:sz w:val="14"/>
              </w:rPr>
              <w:t>&gt;</w:t>
            </w:r>
            <w:r>
              <w:rPr>
                <w:rFonts w:ascii="Calibri" w:hAnsi="Calibri"/>
                <w:spacing w:val="-3"/>
                <w:sz w:val="14"/>
              </w:rPr>
              <w:t> </w:t>
            </w:r>
            <w:r>
              <w:rPr>
                <w:rFonts w:ascii="Calibri" w:hAnsi="Calibri"/>
                <w:sz w:val="14"/>
              </w:rPr>
              <w:t>50</w:t>
            </w:r>
            <w:r>
              <w:rPr>
                <w:rFonts w:ascii="Calibri" w:hAnsi="Calibri"/>
                <w:spacing w:val="-2"/>
                <w:sz w:val="14"/>
              </w:rPr>
              <w:t> </w:t>
            </w:r>
            <w:r>
              <w:rPr>
                <w:rFonts w:ascii="Calibri" w:hAnsi="Calibri"/>
                <w:spacing w:val="-4"/>
                <w:sz w:val="14"/>
              </w:rPr>
              <w:t>años</w:t>
            </w:r>
          </w:p>
        </w:tc>
      </w:tr>
      <w:tr>
        <w:trPr>
          <w:trHeight w:val="291" w:hRule="atLeast"/>
        </w:trPr>
        <w:tc>
          <w:tcPr>
            <w:tcW w:w="446" w:type="dxa"/>
            <w:vMerge/>
            <w:tcBorders>
              <w:top w:val="nil"/>
              <w:left w:val="nil"/>
              <w:right w:val="single" w:sz="4" w:space="0" w:color="000000"/>
            </w:tcBorders>
          </w:tcPr>
          <w:p>
            <w:pPr>
              <w:rPr>
                <w:sz w:val="2"/>
                <w:szCs w:val="2"/>
              </w:rPr>
            </w:pPr>
          </w:p>
        </w:tc>
        <w:tc>
          <w:tcPr>
            <w:tcW w:w="1521" w:type="dxa"/>
            <w:vMerge/>
            <w:tcBorders>
              <w:top w:val="nil"/>
              <w:left w:val="single" w:sz="4" w:space="0" w:color="000000"/>
              <w:bottom w:val="single" w:sz="4" w:space="0" w:color="000000"/>
              <w:right w:val="single" w:sz="4" w:space="0" w:color="000000"/>
            </w:tcBorders>
            <w:shd w:val="clear" w:color="auto" w:fill="D7D7D7"/>
          </w:tcPr>
          <w:p>
            <w:pPr>
              <w:rPr>
                <w:sz w:val="2"/>
                <w:szCs w:val="2"/>
              </w:rPr>
            </w:pPr>
          </w:p>
        </w:tc>
        <w:tc>
          <w:tcPr>
            <w:tcW w:w="2174" w:type="dxa"/>
            <w:vMerge/>
            <w:tcBorders>
              <w:top w:val="nil"/>
              <w:left w:val="single" w:sz="4" w:space="0" w:color="000000"/>
              <w:bottom w:val="single" w:sz="4" w:space="0" w:color="000000"/>
            </w:tcBorders>
            <w:shd w:val="clear" w:color="auto" w:fill="D7D7D7"/>
          </w:tcPr>
          <w:p>
            <w:pPr>
              <w:rPr>
                <w:sz w:val="2"/>
                <w:szCs w:val="2"/>
              </w:rPr>
            </w:pPr>
          </w:p>
        </w:tc>
        <w:tc>
          <w:tcPr>
            <w:tcW w:w="720" w:type="dxa"/>
            <w:tcBorders>
              <w:top w:val="single" w:sz="4" w:space="0" w:color="000000"/>
              <w:bottom w:val="single" w:sz="4" w:space="0" w:color="000000"/>
              <w:right w:val="single" w:sz="4" w:space="0" w:color="000000"/>
            </w:tcBorders>
            <w:shd w:val="clear" w:color="auto" w:fill="D7D7D7"/>
          </w:tcPr>
          <w:p>
            <w:pPr>
              <w:pStyle w:val="TableParagraph"/>
              <w:spacing w:before="15"/>
              <w:ind w:left="20" w:right="3"/>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35" w:right="15"/>
              <w:jc w:val="center"/>
              <w:rPr>
                <w:rFonts w:ascii="Calibri"/>
                <w:sz w:val="14"/>
              </w:rPr>
            </w:pPr>
            <w:r>
              <w:rPr>
                <w:rFonts w:ascii="Calibri"/>
                <w:spacing w:val="-2"/>
                <w:sz w:val="14"/>
              </w:rPr>
              <w:t>MUJER</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33" w:right="15"/>
              <w:jc w:val="center"/>
              <w:rPr>
                <w:rFonts w:ascii="Calibri"/>
                <w:sz w:val="14"/>
              </w:rPr>
            </w:pPr>
            <w:r>
              <w:rPr>
                <w:rFonts w:ascii="Calibri"/>
                <w:spacing w:val="-2"/>
                <w:sz w:val="14"/>
              </w:rPr>
              <w:t>HOMBRE</w:t>
            </w:r>
          </w:p>
        </w:tc>
        <w:tc>
          <w:tcPr>
            <w:tcW w:w="626" w:type="dxa"/>
            <w:tcBorders>
              <w:top w:val="single" w:sz="4" w:space="0" w:color="000000"/>
              <w:left w:val="single" w:sz="4" w:space="0" w:color="000000"/>
              <w:bottom w:val="single" w:sz="4" w:space="0" w:color="000000"/>
              <w:right w:val="single" w:sz="24" w:space="0" w:color="D7D7D7"/>
            </w:tcBorders>
            <w:shd w:val="clear" w:color="auto" w:fill="D7D7D7"/>
          </w:tcPr>
          <w:p>
            <w:pPr>
              <w:pStyle w:val="TableParagraph"/>
              <w:spacing w:before="15"/>
              <w:ind w:left="139"/>
              <w:jc w:val="center"/>
              <w:rPr>
                <w:rFonts w:ascii="Calibri"/>
                <w:sz w:val="14"/>
              </w:rPr>
            </w:pPr>
            <w:r>
              <w:rPr>
                <w:rFonts w:ascii="Calibri"/>
                <w:spacing w:val="-2"/>
                <w:sz w:val="14"/>
              </w:rPr>
              <w:t>MUJER</w:t>
            </w:r>
          </w:p>
        </w:tc>
        <w:tc>
          <w:tcPr>
            <w:tcW w:w="93" w:type="dxa"/>
            <w:tcBorders>
              <w:top w:val="single" w:sz="4" w:space="0" w:color="000000"/>
              <w:left w:val="single" w:sz="24" w:space="0" w:color="D7D7D7"/>
              <w:bottom w:val="single" w:sz="4" w:space="0" w:color="000000"/>
              <w:right w:val="single" w:sz="4" w:space="0" w:color="000000"/>
            </w:tcBorders>
            <w:shd w:val="clear" w:color="auto" w:fill="D7D7D7"/>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25" w:right="4"/>
              <w:jc w:val="center"/>
              <w:rPr>
                <w:rFonts w:ascii="Calibri"/>
                <w:sz w:val="14"/>
              </w:rPr>
            </w:pPr>
            <w:r>
              <w:rPr>
                <w:rFonts w:ascii="Calibri"/>
                <w:spacing w:val="-2"/>
                <w:sz w:val="14"/>
              </w:rPr>
              <w:t>HOMBRE</w:t>
            </w:r>
          </w:p>
        </w:tc>
        <w:tc>
          <w:tcPr>
            <w:tcW w:w="719" w:type="dxa"/>
            <w:tcBorders>
              <w:top w:val="single" w:sz="4" w:space="0" w:color="000000"/>
              <w:left w:val="single" w:sz="4" w:space="0" w:color="000000"/>
              <w:bottom w:val="single" w:sz="4" w:space="0" w:color="000000"/>
            </w:tcBorders>
            <w:shd w:val="clear" w:color="auto" w:fill="D7D7D7"/>
          </w:tcPr>
          <w:p>
            <w:pPr>
              <w:pStyle w:val="TableParagraph"/>
              <w:spacing w:before="15"/>
              <w:ind w:left="30"/>
              <w:jc w:val="center"/>
              <w:rPr>
                <w:rFonts w:ascii="Calibri"/>
                <w:sz w:val="14"/>
              </w:rPr>
            </w:pPr>
            <w:r>
              <w:rPr>
                <w:rFonts w:ascii="Calibri"/>
                <w:spacing w:val="-2"/>
                <w:sz w:val="14"/>
              </w:rPr>
              <w:t>MUJER</w:t>
            </w:r>
          </w:p>
        </w:tc>
      </w:tr>
      <w:tr>
        <w:trPr>
          <w:trHeight w:val="299" w:hRule="atLeast"/>
        </w:trPr>
        <w:tc>
          <w:tcPr>
            <w:tcW w:w="446" w:type="dxa"/>
            <w:vMerge w:val="restart"/>
            <w:textDirection w:val="btLr"/>
          </w:tcPr>
          <w:p>
            <w:pPr>
              <w:pStyle w:val="TableParagraph"/>
              <w:spacing w:before="70"/>
              <w:ind w:right="10"/>
              <w:jc w:val="center"/>
              <w:rPr>
                <w:rFonts w:ascii="Calibri"/>
                <w:b/>
                <w:sz w:val="16"/>
              </w:rPr>
            </w:pPr>
            <w:r>
              <w:rPr>
                <w:rFonts w:ascii="Calibri"/>
                <w:b/>
                <w:spacing w:val="-2"/>
                <w:sz w:val="16"/>
              </w:rPr>
              <w:t>TEMPORALES</w:t>
            </w:r>
          </w:p>
        </w:tc>
        <w:tc>
          <w:tcPr>
            <w:tcW w:w="1521" w:type="dxa"/>
            <w:tcBorders>
              <w:top w:val="single" w:sz="4" w:space="0" w:color="000000"/>
              <w:bottom w:val="single" w:sz="4" w:space="0" w:color="000000"/>
              <w:right w:val="single" w:sz="4" w:space="0" w:color="000000"/>
            </w:tcBorders>
          </w:tcPr>
          <w:p>
            <w:pPr>
              <w:pStyle w:val="TableParagraph"/>
              <w:spacing w:before="22"/>
              <w:ind w:left="8"/>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8"/>
              <w:ind w:left="25" w:right="2"/>
              <w:jc w:val="center"/>
              <w:rPr>
                <w:sz w:val="14"/>
              </w:rPr>
            </w:pPr>
            <w:r>
              <w:rPr>
                <w:spacing w:val="-4"/>
                <w:sz w:val="14"/>
              </w:rPr>
              <w:t>1,00</w:t>
            </w:r>
          </w:p>
        </w:tc>
        <w:tc>
          <w:tcPr>
            <w:tcW w:w="71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80"/>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20"/>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hAnsi="Calibri"/>
                <w:sz w:val="14"/>
              </w:rPr>
            </w:pPr>
            <w:r>
              <w:rPr>
                <w:rFonts w:ascii="Calibri" w:hAnsi="Calibri"/>
                <w:sz w:val="14"/>
              </w:rPr>
              <w:t>TÉCNICO</w:t>
            </w:r>
            <w:r>
              <w:rPr>
                <w:rFonts w:ascii="Calibri" w:hAnsi="Calibri"/>
                <w:spacing w:val="-8"/>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19"/>
              <w:rPr>
                <w:sz w:val="14"/>
              </w:rPr>
            </w:pPr>
          </w:p>
          <w:p>
            <w:pPr>
              <w:pStyle w:val="TableParagraph"/>
              <w:ind w:left="216"/>
              <w:rPr>
                <w:rFonts w:ascii="Calibri"/>
                <w:b/>
                <w:sz w:val="14"/>
              </w:rPr>
            </w:pPr>
            <w:r>
              <w:rPr>
                <w:rFonts w:ascii="Calibri"/>
                <w:b/>
                <w:sz w:val="14"/>
              </w:rPr>
              <mc:AlternateContent>
                <mc:Choice Requires="wps">
                  <w:drawing>
                    <wp:anchor distT="0" distB="0" distL="0" distR="0" allowOverlap="1" layoutInCell="1" locked="0" behindDoc="1" simplePos="0" relativeHeight="476771840">
                      <wp:simplePos x="0" y="0"/>
                      <wp:positionH relativeFrom="column">
                        <wp:posOffset>-237743</wp:posOffset>
                      </wp:positionH>
                      <wp:positionV relativeFrom="paragraph">
                        <wp:posOffset>-195770</wp:posOffset>
                      </wp:positionV>
                      <wp:extent cx="125095" cy="190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125095" cy="1905"/>
                                <a:chExt cx="125095" cy="1905"/>
                              </a:xfrm>
                            </wpg:grpSpPr>
                            <wps:wsp>
                              <wps:cNvPr id="275" name="Graphic 275"/>
                              <wps:cNvSpPr/>
                              <wps:spPr>
                                <a:xfrm>
                                  <a:off x="0" y="0"/>
                                  <a:ext cx="125095" cy="1905"/>
                                </a:xfrm>
                                <a:custGeom>
                                  <a:avLst/>
                                  <a:gdLst/>
                                  <a:ahLst/>
                                  <a:cxnLst/>
                                  <a:rect l="l" t="t" r="r" b="b"/>
                                  <a:pathLst>
                                    <a:path w="125095" h="1905">
                                      <a:moveTo>
                                        <a:pt x="124968" y="1524"/>
                                      </a:moveTo>
                                      <a:lnTo>
                                        <a:pt x="0" y="1524"/>
                                      </a:lnTo>
                                      <a:lnTo>
                                        <a:pt x="0" y="0"/>
                                      </a:lnTo>
                                      <a:lnTo>
                                        <a:pt x="124968" y="0"/>
                                      </a:lnTo>
                                      <a:lnTo>
                                        <a:pt x="124968" y="152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8.719999pt;margin-top:-15.415005pt;width:9.85pt;height:.15pt;mso-position-horizontal-relative:column;mso-position-vertical-relative:paragraph;z-index:-26544640" id="docshapegroup212" coordorigin="-374,-308" coordsize="197,3">
                      <v:rect style="position:absolute;left:-375;top:-309;width:197;height:3" id="docshape213" filled="true" fillcolor="#ffff00" stroked="false">
                        <v:fill type="solid"/>
                      </v:rect>
                      <w10:wrap type="none"/>
                    </v:group>
                  </w:pict>
                </mc:Fallback>
              </mc:AlternateContent>
            </w: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hAnsi="Calibri"/>
                <w:sz w:val="14"/>
              </w:rPr>
            </w:pPr>
            <w:r>
              <w:rPr>
                <w:rFonts w:ascii="Calibri" w:hAnsi="Calibri"/>
                <w:sz w:val="14"/>
              </w:rPr>
              <w:t>MANDO</w:t>
            </w:r>
            <w:r>
              <w:rPr>
                <w:rFonts w:ascii="Calibri" w:hAnsi="Calibri"/>
                <w:spacing w:val="-5"/>
                <w:sz w:val="14"/>
              </w:rPr>
              <w:t> </w:t>
            </w:r>
            <w:r>
              <w:rPr>
                <w:rFonts w:ascii="Calibri" w:hAnsi="Calibri"/>
                <w:sz w:val="14"/>
              </w:rPr>
              <w:t>DE</w:t>
            </w:r>
            <w:r>
              <w:rPr>
                <w:rFonts w:ascii="Calibri" w:hAnsi="Calibri"/>
                <w:spacing w:val="-2"/>
                <w:sz w:val="14"/>
              </w:rPr>
              <w:t> 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6"/>
              <w:rPr>
                <w:sz w:val="14"/>
              </w:rPr>
            </w:pPr>
          </w:p>
          <w:p>
            <w:pPr>
              <w:pStyle w:val="TableParagraph"/>
              <w:ind w:left="252"/>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spacing w:before="58"/>
              <w:ind w:left="20" w:right="5"/>
              <w:jc w:val="center"/>
              <w:rPr>
                <w:sz w:val="14"/>
              </w:rPr>
            </w:pPr>
            <w:r>
              <w:rPr>
                <w:spacing w:val="-4"/>
                <w:sz w:val="14"/>
              </w:rPr>
              <w:t>1,36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5" w:right="15"/>
              <w:jc w:val="center"/>
              <w:rPr>
                <w:sz w:val="14"/>
              </w:rPr>
            </w:pPr>
            <w:r>
              <w:rPr>
                <w:spacing w:val="-2"/>
                <w:sz w:val="14"/>
              </w:rPr>
              <w:t>156,40</w:t>
            </w: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91"/>
              <w:rPr>
                <w:sz w:val="14"/>
              </w:rPr>
            </w:pPr>
            <w:r>
              <w:rPr>
                <w:spacing w:val="-2"/>
                <w:sz w:val="14"/>
              </w:rPr>
              <w:t>31,28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8"/>
              <w:ind w:left="25" w:right="2"/>
              <w:jc w:val="center"/>
              <w:rPr>
                <w:sz w:val="14"/>
              </w:rPr>
            </w:pPr>
            <w:r>
              <w:rPr>
                <w:spacing w:val="-2"/>
                <w:sz w:val="14"/>
              </w:rPr>
              <w:t>31,35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8"/>
              <w:ind w:left="25"/>
              <w:jc w:val="center"/>
              <w:rPr>
                <w:sz w:val="14"/>
              </w:rPr>
            </w:pPr>
            <w:r>
              <w:rPr>
                <w:spacing w:val="-4"/>
                <w:sz w:val="14"/>
              </w:rPr>
              <w:t>3,51</w:t>
            </w: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4"/>
              <w:ind w:left="75"/>
              <w:rPr>
                <w:rFonts w:ascii="Calibri"/>
                <w:sz w:val="14"/>
              </w:rPr>
            </w:pPr>
            <w:r>
              <w:rPr>
                <w:rFonts w:ascii="Calibri"/>
                <w:sz w:val="14"/>
              </w:rPr>
              <w:t>OFICIAL</w:t>
            </w:r>
            <w:r>
              <w:rPr>
                <w:rFonts w:ascii="Calibri"/>
                <w:spacing w:val="-6"/>
                <w:sz w:val="14"/>
              </w:rPr>
              <w:t> </w:t>
            </w:r>
            <w:r>
              <w:rPr>
                <w:rFonts w:ascii="Calibri"/>
                <w:sz w:val="14"/>
              </w:rPr>
              <w:t>TALLER</w:t>
            </w:r>
            <w:r>
              <w:rPr>
                <w:rFonts w:ascii="Calibri"/>
                <w:spacing w:val="-6"/>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sz w:val="14"/>
              </w:rPr>
            </w:pPr>
            <w:r>
              <w:rPr>
                <w:rFonts w:ascii="Calibri"/>
                <w:sz w:val="14"/>
              </w:rPr>
              <w:t>AUXILIAR</w:t>
            </w:r>
            <w:r>
              <w:rPr>
                <w:rFonts w:ascii="Calibri"/>
                <w:spacing w:val="-4"/>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22"/>
              <w:ind w:left="75"/>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15" w:hRule="atLeast"/>
        </w:trPr>
        <w:tc>
          <w:tcPr>
            <w:tcW w:w="446" w:type="dxa"/>
            <w:vMerge/>
            <w:tcBorders>
              <w:top w:val="nil"/>
            </w:tcBorders>
            <w:textDirection w:val="btLr"/>
          </w:tcPr>
          <w:p>
            <w:pPr>
              <w:rPr>
                <w:sz w:val="2"/>
                <w:szCs w:val="2"/>
              </w:rPr>
            </w:pPr>
          </w:p>
        </w:tc>
        <w:tc>
          <w:tcPr>
            <w:tcW w:w="1521" w:type="dxa"/>
            <w:vMerge/>
            <w:tcBorders>
              <w:top w:val="nil"/>
              <w:bottom w:val="single" w:sz="4" w:space="0" w:color="000000"/>
              <w:right w:val="single" w:sz="4" w:space="0" w:color="000000"/>
            </w:tcBorders>
          </w:tcPr>
          <w:p>
            <w:pPr>
              <w:rPr>
                <w:sz w:val="2"/>
                <w:szCs w:val="2"/>
              </w:rPr>
            </w:pPr>
          </w:p>
        </w:tc>
        <w:tc>
          <w:tcPr>
            <w:tcW w:w="2174" w:type="dxa"/>
            <w:tcBorders>
              <w:top w:val="single" w:sz="4" w:space="0" w:color="000000"/>
              <w:left w:val="single" w:sz="4" w:space="0" w:color="000000"/>
              <w:bottom w:val="single" w:sz="4" w:space="0" w:color="000000"/>
            </w:tcBorders>
          </w:tcPr>
          <w:p>
            <w:pPr>
              <w:pStyle w:val="TableParagraph"/>
              <w:spacing w:before="32"/>
              <w:ind w:left="75"/>
              <w:rPr>
                <w:rFonts w:ascii="Calibri"/>
                <w:sz w:val="14"/>
              </w:rPr>
            </w:pPr>
            <w:r>
              <w:rPr>
                <w:rFonts w:ascii="Calibri"/>
                <w:sz w:val="14"/>
              </w:rPr>
              <w:t>AUXILIAR</w:t>
            </w:r>
            <w:r>
              <w:rPr>
                <w:rFonts w:ascii="Calibri"/>
                <w:spacing w:val="-4"/>
                <w:sz w:val="14"/>
              </w:rPr>
              <w:t> </w:t>
            </w:r>
            <w:r>
              <w:rPr>
                <w:rFonts w:ascii="Calibri"/>
                <w:spacing w:val="-2"/>
                <w:sz w:val="14"/>
              </w:rPr>
              <w:t>ADMIN/ESPECIALISTA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9" w:type="dxa"/>
            <w:tcBorders>
              <w:top w:val="single" w:sz="4" w:space="0" w:color="000000"/>
              <w:left w:val="single" w:sz="4" w:space="0" w:color="000000"/>
              <w:bottom w:val="single" w:sz="4" w:space="0" w:color="000000"/>
            </w:tcBorders>
          </w:tcPr>
          <w:p>
            <w:pPr>
              <w:pStyle w:val="TableParagraph"/>
              <w:rPr>
                <w:rFonts w:ascii="Times New Roman"/>
                <w:sz w:val="14"/>
              </w:rPr>
            </w:pPr>
          </w:p>
        </w:tc>
      </w:tr>
    </w:tbl>
    <w:p>
      <w:pPr>
        <w:pStyle w:val="TableParagraph"/>
        <w:spacing w:after="0"/>
        <w:rPr>
          <w:rFonts w:ascii="Times New Roman"/>
          <w:sz w:val="14"/>
        </w:rPr>
        <w:sectPr>
          <w:pgSz w:w="11910" w:h="16840"/>
          <w:pgMar w:header="384" w:footer="1060" w:top="1200" w:bottom="1260" w:left="360" w:right="360"/>
        </w:sectPr>
      </w:pPr>
    </w:p>
    <w:p>
      <w:pPr>
        <w:pStyle w:val="BodyText"/>
        <w:spacing w:line="362" w:lineRule="auto" w:before="215"/>
        <w:ind w:left="1341" w:right="1308"/>
      </w:pPr>
      <w:r>
        <w:rPr/>
        <mc:AlternateContent>
          <mc:Choice Requires="wps">
            <w:drawing>
              <wp:anchor distT="0" distB="0" distL="0" distR="0" allowOverlap="1" layoutInCell="1" locked="0" behindDoc="1" simplePos="0" relativeHeight="476772864">
                <wp:simplePos x="0" y="0"/>
                <wp:positionH relativeFrom="page">
                  <wp:posOffset>5440791</wp:posOffset>
                </wp:positionH>
                <wp:positionV relativeFrom="page">
                  <wp:posOffset>5375909</wp:posOffset>
                </wp:positionV>
                <wp:extent cx="48260" cy="889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48260" cy="88900"/>
                        </a:xfrm>
                        <a:prstGeom prst="rect">
                          <a:avLst/>
                        </a:prstGeom>
                      </wps:spPr>
                      <wps:txbx>
                        <w:txbxContent>
                          <w:p>
                            <w:pPr>
                              <w:spacing w:line="139" w:lineRule="exact" w:before="0"/>
                              <w:ind w:left="0" w:right="0" w:firstLine="0"/>
                              <w:jc w:val="left"/>
                              <w:rPr>
                                <w:rFonts w:ascii="Calibri"/>
                                <w:sz w:val="14"/>
                              </w:rPr>
                            </w:pPr>
                            <w:r>
                              <w:rPr>
                                <w:rFonts w:ascii="Calibri"/>
                                <w:spacing w:val="-12"/>
                                <w:sz w:val="14"/>
                              </w:rPr>
                              <w:t>R</w:t>
                            </w:r>
                          </w:p>
                        </w:txbxContent>
                      </wps:txbx>
                      <wps:bodyPr wrap="square" lIns="0" tIns="0" rIns="0" bIns="0" rtlCol="0">
                        <a:noAutofit/>
                      </wps:bodyPr>
                    </wps:wsp>
                  </a:graphicData>
                </a:graphic>
              </wp:anchor>
            </w:drawing>
          </mc:Choice>
          <mc:Fallback>
            <w:pict>
              <v:shape style="position:absolute;margin-left:428.408752pt;margin-top:423.299957pt;width:3.8pt;height:7pt;mso-position-horizontal-relative:page;mso-position-vertical-relative:page;z-index:-26543616" type="#_x0000_t202" id="docshape214" filled="false" stroked="false">
                <v:textbox inset="0,0,0,0">
                  <w:txbxContent>
                    <w:p>
                      <w:pPr>
                        <w:spacing w:line="139" w:lineRule="exact" w:before="0"/>
                        <w:ind w:left="0" w:right="0" w:firstLine="0"/>
                        <w:jc w:val="left"/>
                        <w:rPr>
                          <w:rFonts w:ascii="Calibri"/>
                          <w:sz w:val="14"/>
                        </w:rPr>
                      </w:pPr>
                      <w:r>
                        <w:rPr>
                          <w:rFonts w:ascii="Calibri"/>
                          <w:spacing w:val="-12"/>
                          <w:sz w:val="14"/>
                        </w:rPr>
                        <w:t>R</w:t>
                      </w:r>
                    </w:p>
                  </w:txbxContent>
                </v:textbox>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6966436</wp:posOffset>
                </wp:positionH>
                <wp:positionV relativeFrom="page">
                  <wp:posOffset>6553363</wp:posOffset>
                </wp:positionV>
                <wp:extent cx="263525" cy="327596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5952" type="#_x0000_t202" id="docshape21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w:t>
      </w:r>
      <w:r>
        <w:rPr>
          <w:spacing w:val="40"/>
        </w:rPr>
        <w:t> </w:t>
      </w:r>
      <w:r>
        <w:rPr/>
        <w:t>variación</w:t>
      </w:r>
      <w:r>
        <w:rPr>
          <w:spacing w:val="40"/>
        </w:rPr>
        <w:t> </w:t>
      </w:r>
      <w:r>
        <w:rPr/>
        <w:t>del</w:t>
      </w:r>
      <w:r>
        <w:rPr>
          <w:spacing w:val="40"/>
        </w:rPr>
        <w:t> </w:t>
      </w:r>
      <w:r>
        <w:rPr/>
        <w:t>número</w:t>
      </w:r>
      <w:r>
        <w:rPr>
          <w:spacing w:val="40"/>
        </w:rPr>
        <w:t> </w:t>
      </w:r>
      <w:r>
        <w:rPr/>
        <w:t>total</w:t>
      </w:r>
      <w:r>
        <w:rPr>
          <w:spacing w:val="40"/>
        </w:rPr>
        <w:t> </w:t>
      </w:r>
      <w:r>
        <w:rPr/>
        <w:t>de</w:t>
      </w:r>
      <w:r>
        <w:rPr>
          <w:spacing w:val="40"/>
        </w:rPr>
        <w:t> </w:t>
      </w:r>
      <w:r>
        <w:rPr/>
        <w:t>la</w:t>
      </w:r>
      <w:r>
        <w:rPr>
          <w:spacing w:val="40"/>
        </w:rPr>
        <w:t> </w:t>
      </w:r>
      <w:r>
        <w:rPr/>
        <w:t>plantilla</w:t>
      </w:r>
      <w:r>
        <w:rPr>
          <w:spacing w:val="40"/>
        </w:rPr>
        <w:t> </w:t>
      </w:r>
      <w:r>
        <w:rPr/>
        <w:t>(promedio)</w:t>
      </w:r>
      <w:r>
        <w:rPr>
          <w:spacing w:val="40"/>
        </w:rPr>
        <w:t> </w:t>
      </w:r>
      <w:r>
        <w:rPr/>
        <w:t>distribuida</w:t>
      </w:r>
      <w:r>
        <w:rPr>
          <w:spacing w:val="40"/>
        </w:rPr>
        <w:t> </w:t>
      </w:r>
      <w:r>
        <w:rPr/>
        <w:t>por</w:t>
      </w:r>
      <w:r>
        <w:rPr>
          <w:spacing w:val="40"/>
        </w:rPr>
        <w:t> </w:t>
      </w:r>
      <w:r>
        <w:rPr/>
        <w:t>tipo</w:t>
      </w:r>
      <w:r>
        <w:rPr>
          <w:spacing w:val="40"/>
        </w:rPr>
        <w:t> </w:t>
      </w:r>
      <w:r>
        <w:rPr/>
        <w:t>contrato,</w:t>
      </w:r>
      <w:r>
        <w:rPr>
          <w:spacing w:val="40"/>
        </w:rPr>
        <w:t> </w:t>
      </w:r>
      <w:r>
        <w:rPr/>
        <w:t>grupo profesional, edad, y sexo del 2025 con respecto al 2024 ha sido:</w:t>
      </w:r>
    </w:p>
    <w:p>
      <w:pPr>
        <w:pStyle w:val="BodyText"/>
        <w:spacing w:before="10"/>
        <w:rPr>
          <w:sz w:val="16"/>
        </w:rPr>
      </w:pPr>
    </w:p>
    <w:tbl>
      <w:tblPr>
        <w:tblW w:w="0" w:type="auto"/>
        <w:jc w:val="left"/>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
        <w:gridCol w:w="1512"/>
        <w:gridCol w:w="2138"/>
        <w:gridCol w:w="888"/>
        <w:gridCol w:w="703"/>
        <w:gridCol w:w="722"/>
        <w:gridCol w:w="669"/>
        <w:gridCol w:w="671"/>
        <w:gridCol w:w="709"/>
      </w:tblGrid>
      <w:tr>
        <w:trPr>
          <w:trHeight w:val="313" w:hRule="atLeast"/>
        </w:trPr>
        <w:tc>
          <w:tcPr>
            <w:tcW w:w="446" w:type="dxa"/>
            <w:vMerge w:val="restart"/>
            <w:tcBorders>
              <w:top w:val="nil"/>
              <w:left w:val="nil"/>
              <w:right w:val="nil"/>
            </w:tcBorders>
          </w:tcPr>
          <w:p>
            <w:pPr>
              <w:pStyle w:val="TableParagraph"/>
              <w:rPr>
                <w:rFonts w:ascii="Times New Roman"/>
                <w:sz w:val="14"/>
              </w:rPr>
            </w:pPr>
          </w:p>
        </w:tc>
        <w:tc>
          <w:tcPr>
            <w:tcW w:w="3650" w:type="dxa"/>
            <w:gridSpan w:val="2"/>
            <w:tcBorders>
              <w:top w:val="nil"/>
              <w:left w:val="nil"/>
              <w:right w:val="single" w:sz="4" w:space="0" w:color="000000"/>
            </w:tcBorders>
          </w:tcPr>
          <w:p>
            <w:pPr>
              <w:pStyle w:val="TableParagraph"/>
              <w:rPr>
                <w:rFonts w:ascii="Times New Roman"/>
                <w:sz w:val="14"/>
              </w:rPr>
            </w:pPr>
          </w:p>
        </w:tc>
        <w:tc>
          <w:tcPr>
            <w:tcW w:w="4362" w:type="dxa"/>
            <w:gridSpan w:val="6"/>
            <w:tcBorders>
              <w:top w:val="single" w:sz="4" w:space="0" w:color="000000"/>
              <w:left w:val="single" w:sz="4" w:space="0" w:color="000000"/>
              <w:right w:val="single" w:sz="4" w:space="0" w:color="000000"/>
            </w:tcBorders>
            <w:shd w:val="clear" w:color="auto" w:fill="D7D7D7"/>
          </w:tcPr>
          <w:p>
            <w:pPr>
              <w:pStyle w:val="TableParagraph"/>
              <w:spacing w:before="25"/>
              <w:ind w:left="23"/>
              <w:jc w:val="center"/>
              <w:rPr>
                <w:rFonts w:ascii="Calibri" w:hAnsi="Calibri"/>
                <w:b/>
                <w:sz w:val="14"/>
              </w:rPr>
            </w:pPr>
            <w:r>
              <w:rPr>
                <w:rFonts w:ascii="Calibri" w:hAnsi="Calibri"/>
                <w:b/>
                <w:sz w:val="14"/>
              </w:rPr>
              <w:t>∆</w:t>
            </w:r>
            <w:r>
              <w:rPr>
                <w:rFonts w:ascii="Calibri" w:hAnsi="Calibri"/>
                <w:b/>
                <w:spacing w:val="-4"/>
                <w:sz w:val="14"/>
              </w:rPr>
              <w:t> </w:t>
            </w:r>
            <w:r>
              <w:rPr>
                <w:rFonts w:ascii="Calibri" w:hAnsi="Calibri"/>
                <w:b/>
                <w:sz w:val="14"/>
              </w:rPr>
              <w:t>2025-</w:t>
            </w:r>
            <w:r>
              <w:rPr>
                <w:rFonts w:ascii="Calibri" w:hAnsi="Calibri"/>
                <w:b/>
                <w:spacing w:val="-4"/>
                <w:sz w:val="14"/>
              </w:rPr>
              <w:t>2024</w:t>
            </w:r>
          </w:p>
        </w:tc>
      </w:tr>
      <w:tr>
        <w:trPr>
          <w:trHeight w:val="299" w:hRule="atLeast"/>
        </w:trPr>
        <w:tc>
          <w:tcPr>
            <w:tcW w:w="446" w:type="dxa"/>
            <w:vMerge/>
            <w:tcBorders>
              <w:top w:val="nil"/>
              <w:left w:val="nil"/>
              <w:right w:val="nil"/>
            </w:tcBorders>
          </w:tcPr>
          <w:p>
            <w:pPr>
              <w:rPr>
                <w:sz w:val="2"/>
                <w:szCs w:val="2"/>
              </w:rPr>
            </w:pPr>
          </w:p>
        </w:tc>
        <w:tc>
          <w:tcPr>
            <w:tcW w:w="1512" w:type="dxa"/>
            <w:vMerge w:val="restart"/>
            <w:tcBorders>
              <w:bottom w:val="single" w:sz="4" w:space="0" w:color="000000"/>
              <w:right w:val="single" w:sz="4" w:space="0" w:color="000000"/>
            </w:tcBorders>
            <w:shd w:val="clear" w:color="auto" w:fill="D7D7D7"/>
          </w:tcPr>
          <w:p>
            <w:pPr>
              <w:pStyle w:val="TableParagraph"/>
              <w:spacing w:before="24"/>
              <w:rPr>
                <w:sz w:val="14"/>
              </w:rPr>
            </w:pPr>
          </w:p>
          <w:p>
            <w:pPr>
              <w:pStyle w:val="TableParagraph"/>
              <w:ind w:left="11"/>
              <w:jc w:val="center"/>
              <w:rPr>
                <w:rFonts w:ascii="Calibri"/>
                <w:b/>
                <w:sz w:val="14"/>
              </w:rPr>
            </w:pPr>
            <w:r>
              <w:rPr>
                <w:rFonts w:ascii="Calibri"/>
                <w:b/>
                <w:spacing w:val="-2"/>
                <w:sz w:val="14"/>
              </w:rPr>
              <w:t>GRUPO</w:t>
            </w:r>
          </w:p>
        </w:tc>
        <w:tc>
          <w:tcPr>
            <w:tcW w:w="2138" w:type="dxa"/>
            <w:vMerge w:val="restart"/>
            <w:tcBorders>
              <w:left w:val="single" w:sz="4" w:space="0" w:color="000000"/>
              <w:bottom w:val="single" w:sz="4" w:space="0" w:color="000000"/>
            </w:tcBorders>
            <w:shd w:val="clear" w:color="auto" w:fill="D7D7D7"/>
          </w:tcPr>
          <w:p>
            <w:pPr>
              <w:pStyle w:val="TableParagraph"/>
              <w:spacing w:before="24"/>
              <w:rPr>
                <w:sz w:val="14"/>
              </w:rPr>
            </w:pPr>
          </w:p>
          <w:p>
            <w:pPr>
              <w:pStyle w:val="TableParagraph"/>
              <w:ind w:left="19"/>
              <w:jc w:val="center"/>
              <w:rPr>
                <w:rFonts w:ascii="Calibri"/>
                <w:b/>
                <w:sz w:val="14"/>
              </w:rPr>
            </w:pPr>
            <w:r>
              <w:rPr>
                <w:rFonts w:ascii="Calibri"/>
                <w:b/>
                <w:spacing w:val="-2"/>
                <w:sz w:val="14"/>
              </w:rPr>
              <w:t>NIVEL</w:t>
            </w:r>
          </w:p>
        </w:tc>
        <w:tc>
          <w:tcPr>
            <w:tcW w:w="1591" w:type="dxa"/>
            <w:gridSpan w:val="2"/>
            <w:tcBorders>
              <w:right w:val="single" w:sz="4" w:space="0" w:color="000000"/>
            </w:tcBorders>
            <w:shd w:val="clear" w:color="auto" w:fill="D7D7D7"/>
          </w:tcPr>
          <w:p>
            <w:pPr>
              <w:pStyle w:val="TableParagraph"/>
              <w:spacing w:before="17"/>
              <w:ind w:left="521"/>
              <w:rPr>
                <w:rFonts w:ascii="Calibri" w:hAnsi="Calibri"/>
                <w:b/>
                <w:sz w:val="14"/>
              </w:rPr>
            </w:pPr>
            <w:r>
              <w:rPr>
                <w:rFonts w:ascii="Calibri" w:hAnsi="Calibri"/>
                <w:b/>
                <w:sz w:val="14"/>
              </w:rPr>
              <w:t>&lt;</w:t>
            </w:r>
            <w:r>
              <w:rPr>
                <w:rFonts w:ascii="Calibri" w:hAnsi="Calibri"/>
                <w:b/>
                <w:spacing w:val="-3"/>
                <w:sz w:val="14"/>
              </w:rPr>
              <w:t> </w:t>
            </w:r>
            <w:r>
              <w:rPr>
                <w:rFonts w:ascii="Calibri" w:hAnsi="Calibri"/>
                <w:b/>
                <w:sz w:val="14"/>
              </w:rPr>
              <w:t>30</w:t>
            </w:r>
            <w:r>
              <w:rPr>
                <w:rFonts w:ascii="Calibri" w:hAnsi="Calibri"/>
                <w:b/>
                <w:spacing w:val="-2"/>
                <w:sz w:val="14"/>
              </w:rPr>
              <w:t> </w:t>
            </w:r>
            <w:r>
              <w:rPr>
                <w:rFonts w:ascii="Calibri" w:hAnsi="Calibri"/>
                <w:b/>
                <w:spacing w:val="-4"/>
                <w:sz w:val="14"/>
              </w:rPr>
              <w:t>años</w:t>
            </w:r>
          </w:p>
        </w:tc>
        <w:tc>
          <w:tcPr>
            <w:tcW w:w="1391" w:type="dxa"/>
            <w:gridSpan w:val="2"/>
            <w:tcBorders>
              <w:left w:val="single" w:sz="4" w:space="0" w:color="000000"/>
              <w:right w:val="single" w:sz="4" w:space="0" w:color="000000"/>
            </w:tcBorders>
            <w:shd w:val="clear" w:color="auto" w:fill="D7D7D7"/>
          </w:tcPr>
          <w:p>
            <w:pPr>
              <w:pStyle w:val="TableParagraph"/>
              <w:spacing w:before="17"/>
              <w:ind w:left="353"/>
              <w:rPr>
                <w:rFonts w:ascii="Calibri" w:hAnsi="Calibri"/>
                <w:b/>
                <w:sz w:val="14"/>
              </w:rPr>
            </w:pPr>
            <w:r>
              <w:rPr>
                <w:rFonts w:ascii="Calibri" w:hAnsi="Calibri"/>
                <w:b/>
                <w:sz w:val="14"/>
              </w:rPr>
              <w:t>30</w:t>
            </w:r>
            <w:r>
              <w:rPr>
                <w:rFonts w:ascii="Calibri" w:hAnsi="Calibri"/>
                <w:b/>
                <w:spacing w:val="-4"/>
                <w:sz w:val="14"/>
              </w:rPr>
              <w:t> </w:t>
            </w:r>
            <w:r>
              <w:rPr>
                <w:rFonts w:ascii="Calibri" w:hAnsi="Calibri"/>
                <w:b/>
                <w:sz w:val="14"/>
              </w:rPr>
              <w:t>-</w:t>
            </w:r>
            <w:r>
              <w:rPr>
                <w:rFonts w:ascii="Calibri" w:hAnsi="Calibri"/>
                <w:b/>
                <w:spacing w:val="2"/>
                <w:sz w:val="14"/>
              </w:rPr>
              <w:t> </w:t>
            </w:r>
            <w:r>
              <w:rPr>
                <w:rFonts w:ascii="Calibri" w:hAnsi="Calibri"/>
                <w:b/>
                <w:sz w:val="14"/>
              </w:rPr>
              <w:t>50</w:t>
            </w:r>
            <w:r>
              <w:rPr>
                <w:rFonts w:ascii="Calibri" w:hAnsi="Calibri"/>
                <w:b/>
                <w:spacing w:val="-3"/>
                <w:sz w:val="14"/>
              </w:rPr>
              <w:t> </w:t>
            </w:r>
            <w:r>
              <w:rPr>
                <w:rFonts w:ascii="Calibri" w:hAnsi="Calibri"/>
                <w:b/>
                <w:spacing w:val="-4"/>
                <w:sz w:val="14"/>
              </w:rPr>
              <w:t>años</w:t>
            </w:r>
          </w:p>
        </w:tc>
        <w:tc>
          <w:tcPr>
            <w:tcW w:w="1380" w:type="dxa"/>
            <w:gridSpan w:val="2"/>
            <w:tcBorders>
              <w:left w:val="single" w:sz="4" w:space="0" w:color="000000"/>
            </w:tcBorders>
            <w:shd w:val="clear" w:color="auto" w:fill="D7D7D7"/>
          </w:tcPr>
          <w:p>
            <w:pPr>
              <w:pStyle w:val="TableParagraph"/>
              <w:spacing w:before="17"/>
              <w:ind w:left="421"/>
              <w:rPr>
                <w:rFonts w:ascii="Calibri" w:hAnsi="Calibri"/>
                <w:b/>
                <w:sz w:val="14"/>
              </w:rPr>
            </w:pPr>
            <w:r>
              <w:rPr>
                <w:rFonts w:ascii="Calibri" w:hAnsi="Calibri"/>
                <w:b/>
                <w:sz w:val="14"/>
              </w:rPr>
              <w:t>&gt;</w:t>
            </w:r>
            <w:r>
              <w:rPr>
                <w:rFonts w:ascii="Calibri" w:hAnsi="Calibri"/>
                <w:b/>
                <w:spacing w:val="-3"/>
                <w:sz w:val="14"/>
              </w:rPr>
              <w:t> </w:t>
            </w:r>
            <w:r>
              <w:rPr>
                <w:rFonts w:ascii="Calibri" w:hAnsi="Calibri"/>
                <w:b/>
                <w:sz w:val="14"/>
              </w:rPr>
              <w:t>50</w:t>
            </w:r>
            <w:r>
              <w:rPr>
                <w:rFonts w:ascii="Calibri" w:hAnsi="Calibri"/>
                <w:b/>
                <w:spacing w:val="-2"/>
                <w:sz w:val="14"/>
              </w:rPr>
              <w:t> </w:t>
            </w:r>
            <w:r>
              <w:rPr>
                <w:rFonts w:ascii="Calibri" w:hAnsi="Calibri"/>
                <w:b/>
                <w:spacing w:val="-4"/>
                <w:sz w:val="14"/>
              </w:rPr>
              <w:t>años</w:t>
            </w:r>
          </w:p>
        </w:tc>
      </w:tr>
      <w:tr>
        <w:trPr>
          <w:trHeight w:val="311" w:hRule="atLeast"/>
        </w:trPr>
        <w:tc>
          <w:tcPr>
            <w:tcW w:w="446" w:type="dxa"/>
            <w:vMerge/>
            <w:tcBorders>
              <w:top w:val="nil"/>
              <w:left w:val="nil"/>
              <w:right w:val="nil"/>
            </w:tcBorders>
          </w:tcPr>
          <w:p>
            <w:pPr>
              <w:rPr>
                <w:sz w:val="2"/>
                <w:szCs w:val="2"/>
              </w:rPr>
            </w:pPr>
          </w:p>
        </w:tc>
        <w:tc>
          <w:tcPr>
            <w:tcW w:w="1512" w:type="dxa"/>
            <w:vMerge/>
            <w:tcBorders>
              <w:top w:val="nil"/>
              <w:bottom w:val="single" w:sz="4" w:space="0" w:color="000000"/>
              <w:right w:val="single" w:sz="4" w:space="0" w:color="000000"/>
            </w:tcBorders>
            <w:shd w:val="clear" w:color="auto" w:fill="D7D7D7"/>
          </w:tcPr>
          <w:p>
            <w:pPr>
              <w:rPr>
                <w:sz w:val="2"/>
                <w:szCs w:val="2"/>
              </w:rPr>
            </w:pPr>
          </w:p>
        </w:tc>
        <w:tc>
          <w:tcPr>
            <w:tcW w:w="2138" w:type="dxa"/>
            <w:vMerge/>
            <w:tcBorders>
              <w:top w:val="nil"/>
              <w:left w:val="single" w:sz="4" w:space="0" w:color="000000"/>
              <w:bottom w:val="single" w:sz="4" w:space="0" w:color="000000"/>
            </w:tcBorders>
            <w:shd w:val="clear" w:color="auto" w:fill="D7D7D7"/>
          </w:tcPr>
          <w:p>
            <w:pPr>
              <w:rPr>
                <w:sz w:val="2"/>
                <w:szCs w:val="2"/>
              </w:rPr>
            </w:pPr>
          </w:p>
        </w:tc>
        <w:tc>
          <w:tcPr>
            <w:tcW w:w="888" w:type="dxa"/>
            <w:tcBorders>
              <w:bottom w:val="single" w:sz="4" w:space="0" w:color="000000"/>
              <w:right w:val="single" w:sz="4" w:space="0" w:color="000000"/>
            </w:tcBorders>
            <w:shd w:val="clear" w:color="auto" w:fill="D7D7D7"/>
          </w:tcPr>
          <w:p>
            <w:pPr>
              <w:pStyle w:val="TableParagraph"/>
              <w:spacing w:before="27"/>
              <w:ind w:left="14"/>
              <w:jc w:val="center"/>
              <w:rPr>
                <w:rFonts w:ascii="Calibri"/>
                <w:b/>
                <w:sz w:val="14"/>
              </w:rPr>
            </w:pPr>
            <w:r>
              <w:rPr>
                <w:rFonts w:ascii="Calibri"/>
                <w:b/>
                <w:spacing w:val="-2"/>
                <w:sz w:val="14"/>
              </w:rPr>
              <w:t>HOMBRE</w:t>
            </w:r>
          </w:p>
        </w:tc>
        <w:tc>
          <w:tcPr>
            <w:tcW w:w="703" w:type="dxa"/>
            <w:tcBorders>
              <w:left w:val="single" w:sz="4" w:space="0" w:color="000000"/>
              <w:bottom w:val="single" w:sz="4" w:space="0" w:color="000000"/>
              <w:right w:val="single" w:sz="4" w:space="0" w:color="000000"/>
            </w:tcBorders>
            <w:shd w:val="clear" w:color="auto" w:fill="D7D7D7"/>
          </w:tcPr>
          <w:p>
            <w:pPr>
              <w:pStyle w:val="TableParagraph"/>
              <w:spacing w:before="27"/>
              <w:ind w:left="17" w:right="2"/>
              <w:jc w:val="center"/>
              <w:rPr>
                <w:rFonts w:ascii="Calibri"/>
                <w:b/>
                <w:sz w:val="14"/>
              </w:rPr>
            </w:pPr>
            <w:r>
              <w:rPr>
                <w:rFonts w:ascii="Calibri"/>
                <w:b/>
                <w:spacing w:val="-2"/>
                <w:sz w:val="14"/>
              </w:rPr>
              <w:t>MUJER</w:t>
            </w:r>
          </w:p>
        </w:tc>
        <w:tc>
          <w:tcPr>
            <w:tcW w:w="722" w:type="dxa"/>
            <w:tcBorders>
              <w:left w:val="single" w:sz="4" w:space="0" w:color="000000"/>
              <w:bottom w:val="single" w:sz="4" w:space="0" w:color="000000"/>
              <w:right w:val="single" w:sz="4" w:space="0" w:color="000000"/>
            </w:tcBorders>
            <w:shd w:val="clear" w:color="auto" w:fill="D7D7D7"/>
          </w:tcPr>
          <w:p>
            <w:pPr>
              <w:pStyle w:val="TableParagraph"/>
              <w:spacing w:before="27"/>
              <w:ind w:left="22"/>
              <w:jc w:val="center"/>
              <w:rPr>
                <w:rFonts w:ascii="Calibri"/>
                <w:b/>
                <w:sz w:val="14"/>
              </w:rPr>
            </w:pPr>
            <w:r>
              <w:rPr>
                <w:rFonts w:ascii="Calibri"/>
                <w:b/>
                <w:spacing w:val="-2"/>
                <w:sz w:val="14"/>
              </w:rPr>
              <w:t>HOMBRE</w:t>
            </w:r>
          </w:p>
        </w:tc>
        <w:tc>
          <w:tcPr>
            <w:tcW w:w="669" w:type="dxa"/>
            <w:tcBorders>
              <w:left w:val="single" w:sz="4" w:space="0" w:color="000000"/>
              <w:bottom w:val="single" w:sz="4" w:space="0" w:color="000000"/>
              <w:right w:val="single" w:sz="4" w:space="0" w:color="000000"/>
            </w:tcBorders>
            <w:shd w:val="clear" w:color="auto" w:fill="D7D7D7"/>
          </w:tcPr>
          <w:p>
            <w:pPr>
              <w:pStyle w:val="TableParagraph"/>
              <w:spacing w:before="27"/>
              <w:ind w:left="69" w:right="53"/>
              <w:jc w:val="center"/>
              <w:rPr>
                <w:rFonts w:ascii="Calibri"/>
                <w:b/>
                <w:sz w:val="14"/>
              </w:rPr>
            </w:pPr>
            <w:r>
              <w:rPr>
                <w:rFonts w:ascii="Calibri"/>
                <w:b/>
                <w:spacing w:val="-2"/>
                <w:sz w:val="14"/>
              </w:rPr>
              <w:t>MUJER</w:t>
            </w:r>
          </w:p>
        </w:tc>
        <w:tc>
          <w:tcPr>
            <w:tcW w:w="671" w:type="dxa"/>
            <w:tcBorders>
              <w:left w:val="single" w:sz="4" w:space="0" w:color="000000"/>
              <w:bottom w:val="single" w:sz="4" w:space="0" w:color="000000"/>
              <w:right w:val="single" w:sz="4" w:space="0" w:color="000000"/>
            </w:tcBorders>
            <w:shd w:val="clear" w:color="auto" w:fill="D7D7D7"/>
          </w:tcPr>
          <w:p>
            <w:pPr>
              <w:pStyle w:val="TableParagraph"/>
              <w:spacing w:before="27"/>
              <w:ind w:left="22"/>
              <w:jc w:val="center"/>
              <w:rPr>
                <w:rFonts w:ascii="Calibri"/>
                <w:b/>
                <w:sz w:val="14"/>
              </w:rPr>
            </w:pPr>
            <w:r>
              <w:rPr>
                <w:rFonts w:ascii="Calibri"/>
                <w:b/>
                <w:spacing w:val="-2"/>
                <w:sz w:val="14"/>
              </w:rPr>
              <w:t>HOMBRE</w:t>
            </w:r>
          </w:p>
        </w:tc>
        <w:tc>
          <w:tcPr>
            <w:tcW w:w="709" w:type="dxa"/>
            <w:tcBorders>
              <w:left w:val="single" w:sz="4" w:space="0" w:color="000000"/>
              <w:bottom w:val="single" w:sz="4" w:space="0" w:color="000000"/>
            </w:tcBorders>
            <w:shd w:val="clear" w:color="auto" w:fill="D7D7D7"/>
          </w:tcPr>
          <w:p>
            <w:pPr>
              <w:pStyle w:val="TableParagraph"/>
              <w:spacing w:before="27"/>
              <w:ind w:left="30" w:right="2"/>
              <w:jc w:val="center"/>
              <w:rPr>
                <w:rFonts w:ascii="Calibri"/>
                <w:b/>
                <w:sz w:val="14"/>
              </w:rPr>
            </w:pPr>
            <w:r>
              <w:rPr>
                <w:rFonts w:ascii="Calibri"/>
                <w:b/>
                <w:spacing w:val="-2"/>
                <w:sz w:val="14"/>
              </w:rPr>
              <w:t>MUJER</w:t>
            </w:r>
          </w:p>
        </w:tc>
      </w:tr>
      <w:tr>
        <w:trPr>
          <w:trHeight w:val="299" w:hRule="atLeast"/>
        </w:trPr>
        <w:tc>
          <w:tcPr>
            <w:tcW w:w="446" w:type="dxa"/>
            <w:vMerge w:val="restart"/>
            <w:textDirection w:val="btLr"/>
          </w:tcPr>
          <w:p>
            <w:pPr>
              <w:pStyle w:val="TableParagraph"/>
              <w:spacing w:before="70"/>
              <w:ind w:left="4" w:right="9"/>
              <w:jc w:val="center"/>
              <w:rPr>
                <w:rFonts w:ascii="Calibri"/>
                <w:b/>
                <w:sz w:val="16"/>
              </w:rPr>
            </w:pPr>
            <w:r>
              <w:rPr>
                <w:rFonts w:ascii="Calibri"/>
                <w:b/>
                <w:spacing w:val="-2"/>
                <w:sz w:val="16"/>
              </w:rPr>
              <w:t>INDEFINIDOS</w:t>
            </w:r>
          </w:p>
        </w:tc>
        <w:tc>
          <w:tcPr>
            <w:tcW w:w="1512" w:type="dxa"/>
            <w:tcBorders>
              <w:top w:val="single" w:sz="4" w:space="0" w:color="000000"/>
              <w:bottom w:val="single" w:sz="4" w:space="0" w:color="000000"/>
              <w:right w:val="single" w:sz="4" w:space="0" w:color="000000"/>
            </w:tcBorders>
          </w:tcPr>
          <w:p>
            <w:pPr>
              <w:pStyle w:val="TableParagraph"/>
              <w:spacing w:before="22"/>
              <w:ind w:left="12"/>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75"/>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JEFE</w:t>
            </w:r>
            <w:r>
              <w:rPr>
                <w:rFonts w:ascii="Calibri"/>
                <w:spacing w:val="-6"/>
                <w:sz w:val="14"/>
              </w:rPr>
              <w:t> </w:t>
            </w:r>
            <w:r>
              <w:rPr>
                <w:rFonts w:ascii="Calibri"/>
                <w:spacing w:val="-2"/>
                <w:sz w:val="14"/>
              </w:rPr>
              <w:t>SERVICIO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0,54</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spacing w:before="58"/>
              <w:ind w:left="30" w:right="1"/>
              <w:jc w:val="center"/>
              <w:rPr>
                <w:sz w:val="14"/>
              </w:rPr>
            </w:pPr>
            <w:r>
              <w:rPr>
                <w:spacing w:val="-4"/>
                <w:sz w:val="14"/>
              </w:rPr>
              <w:t>0,00</w:t>
            </w: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1,00</w:t>
            </w:r>
          </w:p>
        </w:tc>
        <w:tc>
          <w:tcPr>
            <w:tcW w:w="709" w:type="dxa"/>
            <w:tcBorders>
              <w:top w:val="single" w:sz="4" w:space="0" w:color="000000"/>
              <w:left w:val="single" w:sz="4" w:space="0" w:color="000000"/>
              <w:bottom w:val="single" w:sz="4" w:space="0" w:color="000000"/>
            </w:tcBorders>
          </w:tcPr>
          <w:p>
            <w:pPr>
              <w:pStyle w:val="TableParagraph"/>
              <w:spacing w:before="60"/>
              <w:ind w:left="30" w:right="1"/>
              <w:jc w:val="center"/>
              <w:rPr>
                <w:sz w:val="14"/>
              </w:rPr>
            </w:pPr>
            <w:r>
              <w:rPr>
                <w:spacing w:val="-4"/>
                <w:sz w:val="14"/>
              </w:rPr>
              <w:t>0,00</w:t>
            </w:r>
          </w:p>
        </w:tc>
      </w:tr>
      <w:tr>
        <w:trPr>
          <w:trHeight w:val="301"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16"/>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hAnsi="Calibri"/>
                <w:sz w:val="14"/>
              </w:rPr>
            </w:pPr>
            <w:r>
              <w:rPr>
                <w:rFonts w:ascii="Calibri" w:hAnsi="Calibri"/>
                <w:spacing w:val="-2"/>
                <w:sz w:val="14"/>
              </w:rPr>
              <w:t>TÉCNICO</w:t>
            </w:r>
            <w:r>
              <w:rPr>
                <w:rFonts w:ascii="Calibri" w:hAnsi="Calibri"/>
                <w:spacing w:val="4"/>
                <w:sz w:val="14"/>
              </w:rPr>
              <w:t> </w:t>
            </w:r>
            <w:r>
              <w:rPr>
                <w:rFonts w:ascii="Calibri" w:hAnsi="Calibri"/>
                <w:spacing w:val="-2"/>
                <w:sz w:val="14"/>
              </w:rPr>
              <w:t>SUPERIOR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60"/>
              <w:ind w:left="17" w:right="4"/>
              <w:jc w:val="center"/>
              <w:rPr>
                <w:sz w:val="14"/>
              </w:rPr>
            </w:pPr>
            <w:r>
              <w:rPr>
                <w:spacing w:val="-2"/>
                <w:sz w:val="14"/>
              </w:rPr>
              <w:t>-</w:t>
            </w:r>
            <w:r>
              <w:rPr>
                <w:spacing w:val="-4"/>
                <w:sz w:val="14"/>
              </w:rPr>
              <w:t>0,62</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5"/>
              <w:jc w:val="center"/>
              <w:rPr>
                <w:sz w:val="14"/>
              </w:rPr>
            </w:pPr>
            <w:r>
              <w:rPr>
                <w:spacing w:val="-4"/>
                <w:sz w:val="14"/>
              </w:rPr>
              <w:t>2,84</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60"/>
              <w:ind w:left="70" w:right="53"/>
              <w:jc w:val="center"/>
              <w:rPr>
                <w:sz w:val="14"/>
              </w:rPr>
            </w:pPr>
            <w:r>
              <w:rPr>
                <w:spacing w:val="-4"/>
                <w:sz w:val="14"/>
              </w:rPr>
              <w:t>2,61</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hAnsi="Calibri"/>
                <w:sz w:val="14"/>
              </w:rPr>
            </w:pPr>
            <w:r>
              <w:rPr>
                <w:rFonts w:ascii="Calibri" w:hAnsi="Calibri"/>
                <w:spacing w:val="-2"/>
                <w:sz w:val="14"/>
              </w:rPr>
              <w:t>TÉCNICO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58"/>
              <w:ind w:left="22" w:right="3"/>
              <w:jc w:val="center"/>
              <w:rPr>
                <w:sz w:val="14"/>
              </w:rPr>
            </w:pPr>
            <w:r>
              <w:rPr>
                <w:spacing w:val="-2"/>
                <w:sz w:val="14"/>
              </w:rPr>
              <w:t>-</w:t>
            </w:r>
            <w:r>
              <w:rPr>
                <w:spacing w:val="-4"/>
                <w:sz w:val="14"/>
              </w:rPr>
              <w:t>2,46</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58"/>
              <w:ind w:left="71" w:right="53"/>
              <w:jc w:val="center"/>
              <w:rPr>
                <w:sz w:val="14"/>
              </w:rPr>
            </w:pPr>
            <w:r>
              <w:rPr>
                <w:spacing w:val="-4"/>
                <w:sz w:val="14"/>
              </w:rPr>
              <w:t>0,11</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11"/>
              <w:rPr>
                <w:rFonts w:ascii="Calibri"/>
                <w:b/>
                <w:sz w:val="14"/>
              </w:rPr>
            </w:pPr>
            <w:r>
              <w:rPr>
                <w:rFonts w:ascii="Calibri"/>
                <w:b/>
                <w:sz w:val="14"/>
              </w:rPr>
              <mc:AlternateContent>
                <mc:Choice Requires="wps">
                  <w:drawing>
                    <wp:anchor distT="0" distB="0" distL="0" distR="0" allowOverlap="1" layoutInCell="1" locked="0" behindDoc="1" simplePos="0" relativeHeight="476773376">
                      <wp:simplePos x="0" y="0"/>
                      <wp:positionH relativeFrom="column">
                        <wp:posOffset>-237743</wp:posOffset>
                      </wp:positionH>
                      <wp:positionV relativeFrom="paragraph">
                        <wp:posOffset>-193611</wp:posOffset>
                      </wp:positionV>
                      <wp:extent cx="125095" cy="190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25095" cy="1905"/>
                                <a:chExt cx="125095" cy="1905"/>
                              </a:xfrm>
                            </wpg:grpSpPr>
                            <wps:wsp>
                              <wps:cNvPr id="279" name="Graphic 279"/>
                              <wps:cNvSpPr/>
                              <wps:spPr>
                                <a:xfrm>
                                  <a:off x="0" y="0"/>
                                  <a:ext cx="125095" cy="1905"/>
                                </a:xfrm>
                                <a:custGeom>
                                  <a:avLst/>
                                  <a:gdLst/>
                                  <a:ahLst/>
                                  <a:cxnLst/>
                                  <a:rect l="l" t="t" r="r" b="b"/>
                                  <a:pathLst>
                                    <a:path w="125095" h="1905">
                                      <a:moveTo>
                                        <a:pt x="124968" y="1524"/>
                                      </a:moveTo>
                                      <a:lnTo>
                                        <a:pt x="0" y="1524"/>
                                      </a:lnTo>
                                      <a:lnTo>
                                        <a:pt x="0" y="0"/>
                                      </a:lnTo>
                                      <a:lnTo>
                                        <a:pt x="124968" y="0"/>
                                      </a:lnTo>
                                      <a:lnTo>
                                        <a:pt x="124968" y="152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8.719999pt;margin-top:-15.245022pt;width:9.85pt;height:.15pt;mso-position-horizontal-relative:column;mso-position-vertical-relative:paragraph;z-index:-26543104" id="docshapegroup216" coordorigin="-374,-305" coordsize="197,3">
                      <v:rect style="position:absolute;left:-375;top:-305;width:197;height:3" id="docshape217" filled="true" fillcolor="#ffff00" stroked="false">
                        <v:fill type="solid"/>
                      </v:rect>
                      <w10:wrap type="none"/>
                    </v:group>
                  </w:pict>
                </mc:Fallback>
              </mc:AlternateContent>
            </w: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MOVIMIENTO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5"/>
              <w:jc w:val="center"/>
              <w:rPr>
                <w:sz w:val="14"/>
              </w:rPr>
            </w:pPr>
            <w:r>
              <w:rPr>
                <w:spacing w:val="-4"/>
                <w:sz w:val="14"/>
              </w:rPr>
              <w:t>0,89</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0,14</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TALLER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5"/>
              <w:jc w:val="center"/>
              <w:rPr>
                <w:sz w:val="14"/>
              </w:rPr>
            </w:pPr>
            <w:r>
              <w:rPr>
                <w:spacing w:val="-4"/>
                <w:sz w:val="14"/>
              </w:rPr>
              <w:t>1,04</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0,43</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hAnsi="Calibri"/>
                <w:sz w:val="14"/>
              </w:rPr>
            </w:pPr>
            <w:r>
              <w:rPr>
                <w:rFonts w:ascii="Calibri" w:hAnsi="Calibri"/>
                <w:sz w:val="14"/>
              </w:rPr>
              <w:t>MANDO</w:t>
            </w:r>
            <w:r>
              <w:rPr>
                <w:rFonts w:ascii="Calibri" w:hAnsi="Calibri"/>
                <w:spacing w:val="-5"/>
                <w:sz w:val="14"/>
              </w:rPr>
              <w:t> </w:t>
            </w:r>
            <w:r>
              <w:rPr>
                <w:rFonts w:ascii="Calibri" w:hAnsi="Calibri"/>
                <w:sz w:val="14"/>
              </w:rPr>
              <w:t>DE</w:t>
            </w:r>
            <w:r>
              <w:rPr>
                <w:rFonts w:ascii="Calibri" w:hAnsi="Calibri"/>
                <w:spacing w:val="-2"/>
                <w:sz w:val="14"/>
              </w:rPr>
              <w:t> ADMINISTRACIÓN</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58"/>
              <w:ind w:left="73" w:right="53"/>
              <w:jc w:val="center"/>
              <w:rPr>
                <w:sz w:val="14"/>
              </w:rPr>
            </w:pPr>
            <w:r>
              <w:rPr>
                <w:spacing w:val="-2"/>
                <w:sz w:val="14"/>
              </w:rPr>
              <w:t>-</w:t>
            </w:r>
            <w:r>
              <w:rPr>
                <w:spacing w:val="-4"/>
                <w:sz w:val="14"/>
              </w:rPr>
              <w:t>1,00</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spacing w:before="58"/>
              <w:ind w:left="30" w:right="1"/>
              <w:jc w:val="center"/>
              <w:rPr>
                <w:sz w:val="14"/>
              </w:rPr>
            </w:pPr>
            <w:r>
              <w:rPr>
                <w:spacing w:val="-4"/>
                <w:sz w:val="14"/>
              </w:rPr>
              <w:t>0,70</w:t>
            </w:r>
          </w:p>
        </w:tc>
      </w:tr>
      <w:tr>
        <w:trPr>
          <w:trHeight w:val="299"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8"/>
              <w:rPr>
                <w:sz w:val="14"/>
              </w:rPr>
            </w:pPr>
          </w:p>
          <w:p>
            <w:pPr>
              <w:pStyle w:val="TableParagraph"/>
              <w:spacing w:before="1"/>
              <w:ind w:left="247"/>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5"/>
              <w:jc w:val="center"/>
              <w:rPr>
                <w:sz w:val="14"/>
              </w:rPr>
            </w:pPr>
            <w:r>
              <w:rPr>
                <w:spacing w:val="-4"/>
                <w:sz w:val="14"/>
              </w:rPr>
              <w:t>4,24</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60"/>
              <w:ind w:left="71" w:right="53"/>
              <w:jc w:val="center"/>
              <w:rPr>
                <w:sz w:val="14"/>
              </w:rPr>
            </w:pPr>
            <w:r>
              <w:rPr>
                <w:spacing w:val="-4"/>
                <w:sz w:val="14"/>
              </w:rPr>
              <w:t>0,17</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8,76</w:t>
            </w:r>
          </w:p>
        </w:tc>
        <w:tc>
          <w:tcPr>
            <w:tcW w:w="709" w:type="dxa"/>
            <w:tcBorders>
              <w:top w:val="single" w:sz="4" w:space="0" w:color="000000"/>
              <w:left w:val="single" w:sz="4" w:space="0" w:color="000000"/>
              <w:bottom w:val="single" w:sz="4" w:space="0" w:color="000000"/>
            </w:tcBorders>
          </w:tcPr>
          <w:p>
            <w:pPr>
              <w:pStyle w:val="TableParagraph"/>
              <w:spacing w:before="60"/>
              <w:ind w:left="30" w:right="1"/>
              <w:jc w:val="center"/>
              <w:rPr>
                <w:sz w:val="14"/>
              </w:rPr>
            </w:pPr>
            <w:r>
              <w:rPr>
                <w:spacing w:val="-4"/>
                <w:sz w:val="14"/>
              </w:rPr>
              <w:t>3,06</w:t>
            </w:r>
          </w:p>
        </w:tc>
      </w:tr>
      <w:tr>
        <w:trPr>
          <w:trHeight w:val="301"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OFICIAL</w:t>
            </w:r>
            <w:r>
              <w:rPr>
                <w:rFonts w:ascii="Calibri"/>
                <w:spacing w:val="-7"/>
                <w:sz w:val="14"/>
              </w:rPr>
              <w:t> </w:t>
            </w:r>
            <w:r>
              <w:rPr>
                <w:rFonts w:ascii="Calibri"/>
                <w:sz w:val="14"/>
              </w:rPr>
              <w:t>TALLER</w:t>
            </w:r>
            <w:r>
              <w:rPr>
                <w:rFonts w:ascii="Calibri"/>
                <w:spacing w:val="-5"/>
                <w:sz w:val="14"/>
              </w:rPr>
              <w:t> </w:t>
            </w:r>
            <w:r>
              <w:rPr>
                <w:rFonts w:ascii="Calibri"/>
                <w:spacing w:val="-2"/>
                <w:sz w:val="14"/>
              </w:rPr>
              <w:t>ESPECIALISTA</w:t>
            </w:r>
          </w:p>
        </w:tc>
        <w:tc>
          <w:tcPr>
            <w:tcW w:w="888" w:type="dxa"/>
            <w:tcBorders>
              <w:top w:val="single" w:sz="4" w:space="0" w:color="000000"/>
              <w:bottom w:val="single" w:sz="4" w:space="0" w:color="000000"/>
              <w:right w:val="single" w:sz="4" w:space="0" w:color="000000"/>
            </w:tcBorders>
          </w:tcPr>
          <w:p>
            <w:pPr>
              <w:pStyle w:val="TableParagraph"/>
              <w:spacing w:before="58"/>
              <w:ind w:left="14"/>
              <w:jc w:val="center"/>
              <w:rPr>
                <w:sz w:val="14"/>
              </w:rPr>
            </w:pPr>
            <w:r>
              <w:rPr>
                <w:spacing w:val="-4"/>
                <w:sz w:val="14"/>
              </w:rPr>
              <w:t>0,99</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58"/>
              <w:ind w:left="22" w:right="5"/>
              <w:jc w:val="center"/>
              <w:rPr>
                <w:sz w:val="14"/>
              </w:rPr>
            </w:pPr>
            <w:r>
              <w:rPr>
                <w:spacing w:val="-4"/>
                <w:sz w:val="14"/>
              </w:rPr>
              <w:t>6,69</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58"/>
              <w:ind w:left="22" w:right="3"/>
              <w:jc w:val="center"/>
              <w:rPr>
                <w:sz w:val="14"/>
              </w:rPr>
            </w:pPr>
            <w:r>
              <w:rPr>
                <w:spacing w:val="-2"/>
                <w:sz w:val="14"/>
              </w:rPr>
              <w:t>-</w:t>
            </w:r>
            <w:r>
              <w:rPr>
                <w:spacing w:val="-4"/>
                <w:sz w:val="14"/>
              </w:rPr>
              <w:t>3,18</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AUXILIAR</w:t>
            </w:r>
            <w:r>
              <w:rPr>
                <w:rFonts w:ascii="Calibri"/>
                <w:spacing w:val="-4"/>
                <w:sz w:val="14"/>
              </w:rPr>
              <w:t> </w:t>
            </w:r>
            <w:r>
              <w:rPr>
                <w:rFonts w:ascii="Calibri"/>
                <w:spacing w:val="-2"/>
                <w:sz w:val="14"/>
              </w:rPr>
              <w:t>TALLER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60"/>
              <w:ind w:left="73" w:right="53"/>
              <w:jc w:val="center"/>
              <w:rPr>
                <w:sz w:val="14"/>
              </w:rPr>
            </w:pPr>
            <w:r>
              <w:rPr>
                <w:spacing w:val="-2"/>
                <w:sz w:val="14"/>
              </w:rPr>
              <w:t>-</w:t>
            </w:r>
            <w:r>
              <w:rPr>
                <w:spacing w:val="-4"/>
                <w:sz w:val="14"/>
              </w:rPr>
              <w:t>1,00</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spacing w:before="60"/>
              <w:ind w:left="30" w:right="1"/>
              <w:jc w:val="center"/>
              <w:rPr>
                <w:sz w:val="14"/>
              </w:rPr>
            </w:pPr>
            <w:r>
              <w:rPr>
                <w:spacing w:val="-4"/>
                <w:sz w:val="14"/>
              </w:rPr>
              <w:t>1,63</w:t>
            </w:r>
          </w:p>
        </w:tc>
      </w:tr>
      <w:tr>
        <w:trPr>
          <w:trHeight w:val="304"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tcBorders>
          </w:tcPr>
          <w:p>
            <w:pPr>
              <w:pStyle w:val="TableParagraph"/>
              <w:spacing w:before="22"/>
              <w:ind w:left="74"/>
              <w:rPr>
                <w:rFonts w:ascii="Calibri"/>
                <w:sz w:val="14"/>
              </w:rPr>
            </w:pPr>
            <w:r>
              <w:rPr>
                <w:rFonts w:ascii="Calibri"/>
                <w:sz w:val="14"/>
              </w:rPr>
              <w:t>AUXILIAR</w:t>
            </w:r>
            <w:r>
              <w:rPr>
                <w:rFonts w:ascii="Calibri"/>
                <w:spacing w:val="-4"/>
                <w:sz w:val="14"/>
              </w:rPr>
              <w:t> </w:t>
            </w:r>
            <w:r>
              <w:rPr>
                <w:rFonts w:ascii="Calibri"/>
                <w:spacing w:val="-2"/>
                <w:sz w:val="14"/>
              </w:rPr>
              <w:t>ADMIN/ESPECIALISTA</w:t>
            </w:r>
          </w:p>
        </w:tc>
        <w:tc>
          <w:tcPr>
            <w:tcW w:w="888" w:type="dxa"/>
            <w:tcBorders>
              <w:top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tcBorders>
          </w:tcPr>
          <w:p>
            <w:pPr>
              <w:pStyle w:val="TableParagraph"/>
              <w:rPr>
                <w:rFonts w:ascii="Times New Roman"/>
                <w:sz w:val="14"/>
              </w:rPr>
            </w:pPr>
          </w:p>
        </w:tc>
      </w:tr>
      <w:tr>
        <w:trPr>
          <w:trHeight w:val="294" w:hRule="atLeast"/>
        </w:trPr>
        <w:tc>
          <w:tcPr>
            <w:tcW w:w="446" w:type="dxa"/>
            <w:vMerge w:val="restart"/>
            <w:tcBorders>
              <w:left w:val="nil"/>
              <w:right w:val="single" w:sz="4" w:space="0" w:color="000000"/>
            </w:tcBorders>
          </w:tcPr>
          <w:p>
            <w:pPr>
              <w:pStyle w:val="TableParagraph"/>
              <w:rPr>
                <w:rFonts w:ascii="Times New Roman"/>
                <w:sz w:val="14"/>
              </w:rPr>
            </w:pPr>
          </w:p>
        </w:tc>
        <w:tc>
          <w:tcPr>
            <w:tcW w:w="1512" w:type="dxa"/>
            <w:vMerge w:val="restart"/>
            <w:tcBorders>
              <w:left w:val="single" w:sz="4" w:space="0" w:color="000000"/>
              <w:bottom w:val="single" w:sz="4" w:space="0" w:color="000000"/>
              <w:right w:val="single" w:sz="4" w:space="0" w:color="000000"/>
            </w:tcBorders>
            <w:shd w:val="clear" w:color="auto" w:fill="D7D7D7"/>
          </w:tcPr>
          <w:p>
            <w:pPr>
              <w:pStyle w:val="TableParagraph"/>
              <w:spacing w:before="12"/>
              <w:rPr>
                <w:sz w:val="14"/>
              </w:rPr>
            </w:pPr>
          </w:p>
          <w:p>
            <w:pPr>
              <w:pStyle w:val="TableParagraph"/>
              <w:ind w:left="16"/>
              <w:jc w:val="center"/>
              <w:rPr>
                <w:rFonts w:ascii="Calibri"/>
                <w:b/>
                <w:sz w:val="14"/>
              </w:rPr>
            </w:pPr>
            <w:r>
              <w:rPr>
                <w:rFonts w:ascii="Calibri"/>
                <w:b/>
                <w:spacing w:val="-2"/>
                <w:sz w:val="14"/>
              </w:rPr>
              <w:t>GRUPO</w:t>
            </w:r>
          </w:p>
        </w:tc>
        <w:tc>
          <w:tcPr>
            <w:tcW w:w="2138" w:type="dxa"/>
            <w:vMerge w:val="restart"/>
            <w:tcBorders>
              <w:left w:val="single" w:sz="4" w:space="0" w:color="000000"/>
              <w:bottom w:val="single" w:sz="4" w:space="0" w:color="000000"/>
            </w:tcBorders>
            <w:shd w:val="clear" w:color="auto" w:fill="D7D7D7"/>
          </w:tcPr>
          <w:p>
            <w:pPr>
              <w:pStyle w:val="TableParagraph"/>
              <w:spacing w:before="12"/>
              <w:rPr>
                <w:sz w:val="14"/>
              </w:rPr>
            </w:pPr>
          </w:p>
          <w:p>
            <w:pPr>
              <w:pStyle w:val="TableParagraph"/>
              <w:ind w:left="19"/>
              <w:jc w:val="center"/>
              <w:rPr>
                <w:rFonts w:ascii="Calibri"/>
                <w:b/>
                <w:sz w:val="14"/>
              </w:rPr>
            </w:pPr>
            <w:r>
              <w:rPr>
                <w:rFonts w:ascii="Calibri"/>
                <w:b/>
                <w:spacing w:val="-2"/>
                <w:sz w:val="14"/>
              </w:rPr>
              <w:t>NIVEL</w:t>
            </w:r>
          </w:p>
        </w:tc>
        <w:tc>
          <w:tcPr>
            <w:tcW w:w="1591" w:type="dxa"/>
            <w:gridSpan w:val="2"/>
            <w:tcBorders>
              <w:bottom w:val="single" w:sz="4" w:space="0" w:color="000000"/>
              <w:right w:val="single" w:sz="4" w:space="0" w:color="000000"/>
            </w:tcBorders>
            <w:shd w:val="clear" w:color="auto" w:fill="D7D7D7"/>
          </w:tcPr>
          <w:p>
            <w:pPr>
              <w:pStyle w:val="TableParagraph"/>
              <w:spacing w:before="17"/>
              <w:ind w:left="523"/>
              <w:rPr>
                <w:rFonts w:ascii="Calibri" w:hAnsi="Calibri"/>
                <w:sz w:val="14"/>
              </w:rPr>
            </w:pPr>
            <w:r>
              <w:rPr>
                <w:rFonts w:ascii="Calibri" w:hAnsi="Calibri"/>
                <w:sz w:val="14"/>
              </w:rPr>
              <w:t>&lt;</w:t>
            </w:r>
            <w:r>
              <w:rPr>
                <w:rFonts w:ascii="Calibri" w:hAnsi="Calibri"/>
                <w:spacing w:val="-3"/>
                <w:sz w:val="14"/>
              </w:rPr>
              <w:t> </w:t>
            </w:r>
            <w:r>
              <w:rPr>
                <w:rFonts w:ascii="Calibri" w:hAnsi="Calibri"/>
                <w:sz w:val="14"/>
              </w:rPr>
              <w:t>30</w:t>
            </w:r>
            <w:r>
              <w:rPr>
                <w:rFonts w:ascii="Calibri" w:hAnsi="Calibri"/>
                <w:spacing w:val="-2"/>
                <w:sz w:val="14"/>
              </w:rPr>
              <w:t> </w:t>
            </w:r>
            <w:r>
              <w:rPr>
                <w:rFonts w:ascii="Calibri" w:hAnsi="Calibri"/>
                <w:spacing w:val="-4"/>
                <w:sz w:val="14"/>
              </w:rPr>
              <w:t>años</w:t>
            </w:r>
          </w:p>
        </w:tc>
        <w:tc>
          <w:tcPr>
            <w:tcW w:w="1391" w:type="dxa"/>
            <w:gridSpan w:val="2"/>
            <w:tcBorders>
              <w:left w:val="single" w:sz="4" w:space="0" w:color="000000"/>
              <w:bottom w:val="single" w:sz="4" w:space="0" w:color="000000"/>
              <w:right w:val="single" w:sz="4" w:space="0" w:color="000000"/>
            </w:tcBorders>
            <w:shd w:val="clear" w:color="auto" w:fill="D7D7D7"/>
          </w:tcPr>
          <w:p>
            <w:pPr>
              <w:pStyle w:val="TableParagraph"/>
              <w:spacing w:before="17"/>
              <w:ind w:left="356"/>
              <w:rPr>
                <w:rFonts w:ascii="Calibri" w:hAnsi="Calibri"/>
                <w:sz w:val="14"/>
              </w:rPr>
            </w:pPr>
            <w:r>
              <w:rPr>
                <w:rFonts w:ascii="Calibri" w:hAnsi="Calibri"/>
                <w:sz w:val="14"/>
              </w:rPr>
              <w:t>30</w:t>
            </w:r>
            <w:r>
              <w:rPr>
                <w:rFonts w:ascii="Calibri" w:hAnsi="Calibri"/>
                <w:spacing w:val="-4"/>
                <w:sz w:val="14"/>
              </w:rPr>
              <w:t> </w:t>
            </w:r>
            <w:r>
              <w:rPr>
                <w:rFonts w:ascii="Calibri" w:hAnsi="Calibri"/>
                <w:sz w:val="14"/>
              </w:rPr>
              <w:t>-</w:t>
            </w:r>
            <w:r>
              <w:rPr>
                <w:rFonts w:ascii="Calibri" w:hAnsi="Calibri"/>
                <w:spacing w:val="2"/>
                <w:sz w:val="14"/>
              </w:rPr>
              <w:t> </w:t>
            </w:r>
            <w:r>
              <w:rPr>
                <w:rFonts w:ascii="Calibri" w:hAnsi="Calibri"/>
                <w:sz w:val="14"/>
              </w:rPr>
              <w:t>50</w:t>
            </w:r>
            <w:r>
              <w:rPr>
                <w:rFonts w:ascii="Calibri" w:hAnsi="Calibri"/>
                <w:spacing w:val="-3"/>
                <w:sz w:val="14"/>
              </w:rPr>
              <w:t> </w:t>
            </w:r>
            <w:r>
              <w:rPr>
                <w:rFonts w:ascii="Calibri" w:hAnsi="Calibri"/>
                <w:spacing w:val="-4"/>
                <w:sz w:val="14"/>
              </w:rPr>
              <w:t>años</w:t>
            </w:r>
          </w:p>
        </w:tc>
        <w:tc>
          <w:tcPr>
            <w:tcW w:w="1380" w:type="dxa"/>
            <w:gridSpan w:val="2"/>
            <w:tcBorders>
              <w:left w:val="single" w:sz="4" w:space="0" w:color="000000"/>
              <w:bottom w:val="single" w:sz="4" w:space="0" w:color="000000"/>
            </w:tcBorders>
            <w:shd w:val="clear" w:color="auto" w:fill="D7D7D7"/>
          </w:tcPr>
          <w:p>
            <w:pPr>
              <w:pStyle w:val="TableParagraph"/>
              <w:spacing w:before="17"/>
              <w:ind w:left="424"/>
              <w:rPr>
                <w:rFonts w:ascii="Calibri" w:hAnsi="Calibri"/>
                <w:sz w:val="14"/>
              </w:rPr>
            </w:pPr>
            <w:r>
              <w:rPr>
                <w:rFonts w:ascii="Calibri" w:hAnsi="Calibri"/>
                <w:sz w:val="14"/>
              </w:rPr>
              <w:t>&gt;</w:t>
            </w:r>
            <w:r>
              <w:rPr>
                <w:rFonts w:ascii="Calibri" w:hAnsi="Calibri"/>
                <w:spacing w:val="-3"/>
                <w:sz w:val="14"/>
              </w:rPr>
              <w:t> </w:t>
            </w:r>
            <w:r>
              <w:rPr>
                <w:rFonts w:ascii="Calibri" w:hAnsi="Calibri"/>
                <w:sz w:val="14"/>
              </w:rPr>
              <w:t>50</w:t>
            </w:r>
            <w:r>
              <w:rPr>
                <w:rFonts w:ascii="Calibri" w:hAnsi="Calibri"/>
                <w:spacing w:val="-2"/>
                <w:sz w:val="14"/>
              </w:rPr>
              <w:t> </w:t>
            </w:r>
            <w:r>
              <w:rPr>
                <w:rFonts w:ascii="Calibri" w:hAnsi="Calibri"/>
                <w:spacing w:val="-4"/>
                <w:sz w:val="14"/>
              </w:rPr>
              <w:t>años</w:t>
            </w:r>
          </w:p>
        </w:tc>
      </w:tr>
      <w:tr>
        <w:trPr>
          <w:trHeight w:val="289" w:hRule="atLeast"/>
        </w:trPr>
        <w:tc>
          <w:tcPr>
            <w:tcW w:w="446" w:type="dxa"/>
            <w:vMerge/>
            <w:tcBorders>
              <w:top w:val="nil"/>
              <w:left w:val="nil"/>
              <w:right w:val="single" w:sz="4" w:space="0" w:color="000000"/>
            </w:tcBorders>
          </w:tcPr>
          <w:p>
            <w:pPr>
              <w:rPr>
                <w:sz w:val="2"/>
                <w:szCs w:val="2"/>
              </w:rPr>
            </w:pPr>
          </w:p>
        </w:tc>
        <w:tc>
          <w:tcPr>
            <w:tcW w:w="1512" w:type="dxa"/>
            <w:vMerge/>
            <w:tcBorders>
              <w:top w:val="nil"/>
              <w:left w:val="single" w:sz="4" w:space="0" w:color="000000"/>
              <w:bottom w:val="single" w:sz="4" w:space="0" w:color="000000"/>
              <w:right w:val="single" w:sz="4" w:space="0" w:color="000000"/>
            </w:tcBorders>
            <w:shd w:val="clear" w:color="auto" w:fill="D7D7D7"/>
          </w:tcPr>
          <w:p>
            <w:pPr>
              <w:rPr>
                <w:sz w:val="2"/>
                <w:szCs w:val="2"/>
              </w:rPr>
            </w:pPr>
          </w:p>
        </w:tc>
        <w:tc>
          <w:tcPr>
            <w:tcW w:w="2138" w:type="dxa"/>
            <w:vMerge/>
            <w:tcBorders>
              <w:top w:val="nil"/>
              <w:left w:val="single" w:sz="4" w:space="0" w:color="000000"/>
              <w:bottom w:val="single" w:sz="4" w:space="0" w:color="000000"/>
            </w:tcBorders>
            <w:shd w:val="clear" w:color="auto" w:fill="D7D7D7"/>
          </w:tcPr>
          <w:p>
            <w:pPr>
              <w:rPr>
                <w:sz w:val="2"/>
                <w:szCs w:val="2"/>
              </w:rPr>
            </w:pPr>
          </w:p>
        </w:tc>
        <w:tc>
          <w:tcPr>
            <w:tcW w:w="888" w:type="dxa"/>
            <w:tcBorders>
              <w:top w:val="single" w:sz="4" w:space="0" w:color="000000"/>
              <w:bottom w:val="single" w:sz="4" w:space="0" w:color="000000"/>
              <w:right w:val="single" w:sz="4" w:space="0" w:color="000000"/>
            </w:tcBorders>
            <w:shd w:val="clear" w:color="auto" w:fill="D7D7D7"/>
          </w:tcPr>
          <w:p>
            <w:pPr>
              <w:pStyle w:val="TableParagraph"/>
              <w:spacing w:before="15"/>
              <w:ind w:left="14" w:right="3"/>
              <w:jc w:val="center"/>
              <w:rPr>
                <w:rFonts w:ascii="Calibri"/>
                <w:sz w:val="14"/>
              </w:rPr>
            </w:pPr>
            <w:r>
              <w:rPr>
                <w:rFonts w:ascii="Calibri"/>
                <w:spacing w:val="-2"/>
                <w:sz w:val="14"/>
              </w:rPr>
              <w:t>HOMBRE</w:t>
            </w:r>
          </w:p>
        </w:tc>
        <w:tc>
          <w:tcPr>
            <w:tcW w:w="703"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17"/>
              <w:jc w:val="center"/>
              <w:rPr>
                <w:rFonts w:ascii="Calibri"/>
                <w:sz w:val="14"/>
              </w:rPr>
            </w:pPr>
            <w:r>
              <w:rPr>
                <w:rFonts w:ascii="Calibri"/>
                <w:spacing w:val="-2"/>
                <w:sz w:val="14"/>
              </w:rPr>
              <w:t>MUJER</w:t>
            </w:r>
          </w:p>
        </w:tc>
        <w:tc>
          <w:tcPr>
            <w:tcW w:w="722"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22" w:right="2"/>
              <w:jc w:val="center"/>
              <w:rPr>
                <w:rFonts w:ascii="Calibri"/>
                <w:sz w:val="14"/>
              </w:rPr>
            </w:pPr>
            <w:r>
              <w:rPr>
                <w:rFonts w:ascii="Calibri"/>
                <w:spacing w:val="-2"/>
                <w:sz w:val="14"/>
              </w:rPr>
              <w:t>HOMBRE</w:t>
            </w:r>
          </w:p>
        </w:tc>
        <w:tc>
          <w:tcPr>
            <w:tcW w:w="669"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20" w:right="73"/>
              <w:jc w:val="center"/>
              <w:rPr>
                <w:rFonts w:ascii="Calibri"/>
                <w:sz w:val="14"/>
              </w:rPr>
            </w:pPr>
            <w:r>
              <w:rPr>
                <w:rFonts w:ascii="Calibri"/>
                <w:spacing w:val="-4"/>
                <w:sz w:val="14"/>
              </w:rPr>
              <w:t>MUJE</w:t>
            </w:r>
          </w:p>
        </w:tc>
        <w:tc>
          <w:tcPr>
            <w:tcW w:w="671"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15"/>
              <w:ind w:left="22" w:right="2"/>
              <w:jc w:val="center"/>
              <w:rPr>
                <w:rFonts w:ascii="Calibri"/>
                <w:sz w:val="14"/>
              </w:rPr>
            </w:pPr>
            <w:r>
              <w:rPr>
                <w:rFonts w:ascii="Calibri"/>
                <w:spacing w:val="-2"/>
                <w:sz w:val="14"/>
              </w:rPr>
              <w:t>HOMBRE</w:t>
            </w:r>
          </w:p>
        </w:tc>
        <w:tc>
          <w:tcPr>
            <w:tcW w:w="709" w:type="dxa"/>
            <w:tcBorders>
              <w:top w:val="single" w:sz="4" w:space="0" w:color="000000"/>
              <w:left w:val="single" w:sz="4" w:space="0" w:color="000000"/>
              <w:bottom w:val="single" w:sz="4" w:space="0" w:color="000000"/>
            </w:tcBorders>
            <w:shd w:val="clear" w:color="auto" w:fill="D7D7D7"/>
          </w:tcPr>
          <w:p>
            <w:pPr>
              <w:pStyle w:val="TableParagraph"/>
              <w:spacing w:before="15"/>
              <w:ind w:left="30"/>
              <w:jc w:val="center"/>
              <w:rPr>
                <w:rFonts w:ascii="Calibri"/>
                <w:sz w:val="14"/>
              </w:rPr>
            </w:pPr>
            <w:r>
              <w:rPr>
                <w:rFonts w:ascii="Calibri"/>
                <w:spacing w:val="-2"/>
                <w:sz w:val="14"/>
              </w:rPr>
              <w:t>MUJER</w:t>
            </w:r>
          </w:p>
        </w:tc>
      </w:tr>
      <w:tr>
        <w:trPr>
          <w:trHeight w:val="301" w:hRule="atLeast"/>
        </w:trPr>
        <w:tc>
          <w:tcPr>
            <w:tcW w:w="446" w:type="dxa"/>
            <w:vMerge w:val="restart"/>
            <w:textDirection w:val="btLr"/>
          </w:tcPr>
          <w:p>
            <w:pPr>
              <w:pStyle w:val="TableParagraph"/>
              <w:spacing w:before="70"/>
              <w:ind w:right="8"/>
              <w:jc w:val="center"/>
              <w:rPr>
                <w:rFonts w:ascii="Calibri"/>
                <w:b/>
                <w:sz w:val="16"/>
              </w:rPr>
            </w:pPr>
            <w:r>
              <w:rPr>
                <w:rFonts w:ascii="Calibri"/>
                <w:b/>
                <w:spacing w:val="-2"/>
                <w:sz w:val="16"/>
              </w:rPr>
              <w:t>TEMPORALES</w:t>
            </w:r>
          </w:p>
        </w:tc>
        <w:tc>
          <w:tcPr>
            <w:tcW w:w="1512" w:type="dxa"/>
            <w:tcBorders>
              <w:top w:val="single" w:sz="4" w:space="0" w:color="000000"/>
              <w:bottom w:val="single" w:sz="4" w:space="0" w:color="000000"/>
              <w:right w:val="single" w:sz="4" w:space="0" w:color="000000"/>
            </w:tcBorders>
          </w:tcPr>
          <w:p>
            <w:pPr>
              <w:pStyle w:val="TableParagraph"/>
              <w:spacing w:before="24"/>
              <w:ind w:left="12"/>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75"/>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JEFE</w:t>
            </w:r>
            <w:r>
              <w:rPr>
                <w:rFonts w:ascii="Calibri"/>
                <w:spacing w:val="-6"/>
                <w:sz w:val="14"/>
              </w:rPr>
              <w:t> </w:t>
            </w:r>
            <w:r>
              <w:rPr>
                <w:rFonts w:ascii="Calibri"/>
                <w:spacing w:val="-2"/>
                <w:sz w:val="14"/>
              </w:rPr>
              <w:t>SERVICIO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16"/>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hAnsi="Calibri"/>
                <w:sz w:val="14"/>
              </w:rPr>
            </w:pPr>
            <w:r>
              <w:rPr>
                <w:rFonts w:ascii="Calibri" w:hAnsi="Calibri"/>
                <w:spacing w:val="-2"/>
                <w:sz w:val="14"/>
              </w:rPr>
              <w:t>TÉCNICO</w:t>
            </w:r>
            <w:r>
              <w:rPr>
                <w:rFonts w:ascii="Calibri" w:hAnsi="Calibri"/>
                <w:spacing w:val="4"/>
                <w:sz w:val="14"/>
              </w:rPr>
              <w:t> </w:t>
            </w:r>
            <w:r>
              <w:rPr>
                <w:rFonts w:ascii="Calibri" w:hAnsi="Calibri"/>
                <w:spacing w:val="-2"/>
                <w:sz w:val="14"/>
              </w:rPr>
              <w:t>SUPERIOR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hAnsi="Calibri"/>
                <w:sz w:val="14"/>
              </w:rPr>
            </w:pPr>
            <w:r>
              <w:rPr>
                <w:rFonts w:ascii="Calibri" w:hAnsi="Calibri"/>
                <w:spacing w:val="-2"/>
                <w:sz w:val="14"/>
              </w:rPr>
              <w:t>TÉCNICO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11"/>
              <w:rPr>
                <w:rFonts w:ascii="Calibri"/>
                <w:b/>
                <w:sz w:val="14"/>
              </w:rPr>
            </w:pPr>
            <w:r>
              <w:rPr>
                <w:rFonts w:ascii="Calibri"/>
                <w:b/>
                <w:sz w:val="14"/>
              </w:rPr>
              <mc:AlternateContent>
                <mc:Choice Requires="wps">
                  <w:drawing>
                    <wp:anchor distT="0" distB="0" distL="0" distR="0" allowOverlap="1" layoutInCell="1" locked="0" behindDoc="1" simplePos="0" relativeHeight="476773888">
                      <wp:simplePos x="0" y="0"/>
                      <wp:positionH relativeFrom="column">
                        <wp:posOffset>-237743</wp:posOffset>
                      </wp:positionH>
                      <wp:positionV relativeFrom="paragraph">
                        <wp:posOffset>-195134</wp:posOffset>
                      </wp:positionV>
                      <wp:extent cx="125095" cy="190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25095" cy="1905"/>
                                <a:chExt cx="125095" cy="1905"/>
                              </a:xfrm>
                            </wpg:grpSpPr>
                            <wps:wsp>
                              <wps:cNvPr id="281" name="Graphic 281"/>
                              <wps:cNvSpPr/>
                              <wps:spPr>
                                <a:xfrm>
                                  <a:off x="0" y="0"/>
                                  <a:ext cx="125095" cy="1905"/>
                                </a:xfrm>
                                <a:custGeom>
                                  <a:avLst/>
                                  <a:gdLst/>
                                  <a:ahLst/>
                                  <a:cxnLst/>
                                  <a:rect l="l" t="t" r="r" b="b"/>
                                  <a:pathLst>
                                    <a:path w="125095" h="1905">
                                      <a:moveTo>
                                        <a:pt x="124968" y="1524"/>
                                      </a:moveTo>
                                      <a:lnTo>
                                        <a:pt x="0" y="1524"/>
                                      </a:lnTo>
                                      <a:lnTo>
                                        <a:pt x="0" y="0"/>
                                      </a:lnTo>
                                      <a:lnTo>
                                        <a:pt x="124968" y="0"/>
                                      </a:lnTo>
                                      <a:lnTo>
                                        <a:pt x="124968" y="1524"/>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8.719999pt;margin-top:-15.364902pt;width:9.85pt;height:.15pt;mso-position-horizontal-relative:column;mso-position-vertical-relative:paragraph;z-index:-26542592" id="docshapegroup218" coordorigin="-374,-307" coordsize="197,3">
                      <v:rect style="position:absolute;left:-375;top:-308;width:197;height:3" id="docshape219" filled="true" fillcolor="#ffff00" stroked="false">
                        <v:fill type="solid"/>
                      </v:rect>
                      <w10:wrap type="none"/>
                    </v:group>
                  </w:pict>
                </mc:Fallback>
              </mc:AlternateContent>
            </w: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MOVIMIENTO</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0,45</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MANDO</w:t>
            </w:r>
            <w:r>
              <w:rPr>
                <w:rFonts w:ascii="Calibri"/>
                <w:spacing w:val="-5"/>
                <w:sz w:val="14"/>
              </w:rPr>
              <w:t> </w:t>
            </w:r>
            <w:r>
              <w:rPr>
                <w:rFonts w:ascii="Calibri"/>
                <w:sz w:val="14"/>
              </w:rPr>
              <w:t>DE</w:t>
            </w:r>
            <w:r>
              <w:rPr>
                <w:rFonts w:ascii="Calibri"/>
                <w:spacing w:val="-2"/>
                <w:sz w:val="14"/>
              </w:rPr>
              <w:t> TALLER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0,50</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bottom w:val="single" w:sz="4" w:space="0" w:color="000000"/>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hAnsi="Calibri"/>
                <w:sz w:val="14"/>
              </w:rPr>
            </w:pPr>
            <w:r>
              <w:rPr>
                <w:rFonts w:ascii="Calibri" w:hAnsi="Calibri"/>
                <w:sz w:val="14"/>
              </w:rPr>
              <w:t>MANDO</w:t>
            </w:r>
            <w:r>
              <w:rPr>
                <w:rFonts w:ascii="Calibri" w:hAnsi="Calibri"/>
                <w:spacing w:val="-5"/>
                <w:sz w:val="14"/>
              </w:rPr>
              <w:t> </w:t>
            </w:r>
            <w:r>
              <w:rPr>
                <w:rFonts w:ascii="Calibri" w:hAnsi="Calibri"/>
                <w:sz w:val="14"/>
              </w:rPr>
              <w:t>DE</w:t>
            </w:r>
            <w:r>
              <w:rPr>
                <w:rFonts w:ascii="Calibri" w:hAnsi="Calibri"/>
                <w:spacing w:val="-2"/>
                <w:sz w:val="14"/>
              </w:rPr>
              <w:t> ADMINISTRACIÓN</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spacing w:before="60"/>
              <w:ind w:left="30" w:right="3"/>
              <w:jc w:val="center"/>
              <w:rPr>
                <w:sz w:val="14"/>
              </w:rPr>
            </w:pPr>
            <w:r>
              <w:rPr>
                <w:spacing w:val="-2"/>
                <w:sz w:val="14"/>
              </w:rPr>
              <w:t>-</w:t>
            </w:r>
            <w:r>
              <w:rPr>
                <w:spacing w:val="-4"/>
                <w:sz w:val="14"/>
              </w:rPr>
              <w:t>0,25</w:t>
            </w:r>
          </w:p>
        </w:tc>
      </w:tr>
      <w:tr>
        <w:trPr>
          <w:trHeight w:val="301" w:hRule="atLeast"/>
        </w:trPr>
        <w:tc>
          <w:tcPr>
            <w:tcW w:w="446" w:type="dxa"/>
            <w:vMerge/>
            <w:tcBorders>
              <w:top w:val="nil"/>
            </w:tcBorders>
            <w:textDirection w:val="btLr"/>
          </w:tcPr>
          <w:p>
            <w:pPr>
              <w:rPr>
                <w:sz w:val="2"/>
                <w:szCs w:val="2"/>
              </w:rPr>
            </w:pPr>
          </w:p>
        </w:tc>
        <w:tc>
          <w:tcPr>
            <w:tcW w:w="1512"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6"/>
              <w:rPr>
                <w:sz w:val="14"/>
              </w:rPr>
            </w:pPr>
          </w:p>
          <w:p>
            <w:pPr>
              <w:pStyle w:val="TableParagraph"/>
              <w:ind w:left="247"/>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888" w:type="dxa"/>
            <w:tcBorders>
              <w:top w:val="single" w:sz="4" w:space="0" w:color="000000"/>
              <w:bottom w:val="single" w:sz="4" w:space="0" w:color="000000"/>
              <w:right w:val="single" w:sz="4" w:space="0" w:color="000000"/>
            </w:tcBorders>
          </w:tcPr>
          <w:p>
            <w:pPr>
              <w:pStyle w:val="TableParagraph"/>
              <w:spacing w:before="60"/>
              <w:ind w:left="14"/>
              <w:jc w:val="center"/>
              <w:rPr>
                <w:sz w:val="14"/>
              </w:rPr>
            </w:pPr>
            <w:r>
              <w:rPr>
                <w:spacing w:val="-4"/>
                <w:sz w:val="14"/>
              </w:rPr>
              <w:t>1,36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5"/>
              <w:jc w:val="center"/>
              <w:rPr>
                <w:sz w:val="14"/>
              </w:rPr>
            </w:pPr>
            <w:r>
              <w:rPr>
                <w:spacing w:val="-2"/>
                <w:sz w:val="14"/>
              </w:rPr>
              <w:t>27,79</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before="60"/>
              <w:ind w:left="71" w:right="53"/>
              <w:jc w:val="center"/>
              <w:rPr>
                <w:sz w:val="14"/>
              </w:rPr>
            </w:pPr>
            <w:r>
              <w:rPr>
                <w:spacing w:val="-2"/>
                <w:sz w:val="14"/>
              </w:rPr>
              <w:t>11,59</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4"/>
              <w:jc w:val="center"/>
              <w:rPr>
                <w:sz w:val="14"/>
              </w:rPr>
            </w:pPr>
            <w:r>
              <w:rPr>
                <w:spacing w:val="-4"/>
                <w:sz w:val="14"/>
              </w:rPr>
              <w:t>8,65</w:t>
            </w:r>
          </w:p>
        </w:tc>
        <w:tc>
          <w:tcPr>
            <w:tcW w:w="709" w:type="dxa"/>
            <w:tcBorders>
              <w:top w:val="single" w:sz="4" w:space="0" w:color="000000"/>
              <w:left w:val="single" w:sz="4" w:space="0" w:color="000000"/>
              <w:bottom w:val="single" w:sz="4" w:space="0" w:color="000000"/>
            </w:tcBorders>
          </w:tcPr>
          <w:p>
            <w:pPr>
              <w:pStyle w:val="TableParagraph"/>
              <w:spacing w:before="60"/>
              <w:ind w:left="30" w:right="1"/>
              <w:jc w:val="center"/>
              <w:rPr>
                <w:sz w:val="14"/>
              </w:rPr>
            </w:pPr>
            <w:r>
              <w:rPr>
                <w:spacing w:val="-4"/>
                <w:sz w:val="14"/>
              </w:rPr>
              <w:t>2,38</w:t>
            </w: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OFICIAL</w:t>
            </w:r>
            <w:r>
              <w:rPr>
                <w:rFonts w:ascii="Calibri"/>
                <w:spacing w:val="-7"/>
                <w:sz w:val="14"/>
              </w:rPr>
              <w:t> </w:t>
            </w:r>
            <w:r>
              <w:rPr>
                <w:rFonts w:ascii="Calibri"/>
                <w:sz w:val="14"/>
              </w:rPr>
              <w:t>TALLER</w:t>
            </w:r>
            <w:r>
              <w:rPr>
                <w:rFonts w:ascii="Calibri"/>
                <w:spacing w:val="-5"/>
                <w:sz w:val="14"/>
              </w:rPr>
              <w:t> </w:t>
            </w:r>
            <w:r>
              <w:rPr>
                <w:rFonts w:ascii="Calibri"/>
                <w:spacing w:val="-2"/>
                <w:sz w:val="14"/>
              </w:rPr>
              <w:t>ESPECIALISTA</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ight="3"/>
              <w:jc w:val="center"/>
              <w:rPr>
                <w:sz w:val="14"/>
              </w:rPr>
            </w:pPr>
            <w:r>
              <w:rPr>
                <w:spacing w:val="-2"/>
                <w:sz w:val="14"/>
              </w:rPr>
              <w:t>-</w:t>
            </w:r>
            <w:r>
              <w:rPr>
                <w:spacing w:val="-4"/>
                <w:sz w:val="14"/>
              </w:rPr>
              <w:t>0,24</w:t>
            </w: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4"/>
              <w:ind w:left="74"/>
              <w:rPr>
                <w:rFonts w:ascii="Calibri"/>
                <w:sz w:val="14"/>
              </w:rPr>
            </w:pPr>
            <w:r>
              <w:rPr>
                <w:rFonts w:ascii="Calibri"/>
                <w:sz w:val="14"/>
              </w:rPr>
              <w:t>AUXILIAR</w:t>
            </w:r>
            <w:r>
              <w:rPr>
                <w:rFonts w:ascii="Calibri"/>
                <w:spacing w:val="-4"/>
                <w:sz w:val="14"/>
              </w:rPr>
              <w:t> </w:t>
            </w:r>
            <w:r>
              <w:rPr>
                <w:rFonts w:ascii="Calibri"/>
                <w:spacing w:val="-2"/>
                <w:sz w:val="14"/>
              </w:rPr>
              <w:t>TALLER</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22"/>
              <w:ind w:left="74"/>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20" w:hRule="atLeast"/>
        </w:trPr>
        <w:tc>
          <w:tcPr>
            <w:tcW w:w="446" w:type="dxa"/>
            <w:vMerge/>
            <w:tcBorders>
              <w:top w:val="nil"/>
            </w:tcBorders>
            <w:textDirection w:val="btLr"/>
          </w:tcPr>
          <w:p>
            <w:pPr>
              <w:rPr>
                <w:sz w:val="2"/>
                <w:szCs w:val="2"/>
              </w:rPr>
            </w:pPr>
          </w:p>
        </w:tc>
        <w:tc>
          <w:tcPr>
            <w:tcW w:w="1512" w:type="dxa"/>
            <w:vMerge/>
            <w:tcBorders>
              <w:top w:val="nil"/>
              <w:right w:val="single" w:sz="4" w:space="0" w:color="000000"/>
            </w:tcBorders>
          </w:tcPr>
          <w:p>
            <w:pPr>
              <w:rPr>
                <w:sz w:val="2"/>
                <w:szCs w:val="2"/>
              </w:rPr>
            </w:pPr>
          </w:p>
        </w:tc>
        <w:tc>
          <w:tcPr>
            <w:tcW w:w="2138" w:type="dxa"/>
            <w:tcBorders>
              <w:top w:val="single" w:sz="4" w:space="0" w:color="000000"/>
              <w:left w:val="single" w:sz="4" w:space="0" w:color="000000"/>
              <w:bottom w:val="single" w:sz="4" w:space="0" w:color="000000"/>
            </w:tcBorders>
          </w:tcPr>
          <w:p>
            <w:pPr>
              <w:pStyle w:val="TableParagraph"/>
              <w:spacing w:before="32"/>
              <w:ind w:left="74"/>
              <w:rPr>
                <w:rFonts w:ascii="Calibri"/>
                <w:sz w:val="14"/>
              </w:rPr>
            </w:pPr>
            <w:r>
              <w:rPr>
                <w:rFonts w:ascii="Calibri"/>
                <w:sz w:val="14"/>
              </w:rPr>
              <w:t>AUXILIAR</w:t>
            </w:r>
            <w:r>
              <w:rPr>
                <w:rFonts w:ascii="Calibri"/>
                <w:spacing w:val="-4"/>
                <w:sz w:val="14"/>
              </w:rPr>
              <w:t> </w:t>
            </w:r>
            <w:r>
              <w:rPr>
                <w:rFonts w:ascii="Calibri"/>
                <w:spacing w:val="-2"/>
                <w:sz w:val="14"/>
              </w:rPr>
              <w:t>ADMIN/ESPECIALISTA</w:t>
            </w:r>
          </w:p>
        </w:tc>
        <w:tc>
          <w:tcPr>
            <w:tcW w:w="8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top w:val="single" w:sz="4" w:space="0" w:color="000000"/>
              <w:left w:val="single" w:sz="4" w:space="0" w:color="000000"/>
              <w:bottom w:val="single" w:sz="4" w:space="0" w:color="000000"/>
            </w:tcBorders>
          </w:tcPr>
          <w:p>
            <w:pPr>
              <w:pStyle w:val="TableParagraph"/>
              <w:rPr>
                <w:rFonts w:ascii="Times New Roman"/>
                <w:sz w:val="14"/>
              </w:rPr>
            </w:pPr>
          </w:p>
        </w:tc>
      </w:tr>
    </w:tbl>
    <w:p>
      <w:pPr>
        <w:pStyle w:val="TableParagraph"/>
        <w:spacing w:after="0"/>
        <w:rPr>
          <w:rFonts w:ascii="Times New Roman"/>
          <w:sz w:val="14"/>
        </w:rPr>
        <w:sectPr>
          <w:pgSz w:w="11910" w:h="16840"/>
          <w:pgMar w:header="384" w:footer="1060" w:top="1200" w:bottom="1260" w:left="360" w:right="360"/>
        </w:sectPr>
      </w:pPr>
    </w:p>
    <w:p>
      <w:pPr>
        <w:pStyle w:val="BodyText"/>
        <w:spacing w:line="362" w:lineRule="auto" w:before="215"/>
        <w:ind w:left="1341" w:right="1308"/>
      </w:pPr>
      <w:r>
        <w:rPr/>
        <mc:AlternateContent>
          <mc:Choice Requires="wps">
            <w:drawing>
              <wp:anchor distT="0" distB="0" distL="0" distR="0" allowOverlap="1" layoutInCell="1" locked="0" behindDoc="0" simplePos="0" relativeHeight="15806464">
                <wp:simplePos x="0" y="0"/>
                <wp:positionH relativeFrom="page">
                  <wp:posOffset>6966436</wp:posOffset>
                </wp:positionH>
                <wp:positionV relativeFrom="page">
                  <wp:posOffset>6553363</wp:posOffset>
                </wp:positionV>
                <wp:extent cx="263525" cy="327596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6464" type="#_x0000_t202" id="docshape22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Número</w:t>
      </w:r>
      <w:r>
        <w:rPr>
          <w:spacing w:val="35"/>
        </w:rPr>
        <w:t> </w:t>
      </w:r>
      <w:r>
        <w:rPr/>
        <w:t>total</w:t>
      </w:r>
      <w:r>
        <w:rPr>
          <w:spacing w:val="35"/>
        </w:rPr>
        <w:t> </w:t>
      </w:r>
      <w:r>
        <w:rPr/>
        <w:t>de</w:t>
      </w:r>
      <w:r>
        <w:rPr>
          <w:spacing w:val="35"/>
        </w:rPr>
        <w:t> </w:t>
      </w:r>
      <w:r>
        <w:rPr/>
        <w:t>la</w:t>
      </w:r>
      <w:r>
        <w:rPr>
          <w:spacing w:val="35"/>
        </w:rPr>
        <w:t> </w:t>
      </w:r>
      <w:r>
        <w:rPr/>
        <w:t>plantilla</w:t>
      </w:r>
      <w:r>
        <w:rPr>
          <w:spacing w:val="36"/>
        </w:rPr>
        <w:t> </w:t>
      </w:r>
      <w:r>
        <w:rPr/>
        <w:t>2025</w:t>
      </w:r>
      <w:r>
        <w:rPr>
          <w:spacing w:val="35"/>
        </w:rPr>
        <w:t> </w:t>
      </w:r>
      <w:r>
        <w:rPr/>
        <w:t>distribuida</w:t>
      </w:r>
      <w:r>
        <w:rPr>
          <w:spacing w:val="34"/>
        </w:rPr>
        <w:t> </w:t>
      </w:r>
      <w:r>
        <w:rPr/>
        <w:t>por</w:t>
      </w:r>
      <w:r>
        <w:rPr>
          <w:spacing w:val="35"/>
        </w:rPr>
        <w:t> </w:t>
      </w:r>
      <w:r>
        <w:rPr/>
        <w:t>dedicación</w:t>
      </w:r>
      <w:r>
        <w:rPr>
          <w:spacing w:val="34"/>
        </w:rPr>
        <w:t> </w:t>
      </w:r>
      <w:r>
        <w:rPr/>
        <w:t>de</w:t>
      </w:r>
      <w:r>
        <w:rPr>
          <w:spacing w:val="36"/>
        </w:rPr>
        <w:t> </w:t>
      </w:r>
      <w:r>
        <w:rPr/>
        <w:t>la</w:t>
      </w:r>
      <w:r>
        <w:rPr>
          <w:spacing w:val="34"/>
        </w:rPr>
        <w:t> </w:t>
      </w:r>
      <w:r>
        <w:rPr/>
        <w:t>jornada</w:t>
      </w:r>
      <w:r>
        <w:rPr>
          <w:spacing w:val="37"/>
        </w:rPr>
        <w:t> </w:t>
      </w:r>
      <w:r>
        <w:rPr/>
        <w:t>de</w:t>
      </w:r>
      <w:r>
        <w:rPr>
          <w:spacing w:val="37"/>
        </w:rPr>
        <w:t> </w:t>
      </w:r>
      <w:r>
        <w:rPr/>
        <w:t>trabajo,</w:t>
      </w:r>
      <w:r>
        <w:rPr>
          <w:spacing w:val="35"/>
        </w:rPr>
        <w:t> </w:t>
      </w:r>
      <w:r>
        <w:rPr/>
        <w:t>grupo profesional, edad, y sexo (Promedio):</w:t>
      </w:r>
    </w:p>
    <w:p>
      <w:pPr>
        <w:pStyle w:val="BodyText"/>
        <w:spacing w:before="3"/>
        <w:rPr>
          <w:sz w:val="17"/>
        </w:rPr>
      </w:pPr>
    </w:p>
    <w:tbl>
      <w:tblPr>
        <w:tblW w:w="0" w:type="auto"/>
        <w:jc w:val="left"/>
        <w:tblInd w:w="1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
        <w:gridCol w:w="1546"/>
        <w:gridCol w:w="2110"/>
        <w:gridCol w:w="720"/>
        <w:gridCol w:w="720"/>
        <w:gridCol w:w="900"/>
        <w:gridCol w:w="720"/>
        <w:gridCol w:w="720"/>
        <w:gridCol w:w="720"/>
      </w:tblGrid>
      <w:tr>
        <w:trPr>
          <w:trHeight w:val="313" w:hRule="atLeast"/>
        </w:trPr>
        <w:tc>
          <w:tcPr>
            <w:tcW w:w="370" w:type="dxa"/>
            <w:vMerge w:val="restart"/>
            <w:tcBorders>
              <w:top w:val="nil"/>
              <w:left w:val="nil"/>
              <w:right w:val="nil"/>
            </w:tcBorders>
          </w:tcPr>
          <w:p>
            <w:pPr>
              <w:pStyle w:val="TableParagraph"/>
              <w:rPr>
                <w:rFonts w:ascii="Times New Roman"/>
                <w:sz w:val="14"/>
              </w:rPr>
            </w:pPr>
          </w:p>
        </w:tc>
        <w:tc>
          <w:tcPr>
            <w:tcW w:w="3656" w:type="dxa"/>
            <w:gridSpan w:val="2"/>
            <w:tcBorders>
              <w:top w:val="nil"/>
              <w:left w:val="nil"/>
            </w:tcBorders>
          </w:tcPr>
          <w:p>
            <w:pPr>
              <w:pStyle w:val="TableParagraph"/>
              <w:rPr>
                <w:rFonts w:ascii="Times New Roman"/>
                <w:sz w:val="14"/>
              </w:rPr>
            </w:pPr>
          </w:p>
        </w:tc>
        <w:tc>
          <w:tcPr>
            <w:tcW w:w="4500" w:type="dxa"/>
            <w:gridSpan w:val="6"/>
            <w:shd w:val="clear" w:color="auto" w:fill="D7D7D7"/>
          </w:tcPr>
          <w:p>
            <w:pPr>
              <w:pStyle w:val="TableParagraph"/>
              <w:spacing w:before="53"/>
              <w:ind w:left="13"/>
              <w:jc w:val="center"/>
              <w:rPr>
                <w:rFonts w:ascii="Calibri"/>
                <w:b/>
                <w:sz w:val="14"/>
              </w:rPr>
            </w:pPr>
            <w:r>
              <w:rPr>
                <w:rFonts w:ascii="Calibri"/>
                <w:b/>
                <w:spacing w:val="-4"/>
                <w:sz w:val="14"/>
              </w:rPr>
              <w:t>2025</w:t>
            </w:r>
          </w:p>
        </w:tc>
      </w:tr>
      <w:tr>
        <w:trPr>
          <w:trHeight w:val="301" w:hRule="atLeast"/>
        </w:trPr>
        <w:tc>
          <w:tcPr>
            <w:tcW w:w="370" w:type="dxa"/>
            <w:vMerge/>
            <w:tcBorders>
              <w:top w:val="nil"/>
              <w:left w:val="nil"/>
              <w:right w:val="nil"/>
            </w:tcBorders>
          </w:tcPr>
          <w:p>
            <w:pPr>
              <w:rPr>
                <w:sz w:val="2"/>
                <w:szCs w:val="2"/>
              </w:rPr>
            </w:pPr>
          </w:p>
        </w:tc>
        <w:tc>
          <w:tcPr>
            <w:tcW w:w="1546" w:type="dxa"/>
            <w:vMerge w:val="restart"/>
            <w:tcBorders>
              <w:bottom w:val="single" w:sz="4" w:space="0" w:color="000000"/>
              <w:right w:val="single" w:sz="4" w:space="0" w:color="000000"/>
            </w:tcBorders>
            <w:shd w:val="clear" w:color="auto" w:fill="D7D7D7"/>
          </w:tcPr>
          <w:p>
            <w:pPr>
              <w:pStyle w:val="TableParagraph"/>
              <w:spacing w:before="24"/>
              <w:rPr>
                <w:sz w:val="14"/>
              </w:rPr>
            </w:pPr>
          </w:p>
          <w:p>
            <w:pPr>
              <w:pStyle w:val="TableParagraph"/>
              <w:ind w:left="9"/>
              <w:jc w:val="center"/>
              <w:rPr>
                <w:rFonts w:ascii="Calibri"/>
                <w:b/>
                <w:sz w:val="14"/>
              </w:rPr>
            </w:pPr>
            <w:r>
              <w:rPr>
                <w:rFonts w:ascii="Calibri"/>
                <w:b/>
                <w:spacing w:val="-2"/>
                <w:sz w:val="14"/>
              </w:rPr>
              <w:t>GRUPO</w:t>
            </w:r>
          </w:p>
        </w:tc>
        <w:tc>
          <w:tcPr>
            <w:tcW w:w="2110" w:type="dxa"/>
            <w:vMerge w:val="restart"/>
            <w:tcBorders>
              <w:left w:val="single" w:sz="4" w:space="0" w:color="000000"/>
              <w:bottom w:val="single" w:sz="4" w:space="0" w:color="000000"/>
            </w:tcBorders>
            <w:shd w:val="clear" w:color="auto" w:fill="D7D7D7"/>
          </w:tcPr>
          <w:p>
            <w:pPr>
              <w:pStyle w:val="TableParagraph"/>
              <w:spacing w:before="24"/>
              <w:rPr>
                <w:sz w:val="14"/>
              </w:rPr>
            </w:pPr>
          </w:p>
          <w:p>
            <w:pPr>
              <w:pStyle w:val="TableParagraph"/>
              <w:ind w:left="20"/>
              <w:jc w:val="center"/>
              <w:rPr>
                <w:rFonts w:ascii="Calibri"/>
                <w:b/>
                <w:sz w:val="14"/>
              </w:rPr>
            </w:pPr>
            <w:r>
              <w:rPr>
                <w:rFonts w:ascii="Calibri"/>
                <w:b/>
                <w:spacing w:val="-2"/>
                <w:sz w:val="14"/>
              </w:rPr>
              <w:t>NIVEL</w:t>
            </w:r>
          </w:p>
        </w:tc>
        <w:tc>
          <w:tcPr>
            <w:tcW w:w="1440" w:type="dxa"/>
            <w:gridSpan w:val="2"/>
            <w:tcBorders>
              <w:right w:val="single" w:sz="4" w:space="0" w:color="000000"/>
            </w:tcBorders>
            <w:shd w:val="clear" w:color="auto" w:fill="D7D7D7"/>
          </w:tcPr>
          <w:p>
            <w:pPr>
              <w:pStyle w:val="TableParagraph"/>
              <w:spacing w:before="41"/>
              <w:ind w:left="442"/>
              <w:rPr>
                <w:rFonts w:ascii="Calibri" w:hAnsi="Calibri"/>
                <w:b/>
                <w:sz w:val="14"/>
              </w:rPr>
            </w:pPr>
            <w:r>
              <w:rPr>
                <w:rFonts w:ascii="Calibri" w:hAnsi="Calibri"/>
                <w:b/>
                <w:sz w:val="14"/>
              </w:rPr>
              <w:t>&lt;</w:t>
            </w:r>
            <w:r>
              <w:rPr>
                <w:rFonts w:ascii="Calibri" w:hAnsi="Calibri"/>
                <w:b/>
                <w:spacing w:val="-3"/>
                <w:sz w:val="14"/>
              </w:rPr>
              <w:t> </w:t>
            </w:r>
            <w:r>
              <w:rPr>
                <w:rFonts w:ascii="Calibri" w:hAnsi="Calibri"/>
                <w:b/>
                <w:sz w:val="14"/>
              </w:rPr>
              <w:t>30</w:t>
            </w:r>
            <w:r>
              <w:rPr>
                <w:rFonts w:ascii="Calibri" w:hAnsi="Calibri"/>
                <w:b/>
                <w:spacing w:val="-2"/>
                <w:sz w:val="14"/>
              </w:rPr>
              <w:t> </w:t>
            </w:r>
            <w:r>
              <w:rPr>
                <w:rFonts w:ascii="Calibri" w:hAnsi="Calibri"/>
                <w:b/>
                <w:spacing w:val="-4"/>
                <w:sz w:val="14"/>
              </w:rPr>
              <w:t>años</w:t>
            </w:r>
          </w:p>
        </w:tc>
        <w:tc>
          <w:tcPr>
            <w:tcW w:w="1620" w:type="dxa"/>
            <w:gridSpan w:val="2"/>
            <w:tcBorders>
              <w:left w:val="single" w:sz="4" w:space="0" w:color="000000"/>
              <w:right w:val="single" w:sz="4" w:space="0" w:color="000000"/>
            </w:tcBorders>
            <w:shd w:val="clear" w:color="auto" w:fill="D7D7D7"/>
          </w:tcPr>
          <w:p>
            <w:pPr>
              <w:pStyle w:val="TableParagraph"/>
              <w:spacing w:before="41"/>
              <w:ind w:left="464"/>
              <w:rPr>
                <w:rFonts w:ascii="Calibri" w:hAnsi="Calibri"/>
                <w:b/>
                <w:sz w:val="14"/>
              </w:rPr>
            </w:pPr>
            <w:r>
              <w:rPr>
                <w:rFonts w:ascii="Calibri" w:hAnsi="Calibri"/>
                <w:b/>
                <w:sz w:val="14"/>
              </w:rPr>
              <w:t>30</w:t>
            </w:r>
            <w:r>
              <w:rPr>
                <w:rFonts w:ascii="Calibri" w:hAnsi="Calibri"/>
                <w:b/>
                <w:spacing w:val="-4"/>
                <w:sz w:val="14"/>
              </w:rPr>
              <w:t> </w:t>
            </w:r>
            <w:r>
              <w:rPr>
                <w:rFonts w:ascii="Calibri" w:hAnsi="Calibri"/>
                <w:b/>
                <w:sz w:val="14"/>
              </w:rPr>
              <w:t>-</w:t>
            </w:r>
            <w:r>
              <w:rPr>
                <w:rFonts w:ascii="Calibri" w:hAnsi="Calibri"/>
                <w:b/>
                <w:spacing w:val="2"/>
                <w:sz w:val="14"/>
              </w:rPr>
              <w:t> </w:t>
            </w:r>
            <w:r>
              <w:rPr>
                <w:rFonts w:ascii="Calibri" w:hAnsi="Calibri"/>
                <w:b/>
                <w:sz w:val="14"/>
              </w:rPr>
              <w:t>50</w:t>
            </w:r>
            <w:r>
              <w:rPr>
                <w:rFonts w:ascii="Calibri" w:hAnsi="Calibri"/>
                <w:b/>
                <w:spacing w:val="-3"/>
                <w:sz w:val="14"/>
              </w:rPr>
              <w:t> </w:t>
            </w:r>
            <w:r>
              <w:rPr>
                <w:rFonts w:ascii="Calibri" w:hAnsi="Calibri"/>
                <w:b/>
                <w:spacing w:val="-4"/>
                <w:sz w:val="14"/>
              </w:rPr>
              <w:t>años</w:t>
            </w:r>
          </w:p>
        </w:tc>
        <w:tc>
          <w:tcPr>
            <w:tcW w:w="1440" w:type="dxa"/>
            <w:gridSpan w:val="2"/>
            <w:tcBorders>
              <w:left w:val="single" w:sz="4" w:space="0" w:color="000000"/>
            </w:tcBorders>
            <w:shd w:val="clear" w:color="auto" w:fill="D7D7D7"/>
          </w:tcPr>
          <w:p>
            <w:pPr>
              <w:pStyle w:val="TableParagraph"/>
              <w:spacing w:before="41"/>
              <w:ind w:left="447"/>
              <w:rPr>
                <w:rFonts w:ascii="Calibri" w:hAnsi="Calibri"/>
                <w:b/>
                <w:sz w:val="14"/>
              </w:rPr>
            </w:pPr>
            <w:r>
              <w:rPr>
                <w:rFonts w:ascii="Calibri" w:hAnsi="Calibri"/>
                <w:b/>
                <w:sz w:val="14"/>
              </w:rPr>
              <w:t>&gt;</w:t>
            </w:r>
            <w:r>
              <w:rPr>
                <w:rFonts w:ascii="Calibri" w:hAnsi="Calibri"/>
                <w:b/>
                <w:spacing w:val="-3"/>
                <w:sz w:val="14"/>
              </w:rPr>
              <w:t> </w:t>
            </w:r>
            <w:r>
              <w:rPr>
                <w:rFonts w:ascii="Calibri" w:hAnsi="Calibri"/>
                <w:b/>
                <w:sz w:val="14"/>
              </w:rPr>
              <w:t>50</w:t>
            </w:r>
            <w:r>
              <w:rPr>
                <w:rFonts w:ascii="Calibri" w:hAnsi="Calibri"/>
                <w:b/>
                <w:spacing w:val="-2"/>
                <w:sz w:val="14"/>
              </w:rPr>
              <w:t> </w:t>
            </w:r>
            <w:r>
              <w:rPr>
                <w:rFonts w:ascii="Calibri" w:hAnsi="Calibri"/>
                <w:b/>
                <w:spacing w:val="-4"/>
                <w:sz w:val="14"/>
              </w:rPr>
              <w:t>años</w:t>
            </w:r>
          </w:p>
        </w:tc>
      </w:tr>
      <w:tr>
        <w:trPr>
          <w:trHeight w:val="308" w:hRule="atLeast"/>
        </w:trPr>
        <w:tc>
          <w:tcPr>
            <w:tcW w:w="370" w:type="dxa"/>
            <w:vMerge/>
            <w:tcBorders>
              <w:top w:val="nil"/>
              <w:left w:val="nil"/>
              <w:right w:val="nil"/>
            </w:tcBorders>
          </w:tcPr>
          <w:p>
            <w:pPr>
              <w:rPr>
                <w:sz w:val="2"/>
                <w:szCs w:val="2"/>
              </w:rPr>
            </w:pPr>
          </w:p>
        </w:tc>
        <w:tc>
          <w:tcPr>
            <w:tcW w:w="1546" w:type="dxa"/>
            <w:vMerge/>
            <w:tcBorders>
              <w:top w:val="nil"/>
              <w:bottom w:val="single" w:sz="4" w:space="0" w:color="000000"/>
              <w:right w:val="single" w:sz="4" w:space="0" w:color="000000"/>
            </w:tcBorders>
            <w:shd w:val="clear" w:color="auto" w:fill="D7D7D7"/>
          </w:tcPr>
          <w:p>
            <w:pPr>
              <w:rPr>
                <w:sz w:val="2"/>
                <w:szCs w:val="2"/>
              </w:rPr>
            </w:pPr>
          </w:p>
        </w:tc>
        <w:tc>
          <w:tcPr>
            <w:tcW w:w="2110" w:type="dxa"/>
            <w:vMerge/>
            <w:tcBorders>
              <w:top w:val="nil"/>
              <w:left w:val="single" w:sz="4" w:space="0" w:color="000000"/>
              <w:bottom w:val="single" w:sz="4" w:space="0" w:color="000000"/>
            </w:tcBorders>
            <w:shd w:val="clear" w:color="auto" w:fill="D7D7D7"/>
          </w:tcPr>
          <w:p>
            <w:pPr>
              <w:rPr>
                <w:sz w:val="2"/>
                <w:szCs w:val="2"/>
              </w:rPr>
            </w:pPr>
          </w:p>
        </w:tc>
        <w:tc>
          <w:tcPr>
            <w:tcW w:w="720" w:type="dxa"/>
            <w:tcBorders>
              <w:bottom w:val="single" w:sz="4" w:space="0" w:color="000000"/>
              <w:right w:val="single" w:sz="4" w:space="0" w:color="000000"/>
            </w:tcBorders>
            <w:shd w:val="clear" w:color="auto" w:fill="D7D7D7"/>
          </w:tcPr>
          <w:p>
            <w:pPr>
              <w:pStyle w:val="TableParagraph"/>
              <w:spacing w:before="53"/>
              <w:ind w:left="20" w:right="10"/>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3"/>
              <w:ind w:left="28" w:right="15"/>
              <w:jc w:val="center"/>
              <w:rPr>
                <w:rFonts w:ascii="Calibri"/>
                <w:b/>
                <w:sz w:val="14"/>
              </w:rPr>
            </w:pPr>
            <w:r>
              <w:rPr>
                <w:rFonts w:ascii="Calibri"/>
                <w:b/>
                <w:spacing w:val="-2"/>
                <w:sz w:val="14"/>
              </w:rPr>
              <w:t>MUJER</w:t>
            </w:r>
          </w:p>
        </w:tc>
        <w:tc>
          <w:tcPr>
            <w:tcW w:w="900" w:type="dxa"/>
            <w:tcBorders>
              <w:left w:val="single" w:sz="4" w:space="0" w:color="000000"/>
              <w:bottom w:val="single" w:sz="4" w:space="0" w:color="000000"/>
              <w:right w:val="single" w:sz="4" w:space="0" w:color="000000"/>
            </w:tcBorders>
            <w:shd w:val="clear" w:color="auto" w:fill="D7D7D7"/>
          </w:tcPr>
          <w:p>
            <w:pPr>
              <w:pStyle w:val="TableParagraph"/>
              <w:spacing w:before="53"/>
              <w:ind w:left="23" w:right="6"/>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3"/>
              <w:ind w:left="28" w:right="15"/>
              <w:jc w:val="center"/>
              <w:rPr>
                <w:rFonts w:ascii="Calibri"/>
                <w:b/>
                <w:sz w:val="14"/>
              </w:rPr>
            </w:pPr>
            <w:r>
              <w:rPr>
                <w:rFonts w:ascii="Calibri"/>
                <w:b/>
                <w:spacing w:val="-2"/>
                <w:sz w:val="14"/>
              </w:rPr>
              <w:t>MUJER</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3"/>
              <w:ind w:left="30" w:right="15"/>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tcBorders>
            <w:shd w:val="clear" w:color="auto" w:fill="D7D7D7"/>
          </w:tcPr>
          <w:p>
            <w:pPr>
              <w:pStyle w:val="TableParagraph"/>
              <w:spacing w:before="53"/>
              <w:ind w:left="20" w:right="2"/>
              <w:jc w:val="center"/>
              <w:rPr>
                <w:rFonts w:ascii="Calibri"/>
                <w:b/>
                <w:sz w:val="14"/>
              </w:rPr>
            </w:pPr>
            <w:r>
              <w:rPr>
                <w:rFonts w:ascii="Calibri"/>
                <w:b/>
                <w:spacing w:val="-2"/>
                <w:sz w:val="14"/>
              </w:rPr>
              <w:t>MUJER</w:t>
            </w:r>
          </w:p>
        </w:tc>
      </w:tr>
      <w:tr>
        <w:trPr>
          <w:trHeight w:val="299" w:hRule="atLeast"/>
        </w:trPr>
        <w:tc>
          <w:tcPr>
            <w:tcW w:w="370" w:type="dxa"/>
            <w:vMerge w:val="restart"/>
            <w:textDirection w:val="btLr"/>
          </w:tcPr>
          <w:p>
            <w:pPr>
              <w:pStyle w:val="TableParagraph"/>
              <w:spacing w:before="51"/>
              <w:ind w:right="9"/>
              <w:jc w:val="center"/>
              <w:rPr>
                <w:rFonts w:ascii="Calibri"/>
                <w:b/>
                <w:sz w:val="14"/>
              </w:rPr>
            </w:pPr>
            <w:r>
              <w:rPr>
                <w:rFonts w:ascii="Calibri"/>
                <w:b/>
                <w:sz w:val="14"/>
              </w:rPr>
              <w:t>TIEMPO</w:t>
            </w:r>
            <w:r>
              <w:rPr>
                <w:rFonts w:ascii="Calibri"/>
                <w:b/>
                <w:spacing w:val="-7"/>
                <w:sz w:val="14"/>
              </w:rPr>
              <w:t> </w:t>
            </w:r>
            <w:r>
              <w:rPr>
                <w:rFonts w:ascii="Calibri"/>
                <w:b/>
                <w:spacing w:val="-2"/>
                <w:sz w:val="14"/>
              </w:rPr>
              <w:t>COMPLETO</w:t>
            </w:r>
          </w:p>
        </w:tc>
        <w:tc>
          <w:tcPr>
            <w:tcW w:w="1546" w:type="dxa"/>
            <w:tcBorders>
              <w:top w:val="single" w:sz="4" w:space="0" w:color="000000"/>
              <w:bottom w:val="single" w:sz="4" w:space="0" w:color="000000"/>
              <w:right w:val="single" w:sz="4" w:space="0" w:color="000000"/>
            </w:tcBorders>
          </w:tcPr>
          <w:p>
            <w:pPr>
              <w:pStyle w:val="TableParagraph"/>
              <w:spacing w:before="24"/>
              <w:ind w:left="10"/>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1,00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91"/>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5,00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3,46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1,00</w:t>
            </w: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2"/>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1,00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1,00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1,00</w:t>
            </w: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1"/>
                <w:sz w:val="14"/>
              </w:rPr>
              <w:t> </w:t>
            </w:r>
            <w:r>
              <w:rPr>
                <w:rFonts w:ascii="Calibri" w:hAnsi="Calibri"/>
                <w:sz w:val="14"/>
              </w:rPr>
              <w:t>OFICINA</w:t>
            </w:r>
            <w:r>
              <w:rPr>
                <w:rFonts w:ascii="Calibri" w:hAnsi="Calibri"/>
                <w:spacing w:val="-4"/>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1,00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3,00</w:t>
            </w:r>
          </w:p>
        </w:tc>
      </w:tr>
      <w:tr>
        <w:trPr>
          <w:trHeight w:val="301"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spacing w:before="24"/>
              <w:rPr>
                <w:sz w:val="14"/>
              </w:rPr>
            </w:pPr>
          </w:p>
          <w:p>
            <w:pPr>
              <w:pStyle w:val="TableParagraph"/>
              <w:ind w:left="232"/>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hAnsi="Calibri"/>
                <w:sz w:val="14"/>
              </w:rPr>
            </w:pPr>
            <w:r>
              <w:rPr>
                <w:rFonts w:ascii="Calibri" w:hAnsi="Calibri"/>
                <w:spacing w:val="-2"/>
                <w:sz w:val="14"/>
              </w:rPr>
              <w:t>TÉCNICO</w:t>
            </w:r>
            <w:r>
              <w:rPr>
                <w:rFonts w:ascii="Calibri" w:hAnsi="Calibri"/>
                <w:spacing w:val="4"/>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9,42</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3,35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1,00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1,58</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1,45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27"/>
              <w:rPr>
                <w:rFonts w:ascii="Calibri"/>
                <w:b/>
                <w:sz w:val="14"/>
              </w:rPr>
            </w:pP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MANDO</w:t>
            </w:r>
            <w:r>
              <w:rPr>
                <w:rFonts w:ascii="Calibri"/>
                <w:spacing w:val="-6"/>
                <w:sz w:val="14"/>
              </w:rPr>
              <w:t> </w:t>
            </w:r>
            <w:r>
              <w:rPr>
                <w:rFonts w:ascii="Calibri"/>
                <w:sz w:val="14"/>
              </w:rPr>
              <w:t>DE</w:t>
            </w:r>
            <w:r>
              <w:rPr>
                <w:rFonts w:ascii="Calibri"/>
                <w:spacing w:val="-2"/>
                <w:sz w:val="14"/>
              </w:rPr>
              <w:t> 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2,89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2"/>
                <w:sz w:val="14"/>
              </w:rPr>
              <w:t>21,38</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MANDO</w:t>
            </w:r>
            <w:r>
              <w:rPr>
                <w:rFonts w:ascii="Calibri"/>
                <w:spacing w:val="-6"/>
                <w:sz w:val="14"/>
              </w:rPr>
              <w:t> </w:t>
            </w:r>
            <w:r>
              <w:rPr>
                <w:rFonts w:ascii="Calibri"/>
                <w:sz w:val="14"/>
              </w:rPr>
              <w:t>DE</w:t>
            </w:r>
            <w:r>
              <w:rPr>
                <w:rFonts w:ascii="Calibri"/>
                <w:spacing w:val="-2"/>
                <w:sz w:val="14"/>
              </w:rPr>
              <w:t> 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2,01</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hAnsi="Calibri"/>
                <w:sz w:val="14"/>
              </w:rPr>
            </w:pPr>
            <w:r>
              <w:rPr>
                <w:rFonts w:ascii="Calibri" w:hAnsi="Calibri"/>
                <w:sz w:val="14"/>
              </w:rPr>
              <w:t>MANDO</w:t>
            </w:r>
            <w:r>
              <w:rPr>
                <w:rFonts w:ascii="Calibri" w:hAnsi="Calibri"/>
                <w:spacing w:val="-6"/>
                <w:sz w:val="14"/>
              </w:rPr>
              <w:t> </w:t>
            </w:r>
            <w:r>
              <w:rPr>
                <w:rFonts w:ascii="Calibri" w:hAnsi="Calibri"/>
                <w:sz w:val="14"/>
              </w:rPr>
              <w:t>DE</w:t>
            </w:r>
            <w:r>
              <w:rPr>
                <w:rFonts w:ascii="Calibri" w:hAnsi="Calibri"/>
                <w:spacing w:val="-2"/>
                <w:sz w:val="14"/>
              </w:rPr>
              <w:t> 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3,00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4,44</w:t>
            </w: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8"/>
              <w:rPr>
                <w:sz w:val="14"/>
              </w:rPr>
            </w:pPr>
          </w:p>
          <w:p>
            <w:pPr>
              <w:pStyle w:val="TableParagraph"/>
              <w:spacing w:before="1"/>
              <w:ind w:left="263"/>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pacing w:val="-2"/>
                <w:sz w:val="14"/>
              </w:rPr>
              <w:t>CONDUCTOR</w:t>
            </w:r>
            <w:r>
              <w:rPr>
                <w:rFonts w:ascii="Calibri"/>
                <w:spacing w:val="8"/>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spacing w:before="60"/>
              <w:ind w:left="20" w:right="10"/>
              <w:jc w:val="center"/>
              <w:rPr>
                <w:sz w:val="14"/>
              </w:rPr>
            </w:pPr>
            <w:r>
              <w:rPr>
                <w:spacing w:val="-4"/>
                <w:sz w:val="14"/>
              </w:rPr>
              <w:t>0,19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2"/>
              <w:jc w:val="center"/>
              <w:rPr>
                <w:sz w:val="14"/>
              </w:rPr>
            </w:pPr>
            <w:r>
              <w:rPr>
                <w:spacing w:val="-2"/>
                <w:sz w:val="14"/>
              </w:rPr>
              <w:t>282,89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2"/>
                <w:sz w:val="14"/>
              </w:rPr>
              <w:t>37,26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2"/>
                <w:sz w:val="14"/>
              </w:rPr>
              <w:t>289,20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2"/>
                <w:sz w:val="14"/>
              </w:rPr>
              <w:t>10,76</w:t>
            </w: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OFICIAL</w:t>
            </w:r>
            <w:r>
              <w:rPr>
                <w:rFonts w:ascii="Calibri"/>
                <w:spacing w:val="-8"/>
                <w:sz w:val="14"/>
              </w:rPr>
              <w:t> </w:t>
            </w:r>
            <w:r>
              <w:rPr>
                <w:rFonts w:ascii="Calibri"/>
                <w:sz w:val="14"/>
              </w:rPr>
              <w:t>TALLER</w:t>
            </w:r>
            <w:r>
              <w:rPr>
                <w:rFonts w:ascii="Calibri"/>
                <w:spacing w:val="-5"/>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spacing w:before="60"/>
              <w:ind w:left="20" w:right="10"/>
              <w:jc w:val="center"/>
              <w:rPr>
                <w:sz w:val="14"/>
              </w:rPr>
            </w:pPr>
            <w:r>
              <w:rPr>
                <w:spacing w:val="-4"/>
                <w:sz w:val="14"/>
              </w:rPr>
              <w:t>0,99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2"/>
                <w:sz w:val="14"/>
              </w:rPr>
              <w:t>21,47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0,24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2"/>
                <w:sz w:val="14"/>
              </w:rPr>
              <w:t>17,74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AUXILIAR</w:t>
            </w:r>
            <w:r>
              <w:rPr>
                <w:rFonts w:ascii="Calibri"/>
                <w:spacing w:val="-7"/>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3"/>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4"/>
                <w:sz w:val="14"/>
              </w:rPr>
              <w:t>3,00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9,00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2,00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29" w:right="15"/>
              <w:jc w:val="center"/>
              <w:rPr>
                <w:sz w:val="14"/>
              </w:rPr>
            </w:pPr>
            <w:r>
              <w:rPr>
                <w:spacing w:val="-4"/>
                <w:sz w:val="14"/>
              </w:rPr>
              <w:t>3,00</w:t>
            </w:r>
          </w:p>
        </w:tc>
      </w:tr>
      <w:tr>
        <w:trPr>
          <w:trHeight w:val="304"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tcBorders>
          </w:tcPr>
          <w:p>
            <w:pPr>
              <w:pStyle w:val="TableParagraph"/>
              <w:spacing w:before="44"/>
              <w:ind w:left="73"/>
              <w:rPr>
                <w:rFonts w:ascii="Calibri"/>
                <w:sz w:val="14"/>
              </w:rPr>
            </w:pPr>
            <w:r>
              <w:rPr>
                <w:rFonts w:ascii="Calibri"/>
                <w:sz w:val="14"/>
              </w:rPr>
              <w:t>AUXILIAR</w:t>
            </w:r>
            <w:r>
              <w:rPr>
                <w:rFonts w:ascii="Calibri"/>
                <w:spacing w:val="-7"/>
                <w:sz w:val="14"/>
              </w:rPr>
              <w:t> </w:t>
            </w:r>
            <w:r>
              <w:rPr>
                <w:rFonts w:ascii="Calibri"/>
                <w:spacing w:val="-2"/>
                <w:sz w:val="14"/>
              </w:rPr>
              <w:t>ADMIN/ESPECIALISTA</w:t>
            </w:r>
          </w:p>
        </w:tc>
        <w:tc>
          <w:tcPr>
            <w:tcW w:w="720" w:type="dxa"/>
            <w:tcBorders>
              <w:top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tcBorders>
          </w:tcPr>
          <w:p>
            <w:pPr>
              <w:pStyle w:val="TableParagraph"/>
              <w:rPr>
                <w:rFonts w:ascii="Times New Roman"/>
                <w:sz w:val="14"/>
              </w:rPr>
            </w:pPr>
          </w:p>
        </w:tc>
      </w:tr>
      <w:tr>
        <w:trPr>
          <w:trHeight w:val="294" w:hRule="atLeast"/>
        </w:trPr>
        <w:tc>
          <w:tcPr>
            <w:tcW w:w="370" w:type="dxa"/>
            <w:vMerge w:val="restart"/>
            <w:tcBorders>
              <w:left w:val="nil"/>
              <w:right w:val="single" w:sz="4" w:space="0" w:color="000000"/>
            </w:tcBorders>
          </w:tcPr>
          <w:p>
            <w:pPr>
              <w:pStyle w:val="TableParagraph"/>
              <w:rPr>
                <w:rFonts w:ascii="Times New Roman"/>
                <w:sz w:val="14"/>
              </w:rPr>
            </w:pPr>
          </w:p>
        </w:tc>
        <w:tc>
          <w:tcPr>
            <w:tcW w:w="1546" w:type="dxa"/>
            <w:vMerge w:val="restart"/>
            <w:tcBorders>
              <w:left w:val="single" w:sz="4" w:space="0" w:color="000000"/>
              <w:bottom w:val="single" w:sz="4" w:space="0" w:color="000000"/>
              <w:right w:val="single" w:sz="4" w:space="0" w:color="000000"/>
            </w:tcBorders>
            <w:shd w:val="clear" w:color="auto" w:fill="D7D7D7"/>
          </w:tcPr>
          <w:p>
            <w:pPr>
              <w:pStyle w:val="TableParagraph"/>
              <w:spacing w:before="12"/>
              <w:rPr>
                <w:sz w:val="14"/>
              </w:rPr>
            </w:pPr>
          </w:p>
          <w:p>
            <w:pPr>
              <w:pStyle w:val="TableParagraph"/>
              <w:ind w:left="14"/>
              <w:jc w:val="center"/>
              <w:rPr>
                <w:rFonts w:ascii="Calibri"/>
                <w:b/>
                <w:sz w:val="14"/>
              </w:rPr>
            </w:pPr>
            <w:r>
              <w:rPr>
                <w:rFonts w:ascii="Calibri"/>
                <w:b/>
                <w:spacing w:val="-2"/>
                <w:sz w:val="14"/>
              </w:rPr>
              <w:t>GRUPO</w:t>
            </w:r>
          </w:p>
        </w:tc>
        <w:tc>
          <w:tcPr>
            <w:tcW w:w="2110" w:type="dxa"/>
            <w:vMerge w:val="restart"/>
            <w:tcBorders>
              <w:left w:val="single" w:sz="4" w:space="0" w:color="000000"/>
              <w:bottom w:val="single" w:sz="4" w:space="0" w:color="000000"/>
            </w:tcBorders>
            <w:shd w:val="clear" w:color="auto" w:fill="D7D7D7"/>
          </w:tcPr>
          <w:p>
            <w:pPr>
              <w:pStyle w:val="TableParagraph"/>
              <w:spacing w:before="12"/>
              <w:rPr>
                <w:sz w:val="14"/>
              </w:rPr>
            </w:pPr>
          </w:p>
          <w:p>
            <w:pPr>
              <w:pStyle w:val="TableParagraph"/>
              <w:ind w:left="20"/>
              <w:jc w:val="center"/>
              <w:rPr>
                <w:rFonts w:ascii="Calibri"/>
                <w:b/>
                <w:sz w:val="14"/>
              </w:rPr>
            </w:pPr>
            <w:r>
              <w:rPr>
                <w:rFonts w:ascii="Calibri"/>
                <w:b/>
                <w:spacing w:val="-2"/>
                <w:sz w:val="14"/>
              </w:rPr>
              <w:t>NIVEL</w:t>
            </w:r>
          </w:p>
        </w:tc>
        <w:tc>
          <w:tcPr>
            <w:tcW w:w="1440" w:type="dxa"/>
            <w:gridSpan w:val="2"/>
            <w:tcBorders>
              <w:bottom w:val="single" w:sz="4" w:space="0" w:color="000000"/>
              <w:right w:val="single" w:sz="4" w:space="0" w:color="000000"/>
            </w:tcBorders>
            <w:shd w:val="clear" w:color="auto" w:fill="D7D7D7"/>
          </w:tcPr>
          <w:p>
            <w:pPr>
              <w:pStyle w:val="TableParagraph"/>
              <w:spacing w:before="41"/>
              <w:ind w:left="444"/>
              <w:rPr>
                <w:rFonts w:ascii="Calibri" w:hAnsi="Calibri"/>
                <w:sz w:val="14"/>
              </w:rPr>
            </w:pPr>
            <w:r>
              <w:rPr>
                <w:rFonts w:ascii="Calibri" w:hAnsi="Calibri"/>
                <w:sz w:val="14"/>
              </w:rPr>
              <w:t>&lt;</w:t>
            </w:r>
            <w:r>
              <w:rPr>
                <w:rFonts w:ascii="Calibri" w:hAnsi="Calibri"/>
                <w:spacing w:val="-3"/>
                <w:sz w:val="14"/>
              </w:rPr>
              <w:t> </w:t>
            </w:r>
            <w:r>
              <w:rPr>
                <w:rFonts w:ascii="Calibri" w:hAnsi="Calibri"/>
                <w:sz w:val="14"/>
              </w:rPr>
              <w:t>30</w:t>
            </w:r>
            <w:r>
              <w:rPr>
                <w:rFonts w:ascii="Calibri" w:hAnsi="Calibri"/>
                <w:spacing w:val="-2"/>
                <w:sz w:val="14"/>
              </w:rPr>
              <w:t> </w:t>
            </w:r>
            <w:r>
              <w:rPr>
                <w:rFonts w:ascii="Calibri" w:hAnsi="Calibri"/>
                <w:spacing w:val="-4"/>
                <w:sz w:val="14"/>
              </w:rPr>
              <w:t>años</w:t>
            </w:r>
          </w:p>
        </w:tc>
        <w:tc>
          <w:tcPr>
            <w:tcW w:w="1620" w:type="dxa"/>
            <w:gridSpan w:val="2"/>
            <w:tcBorders>
              <w:left w:val="single" w:sz="4" w:space="0" w:color="000000"/>
              <w:bottom w:val="single" w:sz="4" w:space="0" w:color="000000"/>
              <w:right w:val="single" w:sz="4" w:space="0" w:color="000000"/>
            </w:tcBorders>
            <w:shd w:val="clear" w:color="auto" w:fill="D7D7D7"/>
          </w:tcPr>
          <w:p>
            <w:pPr>
              <w:pStyle w:val="TableParagraph"/>
              <w:spacing w:before="41"/>
              <w:ind w:left="466"/>
              <w:rPr>
                <w:rFonts w:ascii="Calibri" w:hAnsi="Calibri"/>
                <w:sz w:val="14"/>
              </w:rPr>
            </w:pPr>
            <w:r>
              <w:rPr>
                <w:rFonts w:ascii="Calibri" w:hAnsi="Calibri"/>
                <w:sz w:val="14"/>
              </w:rPr>
              <w:t>30</w:t>
            </w:r>
            <w:r>
              <w:rPr>
                <w:rFonts w:ascii="Calibri" w:hAnsi="Calibri"/>
                <w:spacing w:val="-4"/>
                <w:sz w:val="14"/>
              </w:rPr>
              <w:t> </w:t>
            </w:r>
            <w:r>
              <w:rPr>
                <w:rFonts w:ascii="Calibri" w:hAnsi="Calibri"/>
                <w:sz w:val="14"/>
              </w:rPr>
              <w:t>-</w:t>
            </w:r>
            <w:r>
              <w:rPr>
                <w:rFonts w:ascii="Calibri" w:hAnsi="Calibri"/>
                <w:spacing w:val="2"/>
                <w:sz w:val="14"/>
              </w:rPr>
              <w:t> </w:t>
            </w:r>
            <w:r>
              <w:rPr>
                <w:rFonts w:ascii="Calibri" w:hAnsi="Calibri"/>
                <w:sz w:val="14"/>
              </w:rPr>
              <w:t>50</w:t>
            </w:r>
            <w:r>
              <w:rPr>
                <w:rFonts w:ascii="Calibri" w:hAnsi="Calibri"/>
                <w:spacing w:val="-3"/>
                <w:sz w:val="14"/>
              </w:rPr>
              <w:t> </w:t>
            </w:r>
            <w:r>
              <w:rPr>
                <w:rFonts w:ascii="Calibri" w:hAnsi="Calibri"/>
                <w:spacing w:val="-4"/>
                <w:sz w:val="14"/>
              </w:rPr>
              <w:t>años</w:t>
            </w:r>
          </w:p>
        </w:tc>
        <w:tc>
          <w:tcPr>
            <w:tcW w:w="1440" w:type="dxa"/>
            <w:gridSpan w:val="2"/>
            <w:tcBorders>
              <w:left w:val="single" w:sz="4" w:space="0" w:color="000000"/>
              <w:bottom w:val="single" w:sz="4" w:space="0" w:color="000000"/>
            </w:tcBorders>
            <w:shd w:val="clear" w:color="auto" w:fill="D7D7D7"/>
          </w:tcPr>
          <w:p>
            <w:pPr>
              <w:pStyle w:val="TableParagraph"/>
              <w:spacing w:before="41"/>
              <w:ind w:left="449"/>
              <w:rPr>
                <w:rFonts w:ascii="Calibri" w:hAnsi="Calibri"/>
                <w:sz w:val="14"/>
              </w:rPr>
            </w:pPr>
            <w:r>
              <w:rPr>
                <w:rFonts w:ascii="Calibri" w:hAnsi="Calibri"/>
                <w:sz w:val="14"/>
              </w:rPr>
              <w:t>&gt;</w:t>
            </w:r>
            <w:r>
              <w:rPr>
                <w:rFonts w:ascii="Calibri" w:hAnsi="Calibri"/>
                <w:spacing w:val="-3"/>
                <w:sz w:val="14"/>
              </w:rPr>
              <w:t> </w:t>
            </w:r>
            <w:r>
              <w:rPr>
                <w:rFonts w:ascii="Calibri" w:hAnsi="Calibri"/>
                <w:sz w:val="14"/>
              </w:rPr>
              <w:t>50</w:t>
            </w:r>
            <w:r>
              <w:rPr>
                <w:rFonts w:ascii="Calibri" w:hAnsi="Calibri"/>
                <w:spacing w:val="-2"/>
                <w:sz w:val="14"/>
              </w:rPr>
              <w:t> </w:t>
            </w:r>
            <w:r>
              <w:rPr>
                <w:rFonts w:ascii="Calibri" w:hAnsi="Calibri"/>
                <w:spacing w:val="-4"/>
                <w:sz w:val="14"/>
              </w:rPr>
              <w:t>años</w:t>
            </w:r>
          </w:p>
        </w:tc>
      </w:tr>
      <w:tr>
        <w:trPr>
          <w:trHeight w:val="291" w:hRule="atLeast"/>
        </w:trPr>
        <w:tc>
          <w:tcPr>
            <w:tcW w:w="370" w:type="dxa"/>
            <w:vMerge/>
            <w:tcBorders>
              <w:top w:val="nil"/>
              <w:left w:val="nil"/>
              <w:right w:val="single" w:sz="4" w:space="0" w:color="000000"/>
            </w:tcBorders>
          </w:tcPr>
          <w:p>
            <w:pPr>
              <w:rPr>
                <w:sz w:val="2"/>
                <w:szCs w:val="2"/>
              </w:rPr>
            </w:pPr>
          </w:p>
        </w:tc>
        <w:tc>
          <w:tcPr>
            <w:tcW w:w="1546" w:type="dxa"/>
            <w:vMerge/>
            <w:tcBorders>
              <w:top w:val="nil"/>
              <w:left w:val="single" w:sz="4" w:space="0" w:color="000000"/>
              <w:bottom w:val="single" w:sz="4" w:space="0" w:color="000000"/>
              <w:right w:val="single" w:sz="4" w:space="0" w:color="000000"/>
            </w:tcBorders>
            <w:shd w:val="clear" w:color="auto" w:fill="D7D7D7"/>
          </w:tcPr>
          <w:p>
            <w:pPr>
              <w:rPr>
                <w:sz w:val="2"/>
                <w:szCs w:val="2"/>
              </w:rPr>
            </w:pPr>
          </w:p>
        </w:tc>
        <w:tc>
          <w:tcPr>
            <w:tcW w:w="2110" w:type="dxa"/>
            <w:vMerge/>
            <w:tcBorders>
              <w:top w:val="nil"/>
              <w:left w:val="single" w:sz="4" w:space="0" w:color="000000"/>
              <w:bottom w:val="single" w:sz="4" w:space="0" w:color="000000"/>
            </w:tcBorders>
            <w:shd w:val="clear" w:color="auto" w:fill="D7D7D7"/>
          </w:tcPr>
          <w:p>
            <w:pPr>
              <w:rPr>
                <w:sz w:val="2"/>
                <w:szCs w:val="2"/>
              </w:rPr>
            </w:pPr>
          </w:p>
        </w:tc>
        <w:tc>
          <w:tcPr>
            <w:tcW w:w="720" w:type="dxa"/>
            <w:tcBorders>
              <w:top w:val="single" w:sz="4" w:space="0" w:color="000000"/>
              <w:bottom w:val="single" w:sz="4" w:space="0" w:color="000000"/>
              <w:right w:val="single" w:sz="4" w:space="0" w:color="000000"/>
            </w:tcBorders>
            <w:shd w:val="clear" w:color="auto" w:fill="D7D7D7"/>
          </w:tcPr>
          <w:p>
            <w:pPr>
              <w:pStyle w:val="TableParagraph"/>
              <w:spacing w:before="36"/>
              <w:ind w:left="20" w:right="13"/>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30" w:right="15"/>
              <w:jc w:val="center"/>
              <w:rPr>
                <w:rFonts w:ascii="Calibri"/>
                <w:sz w:val="14"/>
              </w:rPr>
            </w:pPr>
            <w:r>
              <w:rPr>
                <w:rFonts w:ascii="Calibri"/>
                <w:spacing w:val="-2"/>
                <w:sz w:val="14"/>
              </w:rPr>
              <w:t>MUJER</w:t>
            </w:r>
          </w:p>
        </w:tc>
        <w:tc>
          <w:tcPr>
            <w:tcW w:w="90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23" w:right="8"/>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30" w:right="15"/>
              <w:jc w:val="center"/>
              <w:rPr>
                <w:rFonts w:ascii="Calibri"/>
                <w:sz w:val="14"/>
              </w:rPr>
            </w:pPr>
            <w:r>
              <w:rPr>
                <w:rFonts w:ascii="Calibri"/>
                <w:spacing w:val="-2"/>
                <w:sz w:val="14"/>
              </w:rPr>
              <w:t>MUJER</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27" w:right="15"/>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tcBorders>
            <w:shd w:val="clear" w:color="auto" w:fill="D7D7D7"/>
          </w:tcPr>
          <w:p>
            <w:pPr>
              <w:pStyle w:val="TableParagraph"/>
              <w:spacing w:before="36"/>
              <w:ind w:left="20"/>
              <w:jc w:val="center"/>
              <w:rPr>
                <w:rFonts w:ascii="Calibri"/>
                <w:sz w:val="14"/>
              </w:rPr>
            </w:pPr>
            <w:r>
              <w:rPr>
                <w:rFonts w:ascii="Calibri"/>
                <w:spacing w:val="-2"/>
                <w:sz w:val="14"/>
              </w:rPr>
              <w:t>MUJER</w:t>
            </w:r>
          </w:p>
        </w:tc>
      </w:tr>
      <w:tr>
        <w:trPr>
          <w:trHeight w:val="299" w:hRule="atLeast"/>
        </w:trPr>
        <w:tc>
          <w:tcPr>
            <w:tcW w:w="370" w:type="dxa"/>
            <w:vMerge w:val="restart"/>
            <w:textDirection w:val="btLr"/>
          </w:tcPr>
          <w:p>
            <w:pPr>
              <w:pStyle w:val="TableParagraph"/>
              <w:spacing w:before="51"/>
              <w:ind w:right="7"/>
              <w:jc w:val="center"/>
              <w:rPr>
                <w:rFonts w:ascii="Calibri"/>
                <w:b/>
                <w:sz w:val="14"/>
              </w:rPr>
            </w:pPr>
            <w:r>
              <w:rPr>
                <w:rFonts w:ascii="Calibri"/>
                <w:b/>
                <w:sz w:val="14"/>
              </w:rPr>
              <w:t>TIEMPO</w:t>
            </w:r>
            <w:r>
              <w:rPr>
                <w:rFonts w:ascii="Calibri"/>
                <w:b/>
                <w:spacing w:val="-7"/>
                <w:sz w:val="14"/>
              </w:rPr>
              <w:t> </w:t>
            </w:r>
            <w:r>
              <w:rPr>
                <w:rFonts w:ascii="Calibri"/>
                <w:b/>
                <w:spacing w:val="-2"/>
                <w:sz w:val="14"/>
              </w:rPr>
              <w:t>PARCIAL</w:t>
            </w:r>
          </w:p>
        </w:tc>
        <w:tc>
          <w:tcPr>
            <w:tcW w:w="1546" w:type="dxa"/>
            <w:tcBorders>
              <w:top w:val="single" w:sz="4" w:space="0" w:color="000000"/>
              <w:bottom w:val="single" w:sz="4" w:space="0" w:color="000000"/>
              <w:right w:val="single" w:sz="4" w:space="0" w:color="000000"/>
            </w:tcBorders>
          </w:tcPr>
          <w:p>
            <w:pPr>
              <w:pStyle w:val="TableParagraph"/>
              <w:spacing w:before="22"/>
              <w:ind w:left="10"/>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91"/>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2"/>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32"/>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hAnsi="Calibri"/>
                <w:sz w:val="14"/>
              </w:rPr>
            </w:pPr>
            <w:r>
              <w:rPr>
                <w:rFonts w:ascii="Calibri" w:hAnsi="Calibri"/>
                <w:spacing w:val="-2"/>
                <w:sz w:val="14"/>
              </w:rPr>
              <w:t>TÉCNICO</w:t>
            </w:r>
            <w:r>
              <w:rPr>
                <w:rFonts w:ascii="Calibri" w:hAnsi="Calibri"/>
                <w:spacing w:val="4"/>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19"/>
              <w:rPr>
                <w:sz w:val="14"/>
              </w:rPr>
            </w:pPr>
          </w:p>
          <w:p>
            <w:pPr>
              <w:pStyle w:val="TableParagraph"/>
              <w:ind w:left="227"/>
              <w:rPr>
                <w:rFonts w:ascii="Calibri"/>
                <w:b/>
                <w:sz w:val="14"/>
              </w:rPr>
            </w:pP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MANDO</w:t>
            </w:r>
            <w:r>
              <w:rPr>
                <w:rFonts w:ascii="Calibri"/>
                <w:spacing w:val="-6"/>
                <w:sz w:val="14"/>
              </w:rPr>
              <w:t> </w:t>
            </w:r>
            <w:r>
              <w:rPr>
                <w:rFonts w:ascii="Calibri"/>
                <w:sz w:val="14"/>
              </w:rPr>
              <w:t>DE</w:t>
            </w:r>
            <w:r>
              <w:rPr>
                <w:rFonts w:ascii="Calibri"/>
                <w:spacing w:val="-2"/>
                <w:sz w:val="14"/>
              </w:rPr>
              <w:t> 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0" w:right="15"/>
              <w:jc w:val="center"/>
              <w:rPr>
                <w:sz w:val="14"/>
              </w:rPr>
            </w:pPr>
            <w:r>
              <w:rPr>
                <w:spacing w:val="-4"/>
                <w:sz w:val="14"/>
              </w:rPr>
              <w:t>0,48</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MANDO</w:t>
            </w:r>
            <w:r>
              <w:rPr>
                <w:rFonts w:ascii="Calibri"/>
                <w:spacing w:val="-6"/>
                <w:sz w:val="14"/>
              </w:rPr>
              <w:t> </w:t>
            </w:r>
            <w:r>
              <w:rPr>
                <w:rFonts w:ascii="Calibri"/>
                <w:sz w:val="14"/>
              </w:rPr>
              <w:t>DE</w:t>
            </w:r>
            <w:r>
              <w:rPr>
                <w:rFonts w:ascii="Calibri"/>
                <w:spacing w:val="-2"/>
                <w:sz w:val="14"/>
              </w:rPr>
              <w:t> 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0,58</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bottom w:val="single" w:sz="4" w:space="0" w:color="000000"/>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hAnsi="Calibri"/>
                <w:sz w:val="14"/>
              </w:rPr>
            </w:pPr>
            <w:r>
              <w:rPr>
                <w:rFonts w:ascii="Calibri" w:hAnsi="Calibri"/>
                <w:sz w:val="14"/>
              </w:rPr>
              <w:t>MANDO</w:t>
            </w:r>
            <w:r>
              <w:rPr>
                <w:rFonts w:ascii="Calibri" w:hAnsi="Calibri"/>
                <w:spacing w:val="-6"/>
                <w:sz w:val="14"/>
              </w:rPr>
              <w:t> </w:t>
            </w:r>
            <w:r>
              <w:rPr>
                <w:rFonts w:ascii="Calibri" w:hAnsi="Calibri"/>
                <w:sz w:val="14"/>
              </w:rPr>
              <w:t>DE</w:t>
            </w:r>
            <w:r>
              <w:rPr>
                <w:rFonts w:ascii="Calibri" w:hAnsi="Calibri"/>
                <w:spacing w:val="-2"/>
                <w:sz w:val="14"/>
              </w:rPr>
              <w:t> 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0,26</w:t>
            </w:r>
          </w:p>
        </w:tc>
      </w:tr>
      <w:tr>
        <w:trPr>
          <w:trHeight w:val="299" w:hRule="atLeast"/>
        </w:trPr>
        <w:tc>
          <w:tcPr>
            <w:tcW w:w="370" w:type="dxa"/>
            <w:vMerge/>
            <w:tcBorders>
              <w:top w:val="nil"/>
            </w:tcBorders>
            <w:textDirection w:val="btLr"/>
          </w:tcPr>
          <w:p>
            <w:pPr>
              <w:rPr>
                <w:sz w:val="2"/>
                <w:szCs w:val="2"/>
              </w:rPr>
            </w:pPr>
          </w:p>
        </w:tc>
        <w:tc>
          <w:tcPr>
            <w:tcW w:w="1546"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6"/>
              <w:rPr>
                <w:sz w:val="14"/>
              </w:rPr>
            </w:pPr>
          </w:p>
          <w:p>
            <w:pPr>
              <w:pStyle w:val="TableParagraph"/>
              <w:ind w:left="263"/>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pacing w:val="-2"/>
                <w:sz w:val="14"/>
              </w:rPr>
              <w:t>CONDUCTOR</w:t>
            </w:r>
            <w:r>
              <w:rPr>
                <w:rFonts w:ascii="Calibri"/>
                <w:spacing w:val="8"/>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spacing w:before="58"/>
              <w:ind w:left="20" w:right="10"/>
              <w:jc w:val="center"/>
              <w:rPr>
                <w:sz w:val="14"/>
              </w:rPr>
            </w:pPr>
            <w:r>
              <w:rPr>
                <w:spacing w:val="-4"/>
                <w:sz w:val="14"/>
              </w:rPr>
              <w:t>1,17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58"/>
              <w:ind w:left="23" w:right="11"/>
              <w:jc w:val="center"/>
              <w:rPr>
                <w:sz w:val="14"/>
              </w:rPr>
            </w:pPr>
            <w:r>
              <w:rPr>
                <w:spacing w:val="-2"/>
                <w:sz w:val="14"/>
              </w:rPr>
              <w:t>16,33</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29" w:right="15"/>
              <w:jc w:val="center"/>
              <w:rPr>
                <w:sz w:val="14"/>
              </w:rPr>
            </w:pPr>
            <w:r>
              <w:rPr>
                <w:spacing w:val="-4"/>
                <w:sz w:val="14"/>
              </w:rPr>
              <w:t>4,86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0" w:right="15"/>
              <w:jc w:val="center"/>
              <w:rPr>
                <w:sz w:val="14"/>
              </w:rPr>
            </w:pPr>
            <w:r>
              <w:rPr>
                <w:spacing w:val="-2"/>
                <w:sz w:val="14"/>
              </w:rPr>
              <w:t>11,96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0" w:right="15"/>
              <w:jc w:val="center"/>
              <w:rPr>
                <w:sz w:val="14"/>
              </w:rPr>
            </w:pPr>
            <w:r>
              <w:rPr>
                <w:spacing w:val="-4"/>
                <w:sz w:val="14"/>
              </w:rPr>
              <w:t>0,79</w:t>
            </w: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01"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6"/>
              <w:ind w:left="73"/>
              <w:rPr>
                <w:rFonts w:ascii="Calibri"/>
                <w:sz w:val="14"/>
              </w:rPr>
            </w:pPr>
            <w:r>
              <w:rPr>
                <w:rFonts w:ascii="Calibri"/>
                <w:sz w:val="14"/>
              </w:rPr>
              <w:t>OFICIAL</w:t>
            </w:r>
            <w:r>
              <w:rPr>
                <w:rFonts w:ascii="Calibri"/>
                <w:spacing w:val="-8"/>
                <w:sz w:val="14"/>
              </w:rPr>
              <w:t> </w:t>
            </w:r>
            <w:r>
              <w:rPr>
                <w:rFonts w:ascii="Calibri"/>
                <w:sz w:val="14"/>
              </w:rPr>
              <w:t>TALLER</w:t>
            </w:r>
            <w:r>
              <w:rPr>
                <w:rFonts w:ascii="Calibri"/>
                <w:spacing w:val="-5"/>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11"/>
              <w:jc w:val="center"/>
              <w:rPr>
                <w:sz w:val="14"/>
              </w:rPr>
            </w:pPr>
            <w:r>
              <w:rPr>
                <w:spacing w:val="-2"/>
                <w:sz w:val="14"/>
              </w:rPr>
              <w:t>0,750</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0,27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sz w:val="14"/>
              </w:rPr>
            </w:pPr>
            <w:r>
              <w:rPr>
                <w:rFonts w:ascii="Calibri"/>
                <w:sz w:val="14"/>
              </w:rPr>
              <w:t>AUXILIAR</w:t>
            </w:r>
            <w:r>
              <w:rPr>
                <w:rFonts w:ascii="Calibri"/>
                <w:spacing w:val="-7"/>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299"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44"/>
              <w:ind w:left="73"/>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3"/>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0" w:right="15"/>
              <w:jc w:val="center"/>
              <w:rPr>
                <w:sz w:val="14"/>
              </w:rPr>
            </w:pPr>
            <w:r>
              <w:rPr>
                <w:spacing w:val="-4"/>
                <w:sz w:val="14"/>
              </w:rPr>
              <w:t>0,88</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r>
      <w:tr>
        <w:trPr>
          <w:trHeight w:val="320" w:hRule="atLeast"/>
        </w:trPr>
        <w:tc>
          <w:tcPr>
            <w:tcW w:w="370" w:type="dxa"/>
            <w:vMerge/>
            <w:tcBorders>
              <w:top w:val="nil"/>
            </w:tcBorders>
            <w:textDirection w:val="btLr"/>
          </w:tcPr>
          <w:p>
            <w:pPr>
              <w:rPr>
                <w:sz w:val="2"/>
                <w:szCs w:val="2"/>
              </w:rPr>
            </w:pPr>
          </w:p>
        </w:tc>
        <w:tc>
          <w:tcPr>
            <w:tcW w:w="1546" w:type="dxa"/>
            <w:vMerge/>
            <w:tcBorders>
              <w:top w:val="nil"/>
              <w:right w:val="single" w:sz="4" w:space="0" w:color="000000"/>
            </w:tcBorders>
          </w:tcPr>
          <w:p>
            <w:pPr>
              <w:rPr>
                <w:sz w:val="2"/>
                <w:szCs w:val="2"/>
              </w:rPr>
            </w:pPr>
          </w:p>
        </w:tc>
        <w:tc>
          <w:tcPr>
            <w:tcW w:w="2110" w:type="dxa"/>
            <w:tcBorders>
              <w:top w:val="single" w:sz="4" w:space="0" w:color="000000"/>
              <w:left w:val="single" w:sz="4" w:space="0" w:color="000000"/>
              <w:bottom w:val="single" w:sz="4" w:space="0" w:color="000000"/>
            </w:tcBorders>
          </w:tcPr>
          <w:p>
            <w:pPr>
              <w:pStyle w:val="TableParagraph"/>
              <w:spacing w:before="60"/>
              <w:ind w:left="73"/>
              <w:rPr>
                <w:rFonts w:ascii="Calibri"/>
                <w:sz w:val="14"/>
              </w:rPr>
            </w:pPr>
            <w:r>
              <w:rPr>
                <w:rFonts w:ascii="Calibri"/>
                <w:sz w:val="14"/>
              </w:rPr>
              <w:t>AUXILIAR</w:t>
            </w:r>
            <w:r>
              <w:rPr>
                <w:rFonts w:ascii="Calibri"/>
                <w:spacing w:val="-7"/>
                <w:sz w:val="14"/>
              </w:rPr>
              <w:t> </w:t>
            </w:r>
            <w:r>
              <w:rPr>
                <w:rFonts w:ascii="Calibri"/>
                <w:spacing w:val="-2"/>
                <w:sz w:val="14"/>
              </w:rPr>
              <w:t>ADMIN/ESPECIALISTA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tcBorders>
          </w:tcPr>
          <w:p>
            <w:pPr>
              <w:pStyle w:val="TableParagraph"/>
              <w:rPr>
                <w:rFonts w:ascii="Times New Roman"/>
                <w:sz w:val="14"/>
              </w:rPr>
            </w:pPr>
          </w:p>
        </w:tc>
      </w:tr>
    </w:tbl>
    <w:p>
      <w:pPr>
        <w:pStyle w:val="TableParagraph"/>
        <w:spacing w:after="0"/>
        <w:rPr>
          <w:rFonts w:ascii="Times New Roman"/>
          <w:sz w:val="14"/>
        </w:rPr>
        <w:sectPr>
          <w:pgSz w:w="11910" w:h="16840"/>
          <w:pgMar w:header="384" w:footer="1060" w:top="1200" w:bottom="1260" w:left="360" w:right="360"/>
        </w:sectPr>
      </w:pPr>
    </w:p>
    <w:p>
      <w:pPr>
        <w:pStyle w:val="BodyText"/>
        <w:spacing w:line="362" w:lineRule="auto" w:before="215"/>
        <w:ind w:left="1341" w:right="1308"/>
      </w:pPr>
      <w:r>
        <w:rPr/>
        <mc:AlternateContent>
          <mc:Choice Requires="wps">
            <w:drawing>
              <wp:anchor distT="0" distB="0" distL="0" distR="0" allowOverlap="1" layoutInCell="1" locked="0" behindDoc="0" simplePos="0" relativeHeight="15806976">
                <wp:simplePos x="0" y="0"/>
                <wp:positionH relativeFrom="page">
                  <wp:posOffset>6966436</wp:posOffset>
                </wp:positionH>
                <wp:positionV relativeFrom="page">
                  <wp:posOffset>6553363</wp:posOffset>
                </wp:positionV>
                <wp:extent cx="263525" cy="327596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6976" type="#_x0000_t202" id="docshape22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 variación del número total de la plantilla (promedio) distribuida por dedicación de la jornada de trabajo, grupo profesional, edad, y sexo del 2025 con respecto al 2024:</w:t>
      </w:r>
    </w:p>
    <w:p>
      <w:pPr>
        <w:pStyle w:val="BodyText"/>
        <w:spacing w:before="10"/>
        <w:rPr>
          <w:sz w:val="16"/>
        </w:rPr>
      </w:pPr>
    </w:p>
    <w:tbl>
      <w:tblPr>
        <w:tblW w:w="0" w:type="auto"/>
        <w:jc w:val="left"/>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6"/>
        <w:gridCol w:w="1545"/>
        <w:gridCol w:w="2150"/>
        <w:gridCol w:w="720"/>
        <w:gridCol w:w="720"/>
        <w:gridCol w:w="720"/>
        <w:gridCol w:w="720"/>
        <w:gridCol w:w="900"/>
        <w:gridCol w:w="547"/>
      </w:tblGrid>
      <w:tr>
        <w:trPr>
          <w:trHeight w:val="313" w:hRule="atLeast"/>
        </w:trPr>
        <w:tc>
          <w:tcPr>
            <w:tcW w:w="446" w:type="dxa"/>
            <w:vMerge w:val="restart"/>
            <w:tcBorders>
              <w:top w:val="nil"/>
              <w:left w:val="nil"/>
              <w:right w:val="nil"/>
            </w:tcBorders>
          </w:tcPr>
          <w:p>
            <w:pPr>
              <w:pStyle w:val="TableParagraph"/>
              <w:rPr>
                <w:rFonts w:ascii="Times New Roman"/>
                <w:sz w:val="14"/>
              </w:rPr>
            </w:pPr>
          </w:p>
        </w:tc>
        <w:tc>
          <w:tcPr>
            <w:tcW w:w="3695" w:type="dxa"/>
            <w:gridSpan w:val="2"/>
            <w:tcBorders>
              <w:top w:val="nil"/>
              <w:left w:val="nil"/>
              <w:right w:val="single" w:sz="4" w:space="0" w:color="000000"/>
            </w:tcBorders>
          </w:tcPr>
          <w:p>
            <w:pPr>
              <w:pStyle w:val="TableParagraph"/>
              <w:rPr>
                <w:rFonts w:ascii="Times New Roman"/>
                <w:sz w:val="14"/>
              </w:rPr>
            </w:pPr>
          </w:p>
        </w:tc>
        <w:tc>
          <w:tcPr>
            <w:tcW w:w="4327" w:type="dxa"/>
            <w:gridSpan w:val="6"/>
            <w:tcBorders>
              <w:top w:val="single" w:sz="4" w:space="0" w:color="000000"/>
              <w:left w:val="single" w:sz="4" w:space="0" w:color="000000"/>
              <w:right w:val="single" w:sz="4" w:space="0" w:color="000000"/>
            </w:tcBorders>
            <w:shd w:val="clear" w:color="auto" w:fill="D7D7D7"/>
          </w:tcPr>
          <w:p>
            <w:pPr>
              <w:pStyle w:val="TableParagraph"/>
              <w:spacing w:before="53"/>
              <w:ind w:left="20"/>
              <w:jc w:val="center"/>
              <w:rPr>
                <w:rFonts w:ascii="Calibri" w:hAnsi="Calibri"/>
                <w:b/>
                <w:sz w:val="14"/>
              </w:rPr>
            </w:pPr>
            <w:r>
              <w:rPr>
                <w:rFonts w:ascii="Calibri" w:hAnsi="Calibri"/>
                <w:b/>
                <w:sz w:val="14"/>
              </w:rPr>
              <w:t>∆</w:t>
            </w:r>
            <w:r>
              <w:rPr>
                <w:rFonts w:ascii="Calibri" w:hAnsi="Calibri"/>
                <w:b/>
                <w:spacing w:val="-4"/>
                <w:sz w:val="14"/>
              </w:rPr>
              <w:t> </w:t>
            </w:r>
            <w:r>
              <w:rPr>
                <w:rFonts w:ascii="Calibri" w:hAnsi="Calibri"/>
                <w:b/>
                <w:sz w:val="14"/>
              </w:rPr>
              <w:t>2025-</w:t>
            </w:r>
            <w:r>
              <w:rPr>
                <w:rFonts w:ascii="Calibri" w:hAnsi="Calibri"/>
                <w:b/>
                <w:spacing w:val="-4"/>
                <w:sz w:val="14"/>
              </w:rPr>
              <w:t>2024</w:t>
            </w:r>
          </w:p>
        </w:tc>
      </w:tr>
      <w:tr>
        <w:trPr>
          <w:trHeight w:val="299" w:hRule="atLeast"/>
        </w:trPr>
        <w:tc>
          <w:tcPr>
            <w:tcW w:w="446" w:type="dxa"/>
            <w:vMerge/>
            <w:tcBorders>
              <w:top w:val="nil"/>
              <w:left w:val="nil"/>
              <w:right w:val="nil"/>
            </w:tcBorders>
          </w:tcPr>
          <w:p>
            <w:pPr>
              <w:rPr>
                <w:sz w:val="2"/>
                <w:szCs w:val="2"/>
              </w:rPr>
            </w:pPr>
          </w:p>
        </w:tc>
        <w:tc>
          <w:tcPr>
            <w:tcW w:w="1545" w:type="dxa"/>
            <w:vMerge w:val="restart"/>
            <w:tcBorders>
              <w:bottom w:val="single" w:sz="4" w:space="0" w:color="000000"/>
              <w:right w:val="single" w:sz="4" w:space="0" w:color="000000"/>
            </w:tcBorders>
            <w:shd w:val="clear" w:color="auto" w:fill="D7D7D7"/>
          </w:tcPr>
          <w:p>
            <w:pPr>
              <w:pStyle w:val="TableParagraph"/>
              <w:spacing w:before="24"/>
              <w:rPr>
                <w:sz w:val="14"/>
              </w:rPr>
            </w:pPr>
          </w:p>
          <w:p>
            <w:pPr>
              <w:pStyle w:val="TableParagraph"/>
              <w:ind w:left="11"/>
              <w:jc w:val="center"/>
              <w:rPr>
                <w:rFonts w:ascii="Calibri"/>
                <w:b/>
                <w:sz w:val="14"/>
              </w:rPr>
            </w:pPr>
            <w:r>
              <w:rPr>
                <w:rFonts w:ascii="Calibri"/>
                <w:b/>
                <w:spacing w:val="-2"/>
                <w:sz w:val="14"/>
              </w:rPr>
              <w:t>GRUPO</w:t>
            </w:r>
          </w:p>
        </w:tc>
        <w:tc>
          <w:tcPr>
            <w:tcW w:w="2150" w:type="dxa"/>
            <w:vMerge w:val="restart"/>
            <w:tcBorders>
              <w:left w:val="single" w:sz="4" w:space="0" w:color="000000"/>
              <w:bottom w:val="single" w:sz="4" w:space="0" w:color="000000"/>
            </w:tcBorders>
            <w:shd w:val="clear" w:color="auto" w:fill="D7D7D7"/>
          </w:tcPr>
          <w:p>
            <w:pPr>
              <w:pStyle w:val="TableParagraph"/>
              <w:spacing w:before="24"/>
              <w:rPr>
                <w:sz w:val="14"/>
              </w:rPr>
            </w:pPr>
          </w:p>
          <w:p>
            <w:pPr>
              <w:pStyle w:val="TableParagraph"/>
              <w:ind w:left="22"/>
              <w:jc w:val="center"/>
              <w:rPr>
                <w:rFonts w:ascii="Calibri"/>
                <w:b/>
                <w:sz w:val="14"/>
              </w:rPr>
            </w:pPr>
            <w:r>
              <w:rPr>
                <w:rFonts w:ascii="Calibri"/>
                <w:b/>
                <w:spacing w:val="-2"/>
                <w:sz w:val="14"/>
              </w:rPr>
              <w:t>NIVEL</w:t>
            </w:r>
          </w:p>
        </w:tc>
        <w:tc>
          <w:tcPr>
            <w:tcW w:w="1440" w:type="dxa"/>
            <w:gridSpan w:val="2"/>
            <w:tcBorders>
              <w:right w:val="single" w:sz="4" w:space="0" w:color="000000"/>
            </w:tcBorders>
            <w:shd w:val="clear" w:color="auto" w:fill="D7D7D7"/>
          </w:tcPr>
          <w:p>
            <w:pPr>
              <w:pStyle w:val="TableParagraph"/>
              <w:spacing w:before="41"/>
              <w:ind w:left="445"/>
              <w:rPr>
                <w:rFonts w:ascii="Calibri" w:hAnsi="Calibri"/>
                <w:b/>
                <w:sz w:val="14"/>
              </w:rPr>
            </w:pPr>
            <w:r>
              <w:rPr>
                <w:rFonts w:ascii="Calibri" w:hAnsi="Calibri"/>
                <w:b/>
                <w:sz w:val="14"/>
              </w:rPr>
              <w:t>&lt;</w:t>
            </w:r>
            <w:r>
              <w:rPr>
                <w:rFonts w:ascii="Calibri" w:hAnsi="Calibri"/>
                <w:b/>
                <w:spacing w:val="-3"/>
                <w:sz w:val="14"/>
              </w:rPr>
              <w:t> </w:t>
            </w:r>
            <w:r>
              <w:rPr>
                <w:rFonts w:ascii="Calibri" w:hAnsi="Calibri"/>
                <w:b/>
                <w:sz w:val="14"/>
              </w:rPr>
              <w:t>30</w:t>
            </w:r>
            <w:r>
              <w:rPr>
                <w:rFonts w:ascii="Calibri" w:hAnsi="Calibri"/>
                <w:b/>
                <w:spacing w:val="-2"/>
                <w:sz w:val="14"/>
              </w:rPr>
              <w:t> </w:t>
            </w:r>
            <w:r>
              <w:rPr>
                <w:rFonts w:ascii="Calibri" w:hAnsi="Calibri"/>
                <w:b/>
                <w:spacing w:val="-4"/>
                <w:sz w:val="14"/>
              </w:rPr>
              <w:t>años</w:t>
            </w:r>
          </w:p>
        </w:tc>
        <w:tc>
          <w:tcPr>
            <w:tcW w:w="1440" w:type="dxa"/>
            <w:gridSpan w:val="2"/>
            <w:tcBorders>
              <w:left w:val="single" w:sz="4" w:space="0" w:color="000000"/>
              <w:right w:val="single" w:sz="4" w:space="0" w:color="000000"/>
            </w:tcBorders>
            <w:shd w:val="clear" w:color="auto" w:fill="D7D7D7"/>
          </w:tcPr>
          <w:p>
            <w:pPr>
              <w:pStyle w:val="TableParagraph"/>
              <w:spacing w:before="41"/>
              <w:ind w:left="378"/>
              <w:rPr>
                <w:rFonts w:ascii="Calibri" w:hAnsi="Calibri"/>
                <w:b/>
                <w:sz w:val="14"/>
              </w:rPr>
            </w:pPr>
            <w:r>
              <w:rPr>
                <w:rFonts w:ascii="Calibri" w:hAnsi="Calibri"/>
                <w:b/>
                <w:sz w:val="14"/>
              </w:rPr>
              <w:t>30</w:t>
            </w:r>
            <w:r>
              <w:rPr>
                <w:rFonts w:ascii="Calibri" w:hAnsi="Calibri"/>
                <w:b/>
                <w:spacing w:val="-4"/>
                <w:sz w:val="14"/>
              </w:rPr>
              <w:t> </w:t>
            </w:r>
            <w:r>
              <w:rPr>
                <w:rFonts w:ascii="Calibri" w:hAnsi="Calibri"/>
                <w:b/>
                <w:sz w:val="14"/>
              </w:rPr>
              <w:t>-</w:t>
            </w:r>
            <w:r>
              <w:rPr>
                <w:rFonts w:ascii="Calibri" w:hAnsi="Calibri"/>
                <w:b/>
                <w:spacing w:val="2"/>
                <w:sz w:val="14"/>
              </w:rPr>
              <w:t> </w:t>
            </w:r>
            <w:r>
              <w:rPr>
                <w:rFonts w:ascii="Calibri" w:hAnsi="Calibri"/>
                <w:b/>
                <w:sz w:val="14"/>
              </w:rPr>
              <w:t>50</w:t>
            </w:r>
            <w:r>
              <w:rPr>
                <w:rFonts w:ascii="Calibri" w:hAnsi="Calibri"/>
                <w:b/>
                <w:spacing w:val="-3"/>
                <w:sz w:val="14"/>
              </w:rPr>
              <w:t> </w:t>
            </w:r>
            <w:r>
              <w:rPr>
                <w:rFonts w:ascii="Calibri" w:hAnsi="Calibri"/>
                <w:b/>
                <w:spacing w:val="-4"/>
                <w:sz w:val="14"/>
              </w:rPr>
              <w:t>años</w:t>
            </w:r>
          </w:p>
        </w:tc>
        <w:tc>
          <w:tcPr>
            <w:tcW w:w="1447" w:type="dxa"/>
            <w:gridSpan w:val="2"/>
            <w:tcBorders>
              <w:left w:val="single" w:sz="4" w:space="0" w:color="000000"/>
            </w:tcBorders>
            <w:shd w:val="clear" w:color="auto" w:fill="D7D7D7"/>
          </w:tcPr>
          <w:p>
            <w:pPr>
              <w:pStyle w:val="TableParagraph"/>
              <w:spacing w:before="41"/>
              <w:ind w:left="454"/>
              <w:rPr>
                <w:rFonts w:ascii="Calibri" w:hAnsi="Calibri"/>
                <w:b/>
                <w:sz w:val="14"/>
              </w:rPr>
            </w:pPr>
            <w:r>
              <w:rPr>
                <w:rFonts w:ascii="Calibri" w:hAnsi="Calibri"/>
                <w:b/>
                <w:sz w:val="14"/>
              </w:rPr>
              <w:t>&gt;</w:t>
            </w:r>
            <w:r>
              <w:rPr>
                <w:rFonts w:ascii="Calibri" w:hAnsi="Calibri"/>
                <w:b/>
                <w:spacing w:val="-3"/>
                <w:sz w:val="14"/>
              </w:rPr>
              <w:t> </w:t>
            </w:r>
            <w:r>
              <w:rPr>
                <w:rFonts w:ascii="Calibri" w:hAnsi="Calibri"/>
                <w:b/>
                <w:sz w:val="14"/>
              </w:rPr>
              <w:t>50</w:t>
            </w:r>
            <w:r>
              <w:rPr>
                <w:rFonts w:ascii="Calibri" w:hAnsi="Calibri"/>
                <w:b/>
                <w:spacing w:val="-2"/>
                <w:sz w:val="14"/>
              </w:rPr>
              <w:t> </w:t>
            </w:r>
            <w:r>
              <w:rPr>
                <w:rFonts w:ascii="Calibri" w:hAnsi="Calibri"/>
                <w:b/>
                <w:spacing w:val="-4"/>
                <w:sz w:val="14"/>
              </w:rPr>
              <w:t>años</w:t>
            </w:r>
          </w:p>
        </w:tc>
      </w:tr>
      <w:tr>
        <w:trPr>
          <w:trHeight w:val="311" w:hRule="atLeast"/>
        </w:trPr>
        <w:tc>
          <w:tcPr>
            <w:tcW w:w="446" w:type="dxa"/>
            <w:vMerge/>
            <w:tcBorders>
              <w:top w:val="nil"/>
              <w:left w:val="nil"/>
              <w:right w:val="nil"/>
            </w:tcBorders>
          </w:tcPr>
          <w:p>
            <w:pPr>
              <w:rPr>
                <w:sz w:val="2"/>
                <w:szCs w:val="2"/>
              </w:rPr>
            </w:pPr>
          </w:p>
        </w:tc>
        <w:tc>
          <w:tcPr>
            <w:tcW w:w="1545" w:type="dxa"/>
            <w:vMerge/>
            <w:tcBorders>
              <w:top w:val="nil"/>
              <w:bottom w:val="single" w:sz="4" w:space="0" w:color="000000"/>
              <w:right w:val="single" w:sz="4" w:space="0" w:color="000000"/>
            </w:tcBorders>
            <w:shd w:val="clear" w:color="auto" w:fill="D7D7D7"/>
          </w:tcPr>
          <w:p>
            <w:pPr>
              <w:rPr>
                <w:sz w:val="2"/>
                <w:szCs w:val="2"/>
              </w:rPr>
            </w:pPr>
          </w:p>
        </w:tc>
        <w:tc>
          <w:tcPr>
            <w:tcW w:w="2150" w:type="dxa"/>
            <w:vMerge/>
            <w:tcBorders>
              <w:top w:val="nil"/>
              <w:left w:val="single" w:sz="4" w:space="0" w:color="000000"/>
              <w:bottom w:val="single" w:sz="4" w:space="0" w:color="000000"/>
            </w:tcBorders>
            <w:shd w:val="clear" w:color="auto" w:fill="D7D7D7"/>
          </w:tcPr>
          <w:p>
            <w:pPr>
              <w:rPr>
                <w:sz w:val="2"/>
                <w:szCs w:val="2"/>
              </w:rPr>
            </w:pPr>
          </w:p>
        </w:tc>
        <w:tc>
          <w:tcPr>
            <w:tcW w:w="720" w:type="dxa"/>
            <w:tcBorders>
              <w:bottom w:val="single" w:sz="4" w:space="0" w:color="000000"/>
              <w:right w:val="single" w:sz="4" w:space="0" w:color="000000"/>
            </w:tcBorders>
            <w:shd w:val="clear" w:color="auto" w:fill="D7D7D7"/>
          </w:tcPr>
          <w:p>
            <w:pPr>
              <w:pStyle w:val="TableParagraph"/>
              <w:spacing w:before="56"/>
              <w:ind w:left="20" w:right="5"/>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6"/>
              <w:ind w:left="33" w:right="15"/>
              <w:jc w:val="center"/>
              <w:rPr>
                <w:rFonts w:ascii="Calibri"/>
                <w:b/>
                <w:sz w:val="14"/>
              </w:rPr>
            </w:pPr>
            <w:r>
              <w:rPr>
                <w:rFonts w:ascii="Calibri"/>
                <w:b/>
                <w:spacing w:val="-2"/>
                <w:sz w:val="14"/>
              </w:rPr>
              <w:t>MUJER</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6"/>
              <w:ind w:left="35" w:right="15"/>
              <w:jc w:val="center"/>
              <w:rPr>
                <w:rFonts w:ascii="Calibri"/>
                <w:b/>
                <w:sz w:val="14"/>
              </w:rPr>
            </w:pPr>
            <w:r>
              <w:rPr>
                <w:rFonts w:ascii="Calibri"/>
                <w:b/>
                <w:spacing w:val="-2"/>
                <w:sz w:val="14"/>
              </w:rPr>
              <w:t>HOMBRE</w:t>
            </w:r>
          </w:p>
        </w:tc>
        <w:tc>
          <w:tcPr>
            <w:tcW w:w="720" w:type="dxa"/>
            <w:tcBorders>
              <w:left w:val="single" w:sz="4" w:space="0" w:color="000000"/>
              <w:bottom w:val="single" w:sz="4" w:space="0" w:color="000000"/>
              <w:right w:val="single" w:sz="4" w:space="0" w:color="000000"/>
            </w:tcBorders>
            <w:shd w:val="clear" w:color="auto" w:fill="D7D7D7"/>
          </w:tcPr>
          <w:p>
            <w:pPr>
              <w:pStyle w:val="TableParagraph"/>
              <w:spacing w:before="56"/>
              <w:ind w:left="33" w:right="15"/>
              <w:jc w:val="center"/>
              <w:rPr>
                <w:rFonts w:ascii="Calibri"/>
                <w:b/>
                <w:sz w:val="14"/>
              </w:rPr>
            </w:pPr>
            <w:r>
              <w:rPr>
                <w:rFonts w:ascii="Calibri"/>
                <w:b/>
                <w:spacing w:val="-2"/>
                <w:sz w:val="14"/>
              </w:rPr>
              <w:t>MUJER</w:t>
            </w:r>
          </w:p>
        </w:tc>
        <w:tc>
          <w:tcPr>
            <w:tcW w:w="900" w:type="dxa"/>
            <w:tcBorders>
              <w:left w:val="single" w:sz="4" w:space="0" w:color="000000"/>
              <w:bottom w:val="single" w:sz="4" w:space="0" w:color="000000"/>
              <w:right w:val="single" w:sz="4" w:space="0" w:color="000000"/>
            </w:tcBorders>
            <w:shd w:val="clear" w:color="auto" w:fill="D7D7D7"/>
          </w:tcPr>
          <w:p>
            <w:pPr>
              <w:pStyle w:val="TableParagraph"/>
              <w:spacing w:before="56"/>
              <w:ind w:left="23"/>
              <w:jc w:val="center"/>
              <w:rPr>
                <w:rFonts w:ascii="Calibri"/>
                <w:b/>
                <w:sz w:val="14"/>
              </w:rPr>
            </w:pPr>
            <w:r>
              <w:rPr>
                <w:rFonts w:ascii="Calibri"/>
                <w:b/>
                <w:spacing w:val="-2"/>
                <w:sz w:val="14"/>
              </w:rPr>
              <w:t>HOMBRE</w:t>
            </w:r>
          </w:p>
        </w:tc>
        <w:tc>
          <w:tcPr>
            <w:tcW w:w="547" w:type="dxa"/>
            <w:tcBorders>
              <w:left w:val="single" w:sz="4" w:space="0" w:color="000000"/>
              <w:bottom w:val="single" w:sz="4" w:space="0" w:color="000000"/>
            </w:tcBorders>
            <w:shd w:val="clear" w:color="auto" w:fill="D7D7D7"/>
          </w:tcPr>
          <w:p>
            <w:pPr>
              <w:pStyle w:val="TableParagraph"/>
              <w:spacing w:before="56"/>
              <w:ind w:left="26" w:right="3"/>
              <w:jc w:val="center"/>
              <w:rPr>
                <w:rFonts w:ascii="Calibri"/>
                <w:b/>
                <w:sz w:val="14"/>
              </w:rPr>
            </w:pPr>
            <w:r>
              <w:rPr>
                <w:rFonts w:ascii="Calibri"/>
                <w:b/>
                <w:spacing w:val="-2"/>
                <w:sz w:val="14"/>
              </w:rPr>
              <w:t>MUJER</w:t>
            </w:r>
          </w:p>
        </w:tc>
      </w:tr>
      <w:tr>
        <w:trPr>
          <w:trHeight w:val="299" w:hRule="atLeast"/>
        </w:trPr>
        <w:tc>
          <w:tcPr>
            <w:tcW w:w="446" w:type="dxa"/>
            <w:vMerge w:val="restart"/>
            <w:textDirection w:val="btLr"/>
          </w:tcPr>
          <w:p>
            <w:pPr>
              <w:pStyle w:val="TableParagraph"/>
              <w:spacing w:before="89"/>
              <w:ind w:right="9"/>
              <w:jc w:val="center"/>
              <w:rPr>
                <w:rFonts w:ascii="Calibri"/>
                <w:b/>
                <w:sz w:val="14"/>
              </w:rPr>
            </w:pPr>
            <w:r>
              <w:rPr>
                <w:rFonts w:ascii="Calibri"/>
                <w:b/>
                <w:sz w:val="14"/>
              </w:rPr>
              <w:t>TIEMPO</w:t>
            </w:r>
            <w:r>
              <w:rPr>
                <w:rFonts w:ascii="Calibri"/>
                <w:b/>
                <w:spacing w:val="-7"/>
                <w:sz w:val="14"/>
              </w:rPr>
              <w:t> </w:t>
            </w:r>
            <w:r>
              <w:rPr>
                <w:rFonts w:ascii="Calibri"/>
                <w:b/>
                <w:spacing w:val="-2"/>
                <w:sz w:val="14"/>
              </w:rPr>
              <w:t>COMPLETO</w:t>
            </w:r>
          </w:p>
        </w:tc>
        <w:tc>
          <w:tcPr>
            <w:tcW w:w="1545" w:type="dxa"/>
            <w:tcBorders>
              <w:top w:val="single" w:sz="4" w:space="0" w:color="000000"/>
              <w:bottom w:val="single" w:sz="4" w:space="0" w:color="000000"/>
              <w:right w:val="single" w:sz="4" w:space="0" w:color="000000"/>
            </w:tcBorders>
          </w:tcPr>
          <w:p>
            <w:pPr>
              <w:pStyle w:val="TableParagraph"/>
              <w:spacing w:before="22"/>
              <w:ind w:left="13"/>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92"/>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3"/>
              <w:jc w:val="center"/>
              <w:rPr>
                <w:sz w:val="14"/>
              </w:rPr>
            </w:pPr>
            <w:r>
              <w:rPr>
                <w:spacing w:val="-2"/>
                <w:sz w:val="14"/>
              </w:rPr>
              <w:t>-</w:t>
            </w:r>
            <w:r>
              <w:rPr>
                <w:spacing w:val="-4"/>
                <w:sz w:val="14"/>
              </w:rPr>
              <w:t>0,54</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spacing w:before="58"/>
              <w:ind w:left="26" w:right="1"/>
              <w:jc w:val="center"/>
              <w:rPr>
                <w:sz w:val="14"/>
              </w:rPr>
            </w:pPr>
            <w:r>
              <w:rPr>
                <w:spacing w:val="-4"/>
                <w:sz w:val="14"/>
              </w:rPr>
              <w:t>0,00</w:t>
            </w: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3"/>
              <w:jc w:val="center"/>
              <w:rPr>
                <w:sz w:val="14"/>
              </w:rPr>
            </w:pPr>
            <w:r>
              <w:rPr>
                <w:spacing w:val="-2"/>
                <w:sz w:val="14"/>
              </w:rPr>
              <w:t>-</w:t>
            </w:r>
            <w:r>
              <w:rPr>
                <w:spacing w:val="-4"/>
                <w:sz w:val="14"/>
              </w:rPr>
              <w:t>1,00</w:t>
            </w:r>
          </w:p>
        </w:tc>
        <w:tc>
          <w:tcPr>
            <w:tcW w:w="547" w:type="dxa"/>
            <w:tcBorders>
              <w:top w:val="single" w:sz="4" w:space="0" w:color="000000"/>
              <w:left w:val="single" w:sz="4" w:space="0" w:color="000000"/>
              <w:bottom w:val="single" w:sz="4" w:space="0" w:color="000000"/>
            </w:tcBorders>
          </w:tcPr>
          <w:p>
            <w:pPr>
              <w:pStyle w:val="TableParagraph"/>
              <w:spacing w:before="60"/>
              <w:ind w:left="26" w:right="1"/>
              <w:jc w:val="center"/>
              <w:rPr>
                <w:sz w:val="14"/>
              </w:rPr>
            </w:pPr>
            <w:r>
              <w:rPr>
                <w:spacing w:val="-4"/>
                <w:sz w:val="14"/>
              </w:rPr>
              <w:t>0,00</w:t>
            </w:r>
          </w:p>
        </w:tc>
      </w:tr>
      <w:tr>
        <w:trPr>
          <w:trHeight w:val="301"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32"/>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hAnsi="Calibri"/>
                <w:sz w:val="14"/>
              </w:rPr>
            </w:pPr>
            <w:r>
              <w:rPr>
                <w:rFonts w:ascii="Calibri" w:hAnsi="Calibri"/>
                <w:sz w:val="14"/>
              </w:rPr>
              <w:t>TÉCNICO</w:t>
            </w:r>
            <w:r>
              <w:rPr>
                <w:rFonts w:ascii="Calibri" w:hAnsi="Calibri"/>
                <w:spacing w:val="-8"/>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3" w:right="15"/>
              <w:jc w:val="center"/>
              <w:rPr>
                <w:sz w:val="14"/>
              </w:rPr>
            </w:pPr>
            <w:r>
              <w:rPr>
                <w:spacing w:val="-4"/>
                <w:sz w:val="14"/>
              </w:rPr>
              <w:t>-0,62</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2,84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4"/>
                <w:sz w:val="14"/>
              </w:rPr>
              <w:t>2,61</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2" w:right="15"/>
              <w:jc w:val="center"/>
              <w:rPr>
                <w:sz w:val="14"/>
              </w:rPr>
            </w:pPr>
            <w:r>
              <w:rPr>
                <w:spacing w:val="-2"/>
                <w:sz w:val="14"/>
              </w:rPr>
              <w:t>-</w:t>
            </w:r>
            <w:r>
              <w:rPr>
                <w:spacing w:val="-4"/>
                <w:sz w:val="14"/>
              </w:rPr>
              <w:t>2,46</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4" w:right="15"/>
              <w:jc w:val="center"/>
              <w:rPr>
                <w:sz w:val="14"/>
              </w:rPr>
            </w:pPr>
            <w:r>
              <w:rPr>
                <w:spacing w:val="-4"/>
                <w:sz w:val="14"/>
              </w:rPr>
              <w:t>0,11</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28"/>
              <w:rPr>
                <w:rFonts w:ascii="Calibri"/>
                <w:b/>
                <w:sz w:val="14"/>
              </w:rPr>
            </w:pP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MANDO</w:t>
            </w:r>
            <w:r>
              <w:rPr>
                <w:rFonts w:ascii="Calibri"/>
                <w:spacing w:val="-4"/>
                <w:sz w:val="14"/>
              </w:rPr>
              <w:t> </w:t>
            </w:r>
            <w:r>
              <w:rPr>
                <w:rFonts w:ascii="Calibri"/>
                <w:sz w:val="14"/>
              </w:rPr>
              <w:t>DE</w:t>
            </w:r>
            <w:r>
              <w:rPr>
                <w:rFonts w:ascii="Calibri"/>
                <w:spacing w:val="-3"/>
                <w:sz w:val="14"/>
              </w:rPr>
              <w:t> </w:t>
            </w:r>
            <w:r>
              <w:rPr>
                <w:rFonts w:ascii="Calibri"/>
                <w:spacing w:val="-2"/>
                <w:sz w:val="14"/>
              </w:rPr>
              <w:t>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4"/>
                <w:sz w:val="14"/>
              </w:rPr>
              <w:t>0,89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3"/>
              <w:jc w:val="center"/>
              <w:rPr>
                <w:sz w:val="14"/>
              </w:rPr>
            </w:pPr>
            <w:r>
              <w:rPr>
                <w:spacing w:val="-2"/>
                <w:sz w:val="14"/>
              </w:rPr>
              <w:t>-</w:t>
            </w:r>
            <w:r>
              <w:rPr>
                <w:spacing w:val="-4"/>
                <w:sz w:val="14"/>
              </w:rPr>
              <w:t>0,62</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MANDO</w:t>
            </w:r>
            <w:r>
              <w:rPr>
                <w:rFonts w:ascii="Calibri"/>
                <w:spacing w:val="-4"/>
                <w:sz w:val="14"/>
              </w:rPr>
              <w:t> </w:t>
            </w:r>
            <w:r>
              <w:rPr>
                <w:rFonts w:ascii="Calibri"/>
                <w:sz w:val="14"/>
              </w:rPr>
              <w:t>DE</w:t>
            </w:r>
            <w:r>
              <w:rPr>
                <w:rFonts w:ascii="Calibri"/>
                <w:spacing w:val="-3"/>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4"/>
                <w:sz w:val="14"/>
              </w:rPr>
              <w:t>1,04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3"/>
              <w:jc w:val="center"/>
              <w:rPr>
                <w:sz w:val="14"/>
              </w:rPr>
            </w:pPr>
            <w:r>
              <w:rPr>
                <w:spacing w:val="-2"/>
                <w:sz w:val="14"/>
              </w:rPr>
              <w:t>-</w:t>
            </w:r>
            <w:r>
              <w:rPr>
                <w:spacing w:val="-4"/>
                <w:sz w:val="14"/>
              </w:rPr>
              <w:t>1,01</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hAnsi="Calibri"/>
                <w:sz w:val="14"/>
              </w:rPr>
            </w:pPr>
            <w:r>
              <w:rPr>
                <w:rFonts w:ascii="Calibri" w:hAnsi="Calibri"/>
                <w:sz w:val="14"/>
              </w:rPr>
              <w:t>MANDO</w:t>
            </w:r>
            <w:r>
              <w:rPr>
                <w:rFonts w:ascii="Calibri" w:hAnsi="Calibri"/>
                <w:spacing w:val="-4"/>
                <w:sz w:val="14"/>
              </w:rPr>
              <w:t> </w:t>
            </w:r>
            <w:r>
              <w:rPr>
                <w:rFonts w:ascii="Calibri" w:hAnsi="Calibri"/>
                <w:sz w:val="14"/>
              </w:rPr>
              <w:t>DE</w:t>
            </w:r>
            <w:r>
              <w:rPr>
                <w:rFonts w:ascii="Calibri" w:hAnsi="Calibri"/>
                <w:spacing w:val="-3"/>
                <w:sz w:val="14"/>
              </w:rPr>
              <w:t> </w:t>
            </w:r>
            <w:r>
              <w:rPr>
                <w:rFonts w:ascii="Calibri" w:hAnsi="Calibri"/>
                <w:spacing w:val="-2"/>
                <w:sz w:val="14"/>
              </w:rPr>
              <w:t>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1" w:right="15"/>
              <w:jc w:val="center"/>
              <w:rPr>
                <w:sz w:val="14"/>
              </w:rPr>
            </w:pPr>
            <w:r>
              <w:rPr>
                <w:spacing w:val="-2"/>
                <w:sz w:val="14"/>
              </w:rPr>
              <w:t>-</w:t>
            </w:r>
            <w:r>
              <w:rPr>
                <w:spacing w:val="-4"/>
                <w:sz w:val="14"/>
              </w:rPr>
              <w:t>1,00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spacing w:before="58"/>
              <w:ind w:left="26" w:right="1"/>
              <w:jc w:val="center"/>
              <w:rPr>
                <w:sz w:val="14"/>
              </w:rPr>
            </w:pPr>
            <w:r>
              <w:rPr>
                <w:spacing w:val="-4"/>
                <w:sz w:val="14"/>
              </w:rPr>
              <w:t>0,44</w:t>
            </w:r>
          </w:p>
        </w:tc>
      </w:tr>
      <w:tr>
        <w:trPr>
          <w:trHeight w:val="299"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8"/>
              <w:rPr>
                <w:sz w:val="14"/>
              </w:rPr>
            </w:pPr>
          </w:p>
          <w:p>
            <w:pPr>
              <w:pStyle w:val="TableParagraph"/>
              <w:spacing w:before="1"/>
              <w:ind w:left="264"/>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spacing w:before="60"/>
              <w:ind w:left="20" w:right="5"/>
              <w:jc w:val="center"/>
              <w:rPr>
                <w:sz w:val="14"/>
              </w:rPr>
            </w:pPr>
            <w:r>
              <w:rPr>
                <w:spacing w:val="-4"/>
                <w:sz w:val="14"/>
              </w:rPr>
              <w:t>0,19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2"/>
                <w:sz w:val="14"/>
              </w:rPr>
              <w:t>35,21</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9,73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3"/>
              <w:jc w:val="center"/>
              <w:rPr>
                <w:sz w:val="14"/>
              </w:rPr>
            </w:pPr>
            <w:r>
              <w:rPr>
                <w:spacing w:val="-2"/>
                <w:sz w:val="14"/>
              </w:rPr>
              <w:t>-</w:t>
            </w:r>
            <w:r>
              <w:rPr>
                <w:spacing w:val="-4"/>
                <w:sz w:val="14"/>
              </w:rPr>
              <w:t>3,60</w:t>
            </w:r>
          </w:p>
        </w:tc>
        <w:tc>
          <w:tcPr>
            <w:tcW w:w="547" w:type="dxa"/>
            <w:tcBorders>
              <w:top w:val="single" w:sz="4" w:space="0" w:color="000000"/>
              <w:left w:val="single" w:sz="4" w:space="0" w:color="000000"/>
              <w:bottom w:val="single" w:sz="4" w:space="0" w:color="000000"/>
            </w:tcBorders>
          </w:tcPr>
          <w:p>
            <w:pPr>
              <w:pStyle w:val="TableParagraph"/>
              <w:spacing w:before="60"/>
              <w:ind w:left="26" w:right="1"/>
              <w:jc w:val="center"/>
              <w:rPr>
                <w:sz w:val="14"/>
              </w:rPr>
            </w:pPr>
            <w:r>
              <w:rPr>
                <w:spacing w:val="-4"/>
                <w:sz w:val="14"/>
              </w:rPr>
              <w:t>4,65</w:t>
            </w:r>
          </w:p>
        </w:tc>
      </w:tr>
      <w:tr>
        <w:trPr>
          <w:trHeight w:val="301" w:hRule="atLeast"/>
        </w:trPr>
        <w:tc>
          <w:tcPr>
            <w:tcW w:w="446" w:type="dxa"/>
            <w:vMerge/>
            <w:tcBorders>
              <w:top w:val="nil"/>
            </w:tcBorders>
            <w:textDirection w:val="btLr"/>
          </w:tcPr>
          <w:p>
            <w:pPr>
              <w:rPr>
                <w:sz w:val="2"/>
                <w:szCs w:val="2"/>
              </w:rPr>
            </w:pPr>
          </w:p>
        </w:tc>
        <w:tc>
          <w:tcPr>
            <w:tcW w:w="1545" w:type="dxa"/>
            <w:vMerge/>
            <w:tcBorders>
              <w:top w:val="nil"/>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OFICIAL</w:t>
            </w:r>
            <w:r>
              <w:rPr>
                <w:rFonts w:ascii="Calibri"/>
                <w:spacing w:val="-7"/>
                <w:sz w:val="14"/>
              </w:rPr>
              <w:t> </w:t>
            </w:r>
            <w:r>
              <w:rPr>
                <w:rFonts w:ascii="Calibri"/>
                <w:sz w:val="14"/>
              </w:rPr>
              <w:t>TALLER</w:t>
            </w:r>
            <w:r>
              <w:rPr>
                <w:rFonts w:ascii="Calibri"/>
                <w:spacing w:val="-5"/>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spacing w:before="58"/>
              <w:ind w:left="20" w:right="5"/>
              <w:jc w:val="center"/>
              <w:rPr>
                <w:sz w:val="14"/>
              </w:rPr>
            </w:pPr>
            <w:r>
              <w:rPr>
                <w:spacing w:val="-4"/>
                <w:sz w:val="14"/>
              </w:rPr>
              <w:t>0,99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35" w:right="15"/>
              <w:jc w:val="center"/>
              <w:rPr>
                <w:sz w:val="14"/>
              </w:rPr>
            </w:pPr>
            <w:r>
              <w:rPr>
                <w:spacing w:val="-4"/>
                <w:sz w:val="14"/>
              </w:rPr>
              <w:t>5,94</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58"/>
              <w:ind w:left="20" w:right="35"/>
              <w:jc w:val="center"/>
              <w:rPr>
                <w:sz w:val="14"/>
              </w:rPr>
            </w:pPr>
            <w:r>
              <w:rPr>
                <w:spacing w:val="-4"/>
                <w:sz w:val="14"/>
              </w:rPr>
              <w:t>0,24</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58"/>
              <w:ind w:left="23" w:right="3"/>
              <w:jc w:val="center"/>
              <w:rPr>
                <w:sz w:val="14"/>
              </w:rPr>
            </w:pPr>
            <w:r>
              <w:rPr>
                <w:spacing w:val="-2"/>
                <w:sz w:val="14"/>
              </w:rPr>
              <w:t>-</w:t>
            </w:r>
            <w:r>
              <w:rPr>
                <w:spacing w:val="-4"/>
                <w:sz w:val="14"/>
              </w:rPr>
              <w:t>3,44</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AUXILIAR</w:t>
            </w:r>
            <w:r>
              <w:rPr>
                <w:rFonts w:ascii="Calibri"/>
                <w:spacing w:val="-4"/>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tcBorders>
              <w:top w:val="nil"/>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1" w:right="15"/>
              <w:jc w:val="center"/>
              <w:rPr>
                <w:sz w:val="14"/>
              </w:rPr>
            </w:pPr>
            <w:r>
              <w:rPr>
                <w:spacing w:val="-2"/>
                <w:sz w:val="14"/>
              </w:rPr>
              <w:t>-</w:t>
            </w:r>
            <w:r>
              <w:rPr>
                <w:spacing w:val="-4"/>
                <w:sz w:val="14"/>
              </w:rPr>
              <w:t>1,88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spacing w:before="60"/>
              <w:ind w:left="26" w:right="1"/>
              <w:jc w:val="center"/>
              <w:rPr>
                <w:sz w:val="14"/>
              </w:rPr>
            </w:pPr>
            <w:r>
              <w:rPr>
                <w:spacing w:val="-4"/>
                <w:sz w:val="14"/>
              </w:rPr>
              <w:t>1,63</w:t>
            </w:r>
          </w:p>
        </w:tc>
      </w:tr>
      <w:tr>
        <w:trPr>
          <w:trHeight w:val="304" w:hRule="atLeast"/>
        </w:trPr>
        <w:tc>
          <w:tcPr>
            <w:tcW w:w="446" w:type="dxa"/>
            <w:vMerge/>
            <w:tcBorders>
              <w:top w:val="nil"/>
            </w:tcBorders>
            <w:textDirection w:val="btLr"/>
          </w:tcPr>
          <w:p>
            <w:pPr>
              <w:rPr>
                <w:sz w:val="2"/>
                <w:szCs w:val="2"/>
              </w:rPr>
            </w:pPr>
          </w:p>
        </w:tc>
        <w:tc>
          <w:tcPr>
            <w:tcW w:w="1545" w:type="dxa"/>
            <w:vMerge/>
            <w:tcBorders>
              <w:top w:val="nil"/>
              <w:right w:val="single" w:sz="4" w:space="0" w:color="000000"/>
            </w:tcBorders>
          </w:tcPr>
          <w:p>
            <w:pPr>
              <w:rPr>
                <w:sz w:val="2"/>
                <w:szCs w:val="2"/>
              </w:rPr>
            </w:pPr>
          </w:p>
        </w:tc>
        <w:tc>
          <w:tcPr>
            <w:tcW w:w="2150" w:type="dxa"/>
            <w:tcBorders>
              <w:top w:val="single" w:sz="4" w:space="0" w:color="000000"/>
              <w:left w:val="single" w:sz="4" w:space="0" w:color="000000"/>
            </w:tcBorders>
          </w:tcPr>
          <w:p>
            <w:pPr>
              <w:pStyle w:val="TableParagraph"/>
              <w:spacing w:before="44"/>
              <w:ind w:left="75"/>
              <w:rPr>
                <w:rFonts w:ascii="Calibri"/>
                <w:sz w:val="14"/>
              </w:rPr>
            </w:pPr>
            <w:r>
              <w:rPr>
                <w:rFonts w:ascii="Calibri"/>
                <w:sz w:val="14"/>
              </w:rPr>
              <w:t>AUXILIAR</w:t>
            </w:r>
            <w:r>
              <w:rPr>
                <w:rFonts w:ascii="Calibri"/>
                <w:spacing w:val="-4"/>
                <w:sz w:val="14"/>
              </w:rPr>
              <w:t> </w:t>
            </w:r>
            <w:r>
              <w:rPr>
                <w:rFonts w:ascii="Calibri"/>
                <w:spacing w:val="-2"/>
                <w:sz w:val="14"/>
              </w:rPr>
              <w:t>ADMIN/ESPECIALISTA</w:t>
            </w:r>
          </w:p>
        </w:tc>
        <w:tc>
          <w:tcPr>
            <w:tcW w:w="720" w:type="dxa"/>
            <w:tcBorders>
              <w:top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tcBorders>
          </w:tcPr>
          <w:p>
            <w:pPr>
              <w:pStyle w:val="TableParagraph"/>
              <w:rPr>
                <w:rFonts w:ascii="Times New Roman"/>
                <w:sz w:val="14"/>
              </w:rPr>
            </w:pPr>
          </w:p>
        </w:tc>
      </w:tr>
      <w:tr>
        <w:trPr>
          <w:trHeight w:val="294" w:hRule="atLeast"/>
        </w:trPr>
        <w:tc>
          <w:tcPr>
            <w:tcW w:w="446" w:type="dxa"/>
            <w:vMerge w:val="restart"/>
            <w:tcBorders>
              <w:left w:val="nil"/>
              <w:right w:val="single" w:sz="4" w:space="0" w:color="000000"/>
            </w:tcBorders>
          </w:tcPr>
          <w:p>
            <w:pPr>
              <w:pStyle w:val="TableParagraph"/>
              <w:rPr>
                <w:rFonts w:ascii="Times New Roman"/>
                <w:sz w:val="14"/>
              </w:rPr>
            </w:pPr>
          </w:p>
        </w:tc>
        <w:tc>
          <w:tcPr>
            <w:tcW w:w="1545" w:type="dxa"/>
            <w:vMerge w:val="restart"/>
            <w:tcBorders>
              <w:left w:val="single" w:sz="4" w:space="0" w:color="000000"/>
              <w:bottom w:val="single" w:sz="4" w:space="0" w:color="000000"/>
              <w:right w:val="single" w:sz="4" w:space="0" w:color="000000"/>
            </w:tcBorders>
            <w:shd w:val="clear" w:color="auto" w:fill="D7D7D7"/>
          </w:tcPr>
          <w:p>
            <w:pPr>
              <w:pStyle w:val="TableParagraph"/>
              <w:spacing w:before="12"/>
              <w:rPr>
                <w:sz w:val="14"/>
              </w:rPr>
            </w:pPr>
          </w:p>
          <w:p>
            <w:pPr>
              <w:pStyle w:val="TableParagraph"/>
              <w:ind w:left="16"/>
              <w:jc w:val="center"/>
              <w:rPr>
                <w:rFonts w:ascii="Calibri"/>
                <w:b/>
                <w:sz w:val="14"/>
              </w:rPr>
            </w:pPr>
            <w:r>
              <w:rPr>
                <w:rFonts w:ascii="Calibri"/>
                <w:b/>
                <w:spacing w:val="-2"/>
                <w:sz w:val="14"/>
              </w:rPr>
              <w:t>GRUPO</w:t>
            </w:r>
          </w:p>
        </w:tc>
        <w:tc>
          <w:tcPr>
            <w:tcW w:w="2150" w:type="dxa"/>
            <w:vMerge w:val="restart"/>
            <w:tcBorders>
              <w:left w:val="single" w:sz="4" w:space="0" w:color="000000"/>
              <w:bottom w:val="single" w:sz="4" w:space="0" w:color="000000"/>
            </w:tcBorders>
            <w:shd w:val="clear" w:color="auto" w:fill="D7D7D7"/>
          </w:tcPr>
          <w:p>
            <w:pPr>
              <w:pStyle w:val="TableParagraph"/>
              <w:spacing w:before="12"/>
              <w:rPr>
                <w:sz w:val="14"/>
              </w:rPr>
            </w:pPr>
          </w:p>
          <w:p>
            <w:pPr>
              <w:pStyle w:val="TableParagraph"/>
              <w:ind w:left="22"/>
              <w:jc w:val="center"/>
              <w:rPr>
                <w:rFonts w:ascii="Calibri"/>
                <w:b/>
                <w:sz w:val="14"/>
              </w:rPr>
            </w:pPr>
            <w:r>
              <w:rPr>
                <w:rFonts w:ascii="Calibri"/>
                <w:b/>
                <w:spacing w:val="-2"/>
                <w:sz w:val="14"/>
              </w:rPr>
              <w:t>NIVEL</w:t>
            </w:r>
          </w:p>
        </w:tc>
        <w:tc>
          <w:tcPr>
            <w:tcW w:w="1440" w:type="dxa"/>
            <w:gridSpan w:val="2"/>
            <w:tcBorders>
              <w:bottom w:val="single" w:sz="4" w:space="0" w:color="000000"/>
              <w:right w:val="single" w:sz="4" w:space="0" w:color="000000"/>
            </w:tcBorders>
            <w:shd w:val="clear" w:color="auto" w:fill="D7D7D7"/>
          </w:tcPr>
          <w:p>
            <w:pPr>
              <w:pStyle w:val="TableParagraph"/>
              <w:spacing w:before="39"/>
              <w:ind w:left="447"/>
              <w:rPr>
                <w:rFonts w:ascii="Calibri" w:hAnsi="Calibri"/>
                <w:sz w:val="14"/>
              </w:rPr>
            </w:pPr>
            <w:r>
              <w:rPr>
                <w:rFonts w:ascii="Calibri" w:hAnsi="Calibri"/>
                <w:sz w:val="14"/>
              </w:rPr>
              <w:t>&lt;</w:t>
            </w:r>
            <w:r>
              <w:rPr>
                <w:rFonts w:ascii="Calibri" w:hAnsi="Calibri"/>
                <w:spacing w:val="-3"/>
                <w:sz w:val="14"/>
              </w:rPr>
              <w:t> </w:t>
            </w:r>
            <w:r>
              <w:rPr>
                <w:rFonts w:ascii="Calibri" w:hAnsi="Calibri"/>
                <w:sz w:val="14"/>
              </w:rPr>
              <w:t>30</w:t>
            </w:r>
            <w:r>
              <w:rPr>
                <w:rFonts w:ascii="Calibri" w:hAnsi="Calibri"/>
                <w:spacing w:val="-2"/>
                <w:sz w:val="14"/>
              </w:rPr>
              <w:t> </w:t>
            </w:r>
            <w:r>
              <w:rPr>
                <w:rFonts w:ascii="Calibri" w:hAnsi="Calibri"/>
                <w:spacing w:val="-4"/>
                <w:sz w:val="14"/>
              </w:rPr>
              <w:t>años</w:t>
            </w:r>
          </w:p>
        </w:tc>
        <w:tc>
          <w:tcPr>
            <w:tcW w:w="1440" w:type="dxa"/>
            <w:gridSpan w:val="2"/>
            <w:tcBorders>
              <w:left w:val="single" w:sz="4" w:space="0" w:color="000000"/>
              <w:bottom w:val="single" w:sz="4" w:space="0" w:color="000000"/>
              <w:right w:val="single" w:sz="4" w:space="0" w:color="000000"/>
            </w:tcBorders>
            <w:shd w:val="clear" w:color="auto" w:fill="D7D7D7"/>
          </w:tcPr>
          <w:p>
            <w:pPr>
              <w:pStyle w:val="TableParagraph"/>
              <w:spacing w:before="39"/>
              <w:ind w:left="380"/>
              <w:rPr>
                <w:rFonts w:ascii="Calibri" w:hAnsi="Calibri"/>
                <w:sz w:val="14"/>
              </w:rPr>
            </w:pPr>
            <w:r>
              <w:rPr>
                <w:rFonts w:ascii="Calibri" w:hAnsi="Calibri"/>
                <w:sz w:val="14"/>
              </w:rPr>
              <w:t>30</w:t>
            </w:r>
            <w:r>
              <w:rPr>
                <w:rFonts w:ascii="Calibri" w:hAnsi="Calibri"/>
                <w:spacing w:val="-4"/>
                <w:sz w:val="14"/>
              </w:rPr>
              <w:t> </w:t>
            </w:r>
            <w:r>
              <w:rPr>
                <w:rFonts w:ascii="Calibri" w:hAnsi="Calibri"/>
                <w:sz w:val="14"/>
              </w:rPr>
              <w:t>-</w:t>
            </w:r>
            <w:r>
              <w:rPr>
                <w:rFonts w:ascii="Calibri" w:hAnsi="Calibri"/>
                <w:spacing w:val="2"/>
                <w:sz w:val="14"/>
              </w:rPr>
              <w:t> </w:t>
            </w:r>
            <w:r>
              <w:rPr>
                <w:rFonts w:ascii="Calibri" w:hAnsi="Calibri"/>
                <w:sz w:val="14"/>
              </w:rPr>
              <w:t>50</w:t>
            </w:r>
            <w:r>
              <w:rPr>
                <w:rFonts w:ascii="Calibri" w:hAnsi="Calibri"/>
                <w:spacing w:val="-3"/>
                <w:sz w:val="14"/>
              </w:rPr>
              <w:t> </w:t>
            </w:r>
            <w:r>
              <w:rPr>
                <w:rFonts w:ascii="Calibri" w:hAnsi="Calibri"/>
                <w:spacing w:val="-4"/>
                <w:sz w:val="14"/>
              </w:rPr>
              <w:t>años</w:t>
            </w:r>
          </w:p>
        </w:tc>
        <w:tc>
          <w:tcPr>
            <w:tcW w:w="1447" w:type="dxa"/>
            <w:gridSpan w:val="2"/>
            <w:tcBorders>
              <w:left w:val="single" w:sz="4" w:space="0" w:color="000000"/>
              <w:bottom w:val="single" w:sz="4" w:space="0" w:color="000000"/>
            </w:tcBorders>
            <w:shd w:val="clear" w:color="auto" w:fill="D7D7D7"/>
          </w:tcPr>
          <w:p>
            <w:pPr>
              <w:pStyle w:val="TableParagraph"/>
              <w:spacing w:before="39"/>
              <w:ind w:left="457"/>
              <w:rPr>
                <w:rFonts w:ascii="Calibri" w:hAnsi="Calibri"/>
                <w:sz w:val="14"/>
              </w:rPr>
            </w:pPr>
            <w:r>
              <w:rPr>
                <w:rFonts w:ascii="Calibri" w:hAnsi="Calibri"/>
                <w:sz w:val="14"/>
              </w:rPr>
              <w:t>&gt;</w:t>
            </w:r>
            <w:r>
              <w:rPr>
                <w:rFonts w:ascii="Calibri" w:hAnsi="Calibri"/>
                <w:spacing w:val="-3"/>
                <w:sz w:val="14"/>
              </w:rPr>
              <w:t> </w:t>
            </w:r>
            <w:r>
              <w:rPr>
                <w:rFonts w:ascii="Calibri" w:hAnsi="Calibri"/>
                <w:sz w:val="14"/>
              </w:rPr>
              <w:t>50</w:t>
            </w:r>
            <w:r>
              <w:rPr>
                <w:rFonts w:ascii="Calibri" w:hAnsi="Calibri"/>
                <w:spacing w:val="-2"/>
                <w:sz w:val="14"/>
              </w:rPr>
              <w:t> </w:t>
            </w:r>
            <w:r>
              <w:rPr>
                <w:rFonts w:ascii="Calibri" w:hAnsi="Calibri"/>
                <w:spacing w:val="-4"/>
                <w:sz w:val="14"/>
              </w:rPr>
              <w:t>años</w:t>
            </w:r>
          </w:p>
        </w:tc>
      </w:tr>
      <w:tr>
        <w:trPr>
          <w:trHeight w:val="289" w:hRule="atLeast"/>
        </w:trPr>
        <w:tc>
          <w:tcPr>
            <w:tcW w:w="446" w:type="dxa"/>
            <w:vMerge/>
            <w:tcBorders>
              <w:top w:val="nil"/>
              <w:left w:val="nil"/>
              <w:right w:val="single" w:sz="4" w:space="0" w:color="000000"/>
            </w:tcBorders>
          </w:tcPr>
          <w:p>
            <w:pPr>
              <w:rPr>
                <w:sz w:val="2"/>
                <w:szCs w:val="2"/>
              </w:rPr>
            </w:pPr>
          </w:p>
        </w:tc>
        <w:tc>
          <w:tcPr>
            <w:tcW w:w="1545" w:type="dxa"/>
            <w:vMerge/>
            <w:tcBorders>
              <w:top w:val="nil"/>
              <w:left w:val="single" w:sz="4" w:space="0" w:color="000000"/>
              <w:bottom w:val="single" w:sz="4" w:space="0" w:color="000000"/>
              <w:right w:val="single" w:sz="4" w:space="0" w:color="000000"/>
            </w:tcBorders>
            <w:shd w:val="clear" w:color="auto" w:fill="D7D7D7"/>
          </w:tcPr>
          <w:p>
            <w:pPr>
              <w:rPr>
                <w:sz w:val="2"/>
                <w:szCs w:val="2"/>
              </w:rPr>
            </w:pPr>
          </w:p>
        </w:tc>
        <w:tc>
          <w:tcPr>
            <w:tcW w:w="2150" w:type="dxa"/>
            <w:vMerge/>
            <w:tcBorders>
              <w:top w:val="nil"/>
              <w:left w:val="single" w:sz="4" w:space="0" w:color="000000"/>
              <w:bottom w:val="single" w:sz="4" w:space="0" w:color="000000"/>
            </w:tcBorders>
            <w:shd w:val="clear" w:color="auto" w:fill="D7D7D7"/>
          </w:tcPr>
          <w:p>
            <w:pPr>
              <w:rPr>
                <w:sz w:val="2"/>
                <w:szCs w:val="2"/>
              </w:rPr>
            </w:pPr>
          </w:p>
        </w:tc>
        <w:tc>
          <w:tcPr>
            <w:tcW w:w="720" w:type="dxa"/>
            <w:tcBorders>
              <w:top w:val="single" w:sz="4" w:space="0" w:color="000000"/>
              <w:bottom w:val="single" w:sz="4" w:space="0" w:color="000000"/>
              <w:right w:val="single" w:sz="4" w:space="0" w:color="000000"/>
            </w:tcBorders>
            <w:shd w:val="clear" w:color="auto" w:fill="D7D7D7"/>
          </w:tcPr>
          <w:p>
            <w:pPr>
              <w:pStyle w:val="TableParagraph"/>
              <w:spacing w:before="36"/>
              <w:ind w:left="20" w:right="7"/>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35" w:right="15"/>
              <w:jc w:val="center"/>
              <w:rPr>
                <w:rFonts w:ascii="Calibri"/>
                <w:sz w:val="14"/>
              </w:rPr>
            </w:pPr>
            <w:r>
              <w:rPr>
                <w:rFonts w:ascii="Calibri"/>
                <w:spacing w:val="-2"/>
                <w:sz w:val="14"/>
              </w:rPr>
              <w:t>MUJER</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33" w:right="15"/>
              <w:jc w:val="center"/>
              <w:rPr>
                <w:rFonts w:ascii="Calibri"/>
                <w:sz w:val="14"/>
              </w:rPr>
            </w:pPr>
            <w:r>
              <w:rPr>
                <w:rFonts w:ascii="Calibri"/>
                <w:spacing w:val="-2"/>
                <w:sz w:val="14"/>
              </w:rPr>
              <w:t>HOMBRE</w:t>
            </w:r>
          </w:p>
        </w:tc>
        <w:tc>
          <w:tcPr>
            <w:tcW w:w="72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35" w:right="15"/>
              <w:jc w:val="center"/>
              <w:rPr>
                <w:rFonts w:ascii="Calibri"/>
                <w:sz w:val="14"/>
              </w:rPr>
            </w:pPr>
            <w:r>
              <w:rPr>
                <w:rFonts w:ascii="Calibri"/>
                <w:spacing w:val="-2"/>
                <w:sz w:val="14"/>
              </w:rPr>
              <w:t>MUJER</w:t>
            </w:r>
          </w:p>
        </w:tc>
        <w:tc>
          <w:tcPr>
            <w:tcW w:w="90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before="36"/>
              <w:ind w:left="23" w:right="3"/>
              <w:jc w:val="center"/>
              <w:rPr>
                <w:rFonts w:ascii="Calibri"/>
                <w:sz w:val="14"/>
              </w:rPr>
            </w:pPr>
            <w:r>
              <w:rPr>
                <w:rFonts w:ascii="Calibri"/>
                <w:spacing w:val="-2"/>
                <w:sz w:val="14"/>
              </w:rPr>
              <w:t>HOMBRE</w:t>
            </w:r>
          </w:p>
        </w:tc>
        <w:tc>
          <w:tcPr>
            <w:tcW w:w="547" w:type="dxa"/>
            <w:tcBorders>
              <w:top w:val="single" w:sz="4" w:space="0" w:color="000000"/>
              <w:left w:val="single" w:sz="4" w:space="0" w:color="000000"/>
              <w:bottom w:val="single" w:sz="4" w:space="0" w:color="000000"/>
            </w:tcBorders>
            <w:shd w:val="clear" w:color="auto" w:fill="D7D7D7"/>
          </w:tcPr>
          <w:p>
            <w:pPr>
              <w:pStyle w:val="TableParagraph"/>
              <w:spacing w:before="36"/>
              <w:ind w:left="26"/>
              <w:jc w:val="center"/>
              <w:rPr>
                <w:rFonts w:ascii="Calibri"/>
                <w:sz w:val="14"/>
              </w:rPr>
            </w:pPr>
            <w:r>
              <w:rPr>
                <w:rFonts w:ascii="Calibri"/>
                <w:spacing w:val="-2"/>
                <w:sz w:val="14"/>
              </w:rPr>
              <w:t>MUJER</w:t>
            </w:r>
          </w:p>
        </w:tc>
      </w:tr>
      <w:tr>
        <w:trPr>
          <w:trHeight w:val="301" w:hRule="atLeast"/>
        </w:trPr>
        <w:tc>
          <w:tcPr>
            <w:tcW w:w="446" w:type="dxa"/>
            <w:vMerge w:val="restart"/>
            <w:textDirection w:val="btLr"/>
          </w:tcPr>
          <w:p>
            <w:pPr>
              <w:pStyle w:val="TableParagraph"/>
              <w:spacing w:before="89"/>
              <w:ind w:right="15"/>
              <w:jc w:val="center"/>
              <w:rPr>
                <w:rFonts w:ascii="Calibri"/>
                <w:b/>
                <w:sz w:val="14"/>
              </w:rPr>
            </w:pPr>
            <w:r>
              <w:rPr>
                <w:rFonts w:ascii="Calibri"/>
                <w:b/>
                <w:sz w:val="14"/>
              </w:rPr>
              <w:t>TIEMPO</w:t>
            </w:r>
            <w:r>
              <w:rPr>
                <w:rFonts w:ascii="Calibri"/>
                <w:b/>
                <w:spacing w:val="-7"/>
                <w:sz w:val="14"/>
              </w:rPr>
              <w:t> </w:t>
            </w:r>
            <w:r>
              <w:rPr>
                <w:rFonts w:ascii="Calibri"/>
                <w:b/>
                <w:spacing w:val="-2"/>
                <w:sz w:val="14"/>
              </w:rPr>
              <w:t>PARCIAL</w:t>
            </w:r>
          </w:p>
        </w:tc>
        <w:tc>
          <w:tcPr>
            <w:tcW w:w="1545" w:type="dxa"/>
            <w:tcBorders>
              <w:top w:val="single" w:sz="4" w:space="0" w:color="000000"/>
              <w:bottom w:val="single" w:sz="4" w:space="0" w:color="000000"/>
              <w:right w:val="single" w:sz="4" w:space="0" w:color="000000"/>
            </w:tcBorders>
          </w:tcPr>
          <w:p>
            <w:pPr>
              <w:pStyle w:val="TableParagraph"/>
              <w:spacing w:before="24"/>
              <w:ind w:left="13"/>
              <w:jc w:val="center"/>
              <w:rPr>
                <w:rFonts w:ascii="Calibri" w:hAnsi="Calibri"/>
                <w:b/>
                <w:sz w:val="14"/>
              </w:rPr>
            </w:pPr>
            <w:r>
              <w:rPr>
                <w:rFonts w:ascii="Calibri" w:hAnsi="Calibri"/>
                <w:b/>
                <w:sz w:val="14"/>
              </w:rPr>
              <w:t>ALTA</w:t>
            </w:r>
            <w:r>
              <w:rPr>
                <w:rFonts w:ascii="Calibri" w:hAnsi="Calibri"/>
                <w:b/>
                <w:spacing w:val="-5"/>
                <w:sz w:val="14"/>
              </w:rPr>
              <w:t> </w:t>
            </w:r>
            <w:r>
              <w:rPr>
                <w:rFonts w:ascii="Calibri" w:hAnsi="Calibri"/>
                <w:b/>
                <w:spacing w:val="-2"/>
                <w:sz w:val="14"/>
              </w:rPr>
              <w:t>DIRECCIÓN</w:t>
            </w: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DIRECTOR</w:t>
            </w:r>
            <w:r>
              <w:rPr>
                <w:rFonts w:ascii="Calibri"/>
                <w:spacing w:val="-8"/>
                <w:sz w:val="14"/>
              </w:rPr>
              <w:t> </w:t>
            </w:r>
            <w:r>
              <w:rPr>
                <w:rFonts w:ascii="Calibri"/>
                <w:spacing w:val="-2"/>
                <w:sz w:val="14"/>
              </w:rPr>
              <w:t>GENERAL</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192"/>
              <w:rPr>
                <w:rFonts w:ascii="Calibri"/>
                <w:b/>
                <w:sz w:val="14"/>
              </w:rPr>
            </w:pPr>
            <w:r>
              <w:rPr>
                <w:rFonts w:ascii="Calibri"/>
                <w:b/>
                <w:sz w:val="14"/>
              </w:rPr>
              <w:t>GRUPO</w:t>
            </w:r>
            <w:r>
              <w:rPr>
                <w:rFonts w:ascii="Calibri"/>
                <w:b/>
                <w:spacing w:val="-5"/>
                <w:sz w:val="14"/>
              </w:rPr>
              <w:t> </w:t>
            </w:r>
            <w:r>
              <w:rPr>
                <w:rFonts w:ascii="Calibri"/>
                <w:b/>
                <w:sz w:val="14"/>
              </w:rPr>
              <w:t>I</w:t>
            </w:r>
            <w:r>
              <w:rPr>
                <w:rFonts w:ascii="Calibri"/>
                <w:b/>
                <w:spacing w:val="-2"/>
                <w:sz w:val="14"/>
              </w:rPr>
              <w:t> DIRECTIVO</w:t>
            </w: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JEFE</w:t>
            </w:r>
            <w:r>
              <w:rPr>
                <w:rFonts w:ascii="Calibri"/>
                <w:spacing w:val="-6"/>
                <w:sz w:val="14"/>
              </w:rPr>
              <w:t> </w:t>
            </w:r>
            <w:r>
              <w:rPr>
                <w:rFonts w:ascii="Calibri"/>
                <w:spacing w:val="-2"/>
                <w:sz w:val="14"/>
              </w:rPr>
              <w:t>SERVICIO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JEFE</w:t>
            </w:r>
            <w:r>
              <w:rPr>
                <w:rFonts w:ascii="Calibri"/>
                <w:spacing w:val="-8"/>
                <w:sz w:val="14"/>
              </w:rPr>
              <w:t> </w:t>
            </w:r>
            <w:r>
              <w:rPr>
                <w:rFonts w:ascii="Calibri"/>
                <w:sz w:val="14"/>
              </w:rPr>
              <w:t>DE</w:t>
            </w:r>
            <w:r>
              <w:rPr>
                <w:rFonts w:ascii="Calibri"/>
                <w:spacing w:val="-3"/>
                <w:sz w:val="14"/>
              </w:rPr>
              <w:t> </w:t>
            </w:r>
            <w:r>
              <w:rPr>
                <w:rFonts w:ascii="Calibri"/>
                <w:spacing w:val="-4"/>
                <w:sz w:val="14"/>
              </w:rPr>
              <w:t>GRUPO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hAnsi="Calibri"/>
                <w:sz w:val="14"/>
              </w:rPr>
            </w:pPr>
            <w:r>
              <w:rPr>
                <w:rFonts w:ascii="Calibri" w:hAnsi="Calibri"/>
                <w:sz w:val="14"/>
              </w:rPr>
              <w:t>JEFE</w:t>
            </w:r>
            <w:r>
              <w:rPr>
                <w:rFonts w:ascii="Calibri" w:hAnsi="Calibri"/>
                <w:spacing w:val="-6"/>
                <w:sz w:val="14"/>
              </w:rPr>
              <w:t> </w:t>
            </w:r>
            <w:r>
              <w:rPr>
                <w:rFonts w:ascii="Calibri" w:hAnsi="Calibri"/>
                <w:sz w:val="14"/>
              </w:rPr>
              <w:t>DE</w:t>
            </w:r>
            <w:r>
              <w:rPr>
                <w:rFonts w:ascii="Calibri" w:hAnsi="Calibri"/>
                <w:spacing w:val="-2"/>
                <w:sz w:val="14"/>
              </w:rPr>
              <w:t> </w:t>
            </w:r>
            <w:r>
              <w:rPr>
                <w:rFonts w:ascii="Calibri" w:hAnsi="Calibri"/>
                <w:sz w:val="14"/>
              </w:rPr>
              <w:t>OFICINA</w:t>
            </w:r>
            <w:r>
              <w:rPr>
                <w:rFonts w:ascii="Calibri" w:hAnsi="Calibri"/>
                <w:spacing w:val="-3"/>
                <w:sz w:val="14"/>
              </w:rPr>
              <w:t> </w:t>
            </w:r>
            <w:r>
              <w:rPr>
                <w:rFonts w:ascii="Calibri" w:hAnsi="Calibri"/>
                <w:spacing w:val="-2"/>
                <w:sz w:val="14"/>
              </w:rPr>
              <w:t>TÉCNICA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spacing w:before="22"/>
              <w:rPr>
                <w:sz w:val="14"/>
              </w:rPr>
            </w:pPr>
          </w:p>
          <w:p>
            <w:pPr>
              <w:pStyle w:val="TableParagraph"/>
              <w:ind w:left="232"/>
              <w:rPr>
                <w:rFonts w:ascii="Calibri" w:hAnsi="Calibri"/>
                <w:b/>
                <w:sz w:val="14"/>
              </w:rPr>
            </w:pPr>
            <w:r>
              <w:rPr>
                <w:rFonts w:ascii="Calibri" w:hAnsi="Calibri"/>
                <w:b/>
                <w:sz w:val="14"/>
              </w:rPr>
              <w:t>GRUPO</w:t>
            </w:r>
            <w:r>
              <w:rPr>
                <w:rFonts w:ascii="Calibri" w:hAnsi="Calibri"/>
                <w:b/>
                <w:spacing w:val="-5"/>
                <w:sz w:val="14"/>
              </w:rPr>
              <w:t> </w:t>
            </w:r>
            <w:r>
              <w:rPr>
                <w:rFonts w:ascii="Calibri" w:hAnsi="Calibri"/>
                <w:b/>
                <w:sz w:val="14"/>
              </w:rPr>
              <w:t>II</w:t>
            </w:r>
            <w:r>
              <w:rPr>
                <w:rFonts w:ascii="Calibri" w:hAnsi="Calibri"/>
                <w:b/>
                <w:spacing w:val="-4"/>
                <w:sz w:val="14"/>
              </w:rPr>
              <w:t> </w:t>
            </w:r>
            <w:r>
              <w:rPr>
                <w:rFonts w:ascii="Calibri" w:hAnsi="Calibri"/>
                <w:b/>
                <w:spacing w:val="-2"/>
                <w:sz w:val="14"/>
              </w:rPr>
              <w:t>TÉCNICO</w:t>
            </w: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hAnsi="Calibri"/>
                <w:sz w:val="14"/>
              </w:rPr>
            </w:pPr>
            <w:r>
              <w:rPr>
                <w:rFonts w:ascii="Calibri" w:hAnsi="Calibri"/>
                <w:sz w:val="14"/>
              </w:rPr>
              <w:t>TÉCNICO</w:t>
            </w:r>
            <w:r>
              <w:rPr>
                <w:rFonts w:ascii="Calibri" w:hAnsi="Calibri"/>
                <w:spacing w:val="-8"/>
                <w:sz w:val="14"/>
              </w:rPr>
              <w:t> </w:t>
            </w:r>
            <w:r>
              <w:rPr>
                <w:rFonts w:ascii="Calibri" w:hAnsi="Calibri"/>
                <w:spacing w:val="-2"/>
                <w:sz w:val="14"/>
              </w:rPr>
              <w:t>SUPERIOR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hAnsi="Calibri"/>
                <w:sz w:val="14"/>
              </w:rPr>
            </w:pPr>
            <w:r>
              <w:rPr>
                <w:rFonts w:ascii="Calibri" w:hAnsi="Calibri"/>
                <w:spacing w:val="-2"/>
                <w:sz w:val="14"/>
              </w:rPr>
              <w:t>TÉCNICO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spacing w:before="21"/>
              <w:rPr>
                <w:sz w:val="14"/>
              </w:rPr>
            </w:pPr>
          </w:p>
          <w:p>
            <w:pPr>
              <w:pStyle w:val="TableParagraph"/>
              <w:spacing w:before="1"/>
              <w:ind w:left="228"/>
              <w:rPr>
                <w:rFonts w:ascii="Calibri"/>
                <w:b/>
                <w:sz w:val="14"/>
              </w:rPr>
            </w:pPr>
            <w:r>
              <w:rPr>
                <w:rFonts w:ascii="Calibri"/>
                <w:b/>
                <w:sz w:val="14"/>
              </w:rPr>
              <w:t>GRUPO</w:t>
            </w:r>
            <w:r>
              <w:rPr>
                <w:rFonts w:ascii="Calibri"/>
                <w:b/>
                <w:spacing w:val="-5"/>
                <w:sz w:val="14"/>
              </w:rPr>
              <w:t> </w:t>
            </w:r>
            <w:r>
              <w:rPr>
                <w:rFonts w:ascii="Calibri"/>
                <w:b/>
                <w:sz w:val="14"/>
              </w:rPr>
              <w:t>III</w:t>
            </w:r>
            <w:r>
              <w:rPr>
                <w:rFonts w:ascii="Calibri"/>
                <w:b/>
                <w:spacing w:val="-4"/>
                <w:sz w:val="14"/>
              </w:rPr>
              <w:t> </w:t>
            </w:r>
            <w:r>
              <w:rPr>
                <w:rFonts w:ascii="Calibri"/>
                <w:b/>
                <w:spacing w:val="-2"/>
                <w:sz w:val="14"/>
              </w:rPr>
              <w:t>MANDO</w:t>
            </w: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MANDO</w:t>
            </w:r>
            <w:r>
              <w:rPr>
                <w:rFonts w:ascii="Calibri"/>
                <w:spacing w:val="-4"/>
                <w:sz w:val="14"/>
              </w:rPr>
              <w:t> </w:t>
            </w:r>
            <w:r>
              <w:rPr>
                <w:rFonts w:ascii="Calibri"/>
                <w:sz w:val="14"/>
              </w:rPr>
              <w:t>DE</w:t>
            </w:r>
            <w:r>
              <w:rPr>
                <w:rFonts w:ascii="Calibri"/>
                <w:spacing w:val="-3"/>
                <w:sz w:val="14"/>
              </w:rPr>
              <w:t> </w:t>
            </w:r>
            <w:r>
              <w:rPr>
                <w:rFonts w:ascii="Calibri"/>
                <w:spacing w:val="-2"/>
                <w:sz w:val="14"/>
              </w:rPr>
              <w:t>MOVIMIENTO</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6"/>
              <w:jc w:val="center"/>
              <w:rPr>
                <w:sz w:val="14"/>
              </w:rPr>
            </w:pPr>
            <w:r>
              <w:rPr>
                <w:spacing w:val="-4"/>
                <w:sz w:val="14"/>
              </w:rPr>
              <w:t>0,03</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MANDO</w:t>
            </w:r>
            <w:r>
              <w:rPr>
                <w:rFonts w:ascii="Calibri"/>
                <w:spacing w:val="-4"/>
                <w:sz w:val="14"/>
              </w:rPr>
              <w:t> </w:t>
            </w:r>
            <w:r>
              <w:rPr>
                <w:rFonts w:ascii="Calibri"/>
                <w:sz w:val="14"/>
              </w:rPr>
              <w:t>DE</w:t>
            </w:r>
            <w:r>
              <w:rPr>
                <w:rFonts w:ascii="Calibri"/>
                <w:spacing w:val="-3"/>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6"/>
              <w:jc w:val="center"/>
              <w:rPr>
                <w:sz w:val="14"/>
              </w:rPr>
            </w:pPr>
            <w:r>
              <w:rPr>
                <w:spacing w:val="-4"/>
                <w:sz w:val="14"/>
              </w:rPr>
              <w:t>0,08</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hAnsi="Calibri"/>
                <w:sz w:val="14"/>
              </w:rPr>
            </w:pPr>
            <w:r>
              <w:rPr>
                <w:rFonts w:ascii="Calibri" w:hAnsi="Calibri"/>
                <w:sz w:val="14"/>
              </w:rPr>
              <w:t>MANDO</w:t>
            </w:r>
            <w:r>
              <w:rPr>
                <w:rFonts w:ascii="Calibri" w:hAnsi="Calibri"/>
                <w:spacing w:val="-4"/>
                <w:sz w:val="14"/>
              </w:rPr>
              <w:t> </w:t>
            </w:r>
            <w:r>
              <w:rPr>
                <w:rFonts w:ascii="Calibri" w:hAnsi="Calibri"/>
                <w:sz w:val="14"/>
              </w:rPr>
              <w:t>DE</w:t>
            </w:r>
            <w:r>
              <w:rPr>
                <w:rFonts w:ascii="Calibri" w:hAnsi="Calibri"/>
                <w:spacing w:val="-3"/>
                <w:sz w:val="14"/>
              </w:rPr>
              <w:t> </w:t>
            </w:r>
            <w:r>
              <w:rPr>
                <w:rFonts w:ascii="Calibri" w:hAnsi="Calibri"/>
                <w:spacing w:val="-2"/>
                <w:sz w:val="14"/>
              </w:rPr>
              <w:t>ADMINISTRACIÓN</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spacing w:before="60"/>
              <w:ind w:left="26" w:right="1"/>
              <w:jc w:val="center"/>
              <w:rPr>
                <w:sz w:val="14"/>
              </w:rPr>
            </w:pPr>
            <w:r>
              <w:rPr>
                <w:spacing w:val="-4"/>
                <w:sz w:val="14"/>
              </w:rPr>
              <w:t>0,01</w:t>
            </w:r>
          </w:p>
        </w:tc>
      </w:tr>
      <w:tr>
        <w:trPr>
          <w:trHeight w:val="301" w:hRule="atLeast"/>
        </w:trPr>
        <w:tc>
          <w:tcPr>
            <w:tcW w:w="446" w:type="dxa"/>
            <w:vMerge/>
            <w:tcBorders>
              <w:top w:val="nil"/>
            </w:tcBorders>
            <w:textDirection w:val="btLr"/>
          </w:tcPr>
          <w:p>
            <w:pPr>
              <w:rPr>
                <w:sz w:val="2"/>
                <w:szCs w:val="2"/>
              </w:rPr>
            </w:pPr>
          </w:p>
        </w:tc>
        <w:tc>
          <w:tcPr>
            <w:tcW w:w="1545" w:type="dxa"/>
            <w:vMerge w:val="restart"/>
            <w:tcBorders>
              <w:top w:val="single" w:sz="4" w:space="0" w:color="000000"/>
              <w:bottom w:val="single" w:sz="4" w:space="0" w:color="000000"/>
              <w:right w:val="single" w:sz="4"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6"/>
              <w:rPr>
                <w:sz w:val="14"/>
              </w:rPr>
            </w:pPr>
          </w:p>
          <w:p>
            <w:pPr>
              <w:pStyle w:val="TableParagraph"/>
              <w:ind w:left="264"/>
              <w:rPr>
                <w:rFonts w:ascii="Calibri"/>
                <w:b/>
                <w:sz w:val="14"/>
              </w:rPr>
            </w:pPr>
            <w:r>
              <w:rPr>
                <w:rFonts w:ascii="Calibri"/>
                <w:b/>
                <w:sz w:val="14"/>
              </w:rPr>
              <w:t>GRUPO</w:t>
            </w:r>
            <w:r>
              <w:rPr>
                <w:rFonts w:ascii="Calibri"/>
                <w:b/>
                <w:spacing w:val="-5"/>
                <w:sz w:val="14"/>
              </w:rPr>
              <w:t> </w:t>
            </w:r>
            <w:r>
              <w:rPr>
                <w:rFonts w:ascii="Calibri"/>
                <w:b/>
                <w:sz w:val="14"/>
              </w:rPr>
              <w:t>IV</w:t>
            </w:r>
            <w:r>
              <w:rPr>
                <w:rFonts w:ascii="Calibri"/>
                <w:b/>
                <w:spacing w:val="-4"/>
                <w:sz w:val="14"/>
              </w:rPr>
              <w:t> </w:t>
            </w:r>
            <w:r>
              <w:rPr>
                <w:rFonts w:ascii="Calibri"/>
                <w:b/>
                <w:spacing w:val="-2"/>
                <w:sz w:val="14"/>
              </w:rPr>
              <w:t>OFICIO</w:t>
            </w: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pacing w:val="-2"/>
                <w:sz w:val="14"/>
              </w:rPr>
              <w:t>CONDUCTOR</w:t>
            </w:r>
            <w:r>
              <w:rPr>
                <w:rFonts w:ascii="Calibri"/>
                <w:spacing w:val="9"/>
                <w:sz w:val="14"/>
              </w:rPr>
              <w:t> </w:t>
            </w:r>
            <w:r>
              <w:rPr>
                <w:rFonts w:ascii="Calibri"/>
                <w:spacing w:val="-2"/>
                <w:sz w:val="14"/>
              </w:rPr>
              <w:t>PERCEPTOR</w:t>
            </w:r>
          </w:p>
        </w:tc>
        <w:tc>
          <w:tcPr>
            <w:tcW w:w="720" w:type="dxa"/>
            <w:tcBorders>
              <w:top w:val="single" w:sz="4" w:space="0" w:color="000000"/>
              <w:bottom w:val="single" w:sz="4" w:space="0" w:color="000000"/>
              <w:right w:val="single" w:sz="4" w:space="0" w:color="000000"/>
            </w:tcBorders>
          </w:tcPr>
          <w:p>
            <w:pPr>
              <w:pStyle w:val="TableParagraph"/>
              <w:spacing w:before="60"/>
              <w:ind w:left="20" w:right="5"/>
              <w:jc w:val="center"/>
              <w:rPr>
                <w:sz w:val="14"/>
              </w:rPr>
            </w:pPr>
            <w:r>
              <w:rPr>
                <w:spacing w:val="-4"/>
                <w:sz w:val="14"/>
              </w:rPr>
              <w:t>1,17</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2" w:right="15"/>
              <w:jc w:val="center"/>
              <w:rPr>
                <w:sz w:val="14"/>
              </w:rPr>
            </w:pPr>
            <w:r>
              <w:rPr>
                <w:spacing w:val="-4"/>
                <w:sz w:val="14"/>
              </w:rPr>
              <w:t>-3,19</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4"/>
                <w:sz w:val="14"/>
              </w:rPr>
              <w:t>2,03</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6"/>
              <w:jc w:val="center"/>
              <w:rPr>
                <w:sz w:val="14"/>
              </w:rPr>
            </w:pPr>
            <w:r>
              <w:rPr>
                <w:spacing w:val="-4"/>
                <w:sz w:val="14"/>
              </w:rPr>
              <w:t>3,50</w:t>
            </w:r>
          </w:p>
        </w:tc>
        <w:tc>
          <w:tcPr>
            <w:tcW w:w="547" w:type="dxa"/>
            <w:tcBorders>
              <w:top w:val="single" w:sz="4" w:space="0" w:color="000000"/>
              <w:left w:val="single" w:sz="4" w:space="0" w:color="000000"/>
              <w:bottom w:val="single" w:sz="4" w:space="0" w:color="000000"/>
            </w:tcBorders>
          </w:tcPr>
          <w:p>
            <w:pPr>
              <w:pStyle w:val="TableParagraph"/>
              <w:spacing w:before="60"/>
              <w:ind w:left="26" w:right="1"/>
              <w:jc w:val="center"/>
              <w:rPr>
                <w:sz w:val="14"/>
              </w:rPr>
            </w:pPr>
            <w:r>
              <w:rPr>
                <w:spacing w:val="-4"/>
                <w:sz w:val="14"/>
              </w:rPr>
              <w:t>0,79</w:t>
            </w: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sz w:val="14"/>
              </w:rPr>
            </w:pPr>
            <w:r>
              <w:rPr>
                <w:rFonts w:ascii="Calibri"/>
                <w:sz w:val="14"/>
              </w:rPr>
              <w:t>INSPECTOR</w:t>
            </w:r>
            <w:r>
              <w:rPr>
                <w:rFonts w:ascii="Calibri"/>
                <w:spacing w:val="-5"/>
                <w:sz w:val="14"/>
              </w:rPr>
              <w:t> </w:t>
            </w:r>
            <w:r>
              <w:rPr>
                <w:rFonts w:ascii="Calibri"/>
                <w:sz w:val="14"/>
              </w:rPr>
              <w:t>DE</w:t>
            </w:r>
            <w:r>
              <w:rPr>
                <w:rFonts w:ascii="Calibri"/>
                <w:spacing w:val="-7"/>
                <w:sz w:val="14"/>
              </w:rPr>
              <w:t> </w:t>
            </w:r>
            <w:r>
              <w:rPr>
                <w:rFonts w:ascii="Calibri"/>
                <w:spacing w:val="-2"/>
                <w:sz w:val="14"/>
              </w:rPr>
              <w:t>CALIDAD</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OFICIAL</w:t>
            </w:r>
            <w:r>
              <w:rPr>
                <w:rFonts w:ascii="Calibri"/>
                <w:spacing w:val="-7"/>
                <w:sz w:val="14"/>
              </w:rPr>
              <w:t> </w:t>
            </w:r>
            <w:r>
              <w:rPr>
                <w:rFonts w:ascii="Calibri"/>
                <w:sz w:val="14"/>
              </w:rPr>
              <w:t>TALLER</w:t>
            </w:r>
            <w:r>
              <w:rPr>
                <w:rFonts w:ascii="Calibri"/>
                <w:spacing w:val="-5"/>
                <w:sz w:val="14"/>
              </w:rPr>
              <w:t> </w:t>
            </w:r>
            <w:r>
              <w:rPr>
                <w:rFonts w:ascii="Calibri"/>
                <w:spacing w:val="-2"/>
                <w:sz w:val="14"/>
              </w:rPr>
              <w:t>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4" w:right="15"/>
              <w:jc w:val="center"/>
              <w:rPr>
                <w:sz w:val="14"/>
              </w:rPr>
            </w:pPr>
            <w:r>
              <w:rPr>
                <w:spacing w:val="-4"/>
                <w:sz w:val="14"/>
              </w:rPr>
              <w:t>0,75</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60"/>
              <w:ind w:left="23" w:right="6"/>
              <w:jc w:val="center"/>
              <w:rPr>
                <w:sz w:val="14"/>
              </w:rPr>
            </w:pPr>
            <w:r>
              <w:rPr>
                <w:spacing w:val="-4"/>
                <w:sz w:val="14"/>
              </w:rPr>
              <w:t>0,03</w:t>
            </w: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01"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6"/>
              <w:ind w:left="75"/>
              <w:rPr>
                <w:rFonts w:ascii="Calibri"/>
                <w:sz w:val="14"/>
              </w:rPr>
            </w:pPr>
            <w:r>
              <w:rPr>
                <w:rFonts w:ascii="Calibri"/>
                <w:sz w:val="14"/>
              </w:rPr>
              <w:t>AUXILIAR</w:t>
            </w:r>
            <w:r>
              <w:rPr>
                <w:rFonts w:ascii="Calibri"/>
                <w:spacing w:val="-5"/>
                <w:sz w:val="14"/>
              </w:rPr>
              <w:t> </w:t>
            </w:r>
            <w:r>
              <w:rPr>
                <w:rFonts w:ascii="Calibri"/>
                <w:spacing w:val="-2"/>
                <w:sz w:val="14"/>
              </w:rPr>
              <w:t>TALLER</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9"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44"/>
              <w:ind w:left="75"/>
              <w:rPr>
                <w:rFonts w:ascii="Calibri" w:hAnsi="Calibri"/>
                <w:sz w:val="14"/>
              </w:rPr>
            </w:pPr>
            <w:r>
              <w:rPr>
                <w:rFonts w:ascii="Calibri" w:hAnsi="Calibri"/>
                <w:spacing w:val="-2"/>
                <w:sz w:val="14"/>
              </w:rPr>
              <w:t>OFICIAL</w:t>
            </w:r>
            <w:r>
              <w:rPr>
                <w:rFonts w:ascii="Calibri" w:hAnsi="Calibri"/>
                <w:spacing w:val="12"/>
                <w:sz w:val="14"/>
              </w:rPr>
              <w:t> </w:t>
            </w:r>
            <w:r>
              <w:rPr>
                <w:rFonts w:ascii="Calibri" w:hAnsi="Calibri"/>
                <w:spacing w:val="-2"/>
                <w:sz w:val="14"/>
              </w:rPr>
              <w:t>ADMINISTRACIÓN</w:t>
            </w:r>
            <w:r>
              <w:rPr>
                <w:rFonts w:ascii="Calibri" w:hAnsi="Calibri"/>
                <w:spacing w:val="12"/>
                <w:sz w:val="14"/>
              </w:rPr>
              <w:t> </w:t>
            </w:r>
            <w:r>
              <w:rPr>
                <w:rFonts w:ascii="Calibri" w:hAnsi="Calibri"/>
                <w:spacing w:val="-4"/>
                <w:sz w:val="14"/>
              </w:rPr>
              <w:t>ESPE.</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60"/>
              <w:ind w:left="35" w:right="15"/>
              <w:jc w:val="center"/>
              <w:rPr>
                <w:sz w:val="14"/>
              </w:rPr>
            </w:pPr>
            <w:r>
              <w:rPr>
                <w:spacing w:val="-4"/>
                <w:sz w:val="14"/>
              </w:rPr>
              <w:t>0,88</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16" w:hRule="atLeast"/>
        </w:trPr>
        <w:tc>
          <w:tcPr>
            <w:tcW w:w="446" w:type="dxa"/>
            <w:vMerge/>
            <w:tcBorders>
              <w:top w:val="nil"/>
            </w:tcBorders>
            <w:textDirection w:val="btLr"/>
          </w:tcPr>
          <w:p>
            <w:pPr>
              <w:rPr>
                <w:sz w:val="2"/>
                <w:szCs w:val="2"/>
              </w:rPr>
            </w:pPr>
          </w:p>
        </w:tc>
        <w:tc>
          <w:tcPr>
            <w:tcW w:w="1545" w:type="dxa"/>
            <w:vMerge/>
            <w:tcBorders>
              <w:top w:val="nil"/>
              <w:bottom w:val="single" w:sz="4" w:space="0" w:color="000000"/>
              <w:right w:val="single" w:sz="4" w:space="0" w:color="000000"/>
            </w:tcBorders>
          </w:tcPr>
          <w:p>
            <w:pPr>
              <w:rPr>
                <w:sz w:val="2"/>
                <w:szCs w:val="2"/>
              </w:rPr>
            </w:pPr>
          </w:p>
        </w:tc>
        <w:tc>
          <w:tcPr>
            <w:tcW w:w="2150" w:type="dxa"/>
            <w:tcBorders>
              <w:top w:val="single" w:sz="4" w:space="0" w:color="000000"/>
              <w:left w:val="single" w:sz="4" w:space="0" w:color="000000"/>
              <w:bottom w:val="single" w:sz="4" w:space="0" w:color="000000"/>
            </w:tcBorders>
          </w:tcPr>
          <w:p>
            <w:pPr>
              <w:pStyle w:val="TableParagraph"/>
              <w:spacing w:before="60"/>
              <w:ind w:left="75"/>
              <w:rPr>
                <w:rFonts w:ascii="Calibri"/>
                <w:sz w:val="14"/>
              </w:rPr>
            </w:pPr>
            <w:r>
              <w:rPr>
                <w:rFonts w:ascii="Calibri"/>
                <w:sz w:val="14"/>
              </w:rPr>
              <w:t>AUXILIAR</w:t>
            </w:r>
            <w:r>
              <w:rPr>
                <w:rFonts w:ascii="Calibri"/>
                <w:spacing w:val="-5"/>
                <w:sz w:val="14"/>
              </w:rPr>
              <w:t> </w:t>
            </w:r>
            <w:r>
              <w:rPr>
                <w:rFonts w:ascii="Calibri"/>
                <w:spacing w:val="-2"/>
                <w:sz w:val="14"/>
              </w:rPr>
              <w:t>ADMIN/ESPECIALISTA</w:t>
            </w:r>
          </w:p>
        </w:tc>
        <w:tc>
          <w:tcPr>
            <w:tcW w:w="72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547" w:type="dxa"/>
            <w:tcBorders>
              <w:top w:val="single" w:sz="4" w:space="0" w:color="000000"/>
              <w:left w:val="single" w:sz="4" w:space="0" w:color="000000"/>
              <w:bottom w:val="single" w:sz="4" w:space="0" w:color="000000"/>
            </w:tcBorders>
          </w:tcPr>
          <w:p>
            <w:pPr>
              <w:pStyle w:val="TableParagraph"/>
              <w:rPr>
                <w:rFonts w:ascii="Times New Roman"/>
                <w:sz w:val="14"/>
              </w:rPr>
            </w:pPr>
          </w:p>
        </w:tc>
      </w:tr>
    </w:tbl>
    <w:p>
      <w:pPr>
        <w:pStyle w:val="TableParagraph"/>
        <w:spacing w:after="0"/>
        <w:rPr>
          <w:rFonts w:ascii="Times New Roman"/>
          <w:sz w:val="14"/>
        </w:rPr>
        <w:sectPr>
          <w:pgSz w:w="11910" w:h="16840"/>
          <w:pgMar w:header="384" w:footer="1060" w:top="1200" w:bottom="1260" w:left="360" w:right="360"/>
        </w:sectPr>
      </w:pPr>
    </w:p>
    <w:p>
      <w:pPr>
        <w:pStyle w:val="BodyText"/>
        <w:spacing w:before="218"/>
        <w:ind w:left="1341"/>
      </w:pPr>
      <w:r>
        <w:rPr/>
        <w:t>Número</w:t>
      </w:r>
      <w:r>
        <w:rPr>
          <w:spacing w:val="-6"/>
        </w:rPr>
        <w:t> </w:t>
      </w:r>
      <w:r>
        <w:rPr/>
        <w:t>total</w:t>
      </w:r>
      <w:r>
        <w:rPr>
          <w:spacing w:val="-6"/>
        </w:rPr>
        <w:t> </w:t>
      </w:r>
      <w:r>
        <w:rPr/>
        <w:t>de</w:t>
      </w:r>
      <w:r>
        <w:rPr>
          <w:spacing w:val="-4"/>
        </w:rPr>
        <w:t> </w:t>
      </w:r>
      <w:r>
        <w:rPr/>
        <w:t>la</w:t>
      </w:r>
      <w:r>
        <w:rPr>
          <w:spacing w:val="-7"/>
        </w:rPr>
        <w:t> </w:t>
      </w:r>
      <w:r>
        <w:rPr/>
        <w:t>plantilla</w:t>
      </w:r>
      <w:r>
        <w:rPr>
          <w:spacing w:val="-3"/>
        </w:rPr>
        <w:t> </w:t>
      </w:r>
      <w:r>
        <w:rPr/>
        <w:t>distribuida</w:t>
      </w:r>
      <w:r>
        <w:rPr>
          <w:spacing w:val="-6"/>
        </w:rPr>
        <w:t> </w:t>
      </w:r>
      <w:r>
        <w:rPr/>
        <w:t>por</w:t>
      </w:r>
      <w:r>
        <w:rPr>
          <w:spacing w:val="-4"/>
        </w:rPr>
        <w:t> </w:t>
      </w:r>
      <w:r>
        <w:rPr/>
        <w:t>sexo</w:t>
      </w:r>
      <w:r>
        <w:rPr>
          <w:spacing w:val="-7"/>
        </w:rPr>
        <w:t> </w:t>
      </w:r>
      <w:r>
        <w:rPr/>
        <w:t>a</w:t>
      </w:r>
      <w:r>
        <w:rPr>
          <w:spacing w:val="-3"/>
        </w:rPr>
        <w:t> </w:t>
      </w:r>
      <w:r>
        <w:rPr>
          <w:spacing w:val="-2"/>
        </w:rPr>
        <w:t>31/12/2025:</w:t>
      </w:r>
    </w:p>
    <w:p>
      <w:pPr>
        <w:pStyle w:val="BodyText"/>
        <w:spacing w:before="85"/>
      </w:pPr>
    </w:p>
    <w:tbl>
      <w:tblPr>
        <w:tblW w:w="0" w:type="auto"/>
        <w:jc w:val="left"/>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1032"/>
        <w:gridCol w:w="818"/>
        <w:gridCol w:w="1029"/>
        <w:gridCol w:w="818"/>
        <w:gridCol w:w="1029"/>
        <w:gridCol w:w="818"/>
      </w:tblGrid>
      <w:tr>
        <w:trPr>
          <w:trHeight w:val="395" w:hRule="atLeast"/>
        </w:trPr>
        <w:tc>
          <w:tcPr>
            <w:tcW w:w="1721" w:type="dxa"/>
            <w:tcBorders>
              <w:top w:val="nil"/>
              <w:left w:val="nil"/>
            </w:tcBorders>
          </w:tcPr>
          <w:p>
            <w:pPr>
              <w:pStyle w:val="TableParagraph"/>
              <w:rPr>
                <w:rFonts w:ascii="Times New Roman"/>
                <w:sz w:val="18"/>
              </w:rPr>
            </w:pPr>
          </w:p>
        </w:tc>
        <w:tc>
          <w:tcPr>
            <w:tcW w:w="1850" w:type="dxa"/>
            <w:gridSpan w:val="2"/>
            <w:shd w:val="clear" w:color="auto" w:fill="D7D7D7"/>
          </w:tcPr>
          <w:p>
            <w:pPr>
              <w:pStyle w:val="TableParagraph"/>
              <w:spacing w:before="21"/>
              <w:ind w:left="7"/>
              <w:jc w:val="center"/>
              <w:rPr>
                <w:b/>
                <w:sz w:val="20"/>
              </w:rPr>
            </w:pPr>
            <w:r>
              <w:rPr>
                <w:b/>
                <w:spacing w:val="-4"/>
                <w:sz w:val="20"/>
              </w:rPr>
              <w:t>2025</w:t>
            </w:r>
          </w:p>
        </w:tc>
        <w:tc>
          <w:tcPr>
            <w:tcW w:w="1847" w:type="dxa"/>
            <w:gridSpan w:val="2"/>
            <w:shd w:val="clear" w:color="auto" w:fill="D7D7D7"/>
          </w:tcPr>
          <w:p>
            <w:pPr>
              <w:pStyle w:val="TableParagraph"/>
              <w:spacing w:before="21"/>
              <w:ind w:left="6"/>
              <w:jc w:val="center"/>
              <w:rPr>
                <w:b/>
                <w:sz w:val="20"/>
              </w:rPr>
            </w:pPr>
            <w:r>
              <w:rPr>
                <w:b/>
                <w:spacing w:val="-4"/>
                <w:sz w:val="20"/>
              </w:rPr>
              <w:t>2024</w:t>
            </w:r>
          </w:p>
        </w:tc>
        <w:tc>
          <w:tcPr>
            <w:tcW w:w="1847" w:type="dxa"/>
            <w:gridSpan w:val="2"/>
            <w:shd w:val="clear" w:color="auto" w:fill="D7D7D7"/>
          </w:tcPr>
          <w:p>
            <w:pPr>
              <w:pStyle w:val="TableParagraph"/>
              <w:spacing w:before="21"/>
              <w:ind w:left="356"/>
              <w:rPr>
                <w:b/>
                <w:sz w:val="20"/>
              </w:rPr>
            </w:pPr>
            <w:r>
              <w:rPr>
                <w:b/>
                <w:sz w:val="20"/>
              </w:rPr>
              <w:t>∆</w:t>
            </w:r>
            <w:r>
              <w:rPr>
                <w:b/>
                <w:spacing w:val="-9"/>
                <w:sz w:val="20"/>
              </w:rPr>
              <w:t> </w:t>
            </w:r>
            <w:r>
              <w:rPr>
                <w:b/>
                <w:sz w:val="20"/>
              </w:rPr>
              <w:t>2025-</w:t>
            </w:r>
            <w:r>
              <w:rPr>
                <w:b/>
                <w:spacing w:val="-4"/>
                <w:sz w:val="20"/>
              </w:rPr>
              <w:t>2024</w:t>
            </w:r>
          </w:p>
        </w:tc>
      </w:tr>
      <w:tr>
        <w:trPr>
          <w:trHeight w:val="397" w:hRule="atLeast"/>
        </w:trPr>
        <w:tc>
          <w:tcPr>
            <w:tcW w:w="1721" w:type="dxa"/>
            <w:shd w:val="clear" w:color="auto" w:fill="D7D7D7"/>
          </w:tcPr>
          <w:p>
            <w:pPr>
              <w:pStyle w:val="TableParagraph"/>
              <w:spacing w:before="21"/>
              <w:ind w:left="335"/>
              <w:rPr>
                <w:b/>
                <w:sz w:val="20"/>
              </w:rPr>
            </w:pPr>
            <w:r>
              <w:rPr>
                <w:b/>
                <w:sz w:val="20"/>
              </w:rPr>
              <w:t>POR</w:t>
            </w:r>
            <w:r>
              <w:rPr>
                <w:b/>
                <w:spacing w:val="-7"/>
                <w:sz w:val="20"/>
              </w:rPr>
              <w:t> </w:t>
            </w:r>
            <w:r>
              <w:rPr>
                <w:b/>
                <w:spacing w:val="-4"/>
                <w:sz w:val="20"/>
              </w:rPr>
              <w:t>SEXO</w:t>
            </w:r>
          </w:p>
        </w:tc>
        <w:tc>
          <w:tcPr>
            <w:tcW w:w="1032" w:type="dxa"/>
            <w:shd w:val="clear" w:color="auto" w:fill="D7D7D7"/>
          </w:tcPr>
          <w:p>
            <w:pPr>
              <w:pStyle w:val="TableParagraph"/>
              <w:spacing w:before="21"/>
              <w:ind w:left="7"/>
              <w:jc w:val="center"/>
              <w:rPr>
                <w:b/>
                <w:sz w:val="20"/>
              </w:rPr>
            </w:pPr>
            <w:r>
              <w:rPr>
                <w:b/>
                <w:spacing w:val="-2"/>
                <w:sz w:val="20"/>
              </w:rPr>
              <w:t>NUMERO</w:t>
            </w:r>
          </w:p>
        </w:tc>
        <w:tc>
          <w:tcPr>
            <w:tcW w:w="818" w:type="dxa"/>
            <w:shd w:val="clear" w:color="auto" w:fill="D7D7D7"/>
          </w:tcPr>
          <w:p>
            <w:pPr>
              <w:pStyle w:val="TableParagraph"/>
              <w:spacing w:before="21"/>
              <w:ind w:left="14" w:right="8"/>
              <w:jc w:val="center"/>
              <w:rPr>
                <w:b/>
                <w:sz w:val="20"/>
              </w:rPr>
            </w:pPr>
            <w:r>
              <w:rPr>
                <w:b/>
                <w:spacing w:val="-10"/>
                <w:sz w:val="20"/>
              </w:rPr>
              <w:t>%</w:t>
            </w:r>
          </w:p>
        </w:tc>
        <w:tc>
          <w:tcPr>
            <w:tcW w:w="1029" w:type="dxa"/>
            <w:shd w:val="clear" w:color="auto" w:fill="D7D7D7"/>
          </w:tcPr>
          <w:p>
            <w:pPr>
              <w:pStyle w:val="TableParagraph"/>
              <w:spacing w:before="21"/>
              <w:ind w:left="11" w:right="2"/>
              <w:jc w:val="center"/>
              <w:rPr>
                <w:b/>
                <w:sz w:val="20"/>
              </w:rPr>
            </w:pPr>
            <w:r>
              <w:rPr>
                <w:b/>
                <w:spacing w:val="-2"/>
                <w:sz w:val="20"/>
              </w:rPr>
              <w:t>NUMERO</w:t>
            </w:r>
          </w:p>
        </w:tc>
        <w:tc>
          <w:tcPr>
            <w:tcW w:w="818" w:type="dxa"/>
            <w:shd w:val="clear" w:color="auto" w:fill="D7D7D7"/>
          </w:tcPr>
          <w:p>
            <w:pPr>
              <w:pStyle w:val="TableParagraph"/>
              <w:spacing w:before="21"/>
              <w:ind w:left="14" w:right="6"/>
              <w:jc w:val="center"/>
              <w:rPr>
                <w:b/>
                <w:sz w:val="20"/>
              </w:rPr>
            </w:pPr>
            <w:r>
              <w:rPr>
                <w:b/>
                <w:spacing w:val="-10"/>
                <w:sz w:val="20"/>
              </w:rPr>
              <w:t>%</w:t>
            </w:r>
          </w:p>
        </w:tc>
        <w:tc>
          <w:tcPr>
            <w:tcW w:w="1029" w:type="dxa"/>
            <w:shd w:val="clear" w:color="auto" w:fill="D7D7D7"/>
          </w:tcPr>
          <w:p>
            <w:pPr>
              <w:pStyle w:val="TableParagraph"/>
              <w:spacing w:before="21"/>
              <w:ind w:left="11"/>
              <w:jc w:val="center"/>
              <w:rPr>
                <w:b/>
                <w:sz w:val="20"/>
              </w:rPr>
            </w:pPr>
            <w:r>
              <w:rPr>
                <w:b/>
                <w:spacing w:val="-2"/>
                <w:sz w:val="20"/>
              </w:rPr>
              <w:t>NUMERO</w:t>
            </w:r>
          </w:p>
        </w:tc>
        <w:tc>
          <w:tcPr>
            <w:tcW w:w="818" w:type="dxa"/>
            <w:shd w:val="clear" w:color="auto" w:fill="D7D7D7"/>
          </w:tcPr>
          <w:p>
            <w:pPr>
              <w:pStyle w:val="TableParagraph"/>
              <w:spacing w:before="21"/>
              <w:ind w:left="14" w:right="4"/>
              <w:jc w:val="center"/>
              <w:rPr>
                <w:b/>
                <w:sz w:val="20"/>
              </w:rPr>
            </w:pPr>
            <w:r>
              <w:rPr>
                <w:b/>
                <w:spacing w:val="-10"/>
                <w:sz w:val="20"/>
              </w:rPr>
              <w:t>%</w:t>
            </w:r>
          </w:p>
        </w:tc>
      </w:tr>
      <w:tr>
        <w:trPr>
          <w:trHeight w:val="397" w:hRule="atLeast"/>
        </w:trPr>
        <w:tc>
          <w:tcPr>
            <w:tcW w:w="1721" w:type="dxa"/>
          </w:tcPr>
          <w:p>
            <w:pPr>
              <w:pStyle w:val="TableParagraph"/>
              <w:spacing w:before="23"/>
              <w:ind w:left="69"/>
              <w:rPr>
                <w:sz w:val="20"/>
              </w:rPr>
            </w:pPr>
            <w:r>
              <w:rPr>
                <w:spacing w:val="-2"/>
                <w:sz w:val="20"/>
              </w:rPr>
              <w:t>HOMBRE</w:t>
            </w:r>
          </w:p>
        </w:tc>
        <w:tc>
          <w:tcPr>
            <w:tcW w:w="1032" w:type="dxa"/>
          </w:tcPr>
          <w:p>
            <w:pPr>
              <w:pStyle w:val="TableParagraph"/>
              <w:spacing w:line="227" w:lineRule="exact"/>
              <w:ind w:left="7" w:right="3"/>
              <w:jc w:val="center"/>
              <w:rPr>
                <w:sz w:val="20"/>
              </w:rPr>
            </w:pPr>
            <w:r>
              <w:rPr>
                <w:spacing w:val="-5"/>
                <w:sz w:val="20"/>
              </w:rPr>
              <w:t>743</w:t>
            </w:r>
          </w:p>
        </w:tc>
        <w:tc>
          <w:tcPr>
            <w:tcW w:w="818" w:type="dxa"/>
          </w:tcPr>
          <w:p>
            <w:pPr>
              <w:pStyle w:val="TableParagraph"/>
              <w:spacing w:line="227" w:lineRule="exact"/>
              <w:ind w:left="14" w:right="9"/>
              <w:jc w:val="center"/>
              <w:rPr>
                <w:sz w:val="20"/>
              </w:rPr>
            </w:pPr>
            <w:r>
              <w:rPr>
                <w:spacing w:val="-2"/>
                <w:sz w:val="20"/>
              </w:rPr>
              <w:t>88,45%</w:t>
            </w:r>
          </w:p>
        </w:tc>
        <w:tc>
          <w:tcPr>
            <w:tcW w:w="1029" w:type="dxa"/>
          </w:tcPr>
          <w:p>
            <w:pPr>
              <w:pStyle w:val="TableParagraph"/>
              <w:spacing w:line="227" w:lineRule="exact"/>
              <w:ind w:left="11" w:right="8"/>
              <w:jc w:val="center"/>
              <w:rPr>
                <w:sz w:val="20"/>
              </w:rPr>
            </w:pPr>
            <w:r>
              <w:rPr>
                <w:spacing w:val="-5"/>
                <w:sz w:val="20"/>
              </w:rPr>
              <w:t>737</w:t>
            </w:r>
          </w:p>
        </w:tc>
        <w:tc>
          <w:tcPr>
            <w:tcW w:w="818" w:type="dxa"/>
          </w:tcPr>
          <w:p>
            <w:pPr>
              <w:pStyle w:val="TableParagraph"/>
              <w:spacing w:line="227" w:lineRule="exact"/>
              <w:ind w:right="61"/>
              <w:jc w:val="right"/>
              <w:rPr>
                <w:sz w:val="20"/>
              </w:rPr>
            </w:pPr>
            <w:r>
              <w:rPr>
                <w:spacing w:val="-2"/>
                <w:sz w:val="20"/>
              </w:rPr>
              <w:t>90,54%</w:t>
            </w:r>
          </w:p>
        </w:tc>
        <w:tc>
          <w:tcPr>
            <w:tcW w:w="1029" w:type="dxa"/>
          </w:tcPr>
          <w:p>
            <w:pPr>
              <w:pStyle w:val="TableParagraph"/>
              <w:spacing w:line="227" w:lineRule="exact"/>
              <w:ind w:left="11" w:right="1"/>
              <w:jc w:val="center"/>
              <w:rPr>
                <w:sz w:val="20"/>
              </w:rPr>
            </w:pPr>
            <w:r>
              <w:rPr>
                <w:spacing w:val="-10"/>
                <w:sz w:val="20"/>
              </w:rPr>
              <w:t>6</w:t>
            </w:r>
          </w:p>
        </w:tc>
        <w:tc>
          <w:tcPr>
            <w:tcW w:w="818" w:type="dxa"/>
          </w:tcPr>
          <w:p>
            <w:pPr>
              <w:pStyle w:val="TableParagraph"/>
              <w:spacing w:line="227" w:lineRule="exact"/>
              <w:ind w:right="116"/>
              <w:jc w:val="right"/>
              <w:rPr>
                <w:sz w:val="20"/>
              </w:rPr>
            </w:pPr>
            <w:r>
              <w:rPr>
                <w:spacing w:val="-4"/>
                <w:sz w:val="20"/>
              </w:rPr>
              <w:t>0,81%</w:t>
            </w:r>
          </w:p>
        </w:tc>
      </w:tr>
      <w:tr>
        <w:trPr>
          <w:trHeight w:val="395" w:hRule="atLeast"/>
        </w:trPr>
        <w:tc>
          <w:tcPr>
            <w:tcW w:w="1721" w:type="dxa"/>
          </w:tcPr>
          <w:p>
            <w:pPr>
              <w:pStyle w:val="TableParagraph"/>
              <w:spacing w:before="23"/>
              <w:ind w:left="69"/>
              <w:rPr>
                <w:sz w:val="20"/>
              </w:rPr>
            </w:pPr>
            <w:r>
              <w:rPr>
                <w:spacing w:val="-2"/>
                <w:sz w:val="20"/>
              </w:rPr>
              <w:t>MUJER</w:t>
            </w:r>
          </w:p>
        </w:tc>
        <w:tc>
          <w:tcPr>
            <w:tcW w:w="1032" w:type="dxa"/>
          </w:tcPr>
          <w:p>
            <w:pPr>
              <w:pStyle w:val="TableParagraph"/>
              <w:spacing w:line="227" w:lineRule="exact"/>
              <w:ind w:left="7" w:right="4"/>
              <w:jc w:val="center"/>
              <w:rPr>
                <w:sz w:val="20"/>
              </w:rPr>
            </w:pPr>
            <w:r>
              <w:rPr>
                <w:spacing w:val="-5"/>
                <w:sz w:val="20"/>
              </w:rPr>
              <w:t>97</w:t>
            </w:r>
          </w:p>
        </w:tc>
        <w:tc>
          <w:tcPr>
            <w:tcW w:w="818" w:type="dxa"/>
          </w:tcPr>
          <w:p>
            <w:pPr>
              <w:pStyle w:val="TableParagraph"/>
              <w:spacing w:line="227" w:lineRule="exact"/>
              <w:ind w:left="14" w:right="8"/>
              <w:jc w:val="center"/>
              <w:rPr>
                <w:sz w:val="20"/>
              </w:rPr>
            </w:pPr>
            <w:r>
              <w:rPr>
                <w:spacing w:val="-2"/>
                <w:sz w:val="20"/>
              </w:rPr>
              <w:t>11,55%</w:t>
            </w:r>
          </w:p>
        </w:tc>
        <w:tc>
          <w:tcPr>
            <w:tcW w:w="1029" w:type="dxa"/>
          </w:tcPr>
          <w:p>
            <w:pPr>
              <w:pStyle w:val="TableParagraph"/>
              <w:spacing w:line="227" w:lineRule="exact"/>
              <w:ind w:left="11" w:right="9"/>
              <w:jc w:val="center"/>
              <w:rPr>
                <w:sz w:val="20"/>
              </w:rPr>
            </w:pPr>
            <w:r>
              <w:rPr>
                <w:spacing w:val="-5"/>
                <w:sz w:val="20"/>
              </w:rPr>
              <w:t>77</w:t>
            </w:r>
          </w:p>
        </w:tc>
        <w:tc>
          <w:tcPr>
            <w:tcW w:w="818" w:type="dxa"/>
          </w:tcPr>
          <w:p>
            <w:pPr>
              <w:pStyle w:val="TableParagraph"/>
              <w:spacing w:line="227" w:lineRule="exact"/>
              <w:ind w:right="117"/>
              <w:jc w:val="right"/>
              <w:rPr>
                <w:sz w:val="20"/>
              </w:rPr>
            </w:pPr>
            <w:r>
              <w:rPr>
                <w:spacing w:val="-2"/>
                <w:sz w:val="20"/>
              </w:rPr>
              <w:t>9,46%</w:t>
            </w:r>
          </w:p>
        </w:tc>
        <w:tc>
          <w:tcPr>
            <w:tcW w:w="1029" w:type="dxa"/>
          </w:tcPr>
          <w:p>
            <w:pPr>
              <w:pStyle w:val="TableParagraph"/>
              <w:spacing w:line="227" w:lineRule="exact"/>
              <w:ind w:left="11" w:right="5"/>
              <w:jc w:val="center"/>
              <w:rPr>
                <w:sz w:val="20"/>
              </w:rPr>
            </w:pPr>
            <w:r>
              <w:rPr>
                <w:spacing w:val="-5"/>
                <w:sz w:val="20"/>
              </w:rPr>
              <w:t>20</w:t>
            </w:r>
          </w:p>
        </w:tc>
        <w:tc>
          <w:tcPr>
            <w:tcW w:w="818" w:type="dxa"/>
          </w:tcPr>
          <w:p>
            <w:pPr>
              <w:pStyle w:val="TableParagraph"/>
              <w:spacing w:line="227" w:lineRule="exact"/>
              <w:ind w:right="59"/>
              <w:jc w:val="right"/>
              <w:rPr>
                <w:sz w:val="20"/>
              </w:rPr>
            </w:pPr>
            <w:r>
              <w:rPr>
                <w:spacing w:val="-2"/>
                <w:sz w:val="20"/>
              </w:rPr>
              <w:t>25,97%</w:t>
            </w:r>
          </w:p>
        </w:tc>
      </w:tr>
    </w:tbl>
    <w:p>
      <w:pPr>
        <w:pStyle w:val="BodyText"/>
      </w:pPr>
    </w:p>
    <w:p>
      <w:pPr>
        <w:pStyle w:val="BodyText"/>
        <w:spacing w:before="84"/>
      </w:pPr>
    </w:p>
    <w:p>
      <w:pPr>
        <w:pStyle w:val="BodyText"/>
        <w:spacing w:before="1"/>
        <w:ind w:left="3"/>
        <w:jc w:val="center"/>
      </w:pPr>
      <w:r>
        <w:rPr/>
        <w:t>Seguimos</w:t>
      </w:r>
      <w:r>
        <w:rPr>
          <w:spacing w:val="47"/>
        </w:rPr>
        <w:t> </w:t>
      </w:r>
      <w:r>
        <w:rPr/>
        <w:t>en</w:t>
      </w:r>
      <w:r>
        <w:rPr>
          <w:spacing w:val="46"/>
        </w:rPr>
        <w:t> </w:t>
      </w:r>
      <w:r>
        <w:rPr/>
        <w:t>la</w:t>
      </w:r>
      <w:r>
        <w:rPr>
          <w:spacing w:val="44"/>
        </w:rPr>
        <w:t> </w:t>
      </w:r>
      <w:r>
        <w:rPr/>
        <w:t>tendencia</w:t>
      </w:r>
      <w:r>
        <w:rPr>
          <w:spacing w:val="47"/>
        </w:rPr>
        <w:t> </w:t>
      </w:r>
      <w:r>
        <w:rPr/>
        <w:t>creciente</w:t>
      </w:r>
      <w:r>
        <w:rPr>
          <w:spacing w:val="48"/>
        </w:rPr>
        <w:t> </w:t>
      </w:r>
      <w:r>
        <w:rPr/>
        <w:t>de</w:t>
      </w:r>
      <w:r>
        <w:rPr>
          <w:spacing w:val="47"/>
        </w:rPr>
        <w:t> </w:t>
      </w:r>
      <w:r>
        <w:rPr/>
        <w:t>incorporación</w:t>
      </w:r>
      <w:r>
        <w:rPr>
          <w:spacing w:val="46"/>
        </w:rPr>
        <w:t> </w:t>
      </w:r>
      <w:r>
        <w:rPr/>
        <w:t>de</w:t>
      </w:r>
      <w:r>
        <w:rPr>
          <w:spacing w:val="48"/>
        </w:rPr>
        <w:t> </w:t>
      </w:r>
      <w:r>
        <w:rPr/>
        <w:t>la</w:t>
      </w:r>
      <w:r>
        <w:rPr>
          <w:spacing w:val="44"/>
        </w:rPr>
        <w:t> </w:t>
      </w:r>
      <w:r>
        <w:rPr/>
        <w:t>mujer</w:t>
      </w:r>
      <w:r>
        <w:rPr>
          <w:spacing w:val="47"/>
        </w:rPr>
        <w:t> </w:t>
      </w:r>
      <w:r>
        <w:rPr/>
        <w:t>a</w:t>
      </w:r>
      <w:r>
        <w:rPr>
          <w:spacing w:val="47"/>
        </w:rPr>
        <w:t> </w:t>
      </w:r>
      <w:r>
        <w:rPr/>
        <w:t>este</w:t>
      </w:r>
      <w:r>
        <w:rPr>
          <w:spacing w:val="45"/>
        </w:rPr>
        <w:t> </w:t>
      </w:r>
      <w:r>
        <w:rPr/>
        <w:t>sector</w:t>
      </w:r>
      <w:r>
        <w:rPr>
          <w:spacing w:val="47"/>
        </w:rPr>
        <w:t> </w:t>
      </w:r>
      <w:r>
        <w:rPr>
          <w:spacing w:val="-2"/>
        </w:rPr>
        <w:t>habiendo</w:t>
      </w:r>
    </w:p>
    <w:p>
      <w:pPr>
        <w:pStyle w:val="BodyText"/>
        <w:spacing w:before="118"/>
        <w:ind w:right="293"/>
        <w:jc w:val="center"/>
      </w:pPr>
      <w:r>
        <w:rPr/>
        <w:t>pasado</w:t>
      </w:r>
      <w:r>
        <w:rPr>
          <w:spacing w:val="-5"/>
        </w:rPr>
        <w:t> </w:t>
      </w:r>
      <w:r>
        <w:rPr/>
        <w:t>de</w:t>
      </w:r>
      <w:r>
        <w:rPr>
          <w:spacing w:val="-2"/>
        </w:rPr>
        <w:t> </w:t>
      </w:r>
      <w:r>
        <w:rPr/>
        <w:t>77</w:t>
      </w:r>
      <w:r>
        <w:rPr>
          <w:spacing w:val="-6"/>
        </w:rPr>
        <w:t> </w:t>
      </w:r>
      <w:r>
        <w:rPr/>
        <w:t>mujeres</w:t>
      </w:r>
      <w:r>
        <w:rPr>
          <w:spacing w:val="-3"/>
        </w:rPr>
        <w:t> </w:t>
      </w:r>
      <w:r>
        <w:rPr/>
        <w:t>en</w:t>
      </w:r>
      <w:r>
        <w:rPr>
          <w:spacing w:val="-5"/>
        </w:rPr>
        <w:t> </w:t>
      </w:r>
      <w:r>
        <w:rPr/>
        <w:t>el</w:t>
      </w:r>
      <w:r>
        <w:rPr>
          <w:spacing w:val="-8"/>
        </w:rPr>
        <w:t> </w:t>
      </w:r>
      <w:r>
        <w:rPr/>
        <w:t>2024</w:t>
      </w:r>
      <w:r>
        <w:rPr>
          <w:spacing w:val="-4"/>
        </w:rPr>
        <w:t> </w:t>
      </w:r>
      <w:r>
        <w:rPr/>
        <w:t>a</w:t>
      </w:r>
      <w:r>
        <w:rPr>
          <w:spacing w:val="-5"/>
        </w:rPr>
        <w:t> </w:t>
      </w:r>
      <w:r>
        <w:rPr/>
        <w:t>97</w:t>
      </w:r>
      <w:r>
        <w:rPr>
          <w:spacing w:val="-3"/>
        </w:rPr>
        <w:t> </w:t>
      </w:r>
      <w:r>
        <w:rPr/>
        <w:t>en</w:t>
      </w:r>
      <w:r>
        <w:rPr>
          <w:spacing w:val="-2"/>
        </w:rPr>
        <w:t> </w:t>
      </w:r>
      <w:r>
        <w:rPr/>
        <w:t>el</w:t>
      </w:r>
      <w:r>
        <w:rPr>
          <w:spacing w:val="-6"/>
        </w:rPr>
        <w:t> </w:t>
      </w:r>
      <w:r>
        <w:rPr/>
        <w:t>2025,</w:t>
      </w:r>
      <w:r>
        <w:rPr>
          <w:spacing w:val="-2"/>
        </w:rPr>
        <w:t> </w:t>
      </w:r>
      <w:r>
        <w:rPr/>
        <w:t>lo</w:t>
      </w:r>
      <w:r>
        <w:rPr>
          <w:spacing w:val="-5"/>
        </w:rPr>
        <w:t> </w:t>
      </w:r>
      <w:r>
        <w:rPr/>
        <w:t>que</w:t>
      </w:r>
      <w:r>
        <w:rPr>
          <w:spacing w:val="-5"/>
        </w:rPr>
        <w:t> </w:t>
      </w:r>
      <w:r>
        <w:rPr/>
        <w:t>supone</w:t>
      </w:r>
      <w:r>
        <w:rPr>
          <w:spacing w:val="-4"/>
        </w:rPr>
        <w:t> </w:t>
      </w:r>
      <w:r>
        <w:rPr/>
        <w:t>un</w:t>
      </w:r>
      <w:r>
        <w:rPr>
          <w:spacing w:val="-3"/>
        </w:rPr>
        <w:t> </w:t>
      </w:r>
      <w:r>
        <w:rPr/>
        <w:t>incremento</w:t>
      </w:r>
      <w:r>
        <w:rPr>
          <w:spacing w:val="-5"/>
        </w:rPr>
        <w:t> </w:t>
      </w:r>
      <w:r>
        <w:rPr/>
        <w:t>del</w:t>
      </w:r>
      <w:r>
        <w:rPr>
          <w:spacing w:val="-6"/>
        </w:rPr>
        <w:t> </w:t>
      </w:r>
      <w:r>
        <w:rPr>
          <w:spacing w:val="-2"/>
        </w:rPr>
        <w:t>25,97%.</w:t>
      </w:r>
    </w:p>
    <w:p>
      <w:pPr>
        <w:pStyle w:val="BodyText"/>
        <w:spacing w:before="84"/>
      </w:pPr>
    </w:p>
    <w:p>
      <w:pPr>
        <w:pStyle w:val="BodyText"/>
        <w:ind w:left="1341"/>
      </w:pPr>
      <w:r>
        <w:rPr/>
        <w:t>Empleados</w:t>
      </w:r>
      <w:r>
        <w:rPr>
          <w:spacing w:val="-9"/>
        </w:rPr>
        <w:t> </w:t>
      </w:r>
      <w:r>
        <w:rPr/>
        <w:t>con</w:t>
      </w:r>
      <w:r>
        <w:rPr>
          <w:spacing w:val="-6"/>
        </w:rPr>
        <w:t> </w:t>
      </w:r>
      <w:r>
        <w:rPr/>
        <w:t>discapacidad</w:t>
      </w:r>
      <w:r>
        <w:rPr>
          <w:spacing w:val="-6"/>
        </w:rPr>
        <w:t> </w:t>
      </w:r>
      <w:r>
        <w:rPr/>
        <w:t>a</w:t>
      </w:r>
      <w:r>
        <w:rPr>
          <w:spacing w:val="-9"/>
        </w:rPr>
        <w:t> </w:t>
      </w:r>
      <w:r>
        <w:rPr>
          <w:spacing w:val="-2"/>
        </w:rPr>
        <w:t>31/12/2025:</w:t>
      </w:r>
    </w:p>
    <w:p>
      <w:pPr>
        <w:pStyle w:val="BodyText"/>
        <w:spacing w:before="85" w:after="1"/>
      </w:pPr>
    </w:p>
    <w:tbl>
      <w:tblPr>
        <w:tblW w:w="0" w:type="auto"/>
        <w:jc w:val="left"/>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3"/>
        <w:gridCol w:w="1272"/>
        <w:gridCol w:w="1015"/>
        <w:gridCol w:w="1440"/>
        <w:gridCol w:w="1373"/>
      </w:tblGrid>
      <w:tr>
        <w:trPr>
          <w:trHeight w:val="397" w:hRule="atLeast"/>
        </w:trPr>
        <w:tc>
          <w:tcPr>
            <w:tcW w:w="2143" w:type="dxa"/>
            <w:tcBorders>
              <w:top w:val="nil"/>
              <w:left w:val="nil"/>
            </w:tcBorders>
          </w:tcPr>
          <w:p>
            <w:pPr>
              <w:pStyle w:val="TableParagraph"/>
              <w:rPr>
                <w:rFonts w:ascii="Times New Roman"/>
                <w:sz w:val="18"/>
              </w:rPr>
            </w:pPr>
          </w:p>
        </w:tc>
        <w:tc>
          <w:tcPr>
            <w:tcW w:w="5100" w:type="dxa"/>
            <w:gridSpan w:val="4"/>
            <w:shd w:val="clear" w:color="auto" w:fill="D7D7D7"/>
          </w:tcPr>
          <w:p>
            <w:pPr>
              <w:pStyle w:val="TableParagraph"/>
              <w:spacing w:before="21"/>
              <w:ind w:left="7"/>
              <w:jc w:val="center"/>
              <w:rPr>
                <w:b/>
                <w:sz w:val="20"/>
              </w:rPr>
            </w:pPr>
            <w:r>
              <w:rPr>
                <w:b/>
                <w:spacing w:val="-4"/>
                <w:sz w:val="20"/>
              </w:rPr>
              <w:t>2025</w:t>
            </w:r>
          </w:p>
        </w:tc>
      </w:tr>
      <w:tr>
        <w:trPr>
          <w:trHeight w:val="397" w:hRule="atLeast"/>
        </w:trPr>
        <w:tc>
          <w:tcPr>
            <w:tcW w:w="2143" w:type="dxa"/>
            <w:shd w:val="clear" w:color="auto" w:fill="D7D7D7"/>
          </w:tcPr>
          <w:p>
            <w:pPr>
              <w:pStyle w:val="TableParagraph"/>
              <w:spacing w:before="21"/>
              <w:ind w:left="434"/>
              <w:rPr>
                <w:b/>
                <w:sz w:val="20"/>
              </w:rPr>
            </w:pPr>
            <w:r>
              <w:rPr>
                <w:b/>
                <w:spacing w:val="-2"/>
                <w:sz w:val="20"/>
              </w:rPr>
              <w:t>EMPLEADOS</w:t>
            </w:r>
          </w:p>
        </w:tc>
        <w:tc>
          <w:tcPr>
            <w:tcW w:w="1272" w:type="dxa"/>
            <w:shd w:val="clear" w:color="auto" w:fill="D7D7D7"/>
          </w:tcPr>
          <w:p>
            <w:pPr>
              <w:pStyle w:val="TableParagraph"/>
              <w:spacing w:before="21"/>
              <w:ind w:left="11"/>
              <w:jc w:val="center"/>
              <w:rPr>
                <w:b/>
                <w:sz w:val="20"/>
              </w:rPr>
            </w:pPr>
            <w:r>
              <w:rPr>
                <w:b/>
                <w:spacing w:val="-2"/>
                <w:sz w:val="20"/>
              </w:rPr>
              <w:t>NUMERO</w:t>
            </w:r>
          </w:p>
        </w:tc>
        <w:tc>
          <w:tcPr>
            <w:tcW w:w="1015" w:type="dxa"/>
            <w:shd w:val="clear" w:color="auto" w:fill="D7D7D7"/>
          </w:tcPr>
          <w:p>
            <w:pPr>
              <w:pStyle w:val="TableParagraph"/>
              <w:spacing w:before="21"/>
              <w:ind w:left="7"/>
              <w:jc w:val="center"/>
              <w:rPr>
                <w:b/>
                <w:sz w:val="20"/>
              </w:rPr>
            </w:pPr>
            <w:r>
              <w:rPr>
                <w:b/>
                <w:spacing w:val="-10"/>
                <w:sz w:val="20"/>
              </w:rPr>
              <w:t>%</w:t>
            </w:r>
          </w:p>
        </w:tc>
        <w:tc>
          <w:tcPr>
            <w:tcW w:w="1440" w:type="dxa"/>
            <w:shd w:val="clear" w:color="auto" w:fill="D7D7D7"/>
          </w:tcPr>
          <w:p>
            <w:pPr>
              <w:pStyle w:val="TableParagraph"/>
              <w:spacing w:before="21"/>
              <w:ind w:left="9" w:right="1"/>
              <w:jc w:val="center"/>
              <w:rPr>
                <w:b/>
                <w:sz w:val="20"/>
              </w:rPr>
            </w:pPr>
            <w:r>
              <w:rPr>
                <w:b/>
                <w:spacing w:val="-2"/>
                <w:sz w:val="20"/>
              </w:rPr>
              <w:t>HOMBRES</w:t>
            </w:r>
          </w:p>
        </w:tc>
        <w:tc>
          <w:tcPr>
            <w:tcW w:w="1373" w:type="dxa"/>
            <w:shd w:val="clear" w:color="auto" w:fill="D7D7D7"/>
          </w:tcPr>
          <w:p>
            <w:pPr>
              <w:pStyle w:val="TableParagraph"/>
              <w:spacing w:before="21"/>
              <w:ind w:left="10" w:right="4"/>
              <w:jc w:val="center"/>
              <w:rPr>
                <w:b/>
                <w:sz w:val="20"/>
              </w:rPr>
            </w:pPr>
            <w:r>
              <w:rPr>
                <w:b/>
                <w:spacing w:val="-2"/>
                <w:sz w:val="20"/>
              </w:rPr>
              <w:t>MUJERES</w:t>
            </w:r>
          </w:p>
        </w:tc>
      </w:tr>
      <w:tr>
        <w:trPr>
          <w:trHeight w:val="395" w:hRule="atLeast"/>
        </w:trPr>
        <w:tc>
          <w:tcPr>
            <w:tcW w:w="2143" w:type="dxa"/>
          </w:tcPr>
          <w:p>
            <w:pPr>
              <w:pStyle w:val="TableParagraph"/>
              <w:spacing w:before="23"/>
              <w:ind w:left="67"/>
              <w:rPr>
                <w:sz w:val="20"/>
              </w:rPr>
            </w:pPr>
            <w:r>
              <w:rPr>
                <w:spacing w:val="-2"/>
                <w:sz w:val="20"/>
              </w:rPr>
              <w:t>DISCAPACIDAD</w:t>
            </w:r>
          </w:p>
        </w:tc>
        <w:tc>
          <w:tcPr>
            <w:tcW w:w="1272" w:type="dxa"/>
          </w:tcPr>
          <w:p>
            <w:pPr>
              <w:pStyle w:val="TableParagraph"/>
              <w:spacing w:before="47"/>
              <w:ind w:left="11" w:right="1"/>
              <w:jc w:val="center"/>
              <w:rPr>
                <w:sz w:val="20"/>
              </w:rPr>
            </w:pPr>
            <w:r>
              <w:rPr>
                <w:spacing w:val="-10"/>
                <w:sz w:val="20"/>
              </w:rPr>
              <w:t>5</w:t>
            </w:r>
          </w:p>
        </w:tc>
        <w:tc>
          <w:tcPr>
            <w:tcW w:w="1015" w:type="dxa"/>
          </w:tcPr>
          <w:p>
            <w:pPr>
              <w:pStyle w:val="TableParagraph"/>
              <w:spacing w:before="47"/>
              <w:ind w:left="7" w:right="3"/>
              <w:jc w:val="center"/>
              <w:rPr>
                <w:sz w:val="20"/>
              </w:rPr>
            </w:pPr>
            <w:r>
              <w:rPr>
                <w:spacing w:val="-4"/>
                <w:sz w:val="20"/>
              </w:rPr>
              <w:t>0,60%</w:t>
            </w:r>
          </w:p>
        </w:tc>
        <w:tc>
          <w:tcPr>
            <w:tcW w:w="1440" w:type="dxa"/>
          </w:tcPr>
          <w:p>
            <w:pPr>
              <w:pStyle w:val="TableParagraph"/>
              <w:spacing w:before="47"/>
              <w:ind w:left="9"/>
              <w:jc w:val="center"/>
              <w:rPr>
                <w:sz w:val="20"/>
              </w:rPr>
            </w:pPr>
            <w:r>
              <w:rPr>
                <w:spacing w:val="-10"/>
                <w:sz w:val="20"/>
              </w:rPr>
              <w:t>5</w:t>
            </w:r>
          </w:p>
        </w:tc>
        <w:tc>
          <w:tcPr>
            <w:tcW w:w="1373" w:type="dxa"/>
          </w:tcPr>
          <w:p>
            <w:pPr>
              <w:pStyle w:val="TableParagraph"/>
              <w:spacing w:before="47"/>
              <w:ind w:left="10"/>
              <w:jc w:val="center"/>
              <w:rPr>
                <w:sz w:val="20"/>
              </w:rPr>
            </w:pPr>
            <w:r>
              <w:rPr>
                <w:spacing w:val="-10"/>
                <w:sz w:val="20"/>
              </w:rPr>
              <w:t>0</w:t>
            </w:r>
          </w:p>
        </w:tc>
      </w:tr>
      <w:tr>
        <w:trPr>
          <w:trHeight w:val="398" w:hRule="atLeast"/>
        </w:trPr>
        <w:tc>
          <w:tcPr>
            <w:tcW w:w="2143" w:type="dxa"/>
          </w:tcPr>
          <w:p>
            <w:pPr>
              <w:pStyle w:val="TableParagraph"/>
              <w:spacing w:before="23"/>
              <w:ind w:left="67"/>
              <w:rPr>
                <w:sz w:val="20"/>
              </w:rPr>
            </w:pPr>
            <w:r>
              <w:rPr>
                <w:sz w:val="20"/>
              </w:rPr>
              <w:t>SIN</w:t>
            </w:r>
            <w:r>
              <w:rPr>
                <w:spacing w:val="-7"/>
                <w:sz w:val="20"/>
              </w:rPr>
              <w:t> </w:t>
            </w:r>
            <w:r>
              <w:rPr>
                <w:spacing w:val="-2"/>
                <w:sz w:val="20"/>
              </w:rPr>
              <w:t>DISCAPACIDAD</w:t>
            </w:r>
          </w:p>
        </w:tc>
        <w:tc>
          <w:tcPr>
            <w:tcW w:w="1272" w:type="dxa"/>
          </w:tcPr>
          <w:p>
            <w:pPr>
              <w:pStyle w:val="TableParagraph"/>
              <w:spacing w:before="50"/>
              <w:ind w:left="11" w:right="6"/>
              <w:jc w:val="center"/>
              <w:rPr>
                <w:sz w:val="20"/>
              </w:rPr>
            </w:pPr>
            <w:r>
              <w:rPr>
                <w:spacing w:val="-5"/>
                <w:sz w:val="20"/>
              </w:rPr>
              <w:t>835</w:t>
            </w:r>
          </w:p>
        </w:tc>
        <w:tc>
          <w:tcPr>
            <w:tcW w:w="1015" w:type="dxa"/>
          </w:tcPr>
          <w:p>
            <w:pPr>
              <w:pStyle w:val="TableParagraph"/>
              <w:spacing w:before="50"/>
              <w:ind w:left="7" w:right="3"/>
              <w:jc w:val="center"/>
              <w:rPr>
                <w:sz w:val="20"/>
              </w:rPr>
            </w:pPr>
            <w:r>
              <w:rPr>
                <w:spacing w:val="-2"/>
                <w:sz w:val="20"/>
              </w:rPr>
              <w:t>99,40%</w:t>
            </w:r>
          </w:p>
        </w:tc>
        <w:tc>
          <w:tcPr>
            <w:tcW w:w="1440" w:type="dxa"/>
          </w:tcPr>
          <w:p>
            <w:pPr>
              <w:pStyle w:val="TableParagraph"/>
              <w:spacing w:before="50"/>
              <w:ind w:left="9" w:right="5"/>
              <w:jc w:val="center"/>
              <w:rPr>
                <w:sz w:val="20"/>
              </w:rPr>
            </w:pPr>
            <w:r>
              <w:rPr>
                <w:spacing w:val="-5"/>
                <w:sz w:val="20"/>
              </w:rPr>
              <w:t>738</w:t>
            </w:r>
          </w:p>
        </w:tc>
        <w:tc>
          <w:tcPr>
            <w:tcW w:w="1373" w:type="dxa"/>
          </w:tcPr>
          <w:p>
            <w:pPr>
              <w:pStyle w:val="TableParagraph"/>
              <w:spacing w:before="50"/>
              <w:ind w:left="10" w:right="6"/>
              <w:jc w:val="center"/>
              <w:rPr>
                <w:sz w:val="20"/>
              </w:rPr>
            </w:pPr>
            <w:r>
              <w:rPr>
                <w:spacing w:val="-5"/>
                <w:sz w:val="20"/>
              </w:rPr>
              <w:t>97</w:t>
            </w:r>
          </w:p>
        </w:tc>
      </w:tr>
    </w:tbl>
    <w:p>
      <w:pPr>
        <w:pStyle w:val="BodyText"/>
      </w:pPr>
    </w:p>
    <w:p>
      <w:pPr>
        <w:pStyle w:val="BodyText"/>
        <w:spacing w:before="86"/>
      </w:pPr>
    </w:p>
    <w:p>
      <w:pPr>
        <w:pStyle w:val="BodyText"/>
        <w:ind w:left="1341"/>
      </w:pPr>
      <w:r>
        <w:rPr/>
        <mc:AlternateContent>
          <mc:Choice Requires="wps">
            <w:drawing>
              <wp:anchor distT="0" distB="0" distL="0" distR="0" allowOverlap="1" layoutInCell="1" locked="0" behindDoc="1" simplePos="0" relativeHeight="476775936">
                <wp:simplePos x="0" y="0"/>
                <wp:positionH relativeFrom="page">
                  <wp:posOffset>5397090</wp:posOffset>
                </wp:positionH>
                <wp:positionV relativeFrom="paragraph">
                  <wp:posOffset>629854</wp:posOffset>
                </wp:positionV>
                <wp:extent cx="91440" cy="14160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U</w:t>
                            </w:r>
                          </w:p>
                        </w:txbxContent>
                      </wps:txbx>
                      <wps:bodyPr wrap="square" lIns="0" tIns="0" rIns="0" bIns="0" rtlCol="0">
                        <a:noAutofit/>
                      </wps:bodyPr>
                    </wps:wsp>
                  </a:graphicData>
                </a:graphic>
              </wp:anchor>
            </w:drawing>
          </mc:Choice>
          <mc:Fallback>
            <w:pict>
              <v:shape style="position:absolute;margin-left:424.967773pt;margin-top:49.594807pt;width:7.2pt;height:11.15pt;mso-position-horizontal-relative:page;mso-position-vertical-relative:paragraph;z-index:-26540544" type="#_x0000_t202" id="docshape222" filled="false" stroked="false">
                <v:textbox inset="0,0,0,0">
                  <w:txbxContent>
                    <w:p>
                      <w:pPr>
                        <w:spacing w:line="223" w:lineRule="exact" w:before="0"/>
                        <w:ind w:left="0" w:right="0" w:firstLine="0"/>
                        <w:jc w:val="left"/>
                        <w:rPr>
                          <w:b/>
                          <w:sz w:val="20"/>
                        </w:rPr>
                      </w:pPr>
                      <w:r>
                        <w:rPr>
                          <w:b/>
                          <w:spacing w:val="-12"/>
                          <w:sz w:val="20"/>
                        </w:rPr>
                        <w:t>U</w:t>
                      </w:r>
                    </w:p>
                  </w:txbxContent>
                </v:textbox>
                <w10:wrap type="none"/>
              </v:shape>
            </w:pict>
          </mc:Fallback>
        </mc:AlternateContent>
      </w:r>
      <w:r>
        <w:rPr/>
        <w:t>Número</w:t>
      </w:r>
      <w:r>
        <w:rPr>
          <w:spacing w:val="-8"/>
        </w:rPr>
        <w:t> </w:t>
      </w:r>
      <w:r>
        <w:rPr/>
        <w:t>de</w:t>
      </w:r>
      <w:r>
        <w:rPr>
          <w:spacing w:val="-8"/>
        </w:rPr>
        <w:t> </w:t>
      </w:r>
      <w:r>
        <w:rPr/>
        <w:t>empleados</w:t>
      </w:r>
      <w:r>
        <w:rPr>
          <w:spacing w:val="-6"/>
        </w:rPr>
        <w:t> </w:t>
      </w:r>
      <w:r>
        <w:rPr/>
        <w:t>con</w:t>
      </w:r>
      <w:r>
        <w:rPr>
          <w:spacing w:val="-6"/>
        </w:rPr>
        <w:t> </w:t>
      </w:r>
      <w:r>
        <w:rPr/>
        <w:t>discapacidad</w:t>
      </w:r>
      <w:r>
        <w:rPr>
          <w:spacing w:val="-8"/>
        </w:rPr>
        <w:t> </w:t>
      </w:r>
      <w:r>
        <w:rPr/>
        <w:t>a</w:t>
      </w:r>
      <w:r>
        <w:rPr>
          <w:spacing w:val="-7"/>
        </w:rPr>
        <w:t> </w:t>
      </w:r>
      <w:r>
        <w:rPr/>
        <w:t>31/12/2025</w:t>
      </w:r>
      <w:r>
        <w:rPr>
          <w:spacing w:val="-7"/>
        </w:rPr>
        <w:t> </w:t>
      </w:r>
      <w:r>
        <w:rPr/>
        <w:t>con</w:t>
      </w:r>
      <w:r>
        <w:rPr>
          <w:spacing w:val="-8"/>
        </w:rPr>
        <w:t> </w:t>
      </w:r>
      <w:r>
        <w:rPr/>
        <w:t>respecto</w:t>
      </w:r>
      <w:r>
        <w:rPr>
          <w:spacing w:val="-5"/>
        </w:rPr>
        <w:t> </w:t>
      </w:r>
      <w:r>
        <w:rPr/>
        <w:t>al</w:t>
      </w:r>
      <w:r>
        <w:rPr>
          <w:spacing w:val="-8"/>
        </w:rPr>
        <w:t> </w:t>
      </w:r>
      <w:r>
        <w:rPr>
          <w:spacing w:val="-2"/>
        </w:rPr>
        <w:t>2024:</w:t>
      </w:r>
    </w:p>
    <w:p>
      <w:pPr>
        <w:pStyle w:val="BodyText"/>
        <w:spacing w:before="85" w:after="1"/>
      </w:pPr>
    </w:p>
    <w:tbl>
      <w:tblPr>
        <w:tblW w:w="0" w:type="auto"/>
        <w:jc w:val="left"/>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1243"/>
        <w:gridCol w:w="989"/>
        <w:gridCol w:w="1404"/>
        <w:gridCol w:w="1337"/>
      </w:tblGrid>
      <w:tr>
        <w:trPr>
          <w:trHeight w:val="398" w:hRule="atLeast"/>
        </w:trPr>
        <w:tc>
          <w:tcPr>
            <w:tcW w:w="2078" w:type="dxa"/>
            <w:tcBorders>
              <w:top w:val="nil"/>
              <w:left w:val="nil"/>
            </w:tcBorders>
          </w:tcPr>
          <w:p>
            <w:pPr>
              <w:pStyle w:val="TableParagraph"/>
              <w:rPr>
                <w:rFonts w:ascii="Times New Roman"/>
                <w:sz w:val="18"/>
              </w:rPr>
            </w:pPr>
          </w:p>
        </w:tc>
        <w:tc>
          <w:tcPr>
            <w:tcW w:w="4973" w:type="dxa"/>
            <w:gridSpan w:val="4"/>
            <w:shd w:val="clear" w:color="auto" w:fill="D7D7D7"/>
          </w:tcPr>
          <w:p>
            <w:pPr>
              <w:pStyle w:val="TableParagraph"/>
              <w:spacing w:before="21"/>
              <w:ind w:left="6"/>
              <w:jc w:val="center"/>
              <w:rPr>
                <w:b/>
                <w:sz w:val="20"/>
              </w:rPr>
            </w:pPr>
            <w:r>
              <w:rPr>
                <w:b/>
                <w:sz w:val="20"/>
              </w:rPr>
              <w:t>∆</w:t>
            </w:r>
            <w:r>
              <w:rPr>
                <w:b/>
                <w:spacing w:val="-9"/>
                <w:sz w:val="20"/>
              </w:rPr>
              <w:t> </w:t>
            </w:r>
            <w:r>
              <w:rPr>
                <w:b/>
                <w:sz w:val="20"/>
              </w:rPr>
              <w:t>2025-</w:t>
            </w:r>
            <w:r>
              <w:rPr>
                <w:b/>
                <w:spacing w:val="-4"/>
                <w:sz w:val="20"/>
              </w:rPr>
              <w:t>2024</w:t>
            </w:r>
          </w:p>
        </w:tc>
      </w:tr>
      <w:tr>
        <w:trPr>
          <w:trHeight w:val="395" w:hRule="atLeast"/>
        </w:trPr>
        <w:tc>
          <w:tcPr>
            <w:tcW w:w="2078" w:type="dxa"/>
            <w:shd w:val="clear" w:color="auto" w:fill="D7D7D7"/>
          </w:tcPr>
          <w:p>
            <w:pPr>
              <w:pStyle w:val="TableParagraph"/>
              <w:spacing w:before="21"/>
              <w:ind w:left="403"/>
              <w:rPr>
                <w:b/>
                <w:sz w:val="20"/>
              </w:rPr>
            </w:pPr>
            <w:r>
              <w:rPr>
                <w:b/>
                <w:spacing w:val="-2"/>
                <w:sz w:val="20"/>
              </w:rPr>
              <w:t>EMPLEADOS</w:t>
            </w:r>
          </w:p>
        </w:tc>
        <w:tc>
          <w:tcPr>
            <w:tcW w:w="1243" w:type="dxa"/>
            <w:shd w:val="clear" w:color="auto" w:fill="D7D7D7"/>
          </w:tcPr>
          <w:p>
            <w:pPr>
              <w:pStyle w:val="TableParagraph"/>
              <w:spacing w:before="21"/>
              <w:ind w:left="6"/>
              <w:jc w:val="center"/>
              <w:rPr>
                <w:b/>
                <w:sz w:val="20"/>
              </w:rPr>
            </w:pPr>
            <w:r>
              <w:rPr>
                <w:b/>
                <w:spacing w:val="-2"/>
                <w:sz w:val="20"/>
              </w:rPr>
              <w:t>NUMERO</w:t>
            </w:r>
          </w:p>
        </w:tc>
        <w:tc>
          <w:tcPr>
            <w:tcW w:w="989" w:type="dxa"/>
            <w:shd w:val="clear" w:color="auto" w:fill="D7D7D7"/>
          </w:tcPr>
          <w:p>
            <w:pPr>
              <w:pStyle w:val="TableParagraph"/>
              <w:spacing w:before="21"/>
              <w:ind w:left="10"/>
              <w:jc w:val="center"/>
              <w:rPr>
                <w:b/>
                <w:sz w:val="20"/>
              </w:rPr>
            </w:pPr>
            <w:r>
              <w:rPr>
                <w:b/>
                <w:spacing w:val="-10"/>
                <w:sz w:val="20"/>
              </w:rPr>
              <w:t>%</w:t>
            </w:r>
          </w:p>
        </w:tc>
        <w:tc>
          <w:tcPr>
            <w:tcW w:w="1404" w:type="dxa"/>
            <w:shd w:val="clear" w:color="auto" w:fill="D7D7D7"/>
          </w:tcPr>
          <w:p>
            <w:pPr>
              <w:pStyle w:val="TableParagraph"/>
              <w:spacing w:before="21"/>
              <w:ind w:left="9" w:right="4"/>
              <w:jc w:val="center"/>
              <w:rPr>
                <w:b/>
                <w:sz w:val="20"/>
              </w:rPr>
            </w:pPr>
            <w:r>
              <w:rPr>
                <w:b/>
                <w:spacing w:val="-2"/>
                <w:sz w:val="20"/>
              </w:rPr>
              <w:t>HOMBRES</w:t>
            </w:r>
          </w:p>
        </w:tc>
        <w:tc>
          <w:tcPr>
            <w:tcW w:w="1337" w:type="dxa"/>
            <w:shd w:val="clear" w:color="auto" w:fill="D7D7D7"/>
          </w:tcPr>
          <w:p>
            <w:pPr>
              <w:pStyle w:val="TableParagraph"/>
              <w:spacing w:before="21"/>
              <w:ind w:left="8"/>
              <w:jc w:val="center"/>
              <w:rPr>
                <w:b/>
                <w:sz w:val="20"/>
              </w:rPr>
            </w:pPr>
            <w:r>
              <w:rPr>
                <w:b/>
                <w:sz w:val="20"/>
              </w:rPr>
              <w:t>M</w:t>
            </w:r>
            <w:r>
              <w:rPr>
                <w:b/>
                <w:spacing w:val="63"/>
                <w:w w:val="150"/>
                <w:sz w:val="20"/>
              </w:rPr>
              <w:t> </w:t>
            </w:r>
            <w:r>
              <w:rPr>
                <w:b/>
                <w:spacing w:val="-2"/>
                <w:sz w:val="20"/>
              </w:rPr>
              <w:t>JERES</w:t>
            </w:r>
          </w:p>
        </w:tc>
      </w:tr>
      <w:tr>
        <w:trPr>
          <w:trHeight w:val="397" w:hRule="atLeast"/>
        </w:trPr>
        <w:tc>
          <w:tcPr>
            <w:tcW w:w="2078" w:type="dxa"/>
          </w:tcPr>
          <w:p>
            <w:pPr>
              <w:pStyle w:val="TableParagraph"/>
              <w:spacing w:before="23"/>
              <w:ind w:left="69"/>
              <w:rPr>
                <w:sz w:val="20"/>
              </w:rPr>
            </w:pPr>
            <w:r>
              <w:rPr>
                <w:spacing w:val="-2"/>
                <w:sz w:val="20"/>
              </w:rPr>
              <w:t>DISCAPACIDAD</w:t>
            </w:r>
          </w:p>
        </w:tc>
        <w:tc>
          <w:tcPr>
            <w:tcW w:w="1243" w:type="dxa"/>
          </w:tcPr>
          <w:p>
            <w:pPr>
              <w:pStyle w:val="TableParagraph"/>
              <w:spacing w:before="50"/>
              <w:ind w:left="6"/>
              <w:jc w:val="center"/>
              <w:rPr>
                <w:sz w:val="20"/>
              </w:rPr>
            </w:pPr>
            <w:r>
              <w:rPr>
                <w:sz w:val="20"/>
              </w:rPr>
              <w:t>-</w:t>
            </w:r>
            <w:r>
              <w:rPr>
                <w:spacing w:val="-10"/>
                <w:sz w:val="20"/>
              </w:rPr>
              <w:t>1</w:t>
            </w:r>
          </w:p>
        </w:tc>
        <w:tc>
          <w:tcPr>
            <w:tcW w:w="989" w:type="dxa"/>
          </w:tcPr>
          <w:p>
            <w:pPr>
              <w:pStyle w:val="TableParagraph"/>
              <w:spacing w:before="50"/>
              <w:ind w:left="10" w:right="4"/>
              <w:jc w:val="center"/>
              <w:rPr>
                <w:sz w:val="20"/>
              </w:rPr>
            </w:pPr>
            <w:r>
              <w:rPr>
                <w:sz w:val="20"/>
              </w:rPr>
              <w:t>-</w:t>
            </w:r>
            <w:r>
              <w:rPr>
                <w:spacing w:val="-2"/>
                <w:sz w:val="20"/>
              </w:rPr>
              <w:t>16,67%</w:t>
            </w:r>
          </w:p>
        </w:tc>
        <w:tc>
          <w:tcPr>
            <w:tcW w:w="1404" w:type="dxa"/>
          </w:tcPr>
          <w:p>
            <w:pPr>
              <w:pStyle w:val="TableParagraph"/>
              <w:spacing w:before="50"/>
              <w:ind w:left="9" w:right="2"/>
              <w:jc w:val="center"/>
              <w:rPr>
                <w:sz w:val="20"/>
              </w:rPr>
            </w:pPr>
            <w:r>
              <w:rPr>
                <w:sz w:val="20"/>
              </w:rPr>
              <w:t>-</w:t>
            </w:r>
            <w:r>
              <w:rPr>
                <w:spacing w:val="-10"/>
                <w:sz w:val="20"/>
              </w:rPr>
              <w:t>1</w:t>
            </w:r>
          </w:p>
        </w:tc>
        <w:tc>
          <w:tcPr>
            <w:tcW w:w="1337" w:type="dxa"/>
          </w:tcPr>
          <w:p>
            <w:pPr>
              <w:pStyle w:val="TableParagraph"/>
              <w:spacing w:before="50"/>
              <w:ind w:left="8"/>
              <w:jc w:val="center"/>
              <w:rPr>
                <w:sz w:val="20"/>
              </w:rPr>
            </w:pPr>
            <w:r>
              <w:rPr>
                <w:spacing w:val="-10"/>
                <w:sz w:val="20"/>
              </w:rPr>
              <w:t>0</w:t>
            </w:r>
          </w:p>
        </w:tc>
      </w:tr>
      <w:tr>
        <w:trPr>
          <w:trHeight w:val="397" w:hRule="atLeast"/>
        </w:trPr>
        <w:tc>
          <w:tcPr>
            <w:tcW w:w="2078" w:type="dxa"/>
          </w:tcPr>
          <w:p>
            <w:pPr>
              <w:pStyle w:val="TableParagraph"/>
              <w:spacing w:before="23"/>
              <w:ind w:left="69"/>
              <w:rPr>
                <w:sz w:val="20"/>
              </w:rPr>
            </w:pPr>
            <w:r>
              <w:rPr>
                <w:sz w:val="20"/>
              </w:rPr>
              <w:t>SIN</w:t>
            </w:r>
            <w:r>
              <w:rPr>
                <w:spacing w:val="-7"/>
                <w:sz w:val="20"/>
              </w:rPr>
              <w:t> </w:t>
            </w:r>
            <w:r>
              <w:rPr>
                <w:spacing w:val="-2"/>
                <w:sz w:val="20"/>
              </w:rPr>
              <w:t>DISCAPACIDAD</w:t>
            </w:r>
          </w:p>
        </w:tc>
        <w:tc>
          <w:tcPr>
            <w:tcW w:w="1243" w:type="dxa"/>
          </w:tcPr>
          <w:p>
            <w:pPr>
              <w:pStyle w:val="TableParagraph"/>
              <w:spacing w:before="50"/>
              <w:ind w:left="6" w:right="1"/>
              <w:jc w:val="center"/>
              <w:rPr>
                <w:sz w:val="20"/>
              </w:rPr>
            </w:pPr>
            <w:r>
              <w:rPr>
                <w:spacing w:val="-5"/>
                <w:sz w:val="20"/>
              </w:rPr>
              <w:t>27</w:t>
            </w:r>
          </w:p>
        </w:tc>
        <w:tc>
          <w:tcPr>
            <w:tcW w:w="989" w:type="dxa"/>
          </w:tcPr>
          <w:p>
            <w:pPr>
              <w:pStyle w:val="TableParagraph"/>
              <w:spacing w:before="50"/>
              <w:ind w:left="10" w:right="3"/>
              <w:jc w:val="center"/>
              <w:rPr>
                <w:sz w:val="20"/>
              </w:rPr>
            </w:pPr>
            <w:r>
              <w:rPr>
                <w:spacing w:val="-2"/>
                <w:sz w:val="20"/>
              </w:rPr>
              <w:t>3,34%</w:t>
            </w:r>
          </w:p>
        </w:tc>
        <w:tc>
          <w:tcPr>
            <w:tcW w:w="1404" w:type="dxa"/>
          </w:tcPr>
          <w:p>
            <w:pPr>
              <w:pStyle w:val="TableParagraph"/>
              <w:spacing w:before="50"/>
              <w:ind w:left="9"/>
              <w:jc w:val="center"/>
              <w:rPr>
                <w:sz w:val="20"/>
              </w:rPr>
            </w:pPr>
            <w:r>
              <w:rPr>
                <w:spacing w:val="-10"/>
                <w:sz w:val="20"/>
              </w:rPr>
              <w:t>7</w:t>
            </w:r>
          </w:p>
        </w:tc>
        <w:tc>
          <w:tcPr>
            <w:tcW w:w="1337" w:type="dxa"/>
          </w:tcPr>
          <w:p>
            <w:pPr>
              <w:pStyle w:val="TableParagraph"/>
              <w:spacing w:before="50"/>
              <w:ind w:left="8" w:right="1"/>
              <w:jc w:val="center"/>
              <w:rPr>
                <w:sz w:val="20"/>
              </w:rPr>
            </w:pPr>
            <w:r>
              <w:rPr>
                <w:spacing w:val="-5"/>
                <w:sz w:val="20"/>
              </w:rPr>
              <w:t>20</w:t>
            </w:r>
          </w:p>
        </w:tc>
      </w:tr>
    </w:tbl>
    <w:p>
      <w:pPr>
        <w:pStyle w:val="BodyText"/>
      </w:pPr>
    </w:p>
    <w:p>
      <w:pPr>
        <w:pStyle w:val="BodyText"/>
        <w:spacing w:before="84"/>
      </w:pPr>
    </w:p>
    <w:p>
      <w:pPr>
        <w:pStyle w:val="BodyText"/>
        <w:spacing w:line="360" w:lineRule="auto"/>
        <w:ind w:left="1341" w:right="1335"/>
        <w:jc w:val="both"/>
      </w:pPr>
      <w:r>
        <w:rPr/>
        <mc:AlternateContent>
          <mc:Choice Requires="wps">
            <w:drawing>
              <wp:anchor distT="0" distB="0" distL="0" distR="0" allowOverlap="1" layoutInCell="1" locked="0" behindDoc="0" simplePos="0" relativeHeight="15808000">
                <wp:simplePos x="0" y="0"/>
                <wp:positionH relativeFrom="page">
                  <wp:posOffset>6966436</wp:posOffset>
                </wp:positionH>
                <wp:positionV relativeFrom="paragraph">
                  <wp:posOffset>-107634</wp:posOffset>
                </wp:positionV>
                <wp:extent cx="263525" cy="327596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8.475185pt;width:20.75pt;height:257.95pt;mso-position-horizontal-relative:page;mso-position-vertical-relative:paragraph;z-index:15808000" type="#_x0000_t202" id="docshape22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w:t>
      </w:r>
      <w:r>
        <w:rPr>
          <w:spacing w:val="-1"/>
        </w:rPr>
        <w:t> </w:t>
      </w:r>
      <w:r>
        <w:rPr/>
        <w:t>el año</w:t>
      </w:r>
      <w:r>
        <w:rPr>
          <w:spacing w:val="-1"/>
        </w:rPr>
        <w:t> </w:t>
      </w:r>
      <w:r>
        <w:rPr/>
        <w:t>2025</w:t>
      </w:r>
      <w:r>
        <w:rPr>
          <w:spacing w:val="-1"/>
        </w:rPr>
        <w:t> </w:t>
      </w:r>
      <w:r>
        <w:rPr/>
        <w:t>ha</w:t>
      </w:r>
      <w:r>
        <w:rPr>
          <w:spacing w:val="-3"/>
        </w:rPr>
        <w:t> </w:t>
      </w:r>
      <w:r>
        <w:rPr/>
        <w:t>habido</w:t>
      </w:r>
      <w:r>
        <w:rPr>
          <w:spacing w:val="-1"/>
        </w:rPr>
        <w:t> </w:t>
      </w:r>
      <w:r>
        <w:rPr/>
        <w:t>un despido</w:t>
      </w:r>
      <w:r>
        <w:rPr>
          <w:spacing w:val="-3"/>
        </w:rPr>
        <w:t> </w:t>
      </w:r>
      <w:r>
        <w:rPr/>
        <w:t>disciplinario.</w:t>
      </w:r>
      <w:r>
        <w:rPr>
          <w:spacing w:val="-2"/>
        </w:rPr>
        <w:t> </w:t>
      </w:r>
      <w:r>
        <w:rPr/>
        <w:t>En</w:t>
      </w:r>
      <w:r>
        <w:rPr>
          <w:spacing w:val="-1"/>
        </w:rPr>
        <w:t> </w:t>
      </w:r>
      <w:r>
        <w:rPr/>
        <w:t>relación</w:t>
      </w:r>
      <w:r>
        <w:rPr>
          <w:spacing w:val="-3"/>
        </w:rPr>
        <w:t> </w:t>
      </w:r>
      <w:r>
        <w:rPr/>
        <w:t>a</w:t>
      </w:r>
      <w:r>
        <w:rPr>
          <w:spacing w:val="-1"/>
        </w:rPr>
        <w:t> </w:t>
      </w:r>
      <w:r>
        <w:rPr/>
        <w:t>las retribuciones del</w:t>
      </w:r>
      <w:r>
        <w:rPr>
          <w:spacing w:val="-1"/>
        </w:rPr>
        <w:t> </w:t>
      </w:r>
      <w:r>
        <w:rPr/>
        <w:t>órgano</w:t>
      </w:r>
      <w:r>
        <w:rPr>
          <w:spacing w:val="-1"/>
        </w:rPr>
        <w:t> </w:t>
      </w:r>
      <w:r>
        <w:rPr/>
        <w:t>de gobierno, aparecen detalladas en el punto 18.2 de la memoria de las cuentas anuales del ejercicio 2025 de GMSA, correspondiéndose exclusivamente con retribuciones derivadas de</w:t>
      </w:r>
      <w:r>
        <w:rPr>
          <w:spacing w:val="40"/>
        </w:rPr>
        <w:t> </w:t>
      </w:r>
      <w:r>
        <w:rPr/>
        <w:t>sus sueldos y no devengando cantidad alguna por dietas o por asistencia al Consejo de Administración y/o al Comité de Dirección de la compañía. La retribución de la Alta Dirección ascendió en el 2025 a 114.693,12 €.</w:t>
      </w:r>
    </w:p>
    <w:p>
      <w:pPr>
        <w:pStyle w:val="BodyText"/>
        <w:spacing w:after="0" w:line="360" w:lineRule="auto"/>
        <w:jc w:val="both"/>
        <w:sectPr>
          <w:pgSz w:w="11910" w:h="16840"/>
          <w:pgMar w:header="384" w:footer="1060" w:top="1200" w:bottom="1260" w:left="360" w:right="360"/>
        </w:sectPr>
      </w:pPr>
    </w:p>
    <w:p>
      <w:pPr>
        <w:pStyle w:val="BodyText"/>
        <w:spacing w:before="218"/>
        <w:ind w:left="1341"/>
      </w:pPr>
      <w:r>
        <w:rPr/>
        <mc:AlternateContent>
          <mc:Choice Requires="wps">
            <w:drawing>
              <wp:anchor distT="0" distB="0" distL="0" distR="0" allowOverlap="1" layoutInCell="1" locked="0" behindDoc="0" simplePos="0" relativeHeight="15808512">
                <wp:simplePos x="0" y="0"/>
                <wp:positionH relativeFrom="page">
                  <wp:posOffset>6966436</wp:posOffset>
                </wp:positionH>
                <wp:positionV relativeFrom="page">
                  <wp:posOffset>6553363</wp:posOffset>
                </wp:positionV>
                <wp:extent cx="263525" cy="327596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08512" type="#_x0000_t202" id="docshape22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Número</w:t>
      </w:r>
      <w:r>
        <w:rPr>
          <w:spacing w:val="-6"/>
        </w:rPr>
        <w:t> </w:t>
      </w:r>
      <w:r>
        <w:rPr/>
        <w:t>de</w:t>
      </w:r>
      <w:r>
        <w:rPr>
          <w:spacing w:val="-6"/>
        </w:rPr>
        <w:t> </w:t>
      </w:r>
      <w:r>
        <w:rPr/>
        <w:t>despidos</w:t>
      </w:r>
      <w:r>
        <w:rPr>
          <w:spacing w:val="-2"/>
        </w:rPr>
        <w:t> </w:t>
      </w:r>
      <w:r>
        <w:rPr/>
        <w:t>a</w:t>
      </w:r>
      <w:r>
        <w:rPr>
          <w:spacing w:val="-6"/>
        </w:rPr>
        <w:t> </w:t>
      </w:r>
      <w:r>
        <w:rPr/>
        <w:t>31/12/2025</w:t>
      </w:r>
      <w:r>
        <w:rPr>
          <w:spacing w:val="-7"/>
        </w:rPr>
        <w:t> </w:t>
      </w:r>
      <w:r>
        <w:rPr/>
        <w:t>con</w:t>
      </w:r>
      <w:r>
        <w:rPr>
          <w:spacing w:val="-7"/>
        </w:rPr>
        <w:t> </w:t>
      </w:r>
      <w:r>
        <w:rPr/>
        <w:t>respecto</w:t>
      </w:r>
      <w:r>
        <w:rPr>
          <w:spacing w:val="-6"/>
        </w:rPr>
        <w:t> </w:t>
      </w:r>
      <w:r>
        <w:rPr/>
        <w:t>al</w:t>
      </w:r>
      <w:r>
        <w:rPr>
          <w:spacing w:val="-7"/>
        </w:rPr>
        <w:t> </w:t>
      </w:r>
      <w:r>
        <w:rPr>
          <w:spacing w:val="-2"/>
        </w:rPr>
        <w:t>2024:</w:t>
      </w:r>
    </w:p>
    <w:p>
      <w:pPr>
        <w:pStyle w:val="BodyText"/>
        <w:spacing w:before="85"/>
      </w:pPr>
    </w:p>
    <w:tbl>
      <w:tblPr>
        <w:tblW w:w="0" w:type="auto"/>
        <w:jc w:val="left"/>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410"/>
        <w:gridCol w:w="410"/>
        <w:gridCol w:w="410"/>
        <w:gridCol w:w="410"/>
        <w:gridCol w:w="410"/>
        <w:gridCol w:w="410"/>
        <w:gridCol w:w="410"/>
        <w:gridCol w:w="410"/>
        <w:gridCol w:w="410"/>
        <w:gridCol w:w="408"/>
        <w:gridCol w:w="410"/>
        <w:gridCol w:w="410"/>
        <w:gridCol w:w="410"/>
        <w:gridCol w:w="410"/>
        <w:gridCol w:w="410"/>
        <w:gridCol w:w="408"/>
        <w:gridCol w:w="410"/>
        <w:gridCol w:w="410"/>
      </w:tblGrid>
      <w:tr>
        <w:trPr>
          <w:trHeight w:val="242" w:hRule="atLeast"/>
        </w:trPr>
        <w:tc>
          <w:tcPr>
            <w:tcW w:w="1080" w:type="dxa"/>
            <w:vMerge w:val="restart"/>
            <w:tcBorders>
              <w:top w:val="nil"/>
              <w:left w:val="nil"/>
            </w:tcBorders>
          </w:tcPr>
          <w:p>
            <w:pPr>
              <w:pStyle w:val="TableParagraph"/>
              <w:rPr>
                <w:rFonts w:ascii="Times New Roman"/>
                <w:sz w:val="12"/>
              </w:rPr>
            </w:pPr>
          </w:p>
        </w:tc>
        <w:tc>
          <w:tcPr>
            <w:tcW w:w="2460" w:type="dxa"/>
            <w:gridSpan w:val="6"/>
            <w:shd w:val="clear" w:color="auto" w:fill="D7D7D7"/>
          </w:tcPr>
          <w:p>
            <w:pPr>
              <w:pStyle w:val="TableParagraph"/>
              <w:spacing w:line="154" w:lineRule="exact"/>
              <w:ind w:left="400"/>
              <w:rPr>
                <w:b/>
                <w:sz w:val="14"/>
              </w:rPr>
            </w:pPr>
            <w:r>
              <w:rPr>
                <w:b/>
                <w:sz w:val="14"/>
              </w:rPr>
              <w:t>EDAD</w:t>
            </w:r>
            <w:r>
              <w:rPr>
                <w:b/>
                <w:spacing w:val="-2"/>
                <w:sz w:val="14"/>
              </w:rPr>
              <w:t> </w:t>
            </w:r>
            <w:r>
              <w:rPr>
                <w:b/>
                <w:sz w:val="14"/>
              </w:rPr>
              <w:t>Y</w:t>
            </w:r>
            <w:r>
              <w:rPr>
                <w:b/>
                <w:spacing w:val="-3"/>
                <w:sz w:val="14"/>
              </w:rPr>
              <w:t> </w:t>
            </w:r>
            <w:r>
              <w:rPr>
                <w:b/>
                <w:sz w:val="14"/>
              </w:rPr>
              <w:t>SEXO</w:t>
            </w:r>
            <w:r>
              <w:rPr>
                <w:b/>
                <w:spacing w:val="-1"/>
                <w:sz w:val="14"/>
              </w:rPr>
              <w:t> </w:t>
            </w:r>
            <w:r>
              <w:rPr>
                <w:b/>
                <w:sz w:val="14"/>
              </w:rPr>
              <w:t>AÑO</w:t>
            </w:r>
            <w:r>
              <w:rPr>
                <w:b/>
                <w:spacing w:val="-3"/>
                <w:sz w:val="14"/>
              </w:rPr>
              <w:t> </w:t>
            </w:r>
            <w:r>
              <w:rPr>
                <w:b/>
                <w:spacing w:val="-4"/>
                <w:sz w:val="14"/>
              </w:rPr>
              <w:t>2025</w:t>
            </w:r>
          </w:p>
        </w:tc>
        <w:tc>
          <w:tcPr>
            <w:tcW w:w="2458" w:type="dxa"/>
            <w:gridSpan w:val="6"/>
            <w:shd w:val="clear" w:color="auto" w:fill="D7D7D7"/>
          </w:tcPr>
          <w:p>
            <w:pPr>
              <w:pStyle w:val="TableParagraph"/>
              <w:spacing w:line="154" w:lineRule="exact"/>
              <w:ind w:left="402"/>
              <w:rPr>
                <w:b/>
                <w:sz w:val="14"/>
              </w:rPr>
            </w:pPr>
            <w:r>
              <w:rPr>
                <w:b/>
                <w:sz w:val="14"/>
              </w:rPr>
              <w:t>EDAD</w:t>
            </w:r>
            <w:r>
              <w:rPr>
                <w:b/>
                <w:spacing w:val="-3"/>
                <w:sz w:val="14"/>
              </w:rPr>
              <w:t> </w:t>
            </w:r>
            <w:r>
              <w:rPr>
                <w:b/>
                <w:sz w:val="14"/>
              </w:rPr>
              <w:t>Y</w:t>
            </w:r>
            <w:r>
              <w:rPr>
                <w:b/>
                <w:spacing w:val="-3"/>
                <w:sz w:val="14"/>
              </w:rPr>
              <w:t> </w:t>
            </w:r>
            <w:r>
              <w:rPr>
                <w:b/>
                <w:sz w:val="14"/>
              </w:rPr>
              <w:t>SEXO</w:t>
            </w:r>
            <w:r>
              <w:rPr>
                <w:b/>
                <w:spacing w:val="-2"/>
                <w:sz w:val="14"/>
              </w:rPr>
              <w:t> </w:t>
            </w:r>
            <w:r>
              <w:rPr>
                <w:b/>
                <w:sz w:val="14"/>
              </w:rPr>
              <w:t>AÑO</w:t>
            </w:r>
            <w:r>
              <w:rPr>
                <w:b/>
                <w:spacing w:val="-4"/>
                <w:sz w:val="14"/>
              </w:rPr>
              <w:t> 2024</w:t>
            </w:r>
          </w:p>
        </w:tc>
        <w:tc>
          <w:tcPr>
            <w:tcW w:w="2458" w:type="dxa"/>
            <w:gridSpan w:val="6"/>
            <w:shd w:val="clear" w:color="auto" w:fill="D7D7D7"/>
          </w:tcPr>
          <w:p>
            <w:pPr>
              <w:pStyle w:val="TableParagraph"/>
              <w:spacing w:line="154" w:lineRule="exact"/>
              <w:ind w:left="337"/>
              <w:rPr>
                <w:b/>
                <w:sz w:val="14"/>
              </w:rPr>
            </w:pPr>
            <w:r>
              <w:rPr>
                <w:b/>
                <w:sz w:val="14"/>
              </w:rPr>
              <w:t>EDAD</w:t>
            </w:r>
            <w:r>
              <w:rPr>
                <w:b/>
                <w:spacing w:val="-3"/>
                <w:sz w:val="14"/>
              </w:rPr>
              <w:t> </w:t>
            </w:r>
            <w:r>
              <w:rPr>
                <w:b/>
                <w:sz w:val="14"/>
              </w:rPr>
              <w:t>Y</w:t>
            </w:r>
            <w:r>
              <w:rPr>
                <w:b/>
                <w:spacing w:val="-3"/>
                <w:sz w:val="14"/>
              </w:rPr>
              <w:t> </w:t>
            </w:r>
            <w:r>
              <w:rPr>
                <w:b/>
                <w:sz w:val="14"/>
              </w:rPr>
              <w:t>SEXO</w:t>
            </w:r>
            <w:r>
              <w:rPr>
                <w:b/>
                <w:spacing w:val="-2"/>
                <w:sz w:val="14"/>
              </w:rPr>
              <w:t> </w:t>
            </w:r>
            <w:r>
              <w:rPr>
                <w:b/>
                <w:sz w:val="14"/>
              </w:rPr>
              <w:t>∆</w:t>
            </w:r>
            <w:r>
              <w:rPr>
                <w:b/>
                <w:spacing w:val="-5"/>
                <w:sz w:val="14"/>
              </w:rPr>
              <w:t> </w:t>
            </w:r>
            <w:r>
              <w:rPr>
                <w:b/>
                <w:sz w:val="14"/>
              </w:rPr>
              <w:t>2025-</w:t>
            </w:r>
            <w:r>
              <w:rPr>
                <w:b/>
                <w:spacing w:val="-4"/>
                <w:sz w:val="14"/>
              </w:rPr>
              <w:t>2024</w:t>
            </w:r>
          </w:p>
        </w:tc>
      </w:tr>
      <w:tr>
        <w:trPr>
          <w:trHeight w:val="482" w:hRule="atLeast"/>
        </w:trPr>
        <w:tc>
          <w:tcPr>
            <w:tcW w:w="1080" w:type="dxa"/>
            <w:vMerge/>
            <w:tcBorders>
              <w:top w:val="nil"/>
              <w:left w:val="nil"/>
            </w:tcBorders>
          </w:tcPr>
          <w:p>
            <w:pPr>
              <w:rPr>
                <w:sz w:val="2"/>
                <w:szCs w:val="2"/>
              </w:rPr>
            </w:pPr>
          </w:p>
        </w:tc>
        <w:tc>
          <w:tcPr>
            <w:tcW w:w="820" w:type="dxa"/>
            <w:gridSpan w:val="2"/>
            <w:shd w:val="clear" w:color="auto" w:fill="D7D7D7"/>
          </w:tcPr>
          <w:p>
            <w:pPr>
              <w:pStyle w:val="TableParagraph"/>
              <w:spacing w:line="154" w:lineRule="exact"/>
              <w:ind w:left="270"/>
              <w:rPr>
                <w:b/>
                <w:sz w:val="14"/>
              </w:rPr>
            </w:pPr>
            <w:r>
              <w:rPr>
                <w:b/>
                <w:sz w:val="14"/>
              </w:rPr>
              <w:t>&lt;</w:t>
            </w:r>
            <w:r>
              <w:rPr>
                <w:b/>
                <w:spacing w:val="-2"/>
                <w:sz w:val="14"/>
              </w:rPr>
              <w:t> </w:t>
            </w:r>
            <w:r>
              <w:rPr>
                <w:b/>
                <w:spacing w:val="-5"/>
                <w:sz w:val="14"/>
              </w:rPr>
              <w:t>30</w:t>
            </w:r>
          </w:p>
          <w:p>
            <w:pPr>
              <w:pStyle w:val="TableParagraph"/>
              <w:spacing w:before="79"/>
              <w:ind w:left="206"/>
              <w:rPr>
                <w:b/>
                <w:sz w:val="14"/>
              </w:rPr>
            </w:pPr>
            <w:r>
              <w:rPr>
                <w:b/>
                <w:spacing w:val="-4"/>
                <w:sz w:val="14"/>
              </w:rPr>
              <w:t>AÑOS</w:t>
            </w:r>
          </w:p>
        </w:tc>
        <w:tc>
          <w:tcPr>
            <w:tcW w:w="820" w:type="dxa"/>
            <w:gridSpan w:val="2"/>
            <w:shd w:val="clear" w:color="auto" w:fill="D7D7D7"/>
          </w:tcPr>
          <w:p>
            <w:pPr>
              <w:pStyle w:val="TableParagraph"/>
              <w:spacing w:line="154" w:lineRule="exact"/>
              <w:ind w:left="230"/>
              <w:rPr>
                <w:b/>
                <w:sz w:val="14"/>
              </w:rPr>
            </w:pPr>
            <w:r>
              <w:rPr>
                <w:b/>
                <w:spacing w:val="-2"/>
                <w:sz w:val="14"/>
              </w:rPr>
              <w:t>30-</w:t>
            </w:r>
            <w:r>
              <w:rPr>
                <w:b/>
                <w:spacing w:val="-5"/>
                <w:sz w:val="14"/>
              </w:rPr>
              <w:t>50</w:t>
            </w:r>
          </w:p>
          <w:p>
            <w:pPr>
              <w:pStyle w:val="TableParagraph"/>
              <w:spacing w:before="79"/>
              <w:ind w:left="207"/>
              <w:rPr>
                <w:b/>
                <w:sz w:val="14"/>
              </w:rPr>
            </w:pPr>
            <w:r>
              <w:rPr>
                <w:b/>
                <w:spacing w:val="-4"/>
                <w:sz w:val="14"/>
              </w:rPr>
              <w:t>AÑOS</w:t>
            </w:r>
          </w:p>
        </w:tc>
        <w:tc>
          <w:tcPr>
            <w:tcW w:w="820" w:type="dxa"/>
            <w:gridSpan w:val="2"/>
            <w:shd w:val="clear" w:color="auto" w:fill="D7D7D7"/>
          </w:tcPr>
          <w:p>
            <w:pPr>
              <w:pStyle w:val="TableParagraph"/>
              <w:spacing w:line="154" w:lineRule="exact"/>
              <w:ind w:left="272"/>
              <w:rPr>
                <w:b/>
                <w:sz w:val="14"/>
              </w:rPr>
            </w:pPr>
            <w:r>
              <w:rPr>
                <w:b/>
                <w:sz w:val="14"/>
              </w:rPr>
              <w:t>&gt;</w:t>
            </w:r>
            <w:r>
              <w:rPr>
                <w:b/>
                <w:spacing w:val="-2"/>
                <w:sz w:val="14"/>
              </w:rPr>
              <w:t> </w:t>
            </w:r>
            <w:r>
              <w:rPr>
                <w:b/>
                <w:spacing w:val="-5"/>
                <w:sz w:val="14"/>
              </w:rPr>
              <w:t>50</w:t>
            </w:r>
          </w:p>
          <w:p>
            <w:pPr>
              <w:pStyle w:val="TableParagraph"/>
              <w:spacing w:before="79"/>
              <w:ind w:left="207"/>
              <w:rPr>
                <w:b/>
                <w:sz w:val="14"/>
              </w:rPr>
            </w:pPr>
            <w:r>
              <w:rPr>
                <w:b/>
                <w:spacing w:val="-4"/>
                <w:sz w:val="14"/>
              </w:rPr>
              <w:t>AÑOS</w:t>
            </w:r>
          </w:p>
        </w:tc>
        <w:tc>
          <w:tcPr>
            <w:tcW w:w="820" w:type="dxa"/>
            <w:gridSpan w:val="2"/>
            <w:shd w:val="clear" w:color="auto" w:fill="D7D7D7"/>
          </w:tcPr>
          <w:p>
            <w:pPr>
              <w:pStyle w:val="TableParagraph"/>
              <w:spacing w:line="154" w:lineRule="exact"/>
              <w:ind w:left="273"/>
              <w:rPr>
                <w:b/>
                <w:sz w:val="14"/>
              </w:rPr>
            </w:pPr>
            <w:r>
              <w:rPr>
                <w:b/>
                <w:sz w:val="14"/>
              </w:rPr>
              <w:t>&lt;</w:t>
            </w:r>
            <w:r>
              <w:rPr>
                <w:b/>
                <w:spacing w:val="-2"/>
                <w:sz w:val="14"/>
              </w:rPr>
              <w:t> </w:t>
            </w:r>
            <w:r>
              <w:rPr>
                <w:b/>
                <w:spacing w:val="-5"/>
                <w:sz w:val="14"/>
              </w:rPr>
              <w:t>30</w:t>
            </w:r>
          </w:p>
          <w:p>
            <w:pPr>
              <w:pStyle w:val="TableParagraph"/>
              <w:spacing w:before="79"/>
              <w:ind w:left="208"/>
              <w:rPr>
                <w:b/>
                <w:sz w:val="14"/>
              </w:rPr>
            </w:pPr>
            <w:r>
              <w:rPr>
                <w:b/>
                <w:spacing w:val="-4"/>
                <w:sz w:val="14"/>
              </w:rPr>
              <w:t>AÑOS</w:t>
            </w:r>
          </w:p>
        </w:tc>
        <w:tc>
          <w:tcPr>
            <w:tcW w:w="818" w:type="dxa"/>
            <w:gridSpan w:val="2"/>
            <w:shd w:val="clear" w:color="auto" w:fill="D7D7D7"/>
          </w:tcPr>
          <w:p>
            <w:pPr>
              <w:pStyle w:val="TableParagraph"/>
              <w:spacing w:line="154" w:lineRule="exact"/>
              <w:ind w:left="233"/>
              <w:rPr>
                <w:b/>
                <w:sz w:val="14"/>
              </w:rPr>
            </w:pPr>
            <w:r>
              <w:rPr>
                <w:b/>
                <w:spacing w:val="-2"/>
                <w:sz w:val="14"/>
              </w:rPr>
              <w:t>30-</w:t>
            </w:r>
            <w:r>
              <w:rPr>
                <w:b/>
                <w:spacing w:val="-5"/>
                <w:sz w:val="14"/>
              </w:rPr>
              <w:t>50</w:t>
            </w:r>
          </w:p>
          <w:p>
            <w:pPr>
              <w:pStyle w:val="TableParagraph"/>
              <w:spacing w:before="79"/>
              <w:ind w:left="209"/>
              <w:rPr>
                <w:b/>
                <w:sz w:val="14"/>
              </w:rPr>
            </w:pPr>
            <w:r>
              <w:rPr>
                <w:b/>
                <w:spacing w:val="-4"/>
                <w:sz w:val="14"/>
              </w:rPr>
              <w:t>AÑOS</w:t>
            </w:r>
          </w:p>
        </w:tc>
        <w:tc>
          <w:tcPr>
            <w:tcW w:w="820" w:type="dxa"/>
            <w:gridSpan w:val="2"/>
            <w:shd w:val="clear" w:color="auto" w:fill="D7D7D7"/>
          </w:tcPr>
          <w:p>
            <w:pPr>
              <w:pStyle w:val="TableParagraph"/>
              <w:spacing w:line="154" w:lineRule="exact"/>
              <w:ind w:left="274"/>
              <w:rPr>
                <w:b/>
                <w:sz w:val="14"/>
              </w:rPr>
            </w:pPr>
            <w:r>
              <w:rPr>
                <w:b/>
                <w:sz w:val="14"/>
              </w:rPr>
              <w:t>&gt;</w:t>
            </w:r>
            <w:r>
              <w:rPr>
                <w:b/>
                <w:spacing w:val="-2"/>
                <w:sz w:val="14"/>
              </w:rPr>
              <w:t> </w:t>
            </w:r>
            <w:r>
              <w:rPr>
                <w:b/>
                <w:spacing w:val="-5"/>
                <w:sz w:val="14"/>
              </w:rPr>
              <w:t>50</w:t>
            </w:r>
          </w:p>
          <w:p>
            <w:pPr>
              <w:pStyle w:val="TableParagraph"/>
              <w:spacing w:before="79"/>
              <w:ind w:left="209"/>
              <w:rPr>
                <w:b/>
                <w:sz w:val="14"/>
              </w:rPr>
            </w:pPr>
            <w:r>
              <w:rPr>
                <w:b/>
                <w:spacing w:val="-4"/>
                <w:sz w:val="14"/>
              </w:rPr>
              <w:t>AÑOS</w:t>
            </w:r>
          </w:p>
        </w:tc>
        <w:tc>
          <w:tcPr>
            <w:tcW w:w="820" w:type="dxa"/>
            <w:gridSpan w:val="2"/>
            <w:shd w:val="clear" w:color="auto" w:fill="D7D7D7"/>
          </w:tcPr>
          <w:p>
            <w:pPr>
              <w:pStyle w:val="TableParagraph"/>
              <w:spacing w:line="154" w:lineRule="exact"/>
              <w:ind w:left="275"/>
              <w:rPr>
                <w:b/>
                <w:sz w:val="14"/>
              </w:rPr>
            </w:pPr>
            <w:r>
              <w:rPr>
                <w:b/>
                <w:sz w:val="14"/>
              </w:rPr>
              <w:t>&lt;</w:t>
            </w:r>
            <w:r>
              <w:rPr>
                <w:b/>
                <w:spacing w:val="-2"/>
                <w:sz w:val="14"/>
              </w:rPr>
              <w:t> </w:t>
            </w:r>
            <w:r>
              <w:rPr>
                <w:b/>
                <w:spacing w:val="-5"/>
                <w:sz w:val="14"/>
              </w:rPr>
              <w:t>30</w:t>
            </w:r>
          </w:p>
          <w:p>
            <w:pPr>
              <w:pStyle w:val="TableParagraph"/>
              <w:spacing w:before="79"/>
              <w:ind w:left="210"/>
              <w:rPr>
                <w:b/>
                <w:sz w:val="14"/>
              </w:rPr>
            </w:pPr>
            <w:r>
              <w:rPr>
                <w:b/>
                <w:spacing w:val="-4"/>
                <w:sz w:val="14"/>
              </w:rPr>
              <w:t>AÑOS</w:t>
            </w:r>
          </w:p>
        </w:tc>
        <w:tc>
          <w:tcPr>
            <w:tcW w:w="818" w:type="dxa"/>
            <w:gridSpan w:val="2"/>
            <w:shd w:val="clear" w:color="auto" w:fill="D7D7D7"/>
          </w:tcPr>
          <w:p>
            <w:pPr>
              <w:pStyle w:val="TableParagraph"/>
              <w:spacing w:line="154" w:lineRule="exact"/>
              <w:ind w:left="235"/>
              <w:rPr>
                <w:b/>
                <w:sz w:val="14"/>
              </w:rPr>
            </w:pPr>
            <w:r>
              <w:rPr>
                <w:b/>
                <w:spacing w:val="-2"/>
                <w:sz w:val="14"/>
              </w:rPr>
              <w:t>30-</w:t>
            </w:r>
            <w:r>
              <w:rPr>
                <w:b/>
                <w:spacing w:val="-5"/>
                <w:sz w:val="14"/>
              </w:rPr>
              <w:t>50</w:t>
            </w:r>
          </w:p>
          <w:p>
            <w:pPr>
              <w:pStyle w:val="TableParagraph"/>
              <w:spacing w:before="79"/>
              <w:ind w:left="211"/>
              <w:rPr>
                <w:b/>
                <w:sz w:val="14"/>
              </w:rPr>
            </w:pPr>
            <w:r>
              <w:rPr>
                <w:b/>
                <w:spacing w:val="-4"/>
                <w:sz w:val="14"/>
              </w:rPr>
              <w:t>AÑOS</w:t>
            </w:r>
          </w:p>
        </w:tc>
        <w:tc>
          <w:tcPr>
            <w:tcW w:w="820" w:type="dxa"/>
            <w:gridSpan w:val="2"/>
            <w:shd w:val="clear" w:color="auto" w:fill="D7D7D7"/>
          </w:tcPr>
          <w:p>
            <w:pPr>
              <w:pStyle w:val="TableParagraph"/>
              <w:spacing w:line="154" w:lineRule="exact"/>
              <w:ind w:left="276"/>
              <w:rPr>
                <w:b/>
                <w:sz w:val="14"/>
              </w:rPr>
            </w:pPr>
            <w:r>
              <w:rPr>
                <w:b/>
                <w:sz w:val="14"/>
              </w:rPr>
              <w:t>&gt;</w:t>
            </w:r>
            <w:r>
              <w:rPr>
                <w:b/>
                <w:spacing w:val="-2"/>
                <w:sz w:val="14"/>
              </w:rPr>
              <w:t> </w:t>
            </w:r>
            <w:r>
              <w:rPr>
                <w:b/>
                <w:spacing w:val="-5"/>
                <w:sz w:val="14"/>
              </w:rPr>
              <w:t>50</w:t>
            </w:r>
          </w:p>
          <w:p>
            <w:pPr>
              <w:pStyle w:val="TableParagraph"/>
              <w:spacing w:before="79"/>
              <w:ind w:left="211"/>
              <w:rPr>
                <w:b/>
                <w:sz w:val="14"/>
              </w:rPr>
            </w:pPr>
            <w:r>
              <w:rPr>
                <w:b/>
                <w:spacing w:val="-4"/>
                <w:sz w:val="14"/>
              </w:rPr>
              <w:t>AÑOS</w:t>
            </w:r>
          </w:p>
        </w:tc>
      </w:tr>
      <w:tr>
        <w:trPr>
          <w:trHeight w:val="414" w:hRule="atLeast"/>
        </w:trPr>
        <w:tc>
          <w:tcPr>
            <w:tcW w:w="1080" w:type="dxa"/>
            <w:shd w:val="clear" w:color="auto" w:fill="D7D7D7"/>
          </w:tcPr>
          <w:p>
            <w:pPr>
              <w:pStyle w:val="TableParagraph"/>
              <w:spacing w:line="133" w:lineRule="exact"/>
              <w:ind w:left="69"/>
              <w:rPr>
                <w:b/>
                <w:sz w:val="12"/>
              </w:rPr>
            </w:pPr>
            <w:r>
              <w:rPr>
                <w:b/>
                <w:spacing w:val="-2"/>
                <w:sz w:val="12"/>
              </w:rPr>
              <w:t>GRUPO</w:t>
            </w:r>
          </w:p>
          <w:p>
            <w:pPr>
              <w:pStyle w:val="TableParagraph"/>
              <w:spacing w:before="68"/>
              <w:ind w:left="69"/>
              <w:rPr>
                <w:b/>
                <w:sz w:val="12"/>
              </w:rPr>
            </w:pPr>
            <w:r>
              <w:rPr>
                <w:b/>
                <w:spacing w:val="-2"/>
                <w:sz w:val="12"/>
              </w:rPr>
              <w:t>PROFESIONAL</w:t>
            </w:r>
          </w:p>
        </w:tc>
        <w:tc>
          <w:tcPr>
            <w:tcW w:w="410" w:type="dxa"/>
            <w:shd w:val="clear" w:color="auto" w:fill="D7D7D7"/>
          </w:tcPr>
          <w:p>
            <w:pPr>
              <w:pStyle w:val="TableParagraph"/>
              <w:spacing w:before="79"/>
              <w:ind w:left="26" w:right="19"/>
              <w:jc w:val="center"/>
              <w:rPr>
                <w:b/>
                <w:sz w:val="14"/>
              </w:rPr>
            </w:pPr>
            <w:r>
              <w:rPr>
                <w:b/>
                <w:spacing w:val="-10"/>
                <w:sz w:val="14"/>
              </w:rPr>
              <w:t>H</w:t>
            </w:r>
          </w:p>
        </w:tc>
        <w:tc>
          <w:tcPr>
            <w:tcW w:w="410" w:type="dxa"/>
            <w:shd w:val="clear" w:color="auto" w:fill="D7D7D7"/>
          </w:tcPr>
          <w:p>
            <w:pPr>
              <w:pStyle w:val="TableParagraph"/>
              <w:spacing w:before="79"/>
              <w:ind w:left="28" w:right="19"/>
              <w:jc w:val="center"/>
              <w:rPr>
                <w:b/>
                <w:sz w:val="14"/>
              </w:rPr>
            </w:pPr>
            <w:r>
              <w:rPr>
                <w:b/>
                <w:spacing w:val="-10"/>
                <w:sz w:val="14"/>
              </w:rPr>
              <w:t>M</w:t>
            </w:r>
          </w:p>
        </w:tc>
        <w:tc>
          <w:tcPr>
            <w:tcW w:w="410" w:type="dxa"/>
            <w:shd w:val="clear" w:color="auto" w:fill="D7D7D7"/>
          </w:tcPr>
          <w:p>
            <w:pPr>
              <w:pStyle w:val="TableParagraph"/>
              <w:spacing w:before="79"/>
              <w:ind w:left="27" w:right="19"/>
              <w:jc w:val="center"/>
              <w:rPr>
                <w:b/>
                <w:sz w:val="14"/>
              </w:rPr>
            </w:pPr>
            <w:r>
              <w:rPr>
                <w:b/>
                <w:spacing w:val="-10"/>
                <w:sz w:val="14"/>
              </w:rPr>
              <w:t>H</w:t>
            </w:r>
          </w:p>
        </w:tc>
        <w:tc>
          <w:tcPr>
            <w:tcW w:w="410" w:type="dxa"/>
            <w:shd w:val="clear" w:color="auto" w:fill="D7D7D7"/>
          </w:tcPr>
          <w:p>
            <w:pPr>
              <w:pStyle w:val="TableParagraph"/>
              <w:spacing w:before="79"/>
              <w:ind w:left="24" w:right="19"/>
              <w:jc w:val="center"/>
              <w:rPr>
                <w:b/>
                <w:sz w:val="14"/>
              </w:rPr>
            </w:pPr>
            <w:r>
              <w:rPr>
                <w:b/>
                <w:spacing w:val="-10"/>
                <w:sz w:val="14"/>
              </w:rPr>
              <w:t>M</w:t>
            </w:r>
          </w:p>
        </w:tc>
        <w:tc>
          <w:tcPr>
            <w:tcW w:w="410" w:type="dxa"/>
            <w:shd w:val="clear" w:color="auto" w:fill="D7D7D7"/>
          </w:tcPr>
          <w:p>
            <w:pPr>
              <w:pStyle w:val="TableParagraph"/>
              <w:spacing w:before="79"/>
              <w:ind w:left="29" w:right="19"/>
              <w:jc w:val="center"/>
              <w:rPr>
                <w:b/>
                <w:sz w:val="14"/>
              </w:rPr>
            </w:pPr>
            <w:r>
              <w:rPr>
                <w:b/>
                <w:spacing w:val="-10"/>
                <w:sz w:val="14"/>
              </w:rPr>
              <w:t>H</w:t>
            </w:r>
          </w:p>
        </w:tc>
        <w:tc>
          <w:tcPr>
            <w:tcW w:w="410" w:type="dxa"/>
            <w:shd w:val="clear" w:color="auto" w:fill="D7D7D7"/>
          </w:tcPr>
          <w:p>
            <w:pPr>
              <w:pStyle w:val="TableParagraph"/>
              <w:spacing w:before="79"/>
              <w:ind w:left="31" w:right="19"/>
              <w:jc w:val="center"/>
              <w:rPr>
                <w:b/>
                <w:sz w:val="14"/>
              </w:rPr>
            </w:pPr>
            <w:r>
              <w:rPr>
                <w:b/>
                <w:spacing w:val="-10"/>
                <w:sz w:val="14"/>
              </w:rPr>
              <w:t>M</w:t>
            </w:r>
          </w:p>
        </w:tc>
        <w:tc>
          <w:tcPr>
            <w:tcW w:w="410" w:type="dxa"/>
            <w:shd w:val="clear" w:color="auto" w:fill="D7D7D7"/>
          </w:tcPr>
          <w:p>
            <w:pPr>
              <w:pStyle w:val="TableParagraph"/>
              <w:spacing w:before="79"/>
              <w:ind w:left="31" w:right="19"/>
              <w:jc w:val="center"/>
              <w:rPr>
                <w:b/>
                <w:sz w:val="14"/>
              </w:rPr>
            </w:pPr>
            <w:r>
              <w:rPr>
                <w:b/>
                <w:spacing w:val="-10"/>
                <w:sz w:val="14"/>
              </w:rPr>
              <w:t>H</w:t>
            </w:r>
          </w:p>
        </w:tc>
        <w:tc>
          <w:tcPr>
            <w:tcW w:w="410" w:type="dxa"/>
            <w:shd w:val="clear" w:color="auto" w:fill="D7D7D7"/>
          </w:tcPr>
          <w:p>
            <w:pPr>
              <w:pStyle w:val="TableParagraph"/>
              <w:spacing w:before="79"/>
              <w:ind w:left="32" w:right="19"/>
              <w:jc w:val="center"/>
              <w:rPr>
                <w:b/>
                <w:sz w:val="14"/>
              </w:rPr>
            </w:pPr>
            <w:r>
              <w:rPr>
                <w:b/>
                <w:spacing w:val="-10"/>
                <w:sz w:val="14"/>
              </w:rPr>
              <w:t>M</w:t>
            </w:r>
          </w:p>
        </w:tc>
        <w:tc>
          <w:tcPr>
            <w:tcW w:w="410" w:type="dxa"/>
            <w:shd w:val="clear" w:color="auto" w:fill="D7D7D7"/>
          </w:tcPr>
          <w:p>
            <w:pPr>
              <w:pStyle w:val="TableParagraph"/>
              <w:spacing w:before="79"/>
              <w:ind w:left="32" w:right="19"/>
              <w:jc w:val="center"/>
              <w:rPr>
                <w:b/>
                <w:sz w:val="14"/>
              </w:rPr>
            </w:pPr>
            <w:r>
              <w:rPr>
                <w:b/>
                <w:spacing w:val="-10"/>
                <w:sz w:val="14"/>
              </w:rPr>
              <w:t>H</w:t>
            </w:r>
          </w:p>
        </w:tc>
        <w:tc>
          <w:tcPr>
            <w:tcW w:w="408" w:type="dxa"/>
            <w:shd w:val="clear" w:color="auto" w:fill="D7D7D7"/>
          </w:tcPr>
          <w:p>
            <w:pPr>
              <w:pStyle w:val="TableParagraph"/>
              <w:spacing w:before="79"/>
              <w:ind w:left="16" w:right="4"/>
              <w:jc w:val="center"/>
              <w:rPr>
                <w:b/>
                <w:sz w:val="14"/>
              </w:rPr>
            </w:pPr>
            <w:r>
              <w:rPr>
                <w:b/>
                <w:spacing w:val="-10"/>
                <w:sz w:val="14"/>
              </w:rPr>
              <w:t>M</w:t>
            </w:r>
          </w:p>
        </w:tc>
        <w:tc>
          <w:tcPr>
            <w:tcW w:w="410" w:type="dxa"/>
            <w:shd w:val="clear" w:color="auto" w:fill="D7D7D7"/>
          </w:tcPr>
          <w:p>
            <w:pPr>
              <w:pStyle w:val="TableParagraph"/>
              <w:spacing w:before="79"/>
              <w:ind w:left="33" w:right="19"/>
              <w:jc w:val="center"/>
              <w:rPr>
                <w:b/>
                <w:sz w:val="14"/>
              </w:rPr>
            </w:pPr>
            <w:r>
              <w:rPr>
                <w:b/>
                <w:spacing w:val="-10"/>
                <w:sz w:val="14"/>
              </w:rPr>
              <w:t>H</w:t>
            </w:r>
          </w:p>
        </w:tc>
        <w:tc>
          <w:tcPr>
            <w:tcW w:w="410" w:type="dxa"/>
            <w:shd w:val="clear" w:color="auto" w:fill="D7D7D7"/>
          </w:tcPr>
          <w:p>
            <w:pPr>
              <w:pStyle w:val="TableParagraph"/>
              <w:spacing w:before="79"/>
              <w:ind w:left="35" w:right="19"/>
              <w:jc w:val="center"/>
              <w:rPr>
                <w:b/>
                <w:sz w:val="14"/>
              </w:rPr>
            </w:pPr>
            <w:r>
              <w:rPr>
                <w:b/>
                <w:spacing w:val="-10"/>
                <w:sz w:val="14"/>
              </w:rPr>
              <w:t>M</w:t>
            </w:r>
          </w:p>
        </w:tc>
        <w:tc>
          <w:tcPr>
            <w:tcW w:w="410" w:type="dxa"/>
            <w:shd w:val="clear" w:color="auto" w:fill="D7D7D7"/>
          </w:tcPr>
          <w:p>
            <w:pPr>
              <w:pStyle w:val="TableParagraph"/>
              <w:spacing w:before="79"/>
              <w:ind w:left="35" w:right="19"/>
              <w:jc w:val="center"/>
              <w:rPr>
                <w:b/>
                <w:sz w:val="14"/>
              </w:rPr>
            </w:pPr>
            <w:r>
              <w:rPr>
                <w:b/>
                <w:spacing w:val="-10"/>
                <w:sz w:val="14"/>
              </w:rPr>
              <w:t>H</w:t>
            </w:r>
          </w:p>
        </w:tc>
        <w:tc>
          <w:tcPr>
            <w:tcW w:w="410" w:type="dxa"/>
            <w:shd w:val="clear" w:color="auto" w:fill="D7D7D7"/>
          </w:tcPr>
          <w:p>
            <w:pPr>
              <w:pStyle w:val="TableParagraph"/>
              <w:spacing w:before="79"/>
              <w:ind w:left="36" w:right="19"/>
              <w:jc w:val="center"/>
              <w:rPr>
                <w:b/>
                <w:sz w:val="14"/>
              </w:rPr>
            </w:pPr>
            <w:r>
              <w:rPr>
                <w:b/>
                <w:spacing w:val="-10"/>
                <w:sz w:val="14"/>
              </w:rPr>
              <w:t>M</w:t>
            </w:r>
          </w:p>
        </w:tc>
        <w:tc>
          <w:tcPr>
            <w:tcW w:w="410" w:type="dxa"/>
            <w:shd w:val="clear" w:color="auto" w:fill="D7D7D7"/>
          </w:tcPr>
          <w:p>
            <w:pPr>
              <w:pStyle w:val="TableParagraph"/>
              <w:spacing w:before="79"/>
              <w:ind w:left="36" w:right="19"/>
              <w:jc w:val="center"/>
              <w:rPr>
                <w:b/>
                <w:sz w:val="14"/>
              </w:rPr>
            </w:pPr>
            <w:r>
              <w:rPr>
                <w:b/>
                <w:spacing w:val="-10"/>
                <w:sz w:val="14"/>
              </w:rPr>
              <w:t>H</w:t>
            </w:r>
          </w:p>
        </w:tc>
        <w:tc>
          <w:tcPr>
            <w:tcW w:w="408" w:type="dxa"/>
            <w:shd w:val="clear" w:color="auto" w:fill="D7D7D7"/>
          </w:tcPr>
          <w:p>
            <w:pPr>
              <w:pStyle w:val="TableParagraph"/>
              <w:spacing w:before="79"/>
              <w:ind w:left="16"/>
              <w:jc w:val="center"/>
              <w:rPr>
                <w:b/>
                <w:sz w:val="14"/>
              </w:rPr>
            </w:pPr>
            <w:r>
              <w:rPr>
                <w:b/>
                <w:spacing w:val="-10"/>
                <w:sz w:val="14"/>
              </w:rPr>
              <w:t>M</w:t>
            </w:r>
          </w:p>
        </w:tc>
        <w:tc>
          <w:tcPr>
            <w:tcW w:w="410" w:type="dxa"/>
            <w:shd w:val="clear" w:color="auto" w:fill="D7D7D7"/>
          </w:tcPr>
          <w:p>
            <w:pPr>
              <w:pStyle w:val="TableParagraph"/>
              <w:spacing w:before="79"/>
              <w:ind w:left="37" w:right="19"/>
              <w:jc w:val="center"/>
              <w:rPr>
                <w:b/>
                <w:sz w:val="14"/>
              </w:rPr>
            </w:pPr>
            <w:r>
              <w:rPr>
                <w:b/>
                <w:spacing w:val="-10"/>
                <w:sz w:val="14"/>
              </w:rPr>
              <w:t>H</w:t>
            </w:r>
          </w:p>
        </w:tc>
        <w:tc>
          <w:tcPr>
            <w:tcW w:w="410" w:type="dxa"/>
            <w:shd w:val="clear" w:color="auto" w:fill="D7D7D7"/>
          </w:tcPr>
          <w:p>
            <w:pPr>
              <w:pStyle w:val="TableParagraph"/>
              <w:spacing w:before="79"/>
              <w:ind w:left="39" w:right="19"/>
              <w:jc w:val="center"/>
              <w:rPr>
                <w:b/>
                <w:sz w:val="14"/>
              </w:rPr>
            </w:pPr>
            <w:r>
              <w:rPr>
                <w:b/>
                <w:spacing w:val="-10"/>
                <w:sz w:val="14"/>
              </w:rPr>
              <w:t>M</w:t>
            </w:r>
          </w:p>
        </w:tc>
      </w:tr>
      <w:tr>
        <w:trPr>
          <w:trHeight w:val="482" w:hRule="atLeast"/>
        </w:trPr>
        <w:tc>
          <w:tcPr>
            <w:tcW w:w="1080" w:type="dxa"/>
          </w:tcPr>
          <w:p>
            <w:pPr>
              <w:pStyle w:val="TableParagraph"/>
              <w:spacing w:line="157" w:lineRule="exact"/>
              <w:ind w:left="69"/>
              <w:rPr>
                <w:sz w:val="14"/>
              </w:rPr>
            </w:pPr>
            <w:r>
              <w:rPr>
                <w:spacing w:val="-2"/>
                <w:sz w:val="14"/>
              </w:rPr>
              <w:t>PERSONAL</w:t>
            </w:r>
          </w:p>
          <w:p>
            <w:pPr>
              <w:pStyle w:val="TableParagraph"/>
              <w:spacing w:before="81"/>
              <w:ind w:left="69"/>
              <w:rPr>
                <w:sz w:val="14"/>
              </w:rPr>
            </w:pPr>
            <w:r>
              <w:rPr>
                <w:spacing w:val="-2"/>
                <w:sz w:val="14"/>
              </w:rPr>
              <w:t>DIRECTIVO</w:t>
            </w:r>
          </w:p>
        </w:tc>
        <w:tc>
          <w:tcPr>
            <w:tcW w:w="410" w:type="dxa"/>
          </w:tcPr>
          <w:p>
            <w:pPr>
              <w:pStyle w:val="TableParagraph"/>
              <w:spacing w:before="36"/>
              <w:ind w:left="27" w:right="19"/>
              <w:jc w:val="center"/>
              <w:rPr>
                <w:sz w:val="14"/>
              </w:rPr>
            </w:pPr>
            <w:r>
              <w:rPr>
                <w:spacing w:val="-10"/>
                <w:sz w:val="14"/>
              </w:rPr>
              <w:t>0</w:t>
            </w:r>
          </w:p>
        </w:tc>
        <w:tc>
          <w:tcPr>
            <w:tcW w:w="410" w:type="dxa"/>
          </w:tcPr>
          <w:p>
            <w:pPr>
              <w:pStyle w:val="TableParagraph"/>
              <w:spacing w:before="36"/>
              <w:ind w:left="28" w:right="19"/>
              <w:jc w:val="center"/>
              <w:rPr>
                <w:sz w:val="14"/>
              </w:rPr>
            </w:pPr>
            <w:r>
              <w:rPr>
                <w:spacing w:val="-10"/>
                <w:sz w:val="14"/>
              </w:rPr>
              <w:t>0</w:t>
            </w:r>
          </w:p>
        </w:tc>
        <w:tc>
          <w:tcPr>
            <w:tcW w:w="410" w:type="dxa"/>
          </w:tcPr>
          <w:p>
            <w:pPr>
              <w:pStyle w:val="TableParagraph"/>
              <w:spacing w:before="36"/>
              <w:ind w:left="29" w:right="19"/>
              <w:jc w:val="center"/>
              <w:rPr>
                <w:sz w:val="14"/>
              </w:rPr>
            </w:pPr>
            <w:r>
              <w:rPr>
                <w:spacing w:val="-10"/>
                <w:sz w:val="14"/>
              </w:rPr>
              <w:t>0</w:t>
            </w:r>
          </w:p>
        </w:tc>
        <w:tc>
          <w:tcPr>
            <w:tcW w:w="410" w:type="dxa"/>
          </w:tcPr>
          <w:p>
            <w:pPr>
              <w:pStyle w:val="TableParagraph"/>
              <w:spacing w:before="36"/>
              <w:ind w:left="25" w:right="19"/>
              <w:jc w:val="center"/>
              <w:rPr>
                <w:sz w:val="14"/>
              </w:rPr>
            </w:pPr>
            <w:r>
              <w:rPr>
                <w:spacing w:val="-10"/>
                <w:sz w:val="14"/>
              </w:rPr>
              <w:t>0</w:t>
            </w:r>
          </w:p>
        </w:tc>
        <w:tc>
          <w:tcPr>
            <w:tcW w:w="410" w:type="dxa"/>
          </w:tcPr>
          <w:p>
            <w:pPr>
              <w:pStyle w:val="TableParagraph"/>
              <w:spacing w:before="36"/>
              <w:ind w:left="30"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2"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4" w:right="19"/>
              <w:jc w:val="center"/>
              <w:rPr>
                <w:sz w:val="14"/>
              </w:rPr>
            </w:pPr>
            <w:r>
              <w:rPr>
                <w:spacing w:val="-10"/>
                <w:sz w:val="14"/>
              </w:rPr>
              <w:t>0</w:t>
            </w:r>
          </w:p>
        </w:tc>
        <w:tc>
          <w:tcPr>
            <w:tcW w:w="408" w:type="dxa"/>
          </w:tcPr>
          <w:p>
            <w:pPr>
              <w:pStyle w:val="TableParagraph"/>
              <w:spacing w:before="36"/>
              <w:ind w:left="16" w:right="3"/>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0</w:t>
            </w:r>
          </w:p>
        </w:tc>
        <w:tc>
          <w:tcPr>
            <w:tcW w:w="410" w:type="dxa"/>
          </w:tcPr>
          <w:p>
            <w:pPr>
              <w:pStyle w:val="TableParagraph"/>
              <w:spacing w:before="36"/>
              <w:ind w:left="33" w:right="19"/>
              <w:jc w:val="center"/>
              <w:rPr>
                <w:sz w:val="14"/>
              </w:rPr>
            </w:pPr>
            <w:r>
              <w:rPr>
                <w:spacing w:val="-10"/>
                <w:sz w:val="14"/>
              </w:rPr>
              <w:t>0</w:t>
            </w:r>
          </w:p>
        </w:tc>
        <w:tc>
          <w:tcPr>
            <w:tcW w:w="410" w:type="dxa"/>
          </w:tcPr>
          <w:p>
            <w:pPr>
              <w:pStyle w:val="TableParagraph"/>
              <w:spacing w:before="36"/>
              <w:ind w:left="36" w:right="19"/>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0</w:t>
            </w:r>
          </w:p>
        </w:tc>
        <w:tc>
          <w:tcPr>
            <w:tcW w:w="410" w:type="dxa"/>
          </w:tcPr>
          <w:p>
            <w:pPr>
              <w:pStyle w:val="TableParagraph"/>
              <w:spacing w:before="36"/>
              <w:ind w:left="37" w:right="19"/>
              <w:jc w:val="center"/>
              <w:rPr>
                <w:sz w:val="14"/>
              </w:rPr>
            </w:pPr>
            <w:r>
              <w:rPr>
                <w:spacing w:val="-10"/>
                <w:sz w:val="14"/>
              </w:rPr>
              <w:t>0</w:t>
            </w:r>
          </w:p>
        </w:tc>
        <w:tc>
          <w:tcPr>
            <w:tcW w:w="408" w:type="dxa"/>
          </w:tcPr>
          <w:p>
            <w:pPr>
              <w:pStyle w:val="TableParagraph"/>
              <w:spacing w:before="36"/>
              <w:ind w:left="16"/>
              <w:jc w:val="center"/>
              <w:rPr>
                <w:sz w:val="14"/>
              </w:rPr>
            </w:pPr>
            <w:r>
              <w:rPr>
                <w:spacing w:val="-10"/>
                <w:sz w:val="14"/>
              </w:rPr>
              <w:t>0</w:t>
            </w:r>
          </w:p>
        </w:tc>
        <w:tc>
          <w:tcPr>
            <w:tcW w:w="410" w:type="dxa"/>
          </w:tcPr>
          <w:p>
            <w:pPr>
              <w:pStyle w:val="TableParagraph"/>
              <w:spacing w:before="36"/>
              <w:ind w:left="38" w:right="19"/>
              <w:jc w:val="center"/>
              <w:rPr>
                <w:sz w:val="14"/>
              </w:rPr>
            </w:pPr>
            <w:r>
              <w:rPr>
                <w:spacing w:val="-10"/>
                <w:sz w:val="14"/>
              </w:rPr>
              <w:t>0</w:t>
            </w:r>
          </w:p>
        </w:tc>
        <w:tc>
          <w:tcPr>
            <w:tcW w:w="410" w:type="dxa"/>
          </w:tcPr>
          <w:p>
            <w:pPr>
              <w:pStyle w:val="TableParagraph"/>
              <w:spacing w:before="36"/>
              <w:ind w:left="39" w:right="19"/>
              <w:jc w:val="center"/>
              <w:rPr>
                <w:sz w:val="14"/>
              </w:rPr>
            </w:pPr>
            <w:r>
              <w:rPr>
                <w:spacing w:val="-10"/>
                <w:sz w:val="14"/>
              </w:rPr>
              <w:t>0</w:t>
            </w:r>
          </w:p>
        </w:tc>
      </w:tr>
      <w:tr>
        <w:trPr>
          <w:trHeight w:val="484" w:hRule="atLeast"/>
        </w:trPr>
        <w:tc>
          <w:tcPr>
            <w:tcW w:w="1080" w:type="dxa"/>
          </w:tcPr>
          <w:p>
            <w:pPr>
              <w:pStyle w:val="TableParagraph"/>
              <w:spacing w:line="157" w:lineRule="exact"/>
              <w:ind w:left="69"/>
              <w:rPr>
                <w:sz w:val="14"/>
              </w:rPr>
            </w:pPr>
            <w:r>
              <w:rPr>
                <w:spacing w:val="-2"/>
                <w:sz w:val="14"/>
              </w:rPr>
              <w:t>PERSONAL</w:t>
            </w:r>
          </w:p>
          <w:p>
            <w:pPr>
              <w:pStyle w:val="TableParagraph"/>
              <w:spacing w:before="81"/>
              <w:ind w:left="69"/>
              <w:rPr>
                <w:sz w:val="14"/>
              </w:rPr>
            </w:pPr>
            <w:r>
              <w:rPr>
                <w:spacing w:val="-2"/>
                <w:sz w:val="14"/>
              </w:rPr>
              <w:t>TÉCNICO</w:t>
            </w:r>
          </w:p>
        </w:tc>
        <w:tc>
          <w:tcPr>
            <w:tcW w:w="410" w:type="dxa"/>
          </w:tcPr>
          <w:p>
            <w:pPr>
              <w:pStyle w:val="TableParagraph"/>
              <w:spacing w:before="39"/>
              <w:ind w:left="27" w:right="19"/>
              <w:jc w:val="center"/>
              <w:rPr>
                <w:sz w:val="14"/>
              </w:rPr>
            </w:pPr>
            <w:r>
              <w:rPr>
                <w:spacing w:val="-10"/>
                <w:sz w:val="14"/>
              </w:rPr>
              <w:t>0</w:t>
            </w:r>
          </w:p>
        </w:tc>
        <w:tc>
          <w:tcPr>
            <w:tcW w:w="410" w:type="dxa"/>
          </w:tcPr>
          <w:p>
            <w:pPr>
              <w:pStyle w:val="TableParagraph"/>
              <w:spacing w:before="39"/>
              <w:ind w:left="28" w:right="19"/>
              <w:jc w:val="center"/>
              <w:rPr>
                <w:sz w:val="14"/>
              </w:rPr>
            </w:pPr>
            <w:r>
              <w:rPr>
                <w:spacing w:val="-10"/>
                <w:sz w:val="14"/>
              </w:rPr>
              <w:t>0</w:t>
            </w:r>
          </w:p>
        </w:tc>
        <w:tc>
          <w:tcPr>
            <w:tcW w:w="410" w:type="dxa"/>
          </w:tcPr>
          <w:p>
            <w:pPr>
              <w:pStyle w:val="TableParagraph"/>
              <w:spacing w:before="39"/>
              <w:ind w:left="29" w:right="19"/>
              <w:jc w:val="center"/>
              <w:rPr>
                <w:sz w:val="14"/>
              </w:rPr>
            </w:pPr>
            <w:r>
              <w:rPr>
                <w:spacing w:val="-10"/>
                <w:sz w:val="14"/>
              </w:rPr>
              <w:t>0</w:t>
            </w:r>
          </w:p>
        </w:tc>
        <w:tc>
          <w:tcPr>
            <w:tcW w:w="410" w:type="dxa"/>
          </w:tcPr>
          <w:p>
            <w:pPr>
              <w:pStyle w:val="TableParagraph"/>
              <w:spacing w:before="39"/>
              <w:ind w:left="25" w:right="19"/>
              <w:jc w:val="center"/>
              <w:rPr>
                <w:sz w:val="14"/>
              </w:rPr>
            </w:pPr>
            <w:r>
              <w:rPr>
                <w:spacing w:val="-10"/>
                <w:sz w:val="14"/>
              </w:rPr>
              <w:t>0</w:t>
            </w:r>
          </w:p>
        </w:tc>
        <w:tc>
          <w:tcPr>
            <w:tcW w:w="410" w:type="dxa"/>
          </w:tcPr>
          <w:p>
            <w:pPr>
              <w:pStyle w:val="TableParagraph"/>
              <w:spacing w:before="39"/>
              <w:ind w:left="30" w:right="19"/>
              <w:jc w:val="center"/>
              <w:rPr>
                <w:sz w:val="14"/>
              </w:rPr>
            </w:pPr>
            <w:r>
              <w:rPr>
                <w:spacing w:val="-10"/>
                <w:sz w:val="14"/>
              </w:rPr>
              <w:t>0</w:t>
            </w:r>
          </w:p>
        </w:tc>
        <w:tc>
          <w:tcPr>
            <w:tcW w:w="410" w:type="dxa"/>
          </w:tcPr>
          <w:p>
            <w:pPr>
              <w:pStyle w:val="TableParagraph"/>
              <w:spacing w:before="39"/>
              <w:ind w:left="31" w:right="19"/>
              <w:jc w:val="center"/>
              <w:rPr>
                <w:sz w:val="14"/>
              </w:rPr>
            </w:pPr>
            <w:r>
              <w:rPr>
                <w:spacing w:val="-10"/>
                <w:sz w:val="14"/>
              </w:rPr>
              <w:t>0</w:t>
            </w:r>
          </w:p>
        </w:tc>
        <w:tc>
          <w:tcPr>
            <w:tcW w:w="410" w:type="dxa"/>
          </w:tcPr>
          <w:p>
            <w:pPr>
              <w:pStyle w:val="TableParagraph"/>
              <w:spacing w:before="39"/>
              <w:ind w:left="32" w:right="19"/>
              <w:jc w:val="center"/>
              <w:rPr>
                <w:sz w:val="14"/>
              </w:rPr>
            </w:pPr>
            <w:r>
              <w:rPr>
                <w:spacing w:val="-10"/>
                <w:sz w:val="14"/>
              </w:rPr>
              <w:t>0</w:t>
            </w:r>
          </w:p>
        </w:tc>
        <w:tc>
          <w:tcPr>
            <w:tcW w:w="410" w:type="dxa"/>
          </w:tcPr>
          <w:p>
            <w:pPr>
              <w:pStyle w:val="TableParagraph"/>
              <w:spacing w:before="39"/>
              <w:ind w:left="31" w:right="19"/>
              <w:jc w:val="center"/>
              <w:rPr>
                <w:sz w:val="14"/>
              </w:rPr>
            </w:pPr>
            <w:r>
              <w:rPr>
                <w:spacing w:val="-10"/>
                <w:sz w:val="14"/>
              </w:rPr>
              <w:t>0</w:t>
            </w:r>
          </w:p>
        </w:tc>
        <w:tc>
          <w:tcPr>
            <w:tcW w:w="410" w:type="dxa"/>
          </w:tcPr>
          <w:p>
            <w:pPr>
              <w:pStyle w:val="TableParagraph"/>
              <w:spacing w:before="39"/>
              <w:ind w:left="34" w:right="19"/>
              <w:jc w:val="center"/>
              <w:rPr>
                <w:sz w:val="14"/>
              </w:rPr>
            </w:pPr>
            <w:r>
              <w:rPr>
                <w:spacing w:val="-10"/>
                <w:sz w:val="14"/>
              </w:rPr>
              <w:t>0</w:t>
            </w:r>
          </w:p>
        </w:tc>
        <w:tc>
          <w:tcPr>
            <w:tcW w:w="408" w:type="dxa"/>
          </w:tcPr>
          <w:p>
            <w:pPr>
              <w:pStyle w:val="TableParagraph"/>
              <w:spacing w:before="39"/>
              <w:ind w:left="16" w:right="3"/>
              <w:jc w:val="center"/>
              <w:rPr>
                <w:sz w:val="14"/>
              </w:rPr>
            </w:pPr>
            <w:r>
              <w:rPr>
                <w:spacing w:val="-10"/>
                <w:sz w:val="14"/>
              </w:rPr>
              <w:t>0</w:t>
            </w:r>
          </w:p>
        </w:tc>
        <w:tc>
          <w:tcPr>
            <w:tcW w:w="410" w:type="dxa"/>
          </w:tcPr>
          <w:p>
            <w:pPr>
              <w:pStyle w:val="TableParagraph"/>
              <w:spacing w:before="39"/>
              <w:ind w:left="35" w:right="19"/>
              <w:jc w:val="center"/>
              <w:rPr>
                <w:sz w:val="14"/>
              </w:rPr>
            </w:pPr>
            <w:r>
              <w:rPr>
                <w:spacing w:val="-10"/>
                <w:sz w:val="14"/>
              </w:rPr>
              <w:t>0</w:t>
            </w:r>
          </w:p>
        </w:tc>
        <w:tc>
          <w:tcPr>
            <w:tcW w:w="410" w:type="dxa"/>
          </w:tcPr>
          <w:p>
            <w:pPr>
              <w:pStyle w:val="TableParagraph"/>
              <w:spacing w:before="39"/>
              <w:ind w:left="33" w:right="19"/>
              <w:jc w:val="center"/>
              <w:rPr>
                <w:sz w:val="14"/>
              </w:rPr>
            </w:pPr>
            <w:r>
              <w:rPr>
                <w:spacing w:val="-10"/>
                <w:sz w:val="14"/>
              </w:rPr>
              <w:t>0</w:t>
            </w:r>
          </w:p>
        </w:tc>
        <w:tc>
          <w:tcPr>
            <w:tcW w:w="410" w:type="dxa"/>
          </w:tcPr>
          <w:p>
            <w:pPr>
              <w:pStyle w:val="TableParagraph"/>
              <w:spacing w:before="39"/>
              <w:ind w:left="36" w:right="19"/>
              <w:jc w:val="center"/>
              <w:rPr>
                <w:sz w:val="14"/>
              </w:rPr>
            </w:pPr>
            <w:r>
              <w:rPr>
                <w:spacing w:val="-10"/>
                <w:sz w:val="14"/>
              </w:rPr>
              <w:t>0</w:t>
            </w:r>
          </w:p>
        </w:tc>
        <w:tc>
          <w:tcPr>
            <w:tcW w:w="410" w:type="dxa"/>
          </w:tcPr>
          <w:p>
            <w:pPr>
              <w:pStyle w:val="TableParagraph"/>
              <w:spacing w:before="39"/>
              <w:ind w:left="35" w:right="19"/>
              <w:jc w:val="center"/>
              <w:rPr>
                <w:sz w:val="14"/>
              </w:rPr>
            </w:pPr>
            <w:r>
              <w:rPr>
                <w:spacing w:val="-10"/>
                <w:sz w:val="14"/>
              </w:rPr>
              <w:t>0</w:t>
            </w:r>
          </w:p>
        </w:tc>
        <w:tc>
          <w:tcPr>
            <w:tcW w:w="410" w:type="dxa"/>
          </w:tcPr>
          <w:p>
            <w:pPr>
              <w:pStyle w:val="TableParagraph"/>
              <w:spacing w:before="39"/>
              <w:ind w:left="37" w:right="19"/>
              <w:jc w:val="center"/>
              <w:rPr>
                <w:sz w:val="14"/>
              </w:rPr>
            </w:pPr>
            <w:r>
              <w:rPr>
                <w:spacing w:val="-10"/>
                <w:sz w:val="14"/>
              </w:rPr>
              <w:t>0</w:t>
            </w:r>
          </w:p>
        </w:tc>
        <w:tc>
          <w:tcPr>
            <w:tcW w:w="408" w:type="dxa"/>
          </w:tcPr>
          <w:p>
            <w:pPr>
              <w:pStyle w:val="TableParagraph"/>
              <w:spacing w:before="39"/>
              <w:ind w:left="16"/>
              <w:jc w:val="center"/>
              <w:rPr>
                <w:sz w:val="14"/>
              </w:rPr>
            </w:pPr>
            <w:r>
              <w:rPr>
                <w:spacing w:val="-10"/>
                <w:sz w:val="14"/>
              </w:rPr>
              <w:t>0</w:t>
            </w:r>
          </w:p>
        </w:tc>
        <w:tc>
          <w:tcPr>
            <w:tcW w:w="410" w:type="dxa"/>
          </w:tcPr>
          <w:p>
            <w:pPr>
              <w:pStyle w:val="TableParagraph"/>
              <w:spacing w:before="39"/>
              <w:ind w:left="38" w:right="19"/>
              <w:jc w:val="center"/>
              <w:rPr>
                <w:sz w:val="14"/>
              </w:rPr>
            </w:pPr>
            <w:r>
              <w:rPr>
                <w:spacing w:val="-10"/>
                <w:sz w:val="14"/>
              </w:rPr>
              <w:t>0</w:t>
            </w:r>
          </w:p>
        </w:tc>
        <w:tc>
          <w:tcPr>
            <w:tcW w:w="410" w:type="dxa"/>
          </w:tcPr>
          <w:p>
            <w:pPr>
              <w:pStyle w:val="TableParagraph"/>
              <w:spacing w:before="39"/>
              <w:ind w:left="39" w:right="19"/>
              <w:jc w:val="center"/>
              <w:rPr>
                <w:sz w:val="14"/>
              </w:rPr>
            </w:pPr>
            <w:r>
              <w:rPr>
                <w:spacing w:val="-10"/>
                <w:sz w:val="14"/>
              </w:rPr>
              <w:t>0</w:t>
            </w:r>
          </w:p>
        </w:tc>
      </w:tr>
      <w:tr>
        <w:trPr>
          <w:trHeight w:val="481" w:hRule="atLeast"/>
        </w:trPr>
        <w:tc>
          <w:tcPr>
            <w:tcW w:w="1080" w:type="dxa"/>
          </w:tcPr>
          <w:p>
            <w:pPr>
              <w:pStyle w:val="TableParagraph"/>
              <w:spacing w:line="157" w:lineRule="exact"/>
              <w:ind w:left="69"/>
              <w:rPr>
                <w:sz w:val="14"/>
              </w:rPr>
            </w:pPr>
            <w:r>
              <w:rPr>
                <w:spacing w:val="-2"/>
                <w:sz w:val="14"/>
              </w:rPr>
              <w:t>PERSONAL</w:t>
            </w:r>
          </w:p>
          <w:p>
            <w:pPr>
              <w:pStyle w:val="TableParagraph"/>
              <w:spacing w:before="79"/>
              <w:ind w:left="69"/>
              <w:rPr>
                <w:sz w:val="14"/>
              </w:rPr>
            </w:pPr>
            <w:r>
              <w:rPr>
                <w:sz w:val="14"/>
              </w:rPr>
              <w:t>DE</w:t>
            </w:r>
            <w:r>
              <w:rPr>
                <w:spacing w:val="-1"/>
                <w:sz w:val="14"/>
              </w:rPr>
              <w:t> </w:t>
            </w:r>
            <w:r>
              <w:rPr>
                <w:spacing w:val="-2"/>
                <w:sz w:val="14"/>
              </w:rPr>
              <w:t>MANDO</w:t>
            </w:r>
          </w:p>
        </w:tc>
        <w:tc>
          <w:tcPr>
            <w:tcW w:w="410" w:type="dxa"/>
          </w:tcPr>
          <w:p>
            <w:pPr>
              <w:pStyle w:val="TableParagraph"/>
              <w:spacing w:before="36"/>
              <w:ind w:left="27" w:right="19"/>
              <w:jc w:val="center"/>
              <w:rPr>
                <w:sz w:val="14"/>
              </w:rPr>
            </w:pPr>
            <w:r>
              <w:rPr>
                <w:spacing w:val="-10"/>
                <w:sz w:val="14"/>
              </w:rPr>
              <w:t>0</w:t>
            </w:r>
          </w:p>
        </w:tc>
        <w:tc>
          <w:tcPr>
            <w:tcW w:w="410" w:type="dxa"/>
          </w:tcPr>
          <w:p>
            <w:pPr>
              <w:pStyle w:val="TableParagraph"/>
              <w:spacing w:before="36"/>
              <w:ind w:left="28" w:right="19"/>
              <w:jc w:val="center"/>
              <w:rPr>
                <w:sz w:val="14"/>
              </w:rPr>
            </w:pPr>
            <w:r>
              <w:rPr>
                <w:spacing w:val="-10"/>
                <w:sz w:val="14"/>
              </w:rPr>
              <w:t>0</w:t>
            </w:r>
          </w:p>
        </w:tc>
        <w:tc>
          <w:tcPr>
            <w:tcW w:w="410" w:type="dxa"/>
          </w:tcPr>
          <w:p>
            <w:pPr>
              <w:pStyle w:val="TableParagraph"/>
              <w:spacing w:before="36"/>
              <w:ind w:left="29" w:right="19"/>
              <w:jc w:val="center"/>
              <w:rPr>
                <w:sz w:val="14"/>
              </w:rPr>
            </w:pPr>
            <w:r>
              <w:rPr>
                <w:spacing w:val="-10"/>
                <w:sz w:val="14"/>
              </w:rPr>
              <w:t>0</w:t>
            </w:r>
          </w:p>
        </w:tc>
        <w:tc>
          <w:tcPr>
            <w:tcW w:w="410" w:type="dxa"/>
          </w:tcPr>
          <w:p>
            <w:pPr>
              <w:pStyle w:val="TableParagraph"/>
              <w:spacing w:before="36"/>
              <w:ind w:left="25" w:right="19"/>
              <w:jc w:val="center"/>
              <w:rPr>
                <w:sz w:val="14"/>
              </w:rPr>
            </w:pPr>
            <w:r>
              <w:rPr>
                <w:spacing w:val="-10"/>
                <w:sz w:val="14"/>
              </w:rPr>
              <w:t>0</w:t>
            </w:r>
          </w:p>
        </w:tc>
        <w:tc>
          <w:tcPr>
            <w:tcW w:w="410" w:type="dxa"/>
          </w:tcPr>
          <w:p>
            <w:pPr>
              <w:pStyle w:val="TableParagraph"/>
              <w:spacing w:before="36"/>
              <w:ind w:left="30"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2"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4" w:right="19"/>
              <w:jc w:val="center"/>
              <w:rPr>
                <w:sz w:val="14"/>
              </w:rPr>
            </w:pPr>
            <w:r>
              <w:rPr>
                <w:spacing w:val="-10"/>
                <w:sz w:val="14"/>
              </w:rPr>
              <w:t>0</w:t>
            </w:r>
          </w:p>
        </w:tc>
        <w:tc>
          <w:tcPr>
            <w:tcW w:w="408" w:type="dxa"/>
          </w:tcPr>
          <w:p>
            <w:pPr>
              <w:pStyle w:val="TableParagraph"/>
              <w:spacing w:before="36"/>
              <w:ind w:left="16" w:right="3"/>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0</w:t>
            </w:r>
          </w:p>
        </w:tc>
        <w:tc>
          <w:tcPr>
            <w:tcW w:w="410" w:type="dxa"/>
          </w:tcPr>
          <w:p>
            <w:pPr>
              <w:pStyle w:val="TableParagraph"/>
              <w:spacing w:before="36"/>
              <w:ind w:left="33" w:right="19"/>
              <w:jc w:val="center"/>
              <w:rPr>
                <w:sz w:val="14"/>
              </w:rPr>
            </w:pPr>
            <w:r>
              <w:rPr>
                <w:spacing w:val="-10"/>
                <w:sz w:val="14"/>
              </w:rPr>
              <w:t>0</w:t>
            </w:r>
          </w:p>
        </w:tc>
        <w:tc>
          <w:tcPr>
            <w:tcW w:w="410" w:type="dxa"/>
          </w:tcPr>
          <w:p>
            <w:pPr>
              <w:pStyle w:val="TableParagraph"/>
              <w:spacing w:before="36"/>
              <w:ind w:left="36" w:right="19"/>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0</w:t>
            </w:r>
          </w:p>
        </w:tc>
        <w:tc>
          <w:tcPr>
            <w:tcW w:w="410" w:type="dxa"/>
          </w:tcPr>
          <w:p>
            <w:pPr>
              <w:pStyle w:val="TableParagraph"/>
              <w:spacing w:before="36"/>
              <w:ind w:left="37" w:right="19"/>
              <w:jc w:val="center"/>
              <w:rPr>
                <w:sz w:val="14"/>
              </w:rPr>
            </w:pPr>
            <w:r>
              <w:rPr>
                <w:spacing w:val="-10"/>
                <w:sz w:val="14"/>
              </w:rPr>
              <w:t>0</w:t>
            </w:r>
          </w:p>
        </w:tc>
        <w:tc>
          <w:tcPr>
            <w:tcW w:w="408" w:type="dxa"/>
          </w:tcPr>
          <w:p>
            <w:pPr>
              <w:pStyle w:val="TableParagraph"/>
              <w:spacing w:before="36"/>
              <w:ind w:left="16"/>
              <w:jc w:val="center"/>
              <w:rPr>
                <w:sz w:val="14"/>
              </w:rPr>
            </w:pPr>
            <w:r>
              <w:rPr>
                <w:spacing w:val="-10"/>
                <w:sz w:val="14"/>
              </w:rPr>
              <w:t>0</w:t>
            </w:r>
          </w:p>
        </w:tc>
        <w:tc>
          <w:tcPr>
            <w:tcW w:w="410" w:type="dxa"/>
          </w:tcPr>
          <w:p>
            <w:pPr>
              <w:pStyle w:val="TableParagraph"/>
              <w:spacing w:before="36"/>
              <w:ind w:left="38" w:right="19"/>
              <w:jc w:val="center"/>
              <w:rPr>
                <w:sz w:val="14"/>
              </w:rPr>
            </w:pPr>
            <w:r>
              <w:rPr>
                <w:spacing w:val="-10"/>
                <w:sz w:val="14"/>
              </w:rPr>
              <w:t>0</w:t>
            </w:r>
          </w:p>
        </w:tc>
        <w:tc>
          <w:tcPr>
            <w:tcW w:w="410" w:type="dxa"/>
          </w:tcPr>
          <w:p>
            <w:pPr>
              <w:pStyle w:val="TableParagraph"/>
              <w:spacing w:before="36"/>
              <w:ind w:left="39" w:right="19"/>
              <w:jc w:val="center"/>
              <w:rPr>
                <w:sz w:val="14"/>
              </w:rPr>
            </w:pPr>
            <w:r>
              <w:rPr>
                <w:spacing w:val="-10"/>
                <w:sz w:val="14"/>
              </w:rPr>
              <w:t>0</w:t>
            </w:r>
          </w:p>
        </w:tc>
      </w:tr>
      <w:tr>
        <w:trPr>
          <w:trHeight w:val="482" w:hRule="atLeast"/>
        </w:trPr>
        <w:tc>
          <w:tcPr>
            <w:tcW w:w="1080" w:type="dxa"/>
          </w:tcPr>
          <w:p>
            <w:pPr>
              <w:pStyle w:val="TableParagraph"/>
              <w:spacing w:line="157" w:lineRule="exact"/>
              <w:ind w:left="69"/>
              <w:rPr>
                <w:sz w:val="14"/>
              </w:rPr>
            </w:pPr>
            <w:r>
              <w:rPr>
                <w:spacing w:val="-2"/>
                <w:sz w:val="14"/>
              </w:rPr>
              <w:t>PERSONAL</w:t>
            </w:r>
          </w:p>
          <w:p>
            <w:pPr>
              <w:pStyle w:val="TableParagraph"/>
              <w:spacing w:before="81"/>
              <w:ind w:left="69"/>
              <w:rPr>
                <w:sz w:val="14"/>
              </w:rPr>
            </w:pPr>
            <w:r>
              <w:rPr>
                <w:sz w:val="14"/>
              </w:rPr>
              <w:t>DE</w:t>
            </w:r>
            <w:r>
              <w:rPr>
                <w:spacing w:val="-4"/>
                <w:sz w:val="14"/>
              </w:rPr>
              <w:t> </w:t>
            </w:r>
            <w:r>
              <w:rPr>
                <w:spacing w:val="-2"/>
                <w:sz w:val="14"/>
              </w:rPr>
              <w:t>OFICIO</w:t>
            </w:r>
          </w:p>
        </w:tc>
        <w:tc>
          <w:tcPr>
            <w:tcW w:w="410" w:type="dxa"/>
          </w:tcPr>
          <w:p>
            <w:pPr>
              <w:pStyle w:val="TableParagraph"/>
              <w:spacing w:before="36"/>
              <w:ind w:left="27" w:right="19"/>
              <w:jc w:val="center"/>
              <w:rPr>
                <w:sz w:val="14"/>
              </w:rPr>
            </w:pPr>
            <w:r>
              <w:rPr>
                <w:spacing w:val="-10"/>
                <w:sz w:val="14"/>
              </w:rPr>
              <w:t>0</w:t>
            </w:r>
          </w:p>
        </w:tc>
        <w:tc>
          <w:tcPr>
            <w:tcW w:w="410" w:type="dxa"/>
          </w:tcPr>
          <w:p>
            <w:pPr>
              <w:pStyle w:val="TableParagraph"/>
              <w:spacing w:before="36"/>
              <w:ind w:left="28" w:right="19"/>
              <w:jc w:val="center"/>
              <w:rPr>
                <w:sz w:val="14"/>
              </w:rPr>
            </w:pPr>
            <w:r>
              <w:rPr>
                <w:spacing w:val="-10"/>
                <w:sz w:val="14"/>
              </w:rPr>
              <w:t>0</w:t>
            </w:r>
          </w:p>
        </w:tc>
        <w:tc>
          <w:tcPr>
            <w:tcW w:w="410" w:type="dxa"/>
          </w:tcPr>
          <w:p>
            <w:pPr>
              <w:pStyle w:val="TableParagraph"/>
              <w:spacing w:before="36"/>
              <w:ind w:left="29" w:right="19"/>
              <w:jc w:val="center"/>
              <w:rPr>
                <w:sz w:val="14"/>
              </w:rPr>
            </w:pPr>
            <w:r>
              <w:rPr>
                <w:spacing w:val="-10"/>
                <w:sz w:val="14"/>
              </w:rPr>
              <w:t>1</w:t>
            </w:r>
          </w:p>
        </w:tc>
        <w:tc>
          <w:tcPr>
            <w:tcW w:w="410" w:type="dxa"/>
          </w:tcPr>
          <w:p>
            <w:pPr>
              <w:pStyle w:val="TableParagraph"/>
              <w:spacing w:before="36"/>
              <w:ind w:left="25" w:right="19"/>
              <w:jc w:val="center"/>
              <w:rPr>
                <w:sz w:val="14"/>
              </w:rPr>
            </w:pPr>
            <w:r>
              <w:rPr>
                <w:spacing w:val="-10"/>
                <w:sz w:val="14"/>
              </w:rPr>
              <w:t>0</w:t>
            </w:r>
          </w:p>
        </w:tc>
        <w:tc>
          <w:tcPr>
            <w:tcW w:w="410" w:type="dxa"/>
          </w:tcPr>
          <w:p>
            <w:pPr>
              <w:pStyle w:val="TableParagraph"/>
              <w:spacing w:before="36"/>
              <w:ind w:left="30"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2" w:right="19"/>
              <w:jc w:val="center"/>
              <w:rPr>
                <w:sz w:val="14"/>
              </w:rPr>
            </w:pPr>
            <w:r>
              <w:rPr>
                <w:spacing w:val="-10"/>
                <w:sz w:val="14"/>
              </w:rPr>
              <w:t>0</w:t>
            </w:r>
          </w:p>
        </w:tc>
        <w:tc>
          <w:tcPr>
            <w:tcW w:w="410" w:type="dxa"/>
          </w:tcPr>
          <w:p>
            <w:pPr>
              <w:pStyle w:val="TableParagraph"/>
              <w:spacing w:before="36"/>
              <w:ind w:left="31" w:right="19"/>
              <w:jc w:val="center"/>
              <w:rPr>
                <w:sz w:val="14"/>
              </w:rPr>
            </w:pPr>
            <w:r>
              <w:rPr>
                <w:spacing w:val="-10"/>
                <w:sz w:val="14"/>
              </w:rPr>
              <w:t>0</w:t>
            </w:r>
          </w:p>
        </w:tc>
        <w:tc>
          <w:tcPr>
            <w:tcW w:w="410" w:type="dxa"/>
          </w:tcPr>
          <w:p>
            <w:pPr>
              <w:pStyle w:val="TableParagraph"/>
              <w:spacing w:before="36"/>
              <w:ind w:left="34" w:right="19"/>
              <w:jc w:val="center"/>
              <w:rPr>
                <w:sz w:val="14"/>
              </w:rPr>
            </w:pPr>
            <w:r>
              <w:rPr>
                <w:spacing w:val="-10"/>
                <w:sz w:val="14"/>
              </w:rPr>
              <w:t>0</w:t>
            </w:r>
          </w:p>
        </w:tc>
        <w:tc>
          <w:tcPr>
            <w:tcW w:w="408" w:type="dxa"/>
          </w:tcPr>
          <w:p>
            <w:pPr>
              <w:pStyle w:val="TableParagraph"/>
              <w:spacing w:before="36"/>
              <w:ind w:left="16" w:right="3"/>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1</w:t>
            </w:r>
          </w:p>
        </w:tc>
        <w:tc>
          <w:tcPr>
            <w:tcW w:w="410" w:type="dxa"/>
          </w:tcPr>
          <w:p>
            <w:pPr>
              <w:pStyle w:val="TableParagraph"/>
              <w:spacing w:before="36"/>
              <w:ind w:left="33" w:right="19"/>
              <w:jc w:val="center"/>
              <w:rPr>
                <w:sz w:val="14"/>
              </w:rPr>
            </w:pPr>
            <w:r>
              <w:rPr>
                <w:spacing w:val="-10"/>
                <w:sz w:val="14"/>
              </w:rPr>
              <w:t>0</w:t>
            </w:r>
          </w:p>
        </w:tc>
        <w:tc>
          <w:tcPr>
            <w:tcW w:w="410" w:type="dxa"/>
          </w:tcPr>
          <w:p>
            <w:pPr>
              <w:pStyle w:val="TableParagraph"/>
              <w:spacing w:before="36"/>
              <w:ind w:left="36" w:right="19"/>
              <w:jc w:val="center"/>
              <w:rPr>
                <w:sz w:val="14"/>
              </w:rPr>
            </w:pPr>
            <w:r>
              <w:rPr>
                <w:spacing w:val="-10"/>
                <w:sz w:val="14"/>
              </w:rPr>
              <w:t>0</w:t>
            </w:r>
          </w:p>
        </w:tc>
        <w:tc>
          <w:tcPr>
            <w:tcW w:w="410" w:type="dxa"/>
          </w:tcPr>
          <w:p>
            <w:pPr>
              <w:pStyle w:val="TableParagraph"/>
              <w:spacing w:before="36"/>
              <w:ind w:left="35" w:right="19"/>
              <w:jc w:val="center"/>
              <w:rPr>
                <w:sz w:val="14"/>
              </w:rPr>
            </w:pPr>
            <w:r>
              <w:rPr>
                <w:spacing w:val="-10"/>
                <w:sz w:val="14"/>
              </w:rPr>
              <w:t>0</w:t>
            </w:r>
          </w:p>
        </w:tc>
        <w:tc>
          <w:tcPr>
            <w:tcW w:w="410" w:type="dxa"/>
          </w:tcPr>
          <w:p>
            <w:pPr>
              <w:pStyle w:val="TableParagraph"/>
              <w:spacing w:before="36"/>
              <w:ind w:left="37" w:right="19"/>
              <w:jc w:val="center"/>
              <w:rPr>
                <w:sz w:val="14"/>
              </w:rPr>
            </w:pPr>
            <w:r>
              <w:rPr>
                <w:spacing w:val="-10"/>
                <w:sz w:val="14"/>
              </w:rPr>
              <w:t>1</w:t>
            </w:r>
          </w:p>
        </w:tc>
        <w:tc>
          <w:tcPr>
            <w:tcW w:w="408" w:type="dxa"/>
          </w:tcPr>
          <w:p>
            <w:pPr>
              <w:pStyle w:val="TableParagraph"/>
              <w:spacing w:before="36"/>
              <w:ind w:left="16"/>
              <w:jc w:val="center"/>
              <w:rPr>
                <w:sz w:val="14"/>
              </w:rPr>
            </w:pPr>
            <w:r>
              <w:rPr>
                <w:spacing w:val="-10"/>
                <w:sz w:val="14"/>
              </w:rPr>
              <w:t>0</w:t>
            </w:r>
          </w:p>
        </w:tc>
        <w:tc>
          <w:tcPr>
            <w:tcW w:w="410" w:type="dxa"/>
          </w:tcPr>
          <w:p>
            <w:pPr>
              <w:pStyle w:val="TableParagraph"/>
              <w:spacing w:before="36"/>
              <w:ind w:left="35" w:right="19"/>
              <w:jc w:val="center"/>
              <w:rPr>
                <w:sz w:val="14"/>
              </w:rPr>
            </w:pPr>
            <w:r>
              <w:rPr>
                <w:spacing w:val="-4"/>
                <w:sz w:val="14"/>
              </w:rPr>
              <w:t>-</w:t>
            </w:r>
            <w:r>
              <w:rPr>
                <w:spacing w:val="-10"/>
                <w:sz w:val="14"/>
              </w:rPr>
              <w:t>1</w:t>
            </w:r>
          </w:p>
        </w:tc>
        <w:tc>
          <w:tcPr>
            <w:tcW w:w="410" w:type="dxa"/>
          </w:tcPr>
          <w:p>
            <w:pPr>
              <w:pStyle w:val="TableParagraph"/>
              <w:spacing w:before="36"/>
              <w:ind w:left="39" w:right="19"/>
              <w:jc w:val="center"/>
              <w:rPr>
                <w:sz w:val="14"/>
              </w:rPr>
            </w:pPr>
            <w:r>
              <w:rPr>
                <w:spacing w:val="-10"/>
                <w:sz w:val="14"/>
              </w:rPr>
              <w:t>0</w:t>
            </w:r>
          </w:p>
        </w:tc>
      </w:tr>
      <w:tr>
        <w:trPr>
          <w:trHeight w:val="443" w:hRule="atLeast"/>
        </w:trPr>
        <w:tc>
          <w:tcPr>
            <w:tcW w:w="1080" w:type="dxa"/>
          </w:tcPr>
          <w:p>
            <w:pPr>
              <w:pStyle w:val="TableParagraph"/>
              <w:spacing w:before="94"/>
              <w:ind w:left="69"/>
              <w:rPr>
                <w:b/>
                <w:sz w:val="14"/>
              </w:rPr>
            </w:pPr>
            <w:r>
              <w:rPr>
                <w:b/>
                <w:spacing w:val="-2"/>
                <w:sz w:val="14"/>
              </w:rPr>
              <w:t>TOTAL</w:t>
            </w:r>
          </w:p>
        </w:tc>
        <w:tc>
          <w:tcPr>
            <w:tcW w:w="410" w:type="dxa"/>
          </w:tcPr>
          <w:p>
            <w:pPr>
              <w:pStyle w:val="TableParagraph"/>
              <w:spacing w:line="157" w:lineRule="exact"/>
              <w:ind w:left="27" w:right="19"/>
              <w:jc w:val="center"/>
              <w:rPr>
                <w:b/>
                <w:sz w:val="14"/>
              </w:rPr>
            </w:pPr>
            <w:r>
              <w:rPr>
                <w:b/>
                <w:spacing w:val="-10"/>
                <w:sz w:val="14"/>
              </w:rPr>
              <w:t>0</w:t>
            </w:r>
          </w:p>
        </w:tc>
        <w:tc>
          <w:tcPr>
            <w:tcW w:w="410" w:type="dxa"/>
          </w:tcPr>
          <w:p>
            <w:pPr>
              <w:pStyle w:val="TableParagraph"/>
              <w:spacing w:line="157" w:lineRule="exact"/>
              <w:ind w:left="28" w:right="19"/>
              <w:jc w:val="center"/>
              <w:rPr>
                <w:b/>
                <w:sz w:val="14"/>
              </w:rPr>
            </w:pPr>
            <w:r>
              <w:rPr>
                <w:b/>
                <w:spacing w:val="-10"/>
                <w:sz w:val="14"/>
              </w:rPr>
              <w:t>0</w:t>
            </w:r>
          </w:p>
        </w:tc>
        <w:tc>
          <w:tcPr>
            <w:tcW w:w="410" w:type="dxa"/>
          </w:tcPr>
          <w:p>
            <w:pPr>
              <w:pStyle w:val="TableParagraph"/>
              <w:spacing w:line="157" w:lineRule="exact"/>
              <w:ind w:left="28" w:right="19"/>
              <w:jc w:val="center"/>
              <w:rPr>
                <w:b/>
                <w:sz w:val="14"/>
              </w:rPr>
            </w:pPr>
            <w:r>
              <w:rPr>
                <w:b/>
                <w:spacing w:val="-10"/>
                <w:sz w:val="14"/>
              </w:rPr>
              <w:t>1</w:t>
            </w:r>
          </w:p>
        </w:tc>
        <w:tc>
          <w:tcPr>
            <w:tcW w:w="410" w:type="dxa"/>
          </w:tcPr>
          <w:p>
            <w:pPr>
              <w:pStyle w:val="TableParagraph"/>
              <w:spacing w:line="157" w:lineRule="exact"/>
              <w:ind w:left="24" w:right="19"/>
              <w:jc w:val="center"/>
              <w:rPr>
                <w:b/>
                <w:sz w:val="14"/>
              </w:rPr>
            </w:pPr>
            <w:r>
              <w:rPr>
                <w:b/>
                <w:spacing w:val="-10"/>
                <w:sz w:val="14"/>
              </w:rPr>
              <w:t>0</w:t>
            </w:r>
          </w:p>
        </w:tc>
        <w:tc>
          <w:tcPr>
            <w:tcW w:w="410" w:type="dxa"/>
          </w:tcPr>
          <w:p>
            <w:pPr>
              <w:pStyle w:val="TableParagraph"/>
              <w:spacing w:line="157" w:lineRule="exact"/>
              <w:ind w:left="30" w:right="19"/>
              <w:jc w:val="center"/>
              <w:rPr>
                <w:b/>
                <w:sz w:val="14"/>
              </w:rPr>
            </w:pPr>
            <w:r>
              <w:rPr>
                <w:b/>
                <w:spacing w:val="-10"/>
                <w:sz w:val="14"/>
              </w:rPr>
              <w:t>0</w:t>
            </w:r>
          </w:p>
        </w:tc>
        <w:tc>
          <w:tcPr>
            <w:tcW w:w="410" w:type="dxa"/>
          </w:tcPr>
          <w:p>
            <w:pPr>
              <w:pStyle w:val="TableParagraph"/>
              <w:spacing w:line="157" w:lineRule="exact"/>
              <w:ind w:left="31" w:right="19"/>
              <w:jc w:val="center"/>
              <w:rPr>
                <w:b/>
                <w:sz w:val="14"/>
              </w:rPr>
            </w:pPr>
            <w:r>
              <w:rPr>
                <w:b/>
                <w:spacing w:val="-10"/>
                <w:sz w:val="14"/>
              </w:rPr>
              <w:t>0</w:t>
            </w:r>
          </w:p>
        </w:tc>
        <w:tc>
          <w:tcPr>
            <w:tcW w:w="410" w:type="dxa"/>
          </w:tcPr>
          <w:p>
            <w:pPr>
              <w:pStyle w:val="TableParagraph"/>
              <w:spacing w:line="157" w:lineRule="exact"/>
              <w:ind w:left="32" w:right="19"/>
              <w:jc w:val="center"/>
              <w:rPr>
                <w:b/>
                <w:sz w:val="14"/>
              </w:rPr>
            </w:pPr>
            <w:r>
              <w:rPr>
                <w:b/>
                <w:spacing w:val="-10"/>
                <w:sz w:val="14"/>
              </w:rPr>
              <w:t>0</w:t>
            </w:r>
          </w:p>
        </w:tc>
        <w:tc>
          <w:tcPr>
            <w:tcW w:w="410" w:type="dxa"/>
          </w:tcPr>
          <w:p>
            <w:pPr>
              <w:pStyle w:val="TableParagraph"/>
              <w:spacing w:line="157" w:lineRule="exact"/>
              <w:ind w:left="32" w:right="19"/>
              <w:jc w:val="center"/>
              <w:rPr>
                <w:b/>
                <w:sz w:val="14"/>
              </w:rPr>
            </w:pPr>
            <w:r>
              <w:rPr>
                <w:b/>
                <w:spacing w:val="-10"/>
                <w:sz w:val="14"/>
              </w:rPr>
              <w:t>0</w:t>
            </w:r>
          </w:p>
        </w:tc>
        <w:tc>
          <w:tcPr>
            <w:tcW w:w="410" w:type="dxa"/>
          </w:tcPr>
          <w:p>
            <w:pPr>
              <w:pStyle w:val="TableParagraph"/>
              <w:spacing w:line="157" w:lineRule="exact"/>
              <w:ind w:left="33" w:right="19"/>
              <w:jc w:val="center"/>
              <w:rPr>
                <w:b/>
                <w:sz w:val="14"/>
              </w:rPr>
            </w:pPr>
            <w:r>
              <w:rPr>
                <w:b/>
                <w:spacing w:val="-10"/>
                <w:sz w:val="14"/>
              </w:rPr>
              <w:t>0</w:t>
            </w:r>
          </w:p>
        </w:tc>
        <w:tc>
          <w:tcPr>
            <w:tcW w:w="408" w:type="dxa"/>
          </w:tcPr>
          <w:p>
            <w:pPr>
              <w:pStyle w:val="TableParagraph"/>
              <w:spacing w:line="157" w:lineRule="exact"/>
              <w:ind w:left="16" w:right="4"/>
              <w:jc w:val="center"/>
              <w:rPr>
                <w:b/>
                <w:sz w:val="14"/>
              </w:rPr>
            </w:pPr>
            <w:r>
              <w:rPr>
                <w:b/>
                <w:spacing w:val="-10"/>
                <w:sz w:val="14"/>
              </w:rPr>
              <w:t>0</w:t>
            </w:r>
          </w:p>
        </w:tc>
        <w:tc>
          <w:tcPr>
            <w:tcW w:w="410" w:type="dxa"/>
          </w:tcPr>
          <w:p>
            <w:pPr>
              <w:pStyle w:val="TableParagraph"/>
              <w:spacing w:line="157" w:lineRule="exact"/>
              <w:ind w:left="34" w:right="19"/>
              <w:jc w:val="center"/>
              <w:rPr>
                <w:b/>
                <w:sz w:val="14"/>
              </w:rPr>
            </w:pPr>
            <w:r>
              <w:rPr>
                <w:b/>
                <w:spacing w:val="-10"/>
                <w:sz w:val="14"/>
              </w:rPr>
              <w:t>1</w:t>
            </w:r>
          </w:p>
        </w:tc>
        <w:tc>
          <w:tcPr>
            <w:tcW w:w="410" w:type="dxa"/>
          </w:tcPr>
          <w:p>
            <w:pPr>
              <w:pStyle w:val="TableParagraph"/>
              <w:spacing w:line="157" w:lineRule="exact"/>
              <w:ind w:left="35" w:right="19"/>
              <w:jc w:val="center"/>
              <w:rPr>
                <w:b/>
                <w:sz w:val="14"/>
              </w:rPr>
            </w:pPr>
            <w:r>
              <w:rPr>
                <w:b/>
                <w:spacing w:val="-10"/>
                <w:sz w:val="14"/>
              </w:rPr>
              <w:t>0</w:t>
            </w:r>
          </w:p>
        </w:tc>
        <w:tc>
          <w:tcPr>
            <w:tcW w:w="410" w:type="dxa"/>
          </w:tcPr>
          <w:p>
            <w:pPr>
              <w:pStyle w:val="TableParagraph"/>
              <w:spacing w:line="157" w:lineRule="exact"/>
              <w:ind w:left="36" w:right="19"/>
              <w:jc w:val="center"/>
              <w:rPr>
                <w:b/>
                <w:sz w:val="14"/>
              </w:rPr>
            </w:pPr>
            <w:r>
              <w:rPr>
                <w:b/>
                <w:spacing w:val="-10"/>
                <w:sz w:val="14"/>
              </w:rPr>
              <w:t>0</w:t>
            </w:r>
          </w:p>
        </w:tc>
        <w:tc>
          <w:tcPr>
            <w:tcW w:w="410" w:type="dxa"/>
          </w:tcPr>
          <w:p>
            <w:pPr>
              <w:pStyle w:val="TableParagraph"/>
              <w:spacing w:line="157" w:lineRule="exact"/>
              <w:ind w:left="36" w:right="19"/>
              <w:jc w:val="center"/>
              <w:rPr>
                <w:b/>
                <w:sz w:val="14"/>
              </w:rPr>
            </w:pPr>
            <w:r>
              <w:rPr>
                <w:b/>
                <w:spacing w:val="-10"/>
                <w:sz w:val="14"/>
              </w:rPr>
              <w:t>0</w:t>
            </w:r>
          </w:p>
        </w:tc>
        <w:tc>
          <w:tcPr>
            <w:tcW w:w="410" w:type="dxa"/>
          </w:tcPr>
          <w:p>
            <w:pPr>
              <w:pStyle w:val="TableParagraph"/>
              <w:spacing w:line="157" w:lineRule="exact"/>
              <w:ind w:left="37" w:right="19"/>
              <w:jc w:val="center"/>
              <w:rPr>
                <w:b/>
                <w:sz w:val="14"/>
              </w:rPr>
            </w:pPr>
            <w:r>
              <w:rPr>
                <w:b/>
                <w:spacing w:val="-10"/>
                <w:sz w:val="14"/>
              </w:rPr>
              <w:t>1</w:t>
            </w:r>
          </w:p>
        </w:tc>
        <w:tc>
          <w:tcPr>
            <w:tcW w:w="408" w:type="dxa"/>
          </w:tcPr>
          <w:p>
            <w:pPr>
              <w:pStyle w:val="TableParagraph"/>
              <w:spacing w:line="157" w:lineRule="exact"/>
              <w:ind w:left="16"/>
              <w:jc w:val="center"/>
              <w:rPr>
                <w:b/>
                <w:sz w:val="14"/>
              </w:rPr>
            </w:pPr>
            <w:r>
              <w:rPr>
                <w:b/>
                <w:spacing w:val="-10"/>
                <w:sz w:val="14"/>
              </w:rPr>
              <w:t>0</w:t>
            </w:r>
          </w:p>
        </w:tc>
        <w:tc>
          <w:tcPr>
            <w:tcW w:w="410" w:type="dxa"/>
          </w:tcPr>
          <w:p>
            <w:pPr>
              <w:pStyle w:val="TableParagraph"/>
              <w:spacing w:line="157" w:lineRule="exact"/>
              <w:ind w:left="36" w:right="19"/>
              <w:jc w:val="center"/>
              <w:rPr>
                <w:b/>
                <w:sz w:val="14"/>
              </w:rPr>
            </w:pPr>
            <w:r>
              <w:rPr>
                <w:b/>
                <w:spacing w:val="-2"/>
                <w:sz w:val="14"/>
              </w:rPr>
              <w:t>-</w:t>
            </w:r>
            <w:r>
              <w:rPr>
                <w:b/>
                <w:spacing w:val="-10"/>
                <w:sz w:val="14"/>
              </w:rPr>
              <w:t>1</w:t>
            </w:r>
          </w:p>
        </w:tc>
        <w:tc>
          <w:tcPr>
            <w:tcW w:w="410" w:type="dxa"/>
          </w:tcPr>
          <w:p>
            <w:pPr>
              <w:pStyle w:val="TableParagraph"/>
              <w:spacing w:line="157" w:lineRule="exact"/>
              <w:ind w:left="39" w:right="19"/>
              <w:jc w:val="center"/>
              <w:rPr>
                <w:b/>
                <w:sz w:val="14"/>
              </w:rPr>
            </w:pPr>
            <w:r>
              <w:rPr>
                <w:b/>
                <w:spacing w:val="-10"/>
                <w:sz w:val="14"/>
              </w:rPr>
              <w:t>0</w:t>
            </w:r>
          </w:p>
        </w:tc>
      </w:tr>
    </w:tbl>
    <w:p>
      <w:pPr>
        <w:pStyle w:val="BodyText"/>
      </w:pPr>
    </w:p>
    <w:p>
      <w:pPr>
        <w:pStyle w:val="BodyText"/>
        <w:spacing w:before="5"/>
      </w:pPr>
    </w:p>
    <w:p>
      <w:pPr>
        <w:pStyle w:val="BodyText"/>
        <w:spacing w:line="276" w:lineRule="auto"/>
        <w:ind w:left="1341" w:right="1308"/>
      </w:pPr>
      <w:r>
        <w:rPr/>
        <w:t>A</w:t>
      </w:r>
      <w:r>
        <w:rPr>
          <w:spacing w:val="23"/>
        </w:rPr>
        <w:t> </w:t>
      </w:r>
      <w:r>
        <w:rPr/>
        <w:t>continuación,</w:t>
      </w:r>
      <w:r>
        <w:rPr>
          <w:spacing w:val="26"/>
        </w:rPr>
        <w:t> </w:t>
      </w:r>
      <w:r>
        <w:rPr/>
        <w:t>se</w:t>
      </w:r>
      <w:r>
        <w:rPr>
          <w:spacing w:val="24"/>
        </w:rPr>
        <w:t> </w:t>
      </w:r>
      <w:r>
        <w:rPr/>
        <w:t>muestra</w:t>
      </w:r>
      <w:r>
        <w:rPr>
          <w:spacing w:val="25"/>
        </w:rPr>
        <w:t> </w:t>
      </w:r>
      <w:r>
        <w:rPr/>
        <w:t>cuadro</w:t>
      </w:r>
      <w:r>
        <w:rPr>
          <w:spacing w:val="24"/>
        </w:rPr>
        <w:t> </w:t>
      </w:r>
      <w:r>
        <w:rPr/>
        <w:t>de</w:t>
      </w:r>
      <w:r>
        <w:rPr>
          <w:spacing w:val="25"/>
        </w:rPr>
        <w:t> </w:t>
      </w:r>
      <w:r>
        <w:rPr/>
        <w:t>las</w:t>
      </w:r>
      <w:r>
        <w:rPr>
          <w:spacing w:val="26"/>
        </w:rPr>
        <w:t> </w:t>
      </w:r>
      <w:r>
        <w:rPr/>
        <w:t>retribuciones</w:t>
      </w:r>
      <w:r>
        <w:rPr>
          <w:spacing w:val="24"/>
        </w:rPr>
        <w:t> </w:t>
      </w:r>
      <w:r>
        <w:rPr/>
        <w:t>medias</w:t>
      </w:r>
      <w:r>
        <w:rPr>
          <w:spacing w:val="26"/>
        </w:rPr>
        <w:t> </w:t>
      </w:r>
      <w:r>
        <w:rPr/>
        <w:t>por</w:t>
      </w:r>
      <w:r>
        <w:rPr>
          <w:spacing w:val="25"/>
        </w:rPr>
        <w:t> </w:t>
      </w:r>
      <w:r>
        <w:rPr/>
        <w:t>grupo</w:t>
      </w:r>
      <w:r>
        <w:rPr>
          <w:spacing w:val="25"/>
        </w:rPr>
        <w:t> </w:t>
      </w:r>
      <w:r>
        <w:rPr/>
        <w:t>profesional</w:t>
      </w:r>
      <w:r>
        <w:rPr>
          <w:spacing w:val="26"/>
        </w:rPr>
        <w:t> </w:t>
      </w:r>
      <w:r>
        <w:rPr/>
        <w:t>y sexo año 2025:</w:t>
      </w:r>
    </w:p>
    <w:p>
      <w:pPr>
        <w:pStyle w:val="BodyText"/>
        <w:spacing w:before="5" w:after="1"/>
        <w:rPr>
          <w:sz w:val="17"/>
        </w:rPr>
      </w:pPr>
    </w:p>
    <w:tbl>
      <w:tblPr>
        <w:tblW w:w="0" w:type="auto"/>
        <w:jc w:val="left"/>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1620"/>
        <w:gridCol w:w="674"/>
        <w:gridCol w:w="720"/>
        <w:gridCol w:w="1250"/>
        <w:gridCol w:w="1022"/>
        <w:gridCol w:w="1245"/>
        <w:gridCol w:w="1132"/>
      </w:tblGrid>
      <w:tr>
        <w:trPr>
          <w:trHeight w:val="621" w:hRule="atLeast"/>
        </w:trPr>
        <w:tc>
          <w:tcPr>
            <w:tcW w:w="950" w:type="dxa"/>
            <w:shd w:val="clear" w:color="auto" w:fill="D9D9D9"/>
          </w:tcPr>
          <w:p>
            <w:pPr>
              <w:pStyle w:val="TableParagraph"/>
              <w:spacing w:before="63"/>
              <w:rPr>
                <w:sz w:val="12"/>
              </w:rPr>
            </w:pPr>
          </w:p>
          <w:p>
            <w:pPr>
              <w:pStyle w:val="TableParagraph"/>
              <w:ind w:left="254"/>
              <w:rPr>
                <w:b/>
                <w:sz w:val="12"/>
              </w:rPr>
            </w:pPr>
            <w:r>
              <w:rPr>
                <w:b/>
                <w:spacing w:val="-2"/>
                <w:sz w:val="12"/>
              </w:rPr>
              <w:t>GRUPO</w:t>
            </w:r>
          </w:p>
        </w:tc>
        <w:tc>
          <w:tcPr>
            <w:tcW w:w="1620" w:type="dxa"/>
            <w:shd w:val="clear" w:color="auto" w:fill="D9D9D9"/>
          </w:tcPr>
          <w:p>
            <w:pPr>
              <w:pStyle w:val="TableParagraph"/>
              <w:spacing w:before="63"/>
              <w:rPr>
                <w:sz w:val="12"/>
              </w:rPr>
            </w:pPr>
          </w:p>
          <w:p>
            <w:pPr>
              <w:pStyle w:val="TableParagraph"/>
              <w:ind w:left="9"/>
              <w:jc w:val="center"/>
              <w:rPr>
                <w:b/>
                <w:sz w:val="12"/>
              </w:rPr>
            </w:pPr>
            <w:r>
              <w:rPr>
                <w:b/>
                <w:spacing w:val="-2"/>
                <w:sz w:val="12"/>
              </w:rPr>
              <w:t>NIVEL</w:t>
            </w:r>
          </w:p>
        </w:tc>
        <w:tc>
          <w:tcPr>
            <w:tcW w:w="674" w:type="dxa"/>
            <w:shd w:val="clear" w:color="auto" w:fill="D9D9D9"/>
          </w:tcPr>
          <w:p>
            <w:pPr>
              <w:pStyle w:val="TableParagraph"/>
              <w:spacing w:line="360" w:lineRule="auto" w:before="98"/>
              <w:ind w:left="170" w:right="69" w:hanging="80"/>
              <w:rPr>
                <w:b/>
                <w:sz w:val="12"/>
              </w:rPr>
            </w:pPr>
            <w:r>
              <w:rPr>
                <w:b/>
                <w:sz w:val="12"/>
              </w:rPr>
              <w:t>P.</w:t>
            </w:r>
            <w:r>
              <w:rPr>
                <w:b/>
                <w:spacing w:val="-9"/>
                <w:sz w:val="12"/>
              </w:rPr>
              <w:t> </w:t>
            </w:r>
            <w:r>
              <w:rPr>
                <w:b/>
                <w:sz w:val="12"/>
              </w:rPr>
              <w:t>media</w:t>
            </w:r>
            <w:r>
              <w:rPr>
                <w:b/>
                <w:spacing w:val="40"/>
                <w:sz w:val="12"/>
              </w:rPr>
              <w:t> </w:t>
            </w:r>
            <w:r>
              <w:rPr>
                <w:b/>
                <w:sz w:val="12"/>
              </w:rPr>
              <w:t>25</w:t>
            </w:r>
            <w:r>
              <w:rPr>
                <w:b/>
                <w:spacing w:val="-5"/>
                <w:sz w:val="12"/>
              </w:rPr>
              <w:t> </w:t>
            </w:r>
            <w:r>
              <w:rPr>
                <w:b/>
                <w:sz w:val="12"/>
              </w:rPr>
              <w:t>(H)</w:t>
            </w:r>
          </w:p>
        </w:tc>
        <w:tc>
          <w:tcPr>
            <w:tcW w:w="720" w:type="dxa"/>
            <w:shd w:val="clear" w:color="auto" w:fill="D9D9D9"/>
          </w:tcPr>
          <w:p>
            <w:pPr>
              <w:pStyle w:val="TableParagraph"/>
              <w:spacing w:line="360" w:lineRule="auto" w:before="98"/>
              <w:ind w:left="187" w:right="93" w:hanging="75"/>
              <w:rPr>
                <w:b/>
                <w:sz w:val="12"/>
              </w:rPr>
            </w:pPr>
            <w:r>
              <w:rPr>
                <w:b/>
                <w:sz w:val="12"/>
              </w:rPr>
              <w:t>P.</w:t>
            </w:r>
            <w:r>
              <w:rPr>
                <w:b/>
                <w:spacing w:val="-9"/>
                <w:sz w:val="12"/>
              </w:rPr>
              <w:t> </w:t>
            </w:r>
            <w:r>
              <w:rPr>
                <w:b/>
                <w:sz w:val="12"/>
              </w:rPr>
              <w:t>media</w:t>
            </w:r>
            <w:r>
              <w:rPr>
                <w:b/>
                <w:spacing w:val="40"/>
                <w:sz w:val="12"/>
              </w:rPr>
              <w:t> </w:t>
            </w:r>
            <w:r>
              <w:rPr>
                <w:b/>
                <w:sz w:val="12"/>
              </w:rPr>
              <w:t>25</w:t>
            </w:r>
            <w:r>
              <w:rPr>
                <w:b/>
                <w:spacing w:val="-5"/>
                <w:sz w:val="12"/>
              </w:rPr>
              <w:t> </w:t>
            </w:r>
            <w:r>
              <w:rPr>
                <w:b/>
                <w:sz w:val="12"/>
              </w:rPr>
              <w:t>(M)</w:t>
            </w:r>
          </w:p>
        </w:tc>
        <w:tc>
          <w:tcPr>
            <w:tcW w:w="1250" w:type="dxa"/>
            <w:shd w:val="clear" w:color="auto" w:fill="D9D9D9"/>
          </w:tcPr>
          <w:p>
            <w:pPr>
              <w:pStyle w:val="TableParagraph"/>
              <w:spacing w:line="360" w:lineRule="auto" w:before="98"/>
              <w:ind w:left="267" w:right="109" w:hanging="147"/>
              <w:rPr>
                <w:b/>
                <w:sz w:val="12"/>
              </w:rPr>
            </w:pPr>
            <w:r>
              <w:rPr>
                <w:b/>
                <w:sz w:val="12"/>
              </w:rPr>
              <w:t>IMPORTE</w:t>
            </w:r>
            <w:r>
              <w:rPr>
                <w:b/>
                <w:spacing w:val="-9"/>
                <w:sz w:val="12"/>
              </w:rPr>
              <w:t> </w:t>
            </w:r>
            <w:r>
              <w:rPr>
                <w:b/>
                <w:sz w:val="12"/>
              </w:rPr>
              <w:t>BRUTO</w:t>
            </w:r>
            <w:r>
              <w:rPr>
                <w:b/>
                <w:spacing w:val="40"/>
                <w:sz w:val="12"/>
              </w:rPr>
              <w:t> </w:t>
            </w:r>
            <w:r>
              <w:rPr>
                <w:b/>
                <w:sz w:val="12"/>
              </w:rPr>
              <w:t>HOMBRE</w:t>
            </w:r>
            <w:r>
              <w:rPr>
                <w:b/>
                <w:spacing w:val="-9"/>
                <w:sz w:val="12"/>
              </w:rPr>
              <w:t> </w:t>
            </w:r>
            <w:r>
              <w:rPr>
                <w:b/>
                <w:sz w:val="12"/>
              </w:rPr>
              <w:t>(€)</w:t>
            </w:r>
          </w:p>
        </w:tc>
        <w:tc>
          <w:tcPr>
            <w:tcW w:w="1022" w:type="dxa"/>
            <w:shd w:val="clear" w:color="auto" w:fill="D9D9D9"/>
          </w:tcPr>
          <w:p>
            <w:pPr>
              <w:pStyle w:val="TableParagraph"/>
              <w:spacing w:line="360" w:lineRule="auto"/>
              <w:ind w:left="298" w:right="221" w:hanging="60"/>
              <w:rPr>
                <w:b/>
                <w:sz w:val="12"/>
              </w:rPr>
            </w:pPr>
            <w:r>
              <w:rPr>
                <w:b/>
                <w:spacing w:val="-2"/>
                <w:sz w:val="12"/>
              </w:rPr>
              <w:t>IMPORTE</w:t>
            </w:r>
            <w:r>
              <w:rPr>
                <w:b/>
                <w:spacing w:val="40"/>
                <w:sz w:val="12"/>
              </w:rPr>
              <w:t> </w:t>
            </w:r>
            <w:r>
              <w:rPr>
                <w:b/>
                <w:spacing w:val="-2"/>
                <w:sz w:val="12"/>
              </w:rPr>
              <w:t>BRUTO</w:t>
            </w:r>
          </w:p>
          <w:p>
            <w:pPr>
              <w:pStyle w:val="TableParagraph"/>
              <w:ind w:left="212"/>
              <w:rPr>
                <w:b/>
                <w:sz w:val="12"/>
              </w:rPr>
            </w:pPr>
            <w:r>
              <w:rPr>
                <w:b/>
                <w:sz w:val="12"/>
              </w:rPr>
              <w:t>MUJER</w:t>
            </w:r>
            <w:r>
              <w:rPr>
                <w:b/>
                <w:spacing w:val="-6"/>
                <w:sz w:val="12"/>
              </w:rPr>
              <w:t> </w:t>
            </w:r>
            <w:r>
              <w:rPr>
                <w:b/>
                <w:spacing w:val="-5"/>
                <w:sz w:val="12"/>
              </w:rPr>
              <w:t>(€)</w:t>
            </w:r>
          </w:p>
        </w:tc>
        <w:tc>
          <w:tcPr>
            <w:tcW w:w="1245" w:type="dxa"/>
            <w:shd w:val="clear" w:color="auto" w:fill="D9D9D9"/>
          </w:tcPr>
          <w:p>
            <w:pPr>
              <w:pStyle w:val="TableParagraph"/>
              <w:spacing w:line="360" w:lineRule="auto" w:before="98"/>
              <w:ind w:left="224" w:firstLine="72"/>
              <w:rPr>
                <w:b/>
                <w:sz w:val="12"/>
              </w:rPr>
            </w:pPr>
            <w:r>
              <w:rPr>
                <w:b/>
                <w:spacing w:val="-2"/>
                <w:sz w:val="12"/>
              </w:rPr>
              <w:t>PROMEDIO</w:t>
            </w:r>
            <w:r>
              <w:rPr>
                <w:b/>
                <w:spacing w:val="40"/>
                <w:sz w:val="12"/>
              </w:rPr>
              <w:t> </w:t>
            </w:r>
            <w:r>
              <w:rPr>
                <w:b/>
                <w:sz w:val="12"/>
              </w:rPr>
              <w:t>(HOMBRE)</w:t>
            </w:r>
            <w:r>
              <w:rPr>
                <w:b/>
                <w:spacing w:val="-6"/>
                <w:sz w:val="12"/>
              </w:rPr>
              <w:t> </w:t>
            </w:r>
            <w:r>
              <w:rPr>
                <w:b/>
                <w:spacing w:val="-5"/>
                <w:sz w:val="12"/>
              </w:rPr>
              <w:t>(€)</w:t>
            </w:r>
          </w:p>
        </w:tc>
        <w:tc>
          <w:tcPr>
            <w:tcW w:w="1132" w:type="dxa"/>
            <w:shd w:val="clear" w:color="auto" w:fill="D9D9D9"/>
          </w:tcPr>
          <w:p>
            <w:pPr>
              <w:pStyle w:val="TableParagraph"/>
              <w:spacing w:line="360" w:lineRule="auto" w:before="98"/>
              <w:ind w:left="227" w:firstLine="14"/>
              <w:rPr>
                <w:b/>
                <w:sz w:val="12"/>
              </w:rPr>
            </w:pPr>
            <w:r>
              <w:rPr>
                <w:b/>
                <w:spacing w:val="-2"/>
                <w:sz w:val="12"/>
              </w:rPr>
              <w:t>PROMEDIO</w:t>
            </w:r>
            <w:r>
              <w:rPr>
                <w:b/>
                <w:spacing w:val="40"/>
                <w:sz w:val="12"/>
              </w:rPr>
              <w:t> </w:t>
            </w:r>
            <w:r>
              <w:rPr>
                <w:b/>
                <w:sz w:val="12"/>
              </w:rPr>
              <w:t>(MUJER)</w:t>
            </w:r>
            <w:r>
              <w:rPr>
                <w:b/>
                <w:spacing w:val="-5"/>
                <w:sz w:val="12"/>
              </w:rPr>
              <w:t> </w:t>
            </w:r>
            <w:r>
              <w:rPr>
                <w:b/>
                <w:spacing w:val="-5"/>
                <w:sz w:val="12"/>
              </w:rPr>
              <w:t>(€)</w:t>
            </w:r>
          </w:p>
        </w:tc>
      </w:tr>
      <w:tr>
        <w:trPr>
          <w:trHeight w:val="395" w:hRule="atLeast"/>
        </w:trPr>
        <w:tc>
          <w:tcPr>
            <w:tcW w:w="950" w:type="dxa"/>
            <w:vMerge w:val="restart"/>
          </w:tcPr>
          <w:p>
            <w:pPr>
              <w:pStyle w:val="TableParagraph"/>
              <w:rPr>
                <w:sz w:val="12"/>
              </w:rPr>
            </w:pPr>
          </w:p>
          <w:p>
            <w:pPr>
              <w:pStyle w:val="TableParagraph"/>
              <w:spacing w:before="127"/>
              <w:rPr>
                <w:sz w:val="12"/>
              </w:rPr>
            </w:pPr>
          </w:p>
          <w:p>
            <w:pPr>
              <w:pStyle w:val="TableParagraph"/>
              <w:spacing w:line="360" w:lineRule="auto"/>
              <w:ind w:left="148" w:right="136" w:firstLine="72"/>
              <w:rPr>
                <w:b/>
                <w:sz w:val="12"/>
              </w:rPr>
            </w:pPr>
            <w:r>
              <w:rPr>
                <w:b/>
                <w:sz w:val="12"/>
              </w:rPr>
              <w:t>GRUPO</w:t>
            </w:r>
            <w:r>
              <w:rPr>
                <w:b/>
                <w:spacing w:val="-7"/>
                <w:sz w:val="12"/>
              </w:rPr>
              <w:t> </w:t>
            </w:r>
            <w:r>
              <w:rPr>
                <w:b/>
                <w:sz w:val="12"/>
              </w:rPr>
              <w:t>I</w:t>
            </w:r>
            <w:r>
              <w:rPr>
                <w:b/>
                <w:spacing w:val="40"/>
                <w:sz w:val="12"/>
              </w:rPr>
              <w:t> </w:t>
            </w:r>
            <w:r>
              <w:rPr>
                <w:b/>
                <w:spacing w:val="-2"/>
                <w:sz w:val="12"/>
              </w:rPr>
              <w:t>DIRECTIVO</w:t>
            </w:r>
          </w:p>
        </w:tc>
        <w:tc>
          <w:tcPr>
            <w:tcW w:w="1620" w:type="dxa"/>
          </w:tcPr>
          <w:p>
            <w:pPr>
              <w:pStyle w:val="TableParagraph"/>
              <w:spacing w:before="93"/>
              <w:ind w:left="69"/>
              <w:rPr>
                <w:sz w:val="12"/>
              </w:rPr>
            </w:pPr>
            <w:r>
              <w:rPr>
                <w:sz w:val="12"/>
              </w:rPr>
              <w:t>JEFE</w:t>
            </w:r>
            <w:r>
              <w:rPr>
                <w:spacing w:val="-2"/>
                <w:sz w:val="12"/>
              </w:rPr>
              <w:t> SERVICIO</w:t>
            </w:r>
          </w:p>
        </w:tc>
        <w:tc>
          <w:tcPr>
            <w:tcW w:w="674" w:type="dxa"/>
          </w:tcPr>
          <w:p>
            <w:pPr>
              <w:pStyle w:val="TableParagraph"/>
              <w:spacing w:before="49"/>
              <w:rPr>
                <w:sz w:val="12"/>
              </w:rPr>
            </w:pPr>
          </w:p>
          <w:p>
            <w:pPr>
              <w:pStyle w:val="TableParagraph"/>
              <w:ind w:left="13"/>
              <w:jc w:val="center"/>
              <w:rPr>
                <w:sz w:val="12"/>
              </w:rPr>
            </w:pPr>
            <w:r>
              <w:rPr>
                <w:spacing w:val="-4"/>
                <w:sz w:val="12"/>
              </w:rPr>
              <w:t>8,46</w:t>
            </w:r>
          </w:p>
        </w:tc>
        <w:tc>
          <w:tcPr>
            <w:tcW w:w="720" w:type="dxa"/>
          </w:tcPr>
          <w:p>
            <w:pPr>
              <w:pStyle w:val="TableParagraph"/>
              <w:spacing w:before="49"/>
              <w:rPr>
                <w:sz w:val="12"/>
              </w:rPr>
            </w:pPr>
          </w:p>
          <w:p>
            <w:pPr>
              <w:pStyle w:val="TableParagraph"/>
              <w:ind w:left="25" w:right="15"/>
              <w:jc w:val="center"/>
              <w:rPr>
                <w:sz w:val="12"/>
              </w:rPr>
            </w:pPr>
            <w:r>
              <w:rPr>
                <w:spacing w:val="-4"/>
                <w:sz w:val="12"/>
              </w:rPr>
              <w:t>3,00</w:t>
            </w:r>
          </w:p>
        </w:tc>
        <w:tc>
          <w:tcPr>
            <w:tcW w:w="1250" w:type="dxa"/>
          </w:tcPr>
          <w:p>
            <w:pPr>
              <w:pStyle w:val="TableParagraph"/>
              <w:spacing w:before="49"/>
              <w:rPr>
                <w:sz w:val="12"/>
              </w:rPr>
            </w:pPr>
          </w:p>
          <w:p>
            <w:pPr>
              <w:pStyle w:val="TableParagraph"/>
              <w:ind w:left="10" w:right="1"/>
              <w:jc w:val="center"/>
              <w:rPr>
                <w:sz w:val="12"/>
              </w:rPr>
            </w:pPr>
            <w:r>
              <w:rPr>
                <w:spacing w:val="-2"/>
                <w:sz w:val="12"/>
              </w:rPr>
              <w:t>617.389,68€</w:t>
            </w:r>
          </w:p>
        </w:tc>
        <w:tc>
          <w:tcPr>
            <w:tcW w:w="1022" w:type="dxa"/>
          </w:tcPr>
          <w:p>
            <w:pPr>
              <w:pStyle w:val="TableParagraph"/>
              <w:spacing w:before="49"/>
              <w:rPr>
                <w:sz w:val="12"/>
              </w:rPr>
            </w:pPr>
          </w:p>
          <w:p>
            <w:pPr>
              <w:pStyle w:val="TableParagraph"/>
              <w:ind w:right="163"/>
              <w:jc w:val="right"/>
              <w:rPr>
                <w:sz w:val="12"/>
              </w:rPr>
            </w:pPr>
            <w:r>
              <w:rPr>
                <w:spacing w:val="-2"/>
                <w:sz w:val="12"/>
              </w:rPr>
              <w:t>229.307,29€</w:t>
            </w:r>
          </w:p>
        </w:tc>
        <w:tc>
          <w:tcPr>
            <w:tcW w:w="1245" w:type="dxa"/>
          </w:tcPr>
          <w:p>
            <w:pPr>
              <w:pStyle w:val="TableParagraph"/>
              <w:spacing w:before="49"/>
              <w:rPr>
                <w:sz w:val="12"/>
              </w:rPr>
            </w:pPr>
          </w:p>
          <w:p>
            <w:pPr>
              <w:pStyle w:val="TableParagraph"/>
              <w:ind w:left="12"/>
              <w:jc w:val="center"/>
              <w:rPr>
                <w:sz w:val="12"/>
              </w:rPr>
            </w:pPr>
            <w:r>
              <w:rPr>
                <w:spacing w:val="-2"/>
                <w:sz w:val="12"/>
              </w:rPr>
              <w:t>72.977,50€</w:t>
            </w:r>
          </w:p>
        </w:tc>
        <w:tc>
          <w:tcPr>
            <w:tcW w:w="1132" w:type="dxa"/>
          </w:tcPr>
          <w:p>
            <w:pPr>
              <w:pStyle w:val="TableParagraph"/>
              <w:spacing w:before="49"/>
              <w:rPr>
                <w:sz w:val="12"/>
              </w:rPr>
            </w:pPr>
          </w:p>
          <w:p>
            <w:pPr>
              <w:pStyle w:val="TableParagraph"/>
              <w:ind w:left="16"/>
              <w:jc w:val="center"/>
              <w:rPr>
                <w:sz w:val="12"/>
              </w:rPr>
            </w:pPr>
            <w:r>
              <w:rPr>
                <w:spacing w:val="-2"/>
                <w:sz w:val="12"/>
              </w:rPr>
              <w:t>76.435,76€</w:t>
            </w:r>
          </w:p>
        </w:tc>
      </w:tr>
      <w:tr>
        <w:trPr>
          <w:trHeight w:val="397" w:hRule="atLeast"/>
        </w:trPr>
        <w:tc>
          <w:tcPr>
            <w:tcW w:w="950" w:type="dxa"/>
            <w:vMerge/>
            <w:tcBorders>
              <w:top w:val="nil"/>
            </w:tcBorders>
          </w:tcPr>
          <w:p>
            <w:pPr>
              <w:rPr>
                <w:sz w:val="2"/>
                <w:szCs w:val="2"/>
              </w:rPr>
            </w:pPr>
          </w:p>
        </w:tc>
        <w:tc>
          <w:tcPr>
            <w:tcW w:w="1620" w:type="dxa"/>
          </w:tcPr>
          <w:p>
            <w:pPr>
              <w:pStyle w:val="TableParagraph"/>
              <w:spacing w:before="93"/>
              <w:ind w:left="69"/>
              <w:rPr>
                <w:sz w:val="12"/>
              </w:rPr>
            </w:pPr>
            <w:r>
              <w:rPr>
                <w:sz w:val="12"/>
              </w:rPr>
              <w:t>JEFE</w:t>
            </w:r>
            <w:r>
              <w:rPr>
                <w:spacing w:val="-2"/>
                <w:sz w:val="12"/>
              </w:rPr>
              <w:t> </w:t>
            </w:r>
            <w:r>
              <w:rPr>
                <w:sz w:val="12"/>
              </w:rPr>
              <w:t>DE</w:t>
            </w:r>
            <w:r>
              <w:rPr>
                <w:spacing w:val="-2"/>
                <w:sz w:val="12"/>
              </w:rPr>
              <w:t> GRUPO</w:t>
            </w:r>
          </w:p>
        </w:tc>
        <w:tc>
          <w:tcPr>
            <w:tcW w:w="674" w:type="dxa"/>
          </w:tcPr>
          <w:p>
            <w:pPr>
              <w:pStyle w:val="TableParagraph"/>
              <w:spacing w:before="51"/>
              <w:rPr>
                <w:sz w:val="12"/>
              </w:rPr>
            </w:pPr>
          </w:p>
          <w:p>
            <w:pPr>
              <w:pStyle w:val="TableParagraph"/>
              <w:ind w:left="13"/>
              <w:jc w:val="center"/>
              <w:rPr>
                <w:sz w:val="12"/>
              </w:rPr>
            </w:pPr>
            <w:r>
              <w:rPr>
                <w:spacing w:val="-4"/>
                <w:sz w:val="12"/>
              </w:rPr>
              <w:t>1,00</w:t>
            </w:r>
          </w:p>
        </w:tc>
        <w:tc>
          <w:tcPr>
            <w:tcW w:w="720" w:type="dxa"/>
          </w:tcPr>
          <w:p>
            <w:pPr>
              <w:pStyle w:val="TableParagraph"/>
              <w:spacing w:before="51"/>
              <w:rPr>
                <w:sz w:val="12"/>
              </w:rPr>
            </w:pPr>
          </w:p>
          <w:p>
            <w:pPr>
              <w:pStyle w:val="TableParagraph"/>
              <w:ind w:left="25" w:right="15"/>
              <w:jc w:val="center"/>
              <w:rPr>
                <w:sz w:val="12"/>
              </w:rPr>
            </w:pPr>
            <w:r>
              <w:rPr>
                <w:spacing w:val="-4"/>
                <w:sz w:val="12"/>
              </w:rPr>
              <w:t>2,00</w:t>
            </w:r>
          </w:p>
        </w:tc>
        <w:tc>
          <w:tcPr>
            <w:tcW w:w="1250" w:type="dxa"/>
          </w:tcPr>
          <w:p>
            <w:pPr>
              <w:pStyle w:val="TableParagraph"/>
              <w:spacing w:before="51"/>
              <w:rPr>
                <w:sz w:val="12"/>
              </w:rPr>
            </w:pPr>
          </w:p>
          <w:p>
            <w:pPr>
              <w:pStyle w:val="TableParagraph"/>
              <w:ind w:left="10"/>
              <w:jc w:val="center"/>
              <w:rPr>
                <w:sz w:val="12"/>
              </w:rPr>
            </w:pPr>
            <w:r>
              <w:rPr>
                <w:spacing w:val="-2"/>
                <w:sz w:val="12"/>
              </w:rPr>
              <w:t>62.540,28€</w:t>
            </w:r>
          </w:p>
        </w:tc>
        <w:tc>
          <w:tcPr>
            <w:tcW w:w="1022" w:type="dxa"/>
          </w:tcPr>
          <w:p>
            <w:pPr>
              <w:pStyle w:val="TableParagraph"/>
              <w:spacing w:before="51"/>
              <w:rPr>
                <w:sz w:val="12"/>
              </w:rPr>
            </w:pPr>
          </w:p>
          <w:p>
            <w:pPr>
              <w:pStyle w:val="TableParagraph"/>
              <w:ind w:right="163"/>
              <w:jc w:val="right"/>
              <w:rPr>
                <w:sz w:val="12"/>
              </w:rPr>
            </w:pPr>
            <w:r>
              <w:rPr>
                <w:spacing w:val="-2"/>
                <w:sz w:val="12"/>
              </w:rPr>
              <w:t>126.128,43€</w:t>
            </w:r>
          </w:p>
        </w:tc>
        <w:tc>
          <w:tcPr>
            <w:tcW w:w="1245" w:type="dxa"/>
          </w:tcPr>
          <w:p>
            <w:pPr>
              <w:pStyle w:val="TableParagraph"/>
              <w:spacing w:before="51"/>
              <w:rPr>
                <w:sz w:val="12"/>
              </w:rPr>
            </w:pPr>
          </w:p>
          <w:p>
            <w:pPr>
              <w:pStyle w:val="TableParagraph"/>
              <w:ind w:left="12"/>
              <w:jc w:val="center"/>
              <w:rPr>
                <w:sz w:val="12"/>
              </w:rPr>
            </w:pPr>
            <w:r>
              <w:rPr>
                <w:spacing w:val="-2"/>
                <w:sz w:val="12"/>
              </w:rPr>
              <w:t>62.540,28€</w:t>
            </w:r>
          </w:p>
        </w:tc>
        <w:tc>
          <w:tcPr>
            <w:tcW w:w="1132" w:type="dxa"/>
          </w:tcPr>
          <w:p>
            <w:pPr>
              <w:pStyle w:val="TableParagraph"/>
              <w:spacing w:before="51"/>
              <w:rPr>
                <w:sz w:val="12"/>
              </w:rPr>
            </w:pPr>
          </w:p>
          <w:p>
            <w:pPr>
              <w:pStyle w:val="TableParagraph"/>
              <w:ind w:left="16"/>
              <w:jc w:val="center"/>
              <w:rPr>
                <w:sz w:val="12"/>
              </w:rPr>
            </w:pPr>
            <w:r>
              <w:rPr>
                <w:spacing w:val="-2"/>
                <w:sz w:val="12"/>
              </w:rPr>
              <w:t>63.064,22€</w:t>
            </w:r>
          </w:p>
        </w:tc>
      </w:tr>
      <w:tr>
        <w:trPr>
          <w:trHeight w:val="414" w:hRule="atLeast"/>
        </w:trPr>
        <w:tc>
          <w:tcPr>
            <w:tcW w:w="950" w:type="dxa"/>
            <w:vMerge/>
            <w:tcBorders>
              <w:top w:val="nil"/>
            </w:tcBorders>
          </w:tcPr>
          <w:p>
            <w:pPr>
              <w:rPr>
                <w:sz w:val="2"/>
                <w:szCs w:val="2"/>
              </w:rPr>
            </w:pPr>
          </w:p>
        </w:tc>
        <w:tc>
          <w:tcPr>
            <w:tcW w:w="1620" w:type="dxa"/>
          </w:tcPr>
          <w:p>
            <w:pPr>
              <w:pStyle w:val="TableParagraph"/>
              <w:spacing w:line="136" w:lineRule="exact"/>
              <w:ind w:left="69"/>
              <w:rPr>
                <w:sz w:val="12"/>
              </w:rPr>
            </w:pPr>
            <w:r>
              <w:rPr>
                <w:sz w:val="12"/>
              </w:rPr>
              <w:t>JEFE</w:t>
            </w:r>
            <w:r>
              <w:rPr>
                <w:spacing w:val="-4"/>
                <w:sz w:val="12"/>
              </w:rPr>
              <w:t> </w:t>
            </w:r>
            <w:r>
              <w:rPr>
                <w:sz w:val="12"/>
              </w:rPr>
              <w:t>DE</w:t>
            </w:r>
            <w:r>
              <w:rPr>
                <w:spacing w:val="-2"/>
                <w:sz w:val="12"/>
              </w:rPr>
              <w:t> OFICINA</w:t>
            </w:r>
          </w:p>
          <w:p>
            <w:pPr>
              <w:pStyle w:val="TableParagraph"/>
              <w:spacing w:before="68"/>
              <w:ind w:left="69"/>
              <w:rPr>
                <w:sz w:val="12"/>
              </w:rPr>
            </w:pPr>
            <w:r>
              <w:rPr>
                <w:spacing w:val="-2"/>
                <w:sz w:val="12"/>
              </w:rPr>
              <w:t>TÉCNICA</w:t>
            </w:r>
          </w:p>
        </w:tc>
        <w:tc>
          <w:tcPr>
            <w:tcW w:w="674" w:type="dxa"/>
          </w:tcPr>
          <w:p>
            <w:pPr>
              <w:pStyle w:val="TableParagraph"/>
              <w:spacing w:before="66"/>
              <w:rPr>
                <w:sz w:val="12"/>
              </w:rPr>
            </w:pPr>
          </w:p>
          <w:p>
            <w:pPr>
              <w:pStyle w:val="TableParagraph"/>
              <w:ind w:left="13"/>
              <w:jc w:val="center"/>
              <w:rPr>
                <w:sz w:val="12"/>
              </w:rPr>
            </w:pPr>
            <w:r>
              <w:rPr>
                <w:spacing w:val="-4"/>
                <w:sz w:val="12"/>
              </w:rPr>
              <w:t>3,00</w:t>
            </w:r>
          </w:p>
        </w:tc>
        <w:tc>
          <w:tcPr>
            <w:tcW w:w="720" w:type="dxa"/>
          </w:tcPr>
          <w:p>
            <w:pPr>
              <w:pStyle w:val="TableParagraph"/>
              <w:spacing w:before="66"/>
              <w:rPr>
                <w:sz w:val="12"/>
              </w:rPr>
            </w:pPr>
          </w:p>
          <w:p>
            <w:pPr>
              <w:pStyle w:val="TableParagraph"/>
              <w:ind w:left="25" w:right="15"/>
              <w:jc w:val="center"/>
              <w:rPr>
                <w:sz w:val="12"/>
              </w:rPr>
            </w:pPr>
            <w:r>
              <w:rPr>
                <w:spacing w:val="-4"/>
                <w:sz w:val="12"/>
              </w:rPr>
              <w:t>3,00</w:t>
            </w:r>
          </w:p>
        </w:tc>
        <w:tc>
          <w:tcPr>
            <w:tcW w:w="1250" w:type="dxa"/>
          </w:tcPr>
          <w:p>
            <w:pPr>
              <w:pStyle w:val="TableParagraph"/>
              <w:spacing w:before="66"/>
              <w:rPr>
                <w:sz w:val="12"/>
              </w:rPr>
            </w:pPr>
          </w:p>
          <w:p>
            <w:pPr>
              <w:pStyle w:val="TableParagraph"/>
              <w:ind w:left="10" w:right="1"/>
              <w:jc w:val="center"/>
              <w:rPr>
                <w:sz w:val="12"/>
              </w:rPr>
            </w:pPr>
            <w:r>
              <w:rPr>
                <w:spacing w:val="-2"/>
                <w:sz w:val="12"/>
              </w:rPr>
              <w:t>174.028,11€</w:t>
            </w:r>
          </w:p>
        </w:tc>
        <w:tc>
          <w:tcPr>
            <w:tcW w:w="1022" w:type="dxa"/>
          </w:tcPr>
          <w:p>
            <w:pPr>
              <w:pStyle w:val="TableParagraph"/>
              <w:spacing w:before="66"/>
              <w:rPr>
                <w:sz w:val="12"/>
              </w:rPr>
            </w:pPr>
          </w:p>
          <w:p>
            <w:pPr>
              <w:pStyle w:val="TableParagraph"/>
              <w:ind w:right="163"/>
              <w:jc w:val="right"/>
              <w:rPr>
                <w:sz w:val="12"/>
              </w:rPr>
            </w:pPr>
            <w:r>
              <w:rPr>
                <w:spacing w:val="-2"/>
                <w:sz w:val="12"/>
              </w:rPr>
              <w:t>182.335,25€</w:t>
            </w:r>
          </w:p>
        </w:tc>
        <w:tc>
          <w:tcPr>
            <w:tcW w:w="1245" w:type="dxa"/>
          </w:tcPr>
          <w:p>
            <w:pPr>
              <w:pStyle w:val="TableParagraph"/>
              <w:spacing w:before="66"/>
              <w:rPr>
                <w:sz w:val="12"/>
              </w:rPr>
            </w:pPr>
          </w:p>
          <w:p>
            <w:pPr>
              <w:pStyle w:val="TableParagraph"/>
              <w:ind w:left="12"/>
              <w:jc w:val="center"/>
              <w:rPr>
                <w:sz w:val="12"/>
              </w:rPr>
            </w:pPr>
            <w:r>
              <w:rPr>
                <w:spacing w:val="-2"/>
                <w:sz w:val="12"/>
              </w:rPr>
              <w:t>58.009,37€</w:t>
            </w:r>
          </w:p>
        </w:tc>
        <w:tc>
          <w:tcPr>
            <w:tcW w:w="1132" w:type="dxa"/>
          </w:tcPr>
          <w:p>
            <w:pPr>
              <w:pStyle w:val="TableParagraph"/>
              <w:spacing w:before="66"/>
              <w:rPr>
                <w:sz w:val="12"/>
              </w:rPr>
            </w:pPr>
          </w:p>
          <w:p>
            <w:pPr>
              <w:pStyle w:val="TableParagraph"/>
              <w:ind w:left="16"/>
              <w:jc w:val="center"/>
              <w:rPr>
                <w:sz w:val="12"/>
              </w:rPr>
            </w:pPr>
            <w:r>
              <w:rPr>
                <w:spacing w:val="-2"/>
                <w:sz w:val="12"/>
              </w:rPr>
              <w:t>60.778,42€</w:t>
            </w:r>
          </w:p>
        </w:tc>
      </w:tr>
      <w:tr>
        <w:trPr>
          <w:trHeight w:val="395" w:hRule="atLeast"/>
        </w:trPr>
        <w:tc>
          <w:tcPr>
            <w:tcW w:w="950" w:type="dxa"/>
            <w:vMerge w:val="restart"/>
          </w:tcPr>
          <w:p>
            <w:pPr>
              <w:pStyle w:val="TableParagraph"/>
              <w:spacing w:before="51"/>
              <w:rPr>
                <w:sz w:val="12"/>
              </w:rPr>
            </w:pPr>
          </w:p>
          <w:p>
            <w:pPr>
              <w:pStyle w:val="TableParagraph"/>
              <w:spacing w:line="360" w:lineRule="auto"/>
              <w:ind w:left="203" w:right="183" w:firstLine="2"/>
              <w:rPr>
                <w:b/>
                <w:sz w:val="12"/>
              </w:rPr>
            </w:pPr>
            <w:r>
              <w:rPr>
                <w:b/>
                <w:sz w:val="12"/>
              </w:rPr>
              <w:t>GRUPO</w:t>
            </w:r>
            <w:r>
              <w:rPr>
                <w:b/>
                <w:spacing w:val="-9"/>
                <w:sz w:val="12"/>
              </w:rPr>
              <w:t> </w:t>
            </w:r>
            <w:r>
              <w:rPr>
                <w:b/>
                <w:sz w:val="12"/>
              </w:rPr>
              <w:t>II</w:t>
            </w:r>
            <w:r>
              <w:rPr>
                <w:b/>
                <w:spacing w:val="40"/>
                <w:sz w:val="12"/>
              </w:rPr>
              <w:t> </w:t>
            </w:r>
            <w:r>
              <w:rPr>
                <w:b/>
                <w:spacing w:val="-2"/>
                <w:sz w:val="12"/>
              </w:rPr>
              <w:t>TÉCNICO</w:t>
            </w:r>
          </w:p>
        </w:tc>
        <w:tc>
          <w:tcPr>
            <w:tcW w:w="1620" w:type="dxa"/>
          </w:tcPr>
          <w:p>
            <w:pPr>
              <w:pStyle w:val="TableParagraph"/>
              <w:spacing w:before="91"/>
              <w:ind w:left="69"/>
              <w:rPr>
                <w:sz w:val="12"/>
              </w:rPr>
            </w:pPr>
            <w:r>
              <w:rPr>
                <w:sz w:val="12"/>
              </w:rPr>
              <w:t>TÉCNICO</w:t>
            </w:r>
            <w:r>
              <w:rPr>
                <w:spacing w:val="-3"/>
                <w:sz w:val="12"/>
              </w:rPr>
              <w:t> </w:t>
            </w:r>
            <w:r>
              <w:rPr>
                <w:spacing w:val="-2"/>
                <w:sz w:val="12"/>
              </w:rPr>
              <w:t>SUPERIOR</w:t>
            </w:r>
          </w:p>
        </w:tc>
        <w:tc>
          <w:tcPr>
            <w:tcW w:w="674" w:type="dxa"/>
          </w:tcPr>
          <w:p>
            <w:pPr>
              <w:pStyle w:val="TableParagraph"/>
              <w:spacing w:before="49"/>
              <w:rPr>
                <w:sz w:val="12"/>
              </w:rPr>
            </w:pPr>
          </w:p>
          <w:p>
            <w:pPr>
              <w:pStyle w:val="TableParagraph"/>
              <w:ind w:left="13" w:right="1"/>
              <w:jc w:val="center"/>
              <w:rPr>
                <w:sz w:val="12"/>
              </w:rPr>
            </w:pPr>
            <w:r>
              <w:rPr>
                <w:spacing w:val="-2"/>
                <w:sz w:val="12"/>
              </w:rPr>
              <w:t>10,42</w:t>
            </w:r>
          </w:p>
        </w:tc>
        <w:tc>
          <w:tcPr>
            <w:tcW w:w="720" w:type="dxa"/>
          </w:tcPr>
          <w:p>
            <w:pPr>
              <w:pStyle w:val="TableParagraph"/>
              <w:spacing w:before="49"/>
              <w:rPr>
                <w:sz w:val="12"/>
              </w:rPr>
            </w:pPr>
          </w:p>
          <w:p>
            <w:pPr>
              <w:pStyle w:val="TableParagraph"/>
              <w:ind w:left="25" w:right="15"/>
              <w:jc w:val="center"/>
              <w:rPr>
                <w:sz w:val="12"/>
              </w:rPr>
            </w:pPr>
            <w:r>
              <w:rPr>
                <w:spacing w:val="-4"/>
                <w:sz w:val="12"/>
              </w:rPr>
              <w:t>3,35</w:t>
            </w:r>
          </w:p>
        </w:tc>
        <w:tc>
          <w:tcPr>
            <w:tcW w:w="1250" w:type="dxa"/>
          </w:tcPr>
          <w:p>
            <w:pPr>
              <w:pStyle w:val="TableParagraph"/>
              <w:spacing w:before="49"/>
              <w:rPr>
                <w:sz w:val="12"/>
              </w:rPr>
            </w:pPr>
          </w:p>
          <w:p>
            <w:pPr>
              <w:pStyle w:val="TableParagraph"/>
              <w:ind w:left="10" w:right="1"/>
              <w:jc w:val="center"/>
              <w:rPr>
                <w:sz w:val="12"/>
              </w:rPr>
            </w:pPr>
            <w:r>
              <w:rPr>
                <w:spacing w:val="-2"/>
                <w:sz w:val="12"/>
              </w:rPr>
              <w:t>463.682,55€</w:t>
            </w:r>
          </w:p>
        </w:tc>
        <w:tc>
          <w:tcPr>
            <w:tcW w:w="1022" w:type="dxa"/>
          </w:tcPr>
          <w:p>
            <w:pPr>
              <w:pStyle w:val="TableParagraph"/>
              <w:spacing w:before="49"/>
              <w:rPr>
                <w:sz w:val="12"/>
              </w:rPr>
            </w:pPr>
          </w:p>
          <w:p>
            <w:pPr>
              <w:pStyle w:val="TableParagraph"/>
              <w:ind w:right="162"/>
              <w:jc w:val="right"/>
              <w:rPr>
                <w:sz w:val="12"/>
              </w:rPr>
            </w:pPr>
            <w:r>
              <w:rPr>
                <w:spacing w:val="-2"/>
                <w:sz w:val="12"/>
              </w:rPr>
              <w:t>135.115,20€</w:t>
            </w:r>
          </w:p>
        </w:tc>
        <w:tc>
          <w:tcPr>
            <w:tcW w:w="1245" w:type="dxa"/>
          </w:tcPr>
          <w:p>
            <w:pPr>
              <w:pStyle w:val="TableParagraph"/>
              <w:spacing w:before="49"/>
              <w:rPr>
                <w:sz w:val="12"/>
              </w:rPr>
            </w:pPr>
          </w:p>
          <w:p>
            <w:pPr>
              <w:pStyle w:val="TableParagraph"/>
              <w:ind w:left="12"/>
              <w:jc w:val="center"/>
              <w:rPr>
                <w:sz w:val="12"/>
              </w:rPr>
            </w:pPr>
            <w:r>
              <w:rPr>
                <w:spacing w:val="-2"/>
                <w:sz w:val="12"/>
              </w:rPr>
              <w:t>44.499,29€</w:t>
            </w:r>
          </w:p>
        </w:tc>
        <w:tc>
          <w:tcPr>
            <w:tcW w:w="1132" w:type="dxa"/>
          </w:tcPr>
          <w:p>
            <w:pPr>
              <w:pStyle w:val="TableParagraph"/>
              <w:spacing w:before="49"/>
              <w:rPr>
                <w:sz w:val="12"/>
              </w:rPr>
            </w:pPr>
          </w:p>
          <w:p>
            <w:pPr>
              <w:pStyle w:val="TableParagraph"/>
              <w:ind w:left="16"/>
              <w:jc w:val="center"/>
              <w:rPr>
                <w:sz w:val="12"/>
              </w:rPr>
            </w:pPr>
            <w:r>
              <w:rPr>
                <w:spacing w:val="-2"/>
                <w:sz w:val="12"/>
              </w:rPr>
              <w:t>40.332,90€</w:t>
            </w:r>
          </w:p>
        </w:tc>
      </w:tr>
      <w:tr>
        <w:trPr>
          <w:trHeight w:val="398" w:hRule="atLeast"/>
        </w:trPr>
        <w:tc>
          <w:tcPr>
            <w:tcW w:w="950" w:type="dxa"/>
            <w:vMerge/>
            <w:tcBorders>
              <w:top w:val="nil"/>
            </w:tcBorders>
          </w:tcPr>
          <w:p>
            <w:pPr>
              <w:rPr>
                <w:sz w:val="2"/>
                <w:szCs w:val="2"/>
              </w:rPr>
            </w:pPr>
          </w:p>
        </w:tc>
        <w:tc>
          <w:tcPr>
            <w:tcW w:w="1620" w:type="dxa"/>
          </w:tcPr>
          <w:p>
            <w:pPr>
              <w:pStyle w:val="TableParagraph"/>
              <w:spacing w:before="93"/>
              <w:ind w:left="69"/>
              <w:rPr>
                <w:sz w:val="12"/>
              </w:rPr>
            </w:pPr>
            <w:r>
              <w:rPr>
                <w:spacing w:val="-2"/>
                <w:sz w:val="12"/>
              </w:rPr>
              <w:t>TÉCNICO</w:t>
            </w:r>
          </w:p>
        </w:tc>
        <w:tc>
          <w:tcPr>
            <w:tcW w:w="674" w:type="dxa"/>
          </w:tcPr>
          <w:p>
            <w:pPr>
              <w:pStyle w:val="TableParagraph"/>
              <w:spacing w:before="51"/>
              <w:rPr>
                <w:sz w:val="12"/>
              </w:rPr>
            </w:pPr>
          </w:p>
          <w:p>
            <w:pPr>
              <w:pStyle w:val="TableParagraph"/>
              <w:ind w:left="13"/>
              <w:jc w:val="center"/>
              <w:rPr>
                <w:sz w:val="12"/>
              </w:rPr>
            </w:pPr>
            <w:r>
              <w:rPr>
                <w:spacing w:val="-4"/>
                <w:sz w:val="12"/>
              </w:rPr>
              <w:t>1,58</w:t>
            </w:r>
          </w:p>
        </w:tc>
        <w:tc>
          <w:tcPr>
            <w:tcW w:w="720" w:type="dxa"/>
          </w:tcPr>
          <w:p>
            <w:pPr>
              <w:pStyle w:val="TableParagraph"/>
              <w:spacing w:before="51"/>
              <w:rPr>
                <w:sz w:val="12"/>
              </w:rPr>
            </w:pPr>
          </w:p>
          <w:p>
            <w:pPr>
              <w:pStyle w:val="TableParagraph"/>
              <w:ind w:left="25" w:right="15"/>
              <w:jc w:val="center"/>
              <w:rPr>
                <w:sz w:val="12"/>
              </w:rPr>
            </w:pPr>
            <w:r>
              <w:rPr>
                <w:spacing w:val="-4"/>
                <w:sz w:val="12"/>
              </w:rPr>
              <w:t>1,45</w:t>
            </w:r>
          </w:p>
        </w:tc>
        <w:tc>
          <w:tcPr>
            <w:tcW w:w="1250" w:type="dxa"/>
          </w:tcPr>
          <w:p>
            <w:pPr>
              <w:pStyle w:val="TableParagraph"/>
              <w:spacing w:before="51"/>
              <w:rPr>
                <w:sz w:val="12"/>
              </w:rPr>
            </w:pPr>
          </w:p>
          <w:p>
            <w:pPr>
              <w:pStyle w:val="TableParagraph"/>
              <w:ind w:left="10"/>
              <w:jc w:val="center"/>
              <w:rPr>
                <w:sz w:val="12"/>
              </w:rPr>
            </w:pPr>
            <w:r>
              <w:rPr>
                <w:spacing w:val="-2"/>
                <w:sz w:val="12"/>
              </w:rPr>
              <w:t>64.725,62€</w:t>
            </w:r>
          </w:p>
        </w:tc>
        <w:tc>
          <w:tcPr>
            <w:tcW w:w="1022" w:type="dxa"/>
          </w:tcPr>
          <w:p>
            <w:pPr>
              <w:pStyle w:val="TableParagraph"/>
              <w:spacing w:before="51"/>
              <w:rPr>
                <w:sz w:val="12"/>
              </w:rPr>
            </w:pPr>
          </w:p>
          <w:p>
            <w:pPr>
              <w:pStyle w:val="TableParagraph"/>
              <w:ind w:right="197"/>
              <w:jc w:val="right"/>
              <w:rPr>
                <w:sz w:val="12"/>
              </w:rPr>
            </w:pPr>
            <w:r>
              <w:rPr>
                <w:spacing w:val="-2"/>
                <w:sz w:val="12"/>
              </w:rPr>
              <w:t>54.550,88€</w:t>
            </w:r>
          </w:p>
        </w:tc>
        <w:tc>
          <w:tcPr>
            <w:tcW w:w="1245" w:type="dxa"/>
          </w:tcPr>
          <w:p>
            <w:pPr>
              <w:pStyle w:val="TableParagraph"/>
              <w:spacing w:before="51"/>
              <w:rPr>
                <w:sz w:val="12"/>
              </w:rPr>
            </w:pPr>
          </w:p>
          <w:p>
            <w:pPr>
              <w:pStyle w:val="TableParagraph"/>
              <w:ind w:left="12"/>
              <w:jc w:val="center"/>
              <w:rPr>
                <w:sz w:val="12"/>
              </w:rPr>
            </w:pPr>
            <w:r>
              <w:rPr>
                <w:spacing w:val="-2"/>
                <w:sz w:val="12"/>
              </w:rPr>
              <w:t>40.965,58€</w:t>
            </w:r>
          </w:p>
        </w:tc>
        <w:tc>
          <w:tcPr>
            <w:tcW w:w="1132" w:type="dxa"/>
          </w:tcPr>
          <w:p>
            <w:pPr>
              <w:pStyle w:val="TableParagraph"/>
              <w:spacing w:before="51"/>
              <w:rPr>
                <w:sz w:val="12"/>
              </w:rPr>
            </w:pPr>
          </w:p>
          <w:p>
            <w:pPr>
              <w:pStyle w:val="TableParagraph"/>
              <w:ind w:left="16"/>
              <w:jc w:val="center"/>
              <w:rPr>
                <w:sz w:val="12"/>
              </w:rPr>
            </w:pPr>
            <w:r>
              <w:rPr>
                <w:spacing w:val="-2"/>
                <w:sz w:val="12"/>
              </w:rPr>
              <w:t>37.621,30€</w:t>
            </w:r>
          </w:p>
        </w:tc>
      </w:tr>
      <w:tr>
        <w:trPr>
          <w:trHeight w:val="395" w:hRule="atLeast"/>
        </w:trPr>
        <w:tc>
          <w:tcPr>
            <w:tcW w:w="950" w:type="dxa"/>
            <w:vMerge w:val="restart"/>
          </w:tcPr>
          <w:p>
            <w:pPr>
              <w:pStyle w:val="TableParagraph"/>
              <w:rPr>
                <w:sz w:val="12"/>
              </w:rPr>
            </w:pPr>
          </w:p>
          <w:p>
            <w:pPr>
              <w:pStyle w:val="TableParagraph"/>
              <w:spacing w:before="127"/>
              <w:rPr>
                <w:sz w:val="12"/>
              </w:rPr>
            </w:pPr>
          </w:p>
          <w:p>
            <w:pPr>
              <w:pStyle w:val="TableParagraph"/>
              <w:spacing w:line="360" w:lineRule="auto"/>
              <w:ind w:left="247" w:hanging="58"/>
              <w:rPr>
                <w:b/>
                <w:sz w:val="12"/>
              </w:rPr>
            </w:pPr>
            <w:r>
              <w:rPr>
                <w:b/>
                <w:spacing w:val="-2"/>
                <w:sz w:val="12"/>
              </w:rPr>
              <w:t>GRUPO</w:t>
            </w:r>
            <w:r>
              <w:rPr>
                <w:b/>
                <w:spacing w:val="-7"/>
                <w:sz w:val="12"/>
              </w:rPr>
              <w:t> </w:t>
            </w:r>
            <w:r>
              <w:rPr>
                <w:b/>
                <w:spacing w:val="-2"/>
                <w:sz w:val="12"/>
              </w:rPr>
              <w:t>III</w:t>
            </w:r>
            <w:r>
              <w:rPr>
                <w:b/>
                <w:spacing w:val="40"/>
                <w:sz w:val="12"/>
              </w:rPr>
              <w:t> </w:t>
            </w:r>
            <w:r>
              <w:rPr>
                <w:b/>
                <w:spacing w:val="-4"/>
                <w:sz w:val="12"/>
              </w:rPr>
              <w:t>MANDO</w:t>
            </w:r>
          </w:p>
        </w:tc>
        <w:tc>
          <w:tcPr>
            <w:tcW w:w="1620" w:type="dxa"/>
          </w:tcPr>
          <w:p>
            <w:pPr>
              <w:pStyle w:val="TableParagraph"/>
              <w:spacing w:before="93"/>
              <w:ind w:left="69"/>
              <w:rPr>
                <w:sz w:val="12"/>
              </w:rPr>
            </w:pPr>
            <w:r>
              <w:rPr>
                <w:sz w:val="12"/>
              </w:rPr>
              <w:t>MANDO</w:t>
            </w:r>
            <w:r>
              <w:rPr>
                <w:spacing w:val="-3"/>
                <w:sz w:val="12"/>
              </w:rPr>
              <w:t> </w:t>
            </w:r>
            <w:r>
              <w:rPr>
                <w:sz w:val="12"/>
              </w:rPr>
              <w:t>DE</w:t>
            </w:r>
            <w:r>
              <w:rPr>
                <w:spacing w:val="-2"/>
                <w:sz w:val="12"/>
              </w:rPr>
              <w:t> MOVIMIENTO</w:t>
            </w:r>
          </w:p>
        </w:tc>
        <w:tc>
          <w:tcPr>
            <w:tcW w:w="674" w:type="dxa"/>
          </w:tcPr>
          <w:p>
            <w:pPr>
              <w:pStyle w:val="TableParagraph"/>
              <w:spacing w:before="49"/>
              <w:rPr>
                <w:sz w:val="12"/>
              </w:rPr>
            </w:pPr>
          </w:p>
          <w:p>
            <w:pPr>
              <w:pStyle w:val="TableParagraph"/>
              <w:ind w:left="13" w:right="1"/>
              <w:jc w:val="center"/>
              <w:rPr>
                <w:sz w:val="12"/>
              </w:rPr>
            </w:pPr>
            <w:r>
              <w:rPr>
                <w:spacing w:val="-2"/>
                <w:sz w:val="12"/>
              </w:rPr>
              <w:t>24,75</w:t>
            </w:r>
          </w:p>
        </w:tc>
        <w:tc>
          <w:tcPr>
            <w:tcW w:w="720" w:type="dxa"/>
          </w:tcPr>
          <w:p>
            <w:pPr>
              <w:pStyle w:val="TableParagraph"/>
              <w:spacing w:before="49"/>
              <w:rPr>
                <w:sz w:val="12"/>
              </w:rPr>
            </w:pPr>
          </w:p>
          <w:p>
            <w:pPr>
              <w:pStyle w:val="TableParagraph"/>
              <w:ind w:left="22" w:right="15"/>
              <w:jc w:val="center"/>
              <w:rPr>
                <w:sz w:val="12"/>
              </w:rPr>
            </w:pPr>
            <w:r>
              <w:rPr>
                <w:spacing w:val="-10"/>
                <w:sz w:val="12"/>
              </w:rPr>
              <w:t>-</w:t>
            </w:r>
          </w:p>
        </w:tc>
        <w:tc>
          <w:tcPr>
            <w:tcW w:w="1250" w:type="dxa"/>
          </w:tcPr>
          <w:p>
            <w:pPr>
              <w:pStyle w:val="TableParagraph"/>
              <w:spacing w:before="49"/>
              <w:rPr>
                <w:sz w:val="12"/>
              </w:rPr>
            </w:pPr>
          </w:p>
          <w:p>
            <w:pPr>
              <w:pStyle w:val="TableParagraph"/>
              <w:ind w:left="10"/>
              <w:jc w:val="center"/>
              <w:rPr>
                <w:sz w:val="12"/>
              </w:rPr>
            </w:pPr>
            <w:r>
              <w:rPr>
                <w:spacing w:val="-2"/>
                <w:sz w:val="12"/>
              </w:rPr>
              <w:t>1.528.180,67€</w:t>
            </w:r>
          </w:p>
        </w:tc>
        <w:tc>
          <w:tcPr>
            <w:tcW w:w="1022" w:type="dxa"/>
          </w:tcPr>
          <w:p>
            <w:pPr>
              <w:pStyle w:val="TableParagraph"/>
              <w:rPr>
                <w:rFonts w:ascii="Times New Roman"/>
                <w:sz w:val="12"/>
              </w:rPr>
            </w:pPr>
          </w:p>
        </w:tc>
        <w:tc>
          <w:tcPr>
            <w:tcW w:w="1245" w:type="dxa"/>
          </w:tcPr>
          <w:p>
            <w:pPr>
              <w:pStyle w:val="TableParagraph"/>
              <w:spacing w:before="49"/>
              <w:rPr>
                <w:sz w:val="12"/>
              </w:rPr>
            </w:pPr>
          </w:p>
          <w:p>
            <w:pPr>
              <w:pStyle w:val="TableParagraph"/>
              <w:ind w:left="12"/>
              <w:jc w:val="center"/>
              <w:rPr>
                <w:sz w:val="12"/>
              </w:rPr>
            </w:pPr>
            <w:r>
              <w:rPr>
                <w:spacing w:val="-2"/>
                <w:sz w:val="12"/>
              </w:rPr>
              <w:t>61.744,67€</w:t>
            </w:r>
          </w:p>
        </w:tc>
        <w:tc>
          <w:tcPr>
            <w:tcW w:w="1132" w:type="dxa"/>
          </w:tcPr>
          <w:p>
            <w:pPr>
              <w:pStyle w:val="TableParagraph"/>
              <w:rPr>
                <w:rFonts w:ascii="Times New Roman"/>
                <w:sz w:val="12"/>
              </w:rPr>
            </w:pPr>
          </w:p>
        </w:tc>
      </w:tr>
      <w:tr>
        <w:trPr>
          <w:trHeight w:val="397" w:hRule="atLeast"/>
        </w:trPr>
        <w:tc>
          <w:tcPr>
            <w:tcW w:w="950" w:type="dxa"/>
            <w:vMerge/>
            <w:tcBorders>
              <w:top w:val="nil"/>
            </w:tcBorders>
          </w:tcPr>
          <w:p>
            <w:pPr>
              <w:rPr>
                <w:sz w:val="2"/>
                <w:szCs w:val="2"/>
              </w:rPr>
            </w:pPr>
          </w:p>
        </w:tc>
        <w:tc>
          <w:tcPr>
            <w:tcW w:w="1620" w:type="dxa"/>
          </w:tcPr>
          <w:p>
            <w:pPr>
              <w:pStyle w:val="TableParagraph"/>
              <w:spacing w:before="93"/>
              <w:ind w:left="69"/>
              <w:rPr>
                <w:sz w:val="12"/>
              </w:rPr>
            </w:pPr>
            <w:r>
              <w:rPr>
                <w:sz w:val="12"/>
              </w:rPr>
              <w:t>MANDO</w:t>
            </w:r>
            <w:r>
              <w:rPr>
                <w:spacing w:val="-4"/>
                <w:sz w:val="12"/>
              </w:rPr>
              <w:t> </w:t>
            </w:r>
            <w:r>
              <w:rPr>
                <w:sz w:val="12"/>
              </w:rPr>
              <w:t>DE</w:t>
            </w:r>
            <w:r>
              <w:rPr>
                <w:spacing w:val="-3"/>
                <w:sz w:val="12"/>
              </w:rPr>
              <w:t> </w:t>
            </w:r>
            <w:r>
              <w:rPr>
                <w:spacing w:val="-2"/>
                <w:sz w:val="12"/>
              </w:rPr>
              <w:t>TALLER</w:t>
            </w:r>
          </w:p>
        </w:tc>
        <w:tc>
          <w:tcPr>
            <w:tcW w:w="674" w:type="dxa"/>
          </w:tcPr>
          <w:p>
            <w:pPr>
              <w:pStyle w:val="TableParagraph"/>
              <w:spacing w:before="51"/>
              <w:rPr>
                <w:sz w:val="12"/>
              </w:rPr>
            </w:pPr>
          </w:p>
          <w:p>
            <w:pPr>
              <w:pStyle w:val="TableParagraph"/>
              <w:ind w:left="13"/>
              <w:jc w:val="center"/>
              <w:rPr>
                <w:sz w:val="12"/>
              </w:rPr>
            </w:pPr>
            <w:r>
              <w:rPr>
                <w:spacing w:val="-4"/>
                <w:sz w:val="12"/>
              </w:rPr>
              <w:t>4,59</w:t>
            </w:r>
          </w:p>
        </w:tc>
        <w:tc>
          <w:tcPr>
            <w:tcW w:w="720" w:type="dxa"/>
          </w:tcPr>
          <w:p>
            <w:pPr>
              <w:pStyle w:val="TableParagraph"/>
              <w:spacing w:before="51"/>
              <w:rPr>
                <w:sz w:val="12"/>
              </w:rPr>
            </w:pPr>
          </w:p>
          <w:p>
            <w:pPr>
              <w:pStyle w:val="TableParagraph"/>
              <w:ind w:left="23" w:right="15"/>
              <w:jc w:val="center"/>
              <w:rPr>
                <w:sz w:val="12"/>
              </w:rPr>
            </w:pPr>
            <w:r>
              <w:rPr>
                <w:spacing w:val="-10"/>
                <w:sz w:val="12"/>
              </w:rPr>
              <w:t>-</w:t>
            </w:r>
          </w:p>
        </w:tc>
        <w:tc>
          <w:tcPr>
            <w:tcW w:w="1250" w:type="dxa"/>
          </w:tcPr>
          <w:p>
            <w:pPr>
              <w:pStyle w:val="TableParagraph"/>
              <w:spacing w:before="51"/>
              <w:rPr>
                <w:sz w:val="12"/>
              </w:rPr>
            </w:pPr>
          </w:p>
          <w:p>
            <w:pPr>
              <w:pStyle w:val="TableParagraph"/>
              <w:ind w:left="10" w:right="1"/>
              <w:jc w:val="center"/>
              <w:rPr>
                <w:sz w:val="12"/>
              </w:rPr>
            </w:pPr>
            <w:r>
              <w:rPr>
                <w:spacing w:val="-2"/>
                <w:sz w:val="12"/>
              </w:rPr>
              <w:t>264.137,17€</w:t>
            </w:r>
          </w:p>
        </w:tc>
        <w:tc>
          <w:tcPr>
            <w:tcW w:w="1022" w:type="dxa"/>
          </w:tcPr>
          <w:p>
            <w:pPr>
              <w:pStyle w:val="TableParagraph"/>
              <w:rPr>
                <w:rFonts w:ascii="Times New Roman"/>
                <w:sz w:val="12"/>
              </w:rPr>
            </w:pPr>
          </w:p>
        </w:tc>
        <w:tc>
          <w:tcPr>
            <w:tcW w:w="1245" w:type="dxa"/>
          </w:tcPr>
          <w:p>
            <w:pPr>
              <w:pStyle w:val="TableParagraph"/>
              <w:spacing w:before="51"/>
              <w:rPr>
                <w:sz w:val="12"/>
              </w:rPr>
            </w:pPr>
          </w:p>
          <w:p>
            <w:pPr>
              <w:pStyle w:val="TableParagraph"/>
              <w:ind w:left="12"/>
              <w:jc w:val="center"/>
              <w:rPr>
                <w:sz w:val="12"/>
              </w:rPr>
            </w:pPr>
            <w:r>
              <w:rPr>
                <w:spacing w:val="-2"/>
                <w:sz w:val="12"/>
              </w:rPr>
              <w:t>57.546,22€</w:t>
            </w:r>
          </w:p>
        </w:tc>
        <w:tc>
          <w:tcPr>
            <w:tcW w:w="1132" w:type="dxa"/>
          </w:tcPr>
          <w:p>
            <w:pPr>
              <w:pStyle w:val="TableParagraph"/>
              <w:rPr>
                <w:rFonts w:ascii="Times New Roman"/>
                <w:sz w:val="12"/>
              </w:rPr>
            </w:pPr>
          </w:p>
        </w:tc>
      </w:tr>
      <w:tr>
        <w:trPr>
          <w:trHeight w:val="414" w:hRule="atLeast"/>
        </w:trPr>
        <w:tc>
          <w:tcPr>
            <w:tcW w:w="950" w:type="dxa"/>
            <w:vMerge/>
            <w:tcBorders>
              <w:top w:val="nil"/>
            </w:tcBorders>
          </w:tcPr>
          <w:p>
            <w:pPr>
              <w:rPr>
                <w:sz w:val="2"/>
                <w:szCs w:val="2"/>
              </w:rPr>
            </w:pPr>
          </w:p>
        </w:tc>
        <w:tc>
          <w:tcPr>
            <w:tcW w:w="1620" w:type="dxa"/>
          </w:tcPr>
          <w:p>
            <w:pPr>
              <w:pStyle w:val="TableParagraph"/>
              <w:spacing w:line="136" w:lineRule="exact"/>
              <w:ind w:left="69"/>
              <w:rPr>
                <w:sz w:val="12"/>
              </w:rPr>
            </w:pPr>
            <w:r>
              <w:rPr>
                <w:sz w:val="12"/>
              </w:rPr>
              <w:t>MANDO</w:t>
            </w:r>
            <w:r>
              <w:rPr>
                <w:spacing w:val="-5"/>
                <w:sz w:val="12"/>
              </w:rPr>
              <w:t> DE</w:t>
            </w:r>
          </w:p>
          <w:p>
            <w:pPr>
              <w:pStyle w:val="TableParagraph"/>
              <w:spacing w:before="68"/>
              <w:ind w:left="69"/>
              <w:rPr>
                <w:sz w:val="12"/>
              </w:rPr>
            </w:pPr>
            <w:r>
              <w:rPr>
                <w:spacing w:val="-2"/>
                <w:sz w:val="12"/>
              </w:rPr>
              <w:t>ADMINISTRACIÓN</w:t>
            </w:r>
          </w:p>
        </w:tc>
        <w:tc>
          <w:tcPr>
            <w:tcW w:w="674" w:type="dxa"/>
          </w:tcPr>
          <w:p>
            <w:pPr>
              <w:pStyle w:val="TableParagraph"/>
              <w:spacing w:before="66"/>
              <w:rPr>
                <w:sz w:val="12"/>
              </w:rPr>
            </w:pPr>
          </w:p>
          <w:p>
            <w:pPr>
              <w:pStyle w:val="TableParagraph"/>
              <w:ind w:left="13"/>
              <w:jc w:val="center"/>
              <w:rPr>
                <w:sz w:val="12"/>
              </w:rPr>
            </w:pPr>
            <w:r>
              <w:rPr>
                <w:spacing w:val="-4"/>
                <w:sz w:val="12"/>
              </w:rPr>
              <w:t>5,00</w:t>
            </w:r>
          </w:p>
        </w:tc>
        <w:tc>
          <w:tcPr>
            <w:tcW w:w="720" w:type="dxa"/>
          </w:tcPr>
          <w:p>
            <w:pPr>
              <w:pStyle w:val="TableParagraph"/>
              <w:spacing w:before="66"/>
              <w:rPr>
                <w:sz w:val="12"/>
              </w:rPr>
            </w:pPr>
          </w:p>
          <w:p>
            <w:pPr>
              <w:pStyle w:val="TableParagraph"/>
              <w:ind w:left="25" w:right="15"/>
              <w:jc w:val="center"/>
              <w:rPr>
                <w:sz w:val="12"/>
              </w:rPr>
            </w:pPr>
            <w:r>
              <w:rPr>
                <w:spacing w:val="-4"/>
                <w:sz w:val="12"/>
              </w:rPr>
              <w:t>6,70</w:t>
            </w:r>
          </w:p>
        </w:tc>
        <w:tc>
          <w:tcPr>
            <w:tcW w:w="1250" w:type="dxa"/>
          </w:tcPr>
          <w:p>
            <w:pPr>
              <w:pStyle w:val="TableParagraph"/>
              <w:spacing w:before="66"/>
              <w:rPr>
                <w:sz w:val="12"/>
              </w:rPr>
            </w:pPr>
          </w:p>
          <w:p>
            <w:pPr>
              <w:pStyle w:val="TableParagraph"/>
              <w:ind w:left="10" w:right="1"/>
              <w:jc w:val="center"/>
              <w:rPr>
                <w:sz w:val="12"/>
              </w:rPr>
            </w:pPr>
            <w:r>
              <w:rPr>
                <w:spacing w:val="-2"/>
                <w:sz w:val="12"/>
              </w:rPr>
              <w:t>234.937,72€</w:t>
            </w:r>
          </w:p>
        </w:tc>
        <w:tc>
          <w:tcPr>
            <w:tcW w:w="1022" w:type="dxa"/>
          </w:tcPr>
          <w:p>
            <w:pPr>
              <w:pStyle w:val="TableParagraph"/>
              <w:spacing w:before="66"/>
              <w:rPr>
                <w:sz w:val="12"/>
              </w:rPr>
            </w:pPr>
          </w:p>
          <w:p>
            <w:pPr>
              <w:pStyle w:val="TableParagraph"/>
              <w:ind w:right="163"/>
              <w:jc w:val="right"/>
              <w:rPr>
                <w:sz w:val="12"/>
              </w:rPr>
            </w:pPr>
            <w:r>
              <w:rPr>
                <w:spacing w:val="-2"/>
                <w:sz w:val="12"/>
              </w:rPr>
              <w:t>320.803,93€</w:t>
            </w:r>
          </w:p>
        </w:tc>
        <w:tc>
          <w:tcPr>
            <w:tcW w:w="1245" w:type="dxa"/>
          </w:tcPr>
          <w:p>
            <w:pPr>
              <w:pStyle w:val="TableParagraph"/>
              <w:spacing w:before="66"/>
              <w:rPr>
                <w:sz w:val="12"/>
              </w:rPr>
            </w:pPr>
          </w:p>
          <w:p>
            <w:pPr>
              <w:pStyle w:val="TableParagraph"/>
              <w:ind w:left="12"/>
              <w:jc w:val="center"/>
              <w:rPr>
                <w:sz w:val="12"/>
              </w:rPr>
            </w:pPr>
            <w:r>
              <w:rPr>
                <w:spacing w:val="-2"/>
                <w:sz w:val="12"/>
              </w:rPr>
              <w:t>46.987,54€</w:t>
            </w:r>
          </w:p>
        </w:tc>
        <w:tc>
          <w:tcPr>
            <w:tcW w:w="1132" w:type="dxa"/>
          </w:tcPr>
          <w:p>
            <w:pPr>
              <w:pStyle w:val="TableParagraph"/>
              <w:spacing w:before="66"/>
              <w:rPr>
                <w:sz w:val="12"/>
              </w:rPr>
            </w:pPr>
          </w:p>
          <w:p>
            <w:pPr>
              <w:pStyle w:val="TableParagraph"/>
              <w:ind w:left="16"/>
              <w:jc w:val="center"/>
              <w:rPr>
                <w:sz w:val="12"/>
              </w:rPr>
            </w:pPr>
            <w:r>
              <w:rPr>
                <w:spacing w:val="-2"/>
                <w:sz w:val="12"/>
              </w:rPr>
              <w:t>47.881,18€</w:t>
            </w:r>
          </w:p>
        </w:tc>
      </w:tr>
      <w:tr>
        <w:trPr>
          <w:trHeight w:val="412" w:hRule="atLeast"/>
        </w:trPr>
        <w:tc>
          <w:tcPr>
            <w:tcW w:w="950" w:type="dxa"/>
            <w:vMerge w:val="restart"/>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0"/>
              <w:rPr>
                <w:sz w:val="12"/>
              </w:rPr>
            </w:pPr>
          </w:p>
          <w:p>
            <w:pPr>
              <w:pStyle w:val="TableParagraph"/>
              <w:spacing w:line="362" w:lineRule="auto" w:before="1"/>
              <w:ind w:left="268" w:right="161" w:hanging="87"/>
              <w:rPr>
                <w:b/>
                <w:sz w:val="12"/>
              </w:rPr>
            </w:pPr>
            <w:r>
              <w:rPr>
                <w:b/>
                <w:sz w:val="12"/>
              </w:rPr>
              <w:t>GRUPO</w:t>
            </w:r>
            <w:r>
              <w:rPr>
                <w:b/>
                <w:spacing w:val="-9"/>
                <w:sz w:val="12"/>
              </w:rPr>
              <w:t> </w:t>
            </w:r>
            <w:r>
              <w:rPr>
                <w:b/>
                <w:sz w:val="12"/>
              </w:rPr>
              <w:t>IV</w:t>
            </w:r>
            <w:r>
              <w:rPr>
                <w:b/>
                <w:spacing w:val="40"/>
                <w:sz w:val="12"/>
              </w:rPr>
              <w:t> </w:t>
            </w:r>
            <w:r>
              <w:rPr>
                <w:b/>
                <w:spacing w:val="-2"/>
                <w:sz w:val="12"/>
              </w:rPr>
              <w:t>OFICIO</w:t>
            </w:r>
          </w:p>
        </w:tc>
        <w:tc>
          <w:tcPr>
            <w:tcW w:w="1620" w:type="dxa"/>
          </w:tcPr>
          <w:p>
            <w:pPr>
              <w:pStyle w:val="TableParagraph"/>
              <w:spacing w:line="136" w:lineRule="exact"/>
              <w:ind w:left="69"/>
              <w:rPr>
                <w:sz w:val="12"/>
              </w:rPr>
            </w:pPr>
            <w:r>
              <w:rPr>
                <w:spacing w:val="-2"/>
                <w:sz w:val="12"/>
              </w:rPr>
              <w:t>CONDUCTOR</w:t>
            </w:r>
          </w:p>
          <w:p>
            <w:pPr>
              <w:pStyle w:val="TableParagraph"/>
              <w:spacing w:before="68"/>
              <w:ind w:left="69"/>
              <w:rPr>
                <w:sz w:val="12"/>
              </w:rPr>
            </w:pPr>
            <w:r>
              <w:rPr>
                <w:spacing w:val="-2"/>
                <w:sz w:val="12"/>
              </w:rPr>
              <w:t>PERCEPTOR</w:t>
            </w:r>
          </w:p>
        </w:tc>
        <w:tc>
          <w:tcPr>
            <w:tcW w:w="674" w:type="dxa"/>
          </w:tcPr>
          <w:p>
            <w:pPr>
              <w:pStyle w:val="TableParagraph"/>
              <w:spacing w:before="66"/>
              <w:rPr>
                <w:sz w:val="12"/>
              </w:rPr>
            </w:pPr>
          </w:p>
          <w:p>
            <w:pPr>
              <w:pStyle w:val="TableParagraph"/>
              <w:ind w:left="13" w:right="1"/>
              <w:jc w:val="center"/>
              <w:rPr>
                <w:sz w:val="12"/>
              </w:rPr>
            </w:pPr>
            <w:r>
              <w:rPr>
                <w:spacing w:val="-2"/>
                <w:sz w:val="12"/>
              </w:rPr>
              <w:t>601,74</w:t>
            </w:r>
          </w:p>
        </w:tc>
        <w:tc>
          <w:tcPr>
            <w:tcW w:w="720" w:type="dxa"/>
          </w:tcPr>
          <w:p>
            <w:pPr>
              <w:pStyle w:val="TableParagraph"/>
              <w:spacing w:before="66"/>
              <w:rPr>
                <w:sz w:val="12"/>
              </w:rPr>
            </w:pPr>
          </w:p>
          <w:p>
            <w:pPr>
              <w:pStyle w:val="TableParagraph"/>
              <w:ind w:left="24" w:right="15"/>
              <w:jc w:val="center"/>
              <w:rPr>
                <w:sz w:val="12"/>
              </w:rPr>
            </w:pPr>
            <w:r>
              <w:rPr>
                <w:spacing w:val="-2"/>
                <w:sz w:val="12"/>
              </w:rPr>
              <w:t>53,67</w:t>
            </w:r>
          </w:p>
        </w:tc>
        <w:tc>
          <w:tcPr>
            <w:tcW w:w="1250" w:type="dxa"/>
          </w:tcPr>
          <w:p>
            <w:pPr>
              <w:pStyle w:val="TableParagraph"/>
              <w:spacing w:before="66"/>
              <w:rPr>
                <w:sz w:val="12"/>
              </w:rPr>
            </w:pPr>
          </w:p>
          <w:p>
            <w:pPr>
              <w:pStyle w:val="TableParagraph"/>
              <w:ind w:left="10" w:right="1"/>
              <w:jc w:val="center"/>
              <w:rPr>
                <w:sz w:val="12"/>
              </w:rPr>
            </w:pPr>
            <w:r>
              <w:rPr>
                <w:spacing w:val="-2"/>
                <w:sz w:val="12"/>
              </w:rPr>
              <w:t>23.998.754,82€</w:t>
            </w:r>
          </w:p>
        </w:tc>
        <w:tc>
          <w:tcPr>
            <w:tcW w:w="1022" w:type="dxa"/>
          </w:tcPr>
          <w:p>
            <w:pPr>
              <w:pStyle w:val="TableParagraph"/>
              <w:spacing w:before="66"/>
              <w:rPr>
                <w:sz w:val="12"/>
              </w:rPr>
            </w:pPr>
          </w:p>
          <w:p>
            <w:pPr>
              <w:pStyle w:val="TableParagraph"/>
              <w:ind w:right="113"/>
              <w:jc w:val="right"/>
              <w:rPr>
                <w:sz w:val="12"/>
              </w:rPr>
            </w:pPr>
            <w:r>
              <w:rPr>
                <w:spacing w:val="-2"/>
                <w:sz w:val="12"/>
              </w:rPr>
              <w:t>1.861.213,86€</w:t>
            </w:r>
          </w:p>
        </w:tc>
        <w:tc>
          <w:tcPr>
            <w:tcW w:w="1245" w:type="dxa"/>
          </w:tcPr>
          <w:p>
            <w:pPr>
              <w:pStyle w:val="TableParagraph"/>
              <w:spacing w:before="66"/>
              <w:rPr>
                <w:sz w:val="12"/>
              </w:rPr>
            </w:pPr>
          </w:p>
          <w:p>
            <w:pPr>
              <w:pStyle w:val="TableParagraph"/>
              <w:ind w:left="12"/>
              <w:jc w:val="center"/>
              <w:rPr>
                <w:sz w:val="12"/>
              </w:rPr>
            </w:pPr>
            <w:r>
              <w:rPr>
                <w:spacing w:val="-2"/>
                <w:sz w:val="12"/>
              </w:rPr>
              <w:t>39.882,27€</w:t>
            </w:r>
          </w:p>
        </w:tc>
        <w:tc>
          <w:tcPr>
            <w:tcW w:w="1132" w:type="dxa"/>
          </w:tcPr>
          <w:p>
            <w:pPr>
              <w:pStyle w:val="TableParagraph"/>
              <w:spacing w:before="66"/>
              <w:rPr>
                <w:sz w:val="12"/>
              </w:rPr>
            </w:pPr>
          </w:p>
          <w:p>
            <w:pPr>
              <w:pStyle w:val="TableParagraph"/>
              <w:ind w:left="16"/>
              <w:jc w:val="center"/>
              <w:rPr>
                <w:sz w:val="12"/>
              </w:rPr>
            </w:pPr>
            <w:r>
              <w:rPr>
                <w:spacing w:val="-2"/>
                <w:sz w:val="12"/>
              </w:rPr>
              <w:t>34.678,85€</w:t>
            </w:r>
          </w:p>
        </w:tc>
      </w:tr>
      <w:tr>
        <w:trPr>
          <w:trHeight w:val="397" w:hRule="atLeast"/>
        </w:trPr>
        <w:tc>
          <w:tcPr>
            <w:tcW w:w="950" w:type="dxa"/>
            <w:vMerge/>
            <w:tcBorders>
              <w:top w:val="nil"/>
            </w:tcBorders>
          </w:tcPr>
          <w:p>
            <w:pPr>
              <w:rPr>
                <w:sz w:val="2"/>
                <w:szCs w:val="2"/>
              </w:rPr>
            </w:pPr>
          </w:p>
        </w:tc>
        <w:tc>
          <w:tcPr>
            <w:tcW w:w="1620" w:type="dxa"/>
          </w:tcPr>
          <w:p>
            <w:pPr>
              <w:pStyle w:val="TableParagraph"/>
              <w:spacing w:before="93"/>
              <w:ind w:left="69"/>
              <w:rPr>
                <w:sz w:val="12"/>
              </w:rPr>
            </w:pPr>
            <w:r>
              <w:rPr>
                <w:sz w:val="12"/>
              </w:rPr>
              <w:t>INSPECTOR</w:t>
            </w:r>
            <w:r>
              <w:rPr>
                <w:spacing w:val="-4"/>
                <w:sz w:val="12"/>
              </w:rPr>
              <w:t> </w:t>
            </w:r>
            <w:r>
              <w:rPr>
                <w:sz w:val="12"/>
              </w:rPr>
              <w:t>DE</w:t>
            </w:r>
            <w:r>
              <w:rPr>
                <w:spacing w:val="-3"/>
                <w:sz w:val="12"/>
              </w:rPr>
              <w:t> </w:t>
            </w:r>
            <w:r>
              <w:rPr>
                <w:spacing w:val="-2"/>
                <w:sz w:val="12"/>
              </w:rPr>
              <w:t>CALIDAD</w:t>
            </w:r>
          </w:p>
        </w:tc>
        <w:tc>
          <w:tcPr>
            <w:tcW w:w="674" w:type="dxa"/>
          </w:tcPr>
          <w:p>
            <w:pPr>
              <w:pStyle w:val="TableParagraph"/>
              <w:spacing w:before="51"/>
              <w:rPr>
                <w:sz w:val="12"/>
              </w:rPr>
            </w:pPr>
          </w:p>
          <w:p>
            <w:pPr>
              <w:pStyle w:val="TableParagraph"/>
              <w:ind w:left="13" w:right="4"/>
              <w:jc w:val="center"/>
              <w:rPr>
                <w:sz w:val="12"/>
              </w:rPr>
            </w:pPr>
            <w:r>
              <w:rPr>
                <w:spacing w:val="-10"/>
                <w:sz w:val="12"/>
              </w:rPr>
              <w:t>-</w:t>
            </w:r>
          </w:p>
        </w:tc>
        <w:tc>
          <w:tcPr>
            <w:tcW w:w="720" w:type="dxa"/>
          </w:tcPr>
          <w:p>
            <w:pPr>
              <w:pStyle w:val="TableParagraph"/>
              <w:spacing w:before="51"/>
              <w:rPr>
                <w:sz w:val="12"/>
              </w:rPr>
            </w:pPr>
          </w:p>
          <w:p>
            <w:pPr>
              <w:pStyle w:val="TableParagraph"/>
              <w:ind w:left="23" w:right="15"/>
              <w:jc w:val="center"/>
              <w:rPr>
                <w:sz w:val="12"/>
              </w:rPr>
            </w:pPr>
            <w:r>
              <w:rPr>
                <w:spacing w:val="-10"/>
                <w:sz w:val="12"/>
              </w:rPr>
              <w:t>-</w:t>
            </w:r>
          </w:p>
        </w:tc>
        <w:tc>
          <w:tcPr>
            <w:tcW w:w="1250" w:type="dxa"/>
          </w:tcPr>
          <w:p>
            <w:pPr>
              <w:pStyle w:val="TableParagraph"/>
              <w:rPr>
                <w:rFonts w:ascii="Times New Roman"/>
                <w:sz w:val="12"/>
              </w:rPr>
            </w:pPr>
          </w:p>
        </w:tc>
        <w:tc>
          <w:tcPr>
            <w:tcW w:w="1022" w:type="dxa"/>
          </w:tcPr>
          <w:p>
            <w:pPr>
              <w:pStyle w:val="TableParagraph"/>
              <w:rPr>
                <w:rFonts w:ascii="Times New Roman"/>
                <w:sz w:val="12"/>
              </w:rPr>
            </w:pPr>
          </w:p>
        </w:tc>
        <w:tc>
          <w:tcPr>
            <w:tcW w:w="1245" w:type="dxa"/>
          </w:tcPr>
          <w:p>
            <w:pPr>
              <w:pStyle w:val="TableParagraph"/>
              <w:rPr>
                <w:rFonts w:ascii="Times New Roman"/>
                <w:sz w:val="12"/>
              </w:rPr>
            </w:pPr>
          </w:p>
        </w:tc>
        <w:tc>
          <w:tcPr>
            <w:tcW w:w="1132" w:type="dxa"/>
          </w:tcPr>
          <w:p>
            <w:pPr>
              <w:pStyle w:val="TableParagraph"/>
              <w:rPr>
                <w:rFonts w:ascii="Times New Roman"/>
                <w:sz w:val="12"/>
              </w:rPr>
            </w:pPr>
          </w:p>
        </w:tc>
      </w:tr>
      <w:tr>
        <w:trPr>
          <w:trHeight w:val="412" w:hRule="atLeast"/>
        </w:trPr>
        <w:tc>
          <w:tcPr>
            <w:tcW w:w="950" w:type="dxa"/>
            <w:vMerge/>
            <w:tcBorders>
              <w:top w:val="nil"/>
            </w:tcBorders>
          </w:tcPr>
          <w:p>
            <w:pPr>
              <w:rPr>
                <w:sz w:val="2"/>
                <w:szCs w:val="2"/>
              </w:rPr>
            </w:pPr>
          </w:p>
        </w:tc>
        <w:tc>
          <w:tcPr>
            <w:tcW w:w="1620" w:type="dxa"/>
          </w:tcPr>
          <w:p>
            <w:pPr>
              <w:pStyle w:val="TableParagraph"/>
              <w:spacing w:line="136" w:lineRule="exact"/>
              <w:ind w:left="69"/>
              <w:rPr>
                <w:sz w:val="12"/>
              </w:rPr>
            </w:pPr>
            <w:r>
              <w:rPr>
                <w:sz w:val="12"/>
              </w:rPr>
              <w:t>OFICIAL</w:t>
            </w:r>
            <w:r>
              <w:rPr>
                <w:spacing w:val="-2"/>
                <w:sz w:val="12"/>
              </w:rPr>
              <w:t> TALLER</w:t>
            </w:r>
          </w:p>
          <w:p>
            <w:pPr>
              <w:pStyle w:val="TableParagraph"/>
              <w:spacing w:before="68"/>
              <w:ind w:left="69"/>
              <w:rPr>
                <w:sz w:val="12"/>
              </w:rPr>
            </w:pPr>
            <w:r>
              <w:rPr>
                <w:spacing w:val="-2"/>
                <w:sz w:val="12"/>
              </w:rPr>
              <w:t>ESPECIALISTA</w:t>
            </w:r>
          </w:p>
        </w:tc>
        <w:tc>
          <w:tcPr>
            <w:tcW w:w="674" w:type="dxa"/>
          </w:tcPr>
          <w:p>
            <w:pPr>
              <w:pStyle w:val="TableParagraph"/>
              <w:spacing w:before="66"/>
              <w:rPr>
                <w:sz w:val="12"/>
              </w:rPr>
            </w:pPr>
          </w:p>
          <w:p>
            <w:pPr>
              <w:pStyle w:val="TableParagraph"/>
              <w:ind w:left="13" w:right="1"/>
              <w:jc w:val="center"/>
              <w:rPr>
                <w:sz w:val="12"/>
              </w:rPr>
            </w:pPr>
            <w:r>
              <w:rPr>
                <w:spacing w:val="-2"/>
                <w:sz w:val="12"/>
              </w:rPr>
              <w:t>41,21</w:t>
            </w:r>
          </w:p>
        </w:tc>
        <w:tc>
          <w:tcPr>
            <w:tcW w:w="720" w:type="dxa"/>
          </w:tcPr>
          <w:p>
            <w:pPr>
              <w:pStyle w:val="TableParagraph"/>
              <w:spacing w:before="66"/>
              <w:rPr>
                <w:sz w:val="12"/>
              </w:rPr>
            </w:pPr>
          </w:p>
          <w:p>
            <w:pPr>
              <w:pStyle w:val="TableParagraph"/>
              <w:ind w:left="25" w:right="15"/>
              <w:jc w:val="center"/>
              <w:rPr>
                <w:sz w:val="12"/>
              </w:rPr>
            </w:pPr>
            <w:r>
              <w:rPr>
                <w:spacing w:val="-4"/>
                <w:sz w:val="12"/>
              </w:rPr>
              <w:t>0,24</w:t>
            </w:r>
          </w:p>
        </w:tc>
        <w:tc>
          <w:tcPr>
            <w:tcW w:w="1250" w:type="dxa"/>
          </w:tcPr>
          <w:p>
            <w:pPr>
              <w:pStyle w:val="TableParagraph"/>
              <w:spacing w:before="66"/>
              <w:rPr>
                <w:sz w:val="12"/>
              </w:rPr>
            </w:pPr>
          </w:p>
          <w:p>
            <w:pPr>
              <w:pStyle w:val="TableParagraph"/>
              <w:ind w:left="10"/>
              <w:jc w:val="center"/>
              <w:rPr>
                <w:sz w:val="12"/>
              </w:rPr>
            </w:pPr>
            <w:r>
              <w:rPr>
                <w:spacing w:val="-2"/>
                <w:sz w:val="12"/>
              </w:rPr>
              <w:t>1.677.829,62€</w:t>
            </w:r>
          </w:p>
        </w:tc>
        <w:tc>
          <w:tcPr>
            <w:tcW w:w="1022" w:type="dxa"/>
          </w:tcPr>
          <w:p>
            <w:pPr>
              <w:pStyle w:val="TableParagraph"/>
              <w:spacing w:before="66"/>
              <w:rPr>
                <w:sz w:val="12"/>
              </w:rPr>
            </w:pPr>
          </w:p>
          <w:p>
            <w:pPr>
              <w:pStyle w:val="TableParagraph"/>
              <w:ind w:right="230"/>
              <w:jc w:val="right"/>
              <w:rPr>
                <w:sz w:val="12"/>
              </w:rPr>
            </w:pPr>
            <w:r>
              <w:rPr>
                <w:spacing w:val="-2"/>
                <w:sz w:val="12"/>
              </w:rPr>
              <w:t>9.363,13€</w:t>
            </w:r>
          </w:p>
        </w:tc>
        <w:tc>
          <w:tcPr>
            <w:tcW w:w="1245" w:type="dxa"/>
          </w:tcPr>
          <w:p>
            <w:pPr>
              <w:pStyle w:val="TableParagraph"/>
              <w:spacing w:before="66"/>
              <w:rPr>
                <w:sz w:val="12"/>
              </w:rPr>
            </w:pPr>
          </w:p>
          <w:p>
            <w:pPr>
              <w:pStyle w:val="TableParagraph"/>
              <w:ind w:left="12"/>
              <w:jc w:val="center"/>
              <w:rPr>
                <w:sz w:val="12"/>
              </w:rPr>
            </w:pPr>
            <w:r>
              <w:rPr>
                <w:spacing w:val="-2"/>
                <w:sz w:val="12"/>
              </w:rPr>
              <w:t>40.714,14€</w:t>
            </w:r>
          </w:p>
        </w:tc>
        <w:tc>
          <w:tcPr>
            <w:tcW w:w="1132" w:type="dxa"/>
          </w:tcPr>
          <w:p>
            <w:pPr>
              <w:pStyle w:val="TableParagraph"/>
              <w:spacing w:before="66"/>
              <w:rPr>
                <w:sz w:val="12"/>
              </w:rPr>
            </w:pPr>
          </w:p>
          <w:p>
            <w:pPr>
              <w:pStyle w:val="TableParagraph"/>
              <w:ind w:left="16"/>
              <w:jc w:val="center"/>
              <w:rPr>
                <w:sz w:val="12"/>
              </w:rPr>
            </w:pPr>
            <w:r>
              <w:rPr>
                <w:spacing w:val="-2"/>
                <w:sz w:val="12"/>
              </w:rPr>
              <w:t>39.013,04€</w:t>
            </w:r>
          </w:p>
        </w:tc>
      </w:tr>
      <w:tr>
        <w:trPr>
          <w:trHeight w:val="397" w:hRule="atLeast"/>
        </w:trPr>
        <w:tc>
          <w:tcPr>
            <w:tcW w:w="950" w:type="dxa"/>
            <w:vMerge/>
            <w:tcBorders>
              <w:top w:val="nil"/>
            </w:tcBorders>
          </w:tcPr>
          <w:p>
            <w:pPr>
              <w:rPr>
                <w:sz w:val="2"/>
                <w:szCs w:val="2"/>
              </w:rPr>
            </w:pPr>
          </w:p>
        </w:tc>
        <w:tc>
          <w:tcPr>
            <w:tcW w:w="1620" w:type="dxa"/>
          </w:tcPr>
          <w:p>
            <w:pPr>
              <w:pStyle w:val="TableParagraph"/>
              <w:spacing w:before="93"/>
              <w:ind w:left="69"/>
              <w:rPr>
                <w:sz w:val="12"/>
              </w:rPr>
            </w:pPr>
            <w:r>
              <w:rPr>
                <w:sz w:val="12"/>
              </w:rPr>
              <w:t>AUXILIAR</w:t>
            </w:r>
            <w:r>
              <w:rPr>
                <w:spacing w:val="-7"/>
                <w:sz w:val="12"/>
              </w:rPr>
              <w:t> </w:t>
            </w:r>
            <w:r>
              <w:rPr>
                <w:spacing w:val="-2"/>
                <w:sz w:val="12"/>
              </w:rPr>
              <w:t>TALLER</w:t>
            </w:r>
          </w:p>
        </w:tc>
        <w:tc>
          <w:tcPr>
            <w:tcW w:w="674" w:type="dxa"/>
          </w:tcPr>
          <w:p>
            <w:pPr>
              <w:pStyle w:val="TableParagraph"/>
              <w:spacing w:before="51"/>
              <w:rPr>
                <w:sz w:val="12"/>
              </w:rPr>
            </w:pPr>
          </w:p>
          <w:p>
            <w:pPr>
              <w:pStyle w:val="TableParagraph"/>
              <w:ind w:left="13" w:right="4"/>
              <w:jc w:val="center"/>
              <w:rPr>
                <w:sz w:val="12"/>
              </w:rPr>
            </w:pPr>
            <w:r>
              <w:rPr>
                <w:spacing w:val="-10"/>
                <w:sz w:val="12"/>
              </w:rPr>
              <w:t>-</w:t>
            </w:r>
          </w:p>
        </w:tc>
        <w:tc>
          <w:tcPr>
            <w:tcW w:w="720" w:type="dxa"/>
          </w:tcPr>
          <w:p>
            <w:pPr>
              <w:pStyle w:val="TableParagraph"/>
              <w:spacing w:before="51"/>
              <w:rPr>
                <w:sz w:val="12"/>
              </w:rPr>
            </w:pPr>
          </w:p>
          <w:p>
            <w:pPr>
              <w:pStyle w:val="TableParagraph"/>
              <w:ind w:left="23" w:right="15"/>
              <w:jc w:val="center"/>
              <w:rPr>
                <w:sz w:val="12"/>
              </w:rPr>
            </w:pPr>
            <w:r>
              <w:rPr>
                <w:spacing w:val="-10"/>
                <w:sz w:val="12"/>
              </w:rPr>
              <w:t>-</w:t>
            </w:r>
          </w:p>
        </w:tc>
        <w:tc>
          <w:tcPr>
            <w:tcW w:w="1250" w:type="dxa"/>
          </w:tcPr>
          <w:p>
            <w:pPr>
              <w:pStyle w:val="TableParagraph"/>
              <w:rPr>
                <w:rFonts w:ascii="Times New Roman"/>
                <w:sz w:val="12"/>
              </w:rPr>
            </w:pPr>
          </w:p>
        </w:tc>
        <w:tc>
          <w:tcPr>
            <w:tcW w:w="1022" w:type="dxa"/>
          </w:tcPr>
          <w:p>
            <w:pPr>
              <w:pStyle w:val="TableParagraph"/>
              <w:rPr>
                <w:rFonts w:ascii="Times New Roman"/>
                <w:sz w:val="12"/>
              </w:rPr>
            </w:pPr>
          </w:p>
        </w:tc>
        <w:tc>
          <w:tcPr>
            <w:tcW w:w="1245" w:type="dxa"/>
          </w:tcPr>
          <w:p>
            <w:pPr>
              <w:pStyle w:val="TableParagraph"/>
              <w:rPr>
                <w:rFonts w:ascii="Times New Roman"/>
                <w:sz w:val="12"/>
              </w:rPr>
            </w:pPr>
          </w:p>
        </w:tc>
        <w:tc>
          <w:tcPr>
            <w:tcW w:w="1132" w:type="dxa"/>
          </w:tcPr>
          <w:p>
            <w:pPr>
              <w:pStyle w:val="TableParagraph"/>
              <w:rPr>
                <w:rFonts w:ascii="Times New Roman"/>
                <w:sz w:val="12"/>
              </w:rPr>
            </w:pPr>
          </w:p>
        </w:tc>
      </w:tr>
      <w:tr>
        <w:trPr>
          <w:trHeight w:val="414" w:hRule="atLeast"/>
        </w:trPr>
        <w:tc>
          <w:tcPr>
            <w:tcW w:w="950" w:type="dxa"/>
            <w:vMerge/>
            <w:tcBorders>
              <w:top w:val="nil"/>
            </w:tcBorders>
          </w:tcPr>
          <w:p>
            <w:pPr>
              <w:rPr>
                <w:sz w:val="2"/>
                <w:szCs w:val="2"/>
              </w:rPr>
            </w:pPr>
          </w:p>
        </w:tc>
        <w:tc>
          <w:tcPr>
            <w:tcW w:w="1620" w:type="dxa"/>
          </w:tcPr>
          <w:p>
            <w:pPr>
              <w:pStyle w:val="TableParagraph"/>
              <w:spacing w:line="136" w:lineRule="exact"/>
              <w:ind w:left="69"/>
              <w:rPr>
                <w:sz w:val="12"/>
              </w:rPr>
            </w:pPr>
            <w:r>
              <w:rPr>
                <w:spacing w:val="-2"/>
                <w:sz w:val="12"/>
              </w:rPr>
              <w:t>OFICIAL</w:t>
            </w:r>
          </w:p>
          <w:p>
            <w:pPr>
              <w:pStyle w:val="TableParagraph"/>
              <w:spacing w:before="68"/>
              <w:ind w:left="69"/>
              <w:rPr>
                <w:sz w:val="12"/>
              </w:rPr>
            </w:pPr>
            <w:r>
              <w:rPr>
                <w:sz w:val="12"/>
              </w:rPr>
              <w:t>ADMINISTRACIÓN</w:t>
            </w:r>
            <w:r>
              <w:rPr>
                <w:spacing w:val="-5"/>
                <w:sz w:val="12"/>
              </w:rPr>
              <w:t> </w:t>
            </w:r>
            <w:r>
              <w:rPr>
                <w:spacing w:val="-4"/>
                <w:sz w:val="12"/>
              </w:rPr>
              <w:t>ESPE.</w:t>
            </w:r>
          </w:p>
        </w:tc>
        <w:tc>
          <w:tcPr>
            <w:tcW w:w="674" w:type="dxa"/>
          </w:tcPr>
          <w:p>
            <w:pPr>
              <w:pStyle w:val="TableParagraph"/>
              <w:spacing w:before="66"/>
              <w:rPr>
                <w:sz w:val="12"/>
              </w:rPr>
            </w:pPr>
          </w:p>
          <w:p>
            <w:pPr>
              <w:pStyle w:val="TableParagraph"/>
              <w:ind w:left="13"/>
              <w:jc w:val="center"/>
              <w:rPr>
                <w:sz w:val="12"/>
              </w:rPr>
            </w:pPr>
            <w:r>
              <w:rPr>
                <w:spacing w:val="-4"/>
                <w:sz w:val="12"/>
              </w:rPr>
              <w:t>5,00</w:t>
            </w:r>
          </w:p>
        </w:tc>
        <w:tc>
          <w:tcPr>
            <w:tcW w:w="720" w:type="dxa"/>
          </w:tcPr>
          <w:p>
            <w:pPr>
              <w:pStyle w:val="TableParagraph"/>
              <w:spacing w:before="66"/>
              <w:rPr>
                <w:sz w:val="12"/>
              </w:rPr>
            </w:pPr>
          </w:p>
          <w:p>
            <w:pPr>
              <w:pStyle w:val="TableParagraph"/>
              <w:ind w:left="26" w:right="15"/>
              <w:jc w:val="center"/>
              <w:rPr>
                <w:sz w:val="12"/>
              </w:rPr>
            </w:pPr>
            <w:r>
              <w:rPr>
                <w:spacing w:val="-2"/>
                <w:sz w:val="12"/>
              </w:rPr>
              <w:t>12,88</w:t>
            </w:r>
          </w:p>
        </w:tc>
        <w:tc>
          <w:tcPr>
            <w:tcW w:w="1250" w:type="dxa"/>
          </w:tcPr>
          <w:p>
            <w:pPr>
              <w:pStyle w:val="TableParagraph"/>
              <w:spacing w:before="66"/>
              <w:rPr>
                <w:sz w:val="12"/>
              </w:rPr>
            </w:pPr>
          </w:p>
          <w:p>
            <w:pPr>
              <w:pStyle w:val="TableParagraph"/>
              <w:ind w:left="10" w:right="1"/>
              <w:jc w:val="center"/>
              <w:rPr>
                <w:sz w:val="12"/>
              </w:rPr>
            </w:pPr>
            <w:r>
              <w:rPr>
                <w:spacing w:val="-2"/>
                <w:sz w:val="12"/>
              </w:rPr>
              <w:t>184.899,34€</w:t>
            </w:r>
          </w:p>
        </w:tc>
        <w:tc>
          <w:tcPr>
            <w:tcW w:w="1022" w:type="dxa"/>
          </w:tcPr>
          <w:p>
            <w:pPr>
              <w:pStyle w:val="TableParagraph"/>
              <w:spacing w:before="66"/>
              <w:rPr>
                <w:sz w:val="12"/>
              </w:rPr>
            </w:pPr>
          </w:p>
          <w:p>
            <w:pPr>
              <w:pStyle w:val="TableParagraph"/>
              <w:ind w:right="164"/>
              <w:jc w:val="right"/>
              <w:rPr>
                <w:sz w:val="12"/>
              </w:rPr>
            </w:pPr>
            <w:r>
              <w:rPr>
                <w:spacing w:val="-2"/>
                <w:sz w:val="12"/>
              </w:rPr>
              <w:t>455.444,39€</w:t>
            </w:r>
          </w:p>
        </w:tc>
        <w:tc>
          <w:tcPr>
            <w:tcW w:w="1245" w:type="dxa"/>
          </w:tcPr>
          <w:p>
            <w:pPr>
              <w:pStyle w:val="TableParagraph"/>
              <w:spacing w:before="66"/>
              <w:rPr>
                <w:sz w:val="12"/>
              </w:rPr>
            </w:pPr>
          </w:p>
          <w:p>
            <w:pPr>
              <w:pStyle w:val="TableParagraph"/>
              <w:ind w:left="12"/>
              <w:jc w:val="center"/>
              <w:rPr>
                <w:sz w:val="12"/>
              </w:rPr>
            </w:pPr>
            <w:r>
              <w:rPr>
                <w:spacing w:val="-2"/>
                <w:sz w:val="12"/>
              </w:rPr>
              <w:t>36.979,87€</w:t>
            </w:r>
          </w:p>
        </w:tc>
        <w:tc>
          <w:tcPr>
            <w:tcW w:w="1132" w:type="dxa"/>
          </w:tcPr>
          <w:p>
            <w:pPr>
              <w:pStyle w:val="TableParagraph"/>
              <w:spacing w:before="66"/>
              <w:rPr>
                <w:sz w:val="12"/>
              </w:rPr>
            </w:pPr>
          </w:p>
          <w:p>
            <w:pPr>
              <w:pStyle w:val="TableParagraph"/>
              <w:ind w:left="16"/>
              <w:jc w:val="center"/>
              <w:rPr>
                <w:sz w:val="12"/>
              </w:rPr>
            </w:pPr>
            <w:r>
              <w:rPr>
                <w:spacing w:val="-2"/>
                <w:sz w:val="12"/>
              </w:rPr>
              <w:t>35.360,59€</w:t>
            </w:r>
          </w:p>
        </w:tc>
      </w:tr>
      <w:tr>
        <w:trPr>
          <w:trHeight w:val="414" w:hRule="atLeast"/>
        </w:trPr>
        <w:tc>
          <w:tcPr>
            <w:tcW w:w="950" w:type="dxa"/>
            <w:vMerge/>
            <w:tcBorders>
              <w:top w:val="nil"/>
            </w:tcBorders>
          </w:tcPr>
          <w:p>
            <w:pPr>
              <w:rPr>
                <w:sz w:val="2"/>
                <w:szCs w:val="2"/>
              </w:rPr>
            </w:pPr>
          </w:p>
        </w:tc>
        <w:tc>
          <w:tcPr>
            <w:tcW w:w="1620" w:type="dxa"/>
          </w:tcPr>
          <w:p>
            <w:pPr>
              <w:pStyle w:val="TableParagraph"/>
              <w:spacing w:line="136" w:lineRule="exact"/>
              <w:ind w:left="69"/>
              <w:rPr>
                <w:sz w:val="12"/>
              </w:rPr>
            </w:pPr>
            <w:r>
              <w:rPr>
                <w:spacing w:val="-2"/>
                <w:sz w:val="12"/>
              </w:rPr>
              <w:t>AUXILIAR</w:t>
            </w:r>
          </w:p>
          <w:p>
            <w:pPr>
              <w:pStyle w:val="TableParagraph"/>
              <w:spacing w:before="68"/>
              <w:ind w:left="69"/>
              <w:rPr>
                <w:sz w:val="12"/>
              </w:rPr>
            </w:pPr>
            <w:r>
              <w:rPr>
                <w:spacing w:val="-2"/>
                <w:sz w:val="12"/>
              </w:rPr>
              <w:t>ADMIN/ESPECIALISTA</w:t>
            </w:r>
          </w:p>
        </w:tc>
        <w:tc>
          <w:tcPr>
            <w:tcW w:w="674" w:type="dxa"/>
          </w:tcPr>
          <w:p>
            <w:pPr>
              <w:pStyle w:val="TableParagraph"/>
              <w:spacing w:before="66"/>
              <w:rPr>
                <w:sz w:val="12"/>
              </w:rPr>
            </w:pPr>
          </w:p>
          <w:p>
            <w:pPr>
              <w:pStyle w:val="TableParagraph"/>
              <w:ind w:left="13" w:right="4"/>
              <w:jc w:val="center"/>
              <w:rPr>
                <w:sz w:val="12"/>
              </w:rPr>
            </w:pPr>
            <w:r>
              <w:rPr>
                <w:spacing w:val="-10"/>
                <w:sz w:val="12"/>
              </w:rPr>
              <w:t>-</w:t>
            </w:r>
          </w:p>
        </w:tc>
        <w:tc>
          <w:tcPr>
            <w:tcW w:w="720" w:type="dxa"/>
          </w:tcPr>
          <w:p>
            <w:pPr>
              <w:pStyle w:val="TableParagraph"/>
              <w:spacing w:before="66"/>
              <w:rPr>
                <w:sz w:val="12"/>
              </w:rPr>
            </w:pPr>
          </w:p>
          <w:p>
            <w:pPr>
              <w:pStyle w:val="TableParagraph"/>
              <w:ind w:left="23" w:right="15"/>
              <w:jc w:val="center"/>
              <w:rPr>
                <w:sz w:val="12"/>
              </w:rPr>
            </w:pPr>
            <w:r>
              <w:rPr>
                <w:spacing w:val="-10"/>
                <w:sz w:val="12"/>
              </w:rPr>
              <w:t>-</w:t>
            </w:r>
          </w:p>
        </w:tc>
        <w:tc>
          <w:tcPr>
            <w:tcW w:w="1250" w:type="dxa"/>
          </w:tcPr>
          <w:p>
            <w:pPr>
              <w:pStyle w:val="TableParagraph"/>
              <w:rPr>
                <w:rFonts w:ascii="Times New Roman"/>
                <w:sz w:val="12"/>
              </w:rPr>
            </w:pPr>
          </w:p>
        </w:tc>
        <w:tc>
          <w:tcPr>
            <w:tcW w:w="1022" w:type="dxa"/>
          </w:tcPr>
          <w:p>
            <w:pPr>
              <w:pStyle w:val="TableParagraph"/>
              <w:rPr>
                <w:rFonts w:ascii="Times New Roman"/>
                <w:sz w:val="12"/>
              </w:rPr>
            </w:pPr>
          </w:p>
        </w:tc>
        <w:tc>
          <w:tcPr>
            <w:tcW w:w="1245" w:type="dxa"/>
          </w:tcPr>
          <w:p>
            <w:pPr>
              <w:pStyle w:val="TableParagraph"/>
              <w:rPr>
                <w:rFonts w:ascii="Times New Roman"/>
                <w:sz w:val="12"/>
              </w:rPr>
            </w:pPr>
          </w:p>
        </w:tc>
        <w:tc>
          <w:tcPr>
            <w:tcW w:w="1132" w:type="dxa"/>
          </w:tcPr>
          <w:p>
            <w:pPr>
              <w:pStyle w:val="TableParagraph"/>
              <w:rPr>
                <w:rFonts w:ascii="Times New Roman"/>
                <w:sz w:val="12"/>
              </w:rPr>
            </w:pPr>
          </w:p>
        </w:tc>
      </w:tr>
    </w:tbl>
    <w:p>
      <w:pPr>
        <w:pStyle w:val="TableParagraph"/>
        <w:spacing w:after="0"/>
        <w:rPr>
          <w:rFonts w:ascii="Times New Roman"/>
          <w:sz w:val="12"/>
        </w:rPr>
        <w:sectPr>
          <w:pgSz w:w="11910" w:h="16840"/>
          <w:pgMar w:header="384" w:footer="1060" w:top="1200" w:bottom="1260" w:left="360" w:right="360"/>
        </w:sectPr>
      </w:pPr>
    </w:p>
    <w:p>
      <w:pPr>
        <w:pStyle w:val="BodyText"/>
        <w:spacing w:line="362" w:lineRule="auto" w:before="215"/>
        <w:ind w:left="1341" w:right="1308"/>
      </w:pPr>
      <w:r>
        <w:rPr/>
        <w:t>En</w:t>
      </w:r>
      <w:r>
        <w:rPr>
          <w:spacing w:val="33"/>
        </w:rPr>
        <w:t> </w:t>
      </w:r>
      <w:r>
        <w:rPr/>
        <w:t>el</w:t>
      </w:r>
      <w:r>
        <w:rPr>
          <w:spacing w:val="33"/>
        </w:rPr>
        <w:t> </w:t>
      </w:r>
      <w:r>
        <w:rPr/>
        <w:t>siguiente</w:t>
      </w:r>
      <w:r>
        <w:rPr>
          <w:spacing w:val="32"/>
        </w:rPr>
        <w:t> </w:t>
      </w:r>
      <w:r>
        <w:rPr/>
        <w:t>cuadro,</w:t>
      </w:r>
      <w:r>
        <w:rPr>
          <w:spacing w:val="33"/>
        </w:rPr>
        <w:t> </w:t>
      </w:r>
      <w:r>
        <w:rPr/>
        <w:t>se</w:t>
      </w:r>
      <w:r>
        <w:rPr>
          <w:spacing w:val="35"/>
        </w:rPr>
        <w:t> </w:t>
      </w:r>
      <w:r>
        <w:rPr/>
        <w:t>muestran</w:t>
      </w:r>
      <w:r>
        <w:rPr>
          <w:spacing w:val="32"/>
        </w:rPr>
        <w:t> </w:t>
      </w:r>
      <w:r>
        <w:rPr/>
        <w:t>las</w:t>
      </w:r>
      <w:r>
        <w:rPr>
          <w:spacing w:val="33"/>
        </w:rPr>
        <w:t> </w:t>
      </w:r>
      <w:r>
        <w:rPr/>
        <w:t>retribuciones</w:t>
      </w:r>
      <w:r>
        <w:rPr>
          <w:spacing w:val="31"/>
        </w:rPr>
        <w:t> </w:t>
      </w:r>
      <w:r>
        <w:rPr/>
        <w:t>medias</w:t>
      </w:r>
      <w:r>
        <w:rPr>
          <w:spacing w:val="35"/>
        </w:rPr>
        <w:t> </w:t>
      </w:r>
      <w:r>
        <w:rPr/>
        <w:t>por</w:t>
      </w:r>
      <w:r>
        <w:rPr>
          <w:spacing w:val="32"/>
        </w:rPr>
        <w:t> </w:t>
      </w:r>
      <w:r>
        <w:rPr/>
        <w:t>grupo</w:t>
      </w:r>
      <w:r>
        <w:rPr>
          <w:spacing w:val="35"/>
        </w:rPr>
        <w:t> </w:t>
      </w:r>
      <w:r>
        <w:rPr/>
        <w:t>profesional,</w:t>
      </w:r>
      <w:r>
        <w:rPr>
          <w:spacing w:val="31"/>
        </w:rPr>
        <w:t> </w:t>
      </w:r>
      <w:r>
        <w:rPr/>
        <w:t>sexo</w:t>
      </w:r>
      <w:r>
        <w:rPr>
          <w:spacing w:val="36"/>
        </w:rPr>
        <w:t> </w:t>
      </w:r>
      <w:r>
        <w:rPr/>
        <w:t>y edad año 2025:</w:t>
      </w:r>
    </w:p>
    <w:p>
      <w:pPr>
        <w:pStyle w:val="BodyText"/>
        <w:spacing w:before="3"/>
        <w:rPr>
          <w:sz w:val="17"/>
        </w:rPr>
      </w:pPr>
    </w:p>
    <w:tbl>
      <w:tblPr>
        <w:tblW w:w="0" w:type="auto"/>
        <w:jc w:val="left"/>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1646"/>
        <w:gridCol w:w="818"/>
        <w:gridCol w:w="1039"/>
        <w:gridCol w:w="1039"/>
        <w:gridCol w:w="1037"/>
        <w:gridCol w:w="1003"/>
        <w:gridCol w:w="1015"/>
      </w:tblGrid>
      <w:tr>
        <w:trPr>
          <w:trHeight w:val="301" w:hRule="atLeast"/>
        </w:trPr>
        <w:tc>
          <w:tcPr>
            <w:tcW w:w="900" w:type="dxa"/>
            <w:vMerge w:val="restart"/>
            <w:shd w:val="clear" w:color="auto" w:fill="D7D7D7"/>
          </w:tcPr>
          <w:p>
            <w:pPr>
              <w:pStyle w:val="TableParagraph"/>
              <w:spacing w:before="116"/>
              <w:rPr>
                <w:sz w:val="12"/>
              </w:rPr>
            </w:pPr>
          </w:p>
          <w:p>
            <w:pPr>
              <w:pStyle w:val="TableParagraph"/>
              <w:ind w:left="230"/>
              <w:rPr>
                <w:b/>
                <w:sz w:val="12"/>
              </w:rPr>
            </w:pPr>
            <w:r>
              <w:rPr>
                <w:b/>
                <w:spacing w:val="-2"/>
                <w:sz w:val="12"/>
              </w:rPr>
              <w:t>GRUPO</w:t>
            </w:r>
          </w:p>
        </w:tc>
        <w:tc>
          <w:tcPr>
            <w:tcW w:w="1646" w:type="dxa"/>
            <w:vMerge w:val="restart"/>
            <w:shd w:val="clear" w:color="auto" w:fill="D7D7D7"/>
          </w:tcPr>
          <w:p>
            <w:pPr>
              <w:pStyle w:val="TableParagraph"/>
              <w:spacing w:before="116"/>
              <w:rPr>
                <w:sz w:val="12"/>
              </w:rPr>
            </w:pPr>
          </w:p>
          <w:p>
            <w:pPr>
              <w:pStyle w:val="TableParagraph"/>
              <w:ind w:left="6"/>
              <w:jc w:val="center"/>
              <w:rPr>
                <w:b/>
                <w:sz w:val="12"/>
              </w:rPr>
            </w:pPr>
            <w:r>
              <w:rPr>
                <w:b/>
                <w:spacing w:val="-2"/>
                <w:sz w:val="12"/>
              </w:rPr>
              <w:t>NIVEL</w:t>
            </w:r>
          </w:p>
        </w:tc>
        <w:tc>
          <w:tcPr>
            <w:tcW w:w="1857" w:type="dxa"/>
            <w:gridSpan w:val="2"/>
            <w:shd w:val="clear" w:color="auto" w:fill="D7D7D7"/>
          </w:tcPr>
          <w:p>
            <w:pPr>
              <w:pStyle w:val="TableParagraph"/>
              <w:spacing w:before="43"/>
              <w:ind w:left="10"/>
              <w:jc w:val="center"/>
              <w:rPr>
                <w:b/>
                <w:sz w:val="12"/>
              </w:rPr>
            </w:pPr>
            <w:r>
              <w:rPr>
                <w:b/>
                <w:sz w:val="12"/>
              </w:rPr>
              <w:t>&lt;</w:t>
            </w:r>
            <w:r>
              <w:rPr>
                <w:b/>
                <w:spacing w:val="-1"/>
                <w:sz w:val="12"/>
              </w:rPr>
              <w:t> </w:t>
            </w:r>
            <w:r>
              <w:rPr>
                <w:b/>
                <w:sz w:val="12"/>
              </w:rPr>
              <w:t>30</w:t>
            </w:r>
            <w:r>
              <w:rPr>
                <w:b/>
                <w:spacing w:val="1"/>
                <w:sz w:val="12"/>
              </w:rPr>
              <w:t> </w:t>
            </w:r>
            <w:r>
              <w:rPr>
                <w:b/>
                <w:spacing w:val="-4"/>
                <w:sz w:val="12"/>
              </w:rPr>
              <w:t>años</w:t>
            </w:r>
          </w:p>
        </w:tc>
        <w:tc>
          <w:tcPr>
            <w:tcW w:w="2076" w:type="dxa"/>
            <w:gridSpan w:val="2"/>
            <w:shd w:val="clear" w:color="auto" w:fill="D7D7D7"/>
          </w:tcPr>
          <w:p>
            <w:pPr>
              <w:pStyle w:val="TableParagraph"/>
              <w:spacing w:before="43"/>
              <w:ind w:left="694"/>
              <w:rPr>
                <w:b/>
                <w:sz w:val="12"/>
              </w:rPr>
            </w:pPr>
            <w:r>
              <w:rPr>
                <w:b/>
                <w:sz w:val="12"/>
              </w:rPr>
              <w:t>30 -</w:t>
            </w:r>
            <w:r>
              <w:rPr>
                <w:b/>
                <w:spacing w:val="-1"/>
                <w:sz w:val="12"/>
              </w:rPr>
              <w:t> </w:t>
            </w:r>
            <w:r>
              <w:rPr>
                <w:b/>
                <w:sz w:val="12"/>
              </w:rPr>
              <w:t>50</w:t>
            </w:r>
            <w:r>
              <w:rPr>
                <w:b/>
                <w:spacing w:val="-1"/>
                <w:sz w:val="12"/>
              </w:rPr>
              <w:t> </w:t>
            </w:r>
            <w:r>
              <w:rPr>
                <w:b/>
                <w:spacing w:val="-4"/>
                <w:sz w:val="12"/>
              </w:rPr>
              <w:t>años</w:t>
            </w:r>
          </w:p>
        </w:tc>
        <w:tc>
          <w:tcPr>
            <w:tcW w:w="2018" w:type="dxa"/>
            <w:gridSpan w:val="2"/>
            <w:shd w:val="clear" w:color="auto" w:fill="D7D7D7"/>
          </w:tcPr>
          <w:p>
            <w:pPr>
              <w:pStyle w:val="TableParagraph"/>
              <w:spacing w:before="43"/>
              <w:ind w:left="9"/>
              <w:jc w:val="center"/>
              <w:rPr>
                <w:b/>
                <w:sz w:val="12"/>
              </w:rPr>
            </w:pPr>
            <w:r>
              <w:rPr>
                <w:b/>
                <w:sz w:val="12"/>
              </w:rPr>
              <w:t>&gt;</w:t>
            </w:r>
            <w:r>
              <w:rPr>
                <w:b/>
                <w:spacing w:val="-1"/>
                <w:sz w:val="12"/>
              </w:rPr>
              <w:t> </w:t>
            </w:r>
            <w:r>
              <w:rPr>
                <w:b/>
                <w:sz w:val="12"/>
              </w:rPr>
              <w:t>50</w:t>
            </w:r>
            <w:r>
              <w:rPr>
                <w:b/>
                <w:spacing w:val="1"/>
                <w:sz w:val="12"/>
              </w:rPr>
              <w:t> </w:t>
            </w:r>
            <w:r>
              <w:rPr>
                <w:b/>
                <w:spacing w:val="-4"/>
                <w:sz w:val="12"/>
              </w:rPr>
              <w:t>años</w:t>
            </w:r>
          </w:p>
        </w:tc>
      </w:tr>
      <w:tr>
        <w:trPr>
          <w:trHeight w:val="412" w:hRule="atLeast"/>
        </w:trPr>
        <w:tc>
          <w:tcPr>
            <w:tcW w:w="900" w:type="dxa"/>
            <w:vMerge/>
            <w:tcBorders>
              <w:top w:val="nil"/>
            </w:tcBorders>
            <w:shd w:val="clear" w:color="auto" w:fill="D7D7D7"/>
          </w:tcPr>
          <w:p>
            <w:pPr>
              <w:rPr>
                <w:sz w:val="2"/>
                <w:szCs w:val="2"/>
              </w:rPr>
            </w:pPr>
          </w:p>
        </w:tc>
        <w:tc>
          <w:tcPr>
            <w:tcW w:w="1646" w:type="dxa"/>
            <w:vMerge/>
            <w:tcBorders>
              <w:top w:val="nil"/>
            </w:tcBorders>
            <w:shd w:val="clear" w:color="auto" w:fill="D7D7D7"/>
          </w:tcPr>
          <w:p>
            <w:pPr>
              <w:rPr>
                <w:sz w:val="2"/>
                <w:szCs w:val="2"/>
              </w:rPr>
            </w:pPr>
          </w:p>
        </w:tc>
        <w:tc>
          <w:tcPr>
            <w:tcW w:w="818" w:type="dxa"/>
            <w:shd w:val="clear" w:color="auto" w:fill="D7D7D7"/>
          </w:tcPr>
          <w:p>
            <w:pPr>
              <w:pStyle w:val="TableParagraph"/>
              <w:spacing w:line="133" w:lineRule="exact"/>
              <w:ind w:left="14" w:right="3"/>
              <w:jc w:val="center"/>
              <w:rPr>
                <w:b/>
                <w:sz w:val="12"/>
              </w:rPr>
            </w:pPr>
            <w:r>
              <w:rPr>
                <w:b/>
                <w:spacing w:val="-2"/>
                <w:sz w:val="12"/>
              </w:rPr>
              <w:t>HOMBRE</w:t>
            </w:r>
          </w:p>
          <w:p>
            <w:pPr>
              <w:pStyle w:val="TableParagraph"/>
              <w:spacing w:before="68"/>
              <w:ind w:left="14" w:right="3"/>
              <w:jc w:val="center"/>
              <w:rPr>
                <w:b/>
                <w:sz w:val="12"/>
              </w:rPr>
            </w:pPr>
            <w:r>
              <w:rPr>
                <w:b/>
                <w:spacing w:val="-5"/>
                <w:sz w:val="12"/>
              </w:rPr>
              <w:t>(€)</w:t>
            </w:r>
          </w:p>
        </w:tc>
        <w:tc>
          <w:tcPr>
            <w:tcW w:w="1039" w:type="dxa"/>
            <w:shd w:val="clear" w:color="auto" w:fill="D7D7D7"/>
          </w:tcPr>
          <w:p>
            <w:pPr>
              <w:pStyle w:val="TableParagraph"/>
              <w:spacing w:before="98"/>
              <w:ind w:left="219"/>
              <w:rPr>
                <w:b/>
                <w:sz w:val="12"/>
              </w:rPr>
            </w:pPr>
            <w:r>
              <w:rPr>
                <w:b/>
                <w:sz w:val="12"/>
              </w:rPr>
              <w:t>MUJER</w:t>
            </w:r>
            <w:r>
              <w:rPr>
                <w:b/>
                <w:spacing w:val="-6"/>
                <w:sz w:val="12"/>
              </w:rPr>
              <w:t> </w:t>
            </w:r>
            <w:r>
              <w:rPr>
                <w:b/>
                <w:spacing w:val="-5"/>
                <w:sz w:val="12"/>
              </w:rPr>
              <w:t>(€)</w:t>
            </w:r>
          </w:p>
        </w:tc>
        <w:tc>
          <w:tcPr>
            <w:tcW w:w="1039" w:type="dxa"/>
            <w:shd w:val="clear" w:color="auto" w:fill="D7D7D7"/>
          </w:tcPr>
          <w:p>
            <w:pPr>
              <w:pStyle w:val="TableParagraph"/>
              <w:spacing w:before="98"/>
              <w:ind w:left="10"/>
              <w:jc w:val="center"/>
              <w:rPr>
                <w:b/>
                <w:sz w:val="12"/>
              </w:rPr>
            </w:pPr>
            <w:r>
              <w:rPr>
                <w:b/>
                <w:sz w:val="12"/>
              </w:rPr>
              <w:t>HOMBRE</w:t>
            </w:r>
            <w:r>
              <w:rPr>
                <w:b/>
                <w:spacing w:val="-6"/>
                <w:sz w:val="12"/>
              </w:rPr>
              <w:t> </w:t>
            </w:r>
            <w:r>
              <w:rPr>
                <w:b/>
                <w:spacing w:val="-5"/>
                <w:sz w:val="12"/>
              </w:rPr>
              <w:t>(€)</w:t>
            </w:r>
          </w:p>
        </w:tc>
        <w:tc>
          <w:tcPr>
            <w:tcW w:w="1037" w:type="dxa"/>
            <w:shd w:val="clear" w:color="auto" w:fill="D7D7D7"/>
          </w:tcPr>
          <w:p>
            <w:pPr>
              <w:pStyle w:val="TableParagraph"/>
              <w:spacing w:before="98"/>
              <w:ind w:left="12" w:right="2"/>
              <w:jc w:val="center"/>
              <w:rPr>
                <w:b/>
                <w:sz w:val="12"/>
              </w:rPr>
            </w:pPr>
            <w:r>
              <w:rPr>
                <w:b/>
                <w:sz w:val="12"/>
              </w:rPr>
              <w:t>MUJER</w:t>
            </w:r>
            <w:r>
              <w:rPr>
                <w:b/>
                <w:spacing w:val="-6"/>
                <w:sz w:val="12"/>
              </w:rPr>
              <w:t> </w:t>
            </w:r>
            <w:r>
              <w:rPr>
                <w:b/>
                <w:spacing w:val="-5"/>
                <w:sz w:val="12"/>
              </w:rPr>
              <w:t>(€)</w:t>
            </w:r>
          </w:p>
        </w:tc>
        <w:tc>
          <w:tcPr>
            <w:tcW w:w="1003" w:type="dxa"/>
            <w:shd w:val="clear" w:color="auto" w:fill="D7D7D7"/>
          </w:tcPr>
          <w:p>
            <w:pPr>
              <w:pStyle w:val="TableParagraph"/>
              <w:spacing w:before="98"/>
              <w:ind w:left="13" w:right="6"/>
              <w:jc w:val="center"/>
              <w:rPr>
                <w:b/>
                <w:sz w:val="12"/>
              </w:rPr>
            </w:pPr>
            <w:r>
              <w:rPr>
                <w:b/>
                <w:sz w:val="12"/>
              </w:rPr>
              <w:t>HOMBRE</w:t>
            </w:r>
            <w:r>
              <w:rPr>
                <w:b/>
                <w:spacing w:val="-7"/>
                <w:sz w:val="12"/>
              </w:rPr>
              <w:t> </w:t>
            </w:r>
            <w:r>
              <w:rPr>
                <w:b/>
                <w:spacing w:val="-5"/>
                <w:sz w:val="12"/>
              </w:rPr>
              <w:t>(€)</w:t>
            </w:r>
          </w:p>
        </w:tc>
        <w:tc>
          <w:tcPr>
            <w:tcW w:w="1015" w:type="dxa"/>
            <w:shd w:val="clear" w:color="auto" w:fill="D7D7D7"/>
          </w:tcPr>
          <w:p>
            <w:pPr>
              <w:pStyle w:val="TableParagraph"/>
              <w:spacing w:before="98"/>
              <w:ind w:right="197"/>
              <w:jc w:val="right"/>
              <w:rPr>
                <w:b/>
                <w:sz w:val="12"/>
              </w:rPr>
            </w:pPr>
            <w:r>
              <w:rPr>
                <w:b/>
                <w:sz w:val="12"/>
              </w:rPr>
              <w:t>MUJER</w:t>
            </w:r>
            <w:r>
              <w:rPr>
                <w:b/>
                <w:spacing w:val="-6"/>
                <w:sz w:val="12"/>
              </w:rPr>
              <w:t> </w:t>
            </w:r>
            <w:r>
              <w:rPr>
                <w:b/>
                <w:spacing w:val="-5"/>
                <w:sz w:val="12"/>
              </w:rPr>
              <w:t>(€)</w:t>
            </w:r>
          </w:p>
        </w:tc>
      </w:tr>
      <w:tr>
        <w:trPr>
          <w:trHeight w:val="302" w:hRule="atLeast"/>
        </w:trPr>
        <w:tc>
          <w:tcPr>
            <w:tcW w:w="900" w:type="dxa"/>
            <w:vMerge w:val="restart"/>
          </w:tcPr>
          <w:p>
            <w:pPr>
              <w:pStyle w:val="TableParagraph"/>
              <w:rPr>
                <w:sz w:val="12"/>
              </w:rPr>
            </w:pPr>
          </w:p>
          <w:p>
            <w:pPr>
              <w:pStyle w:val="TableParagraph"/>
              <w:spacing w:before="31"/>
              <w:rPr>
                <w:sz w:val="12"/>
              </w:rPr>
            </w:pPr>
          </w:p>
          <w:p>
            <w:pPr>
              <w:pStyle w:val="TableParagraph"/>
              <w:spacing w:line="362" w:lineRule="auto"/>
              <w:ind w:left="122" w:right="112" w:firstLine="74"/>
              <w:rPr>
                <w:b/>
                <w:sz w:val="12"/>
              </w:rPr>
            </w:pPr>
            <w:r>
              <w:rPr>
                <w:b/>
                <w:sz w:val="12"/>
              </w:rPr>
              <w:t>GRUPO</w:t>
            </w:r>
            <w:r>
              <w:rPr>
                <w:b/>
                <w:spacing w:val="-7"/>
                <w:sz w:val="12"/>
              </w:rPr>
              <w:t> </w:t>
            </w:r>
            <w:r>
              <w:rPr>
                <w:b/>
                <w:sz w:val="12"/>
              </w:rPr>
              <w:t>I</w:t>
            </w:r>
            <w:r>
              <w:rPr>
                <w:b/>
                <w:spacing w:val="40"/>
                <w:sz w:val="12"/>
              </w:rPr>
              <w:t> </w:t>
            </w:r>
            <w:r>
              <w:rPr>
                <w:b/>
                <w:spacing w:val="-2"/>
                <w:sz w:val="12"/>
              </w:rPr>
              <w:t>DIRECTIVO</w:t>
            </w:r>
          </w:p>
        </w:tc>
        <w:tc>
          <w:tcPr>
            <w:tcW w:w="1646" w:type="dxa"/>
          </w:tcPr>
          <w:p>
            <w:pPr>
              <w:pStyle w:val="TableParagraph"/>
              <w:spacing w:before="45"/>
              <w:ind w:left="69"/>
              <w:rPr>
                <w:sz w:val="12"/>
              </w:rPr>
            </w:pPr>
            <w:r>
              <w:rPr>
                <w:sz w:val="12"/>
              </w:rPr>
              <w:t>JEFE</w:t>
            </w:r>
            <w:r>
              <w:rPr>
                <w:spacing w:val="-2"/>
                <w:sz w:val="12"/>
              </w:rPr>
              <w:t> SERVICIO</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45"/>
              <w:ind w:left="10"/>
              <w:jc w:val="center"/>
              <w:rPr>
                <w:sz w:val="12"/>
              </w:rPr>
            </w:pPr>
            <w:r>
              <w:rPr>
                <w:spacing w:val="-2"/>
                <w:sz w:val="12"/>
              </w:rPr>
              <w:t>65.916,44€</w:t>
            </w:r>
          </w:p>
        </w:tc>
        <w:tc>
          <w:tcPr>
            <w:tcW w:w="1037" w:type="dxa"/>
          </w:tcPr>
          <w:p>
            <w:pPr>
              <w:pStyle w:val="TableParagraph"/>
              <w:spacing w:before="45"/>
              <w:ind w:left="12"/>
              <w:jc w:val="center"/>
              <w:rPr>
                <w:sz w:val="12"/>
              </w:rPr>
            </w:pPr>
            <w:r>
              <w:rPr>
                <w:spacing w:val="-2"/>
                <w:sz w:val="12"/>
              </w:rPr>
              <w:t>78.582,01€</w:t>
            </w:r>
          </w:p>
        </w:tc>
        <w:tc>
          <w:tcPr>
            <w:tcW w:w="1003" w:type="dxa"/>
          </w:tcPr>
          <w:p>
            <w:pPr>
              <w:pStyle w:val="TableParagraph"/>
              <w:spacing w:before="45"/>
              <w:ind w:left="13"/>
              <w:jc w:val="center"/>
              <w:rPr>
                <w:sz w:val="12"/>
              </w:rPr>
            </w:pPr>
            <w:r>
              <w:rPr>
                <w:spacing w:val="-2"/>
                <w:sz w:val="12"/>
              </w:rPr>
              <w:t>83.087,97€</w:t>
            </w:r>
          </w:p>
        </w:tc>
        <w:tc>
          <w:tcPr>
            <w:tcW w:w="1015" w:type="dxa"/>
          </w:tcPr>
          <w:p>
            <w:pPr>
              <w:pStyle w:val="TableParagraph"/>
              <w:spacing w:before="45"/>
              <w:ind w:right="194"/>
              <w:jc w:val="right"/>
              <w:rPr>
                <w:sz w:val="12"/>
              </w:rPr>
            </w:pPr>
            <w:r>
              <w:rPr>
                <w:spacing w:val="-2"/>
                <w:sz w:val="12"/>
              </w:rPr>
              <w:t>72.143,28€</w:t>
            </w:r>
          </w:p>
        </w:tc>
      </w:tr>
      <w:tr>
        <w:trPr>
          <w:trHeight w:val="302" w:hRule="atLeast"/>
        </w:trPr>
        <w:tc>
          <w:tcPr>
            <w:tcW w:w="900" w:type="dxa"/>
            <w:vMerge/>
            <w:tcBorders>
              <w:top w:val="nil"/>
            </w:tcBorders>
          </w:tcPr>
          <w:p>
            <w:pPr>
              <w:rPr>
                <w:sz w:val="2"/>
                <w:szCs w:val="2"/>
              </w:rPr>
            </w:pPr>
          </w:p>
        </w:tc>
        <w:tc>
          <w:tcPr>
            <w:tcW w:w="1646" w:type="dxa"/>
          </w:tcPr>
          <w:p>
            <w:pPr>
              <w:pStyle w:val="TableParagraph"/>
              <w:spacing w:before="45"/>
              <w:ind w:left="69"/>
              <w:rPr>
                <w:sz w:val="12"/>
              </w:rPr>
            </w:pPr>
            <w:r>
              <w:rPr>
                <w:sz w:val="12"/>
              </w:rPr>
              <w:t>JEFE</w:t>
            </w:r>
            <w:r>
              <w:rPr>
                <w:spacing w:val="-2"/>
                <w:sz w:val="12"/>
              </w:rPr>
              <w:t> </w:t>
            </w:r>
            <w:r>
              <w:rPr>
                <w:sz w:val="12"/>
              </w:rPr>
              <w:t>DE</w:t>
            </w:r>
            <w:r>
              <w:rPr>
                <w:spacing w:val="-2"/>
                <w:sz w:val="12"/>
              </w:rPr>
              <w:t> GRUPO</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45"/>
              <w:ind w:left="10"/>
              <w:jc w:val="center"/>
              <w:rPr>
                <w:sz w:val="12"/>
              </w:rPr>
            </w:pPr>
            <w:r>
              <w:rPr>
                <w:spacing w:val="-2"/>
                <w:sz w:val="12"/>
              </w:rPr>
              <w:t>62.540,28€</w:t>
            </w:r>
          </w:p>
        </w:tc>
        <w:tc>
          <w:tcPr>
            <w:tcW w:w="1037" w:type="dxa"/>
          </w:tcPr>
          <w:p>
            <w:pPr>
              <w:pStyle w:val="TableParagraph"/>
              <w:spacing w:before="45"/>
              <w:ind w:left="12"/>
              <w:jc w:val="center"/>
              <w:rPr>
                <w:sz w:val="12"/>
              </w:rPr>
            </w:pPr>
            <w:r>
              <w:rPr>
                <w:spacing w:val="-2"/>
                <w:sz w:val="12"/>
              </w:rPr>
              <w:t>64.908,86€</w:t>
            </w:r>
          </w:p>
        </w:tc>
        <w:tc>
          <w:tcPr>
            <w:tcW w:w="1003" w:type="dxa"/>
          </w:tcPr>
          <w:p>
            <w:pPr>
              <w:pStyle w:val="TableParagraph"/>
              <w:rPr>
                <w:rFonts w:ascii="Times New Roman"/>
                <w:sz w:val="16"/>
              </w:rPr>
            </w:pPr>
          </w:p>
        </w:tc>
        <w:tc>
          <w:tcPr>
            <w:tcW w:w="1015" w:type="dxa"/>
          </w:tcPr>
          <w:p>
            <w:pPr>
              <w:pStyle w:val="TableParagraph"/>
              <w:spacing w:before="45"/>
              <w:ind w:right="194"/>
              <w:jc w:val="right"/>
              <w:rPr>
                <w:sz w:val="12"/>
              </w:rPr>
            </w:pPr>
            <w:r>
              <w:rPr>
                <w:spacing w:val="-2"/>
                <w:sz w:val="12"/>
              </w:rPr>
              <w:t>61.219,57€</w:t>
            </w:r>
          </w:p>
        </w:tc>
      </w:tr>
      <w:tr>
        <w:trPr>
          <w:trHeight w:val="414" w:hRule="atLeast"/>
        </w:trPr>
        <w:tc>
          <w:tcPr>
            <w:tcW w:w="900" w:type="dxa"/>
            <w:vMerge/>
            <w:tcBorders>
              <w:top w:val="nil"/>
            </w:tcBorders>
          </w:tcPr>
          <w:p>
            <w:pPr>
              <w:rPr>
                <w:sz w:val="2"/>
                <w:szCs w:val="2"/>
              </w:rPr>
            </w:pPr>
          </w:p>
        </w:tc>
        <w:tc>
          <w:tcPr>
            <w:tcW w:w="1646" w:type="dxa"/>
          </w:tcPr>
          <w:p>
            <w:pPr>
              <w:pStyle w:val="TableParagraph"/>
              <w:spacing w:line="136" w:lineRule="exact"/>
              <w:ind w:left="69"/>
              <w:rPr>
                <w:sz w:val="12"/>
              </w:rPr>
            </w:pPr>
            <w:r>
              <w:rPr>
                <w:sz w:val="12"/>
              </w:rPr>
              <w:t>JEFE</w:t>
            </w:r>
            <w:r>
              <w:rPr>
                <w:spacing w:val="-4"/>
                <w:sz w:val="12"/>
              </w:rPr>
              <w:t> </w:t>
            </w:r>
            <w:r>
              <w:rPr>
                <w:sz w:val="12"/>
              </w:rPr>
              <w:t>DE</w:t>
            </w:r>
            <w:r>
              <w:rPr>
                <w:spacing w:val="-2"/>
                <w:sz w:val="12"/>
              </w:rPr>
              <w:t> OFICINA</w:t>
            </w:r>
          </w:p>
          <w:p>
            <w:pPr>
              <w:pStyle w:val="TableParagraph"/>
              <w:spacing w:before="71"/>
              <w:ind w:left="69"/>
              <w:rPr>
                <w:sz w:val="12"/>
              </w:rPr>
            </w:pPr>
            <w:r>
              <w:rPr>
                <w:spacing w:val="-2"/>
                <w:sz w:val="12"/>
              </w:rPr>
              <w:t>TÉCNICA</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103"/>
              <w:ind w:left="10"/>
              <w:jc w:val="center"/>
              <w:rPr>
                <w:sz w:val="12"/>
              </w:rPr>
            </w:pPr>
            <w:r>
              <w:rPr>
                <w:spacing w:val="-2"/>
                <w:sz w:val="12"/>
              </w:rPr>
              <w:t>56.324,10€</w:t>
            </w:r>
          </w:p>
        </w:tc>
        <w:tc>
          <w:tcPr>
            <w:tcW w:w="1037" w:type="dxa"/>
          </w:tcPr>
          <w:p>
            <w:pPr>
              <w:pStyle w:val="TableParagraph"/>
              <w:rPr>
                <w:rFonts w:ascii="Times New Roman"/>
                <w:sz w:val="16"/>
              </w:rPr>
            </w:pPr>
          </w:p>
        </w:tc>
        <w:tc>
          <w:tcPr>
            <w:tcW w:w="1003" w:type="dxa"/>
          </w:tcPr>
          <w:p>
            <w:pPr>
              <w:pStyle w:val="TableParagraph"/>
              <w:spacing w:before="103"/>
              <w:ind w:left="13"/>
              <w:jc w:val="center"/>
              <w:rPr>
                <w:sz w:val="12"/>
              </w:rPr>
            </w:pPr>
            <w:r>
              <w:rPr>
                <w:spacing w:val="-2"/>
                <w:sz w:val="12"/>
              </w:rPr>
              <w:t>61.379,91€</w:t>
            </w:r>
          </w:p>
        </w:tc>
        <w:tc>
          <w:tcPr>
            <w:tcW w:w="1015" w:type="dxa"/>
          </w:tcPr>
          <w:p>
            <w:pPr>
              <w:pStyle w:val="TableParagraph"/>
              <w:spacing w:before="103"/>
              <w:ind w:right="194"/>
              <w:jc w:val="right"/>
              <w:rPr>
                <w:sz w:val="12"/>
              </w:rPr>
            </w:pPr>
            <w:r>
              <w:rPr>
                <w:spacing w:val="-2"/>
                <w:sz w:val="12"/>
              </w:rPr>
              <w:t>60.778,42€</w:t>
            </w:r>
          </w:p>
        </w:tc>
      </w:tr>
      <w:tr>
        <w:trPr>
          <w:trHeight w:val="302" w:hRule="atLeast"/>
        </w:trPr>
        <w:tc>
          <w:tcPr>
            <w:tcW w:w="900" w:type="dxa"/>
            <w:vMerge w:val="restart"/>
          </w:tcPr>
          <w:p>
            <w:pPr>
              <w:pStyle w:val="TableParagraph"/>
              <w:spacing w:before="102"/>
              <w:rPr>
                <w:sz w:val="12"/>
              </w:rPr>
            </w:pPr>
          </w:p>
          <w:p>
            <w:pPr>
              <w:pStyle w:val="TableParagraph"/>
              <w:spacing w:line="362" w:lineRule="auto"/>
              <w:ind w:left="179" w:right="159"/>
              <w:rPr>
                <w:b/>
                <w:sz w:val="12"/>
              </w:rPr>
            </w:pPr>
            <w:r>
              <w:rPr>
                <w:b/>
                <w:sz w:val="12"/>
              </w:rPr>
              <w:t>GRUPO</w:t>
            </w:r>
            <w:r>
              <w:rPr>
                <w:b/>
                <w:spacing w:val="-9"/>
                <w:sz w:val="12"/>
              </w:rPr>
              <w:t> </w:t>
            </w:r>
            <w:r>
              <w:rPr>
                <w:b/>
                <w:sz w:val="12"/>
              </w:rPr>
              <w:t>II</w:t>
            </w:r>
            <w:r>
              <w:rPr>
                <w:b/>
                <w:spacing w:val="40"/>
                <w:sz w:val="12"/>
              </w:rPr>
              <w:t> </w:t>
            </w:r>
            <w:r>
              <w:rPr>
                <w:b/>
                <w:spacing w:val="-2"/>
                <w:sz w:val="12"/>
              </w:rPr>
              <w:t>TÉCNICO</w:t>
            </w:r>
          </w:p>
        </w:tc>
        <w:tc>
          <w:tcPr>
            <w:tcW w:w="1646" w:type="dxa"/>
          </w:tcPr>
          <w:p>
            <w:pPr>
              <w:pStyle w:val="TableParagraph"/>
              <w:spacing w:before="45"/>
              <w:ind w:left="69"/>
              <w:rPr>
                <w:sz w:val="12"/>
              </w:rPr>
            </w:pPr>
            <w:r>
              <w:rPr>
                <w:sz w:val="12"/>
              </w:rPr>
              <w:t>TÉCNICO</w:t>
            </w:r>
            <w:r>
              <w:rPr>
                <w:spacing w:val="-3"/>
                <w:sz w:val="12"/>
              </w:rPr>
              <w:t> </w:t>
            </w:r>
            <w:r>
              <w:rPr>
                <w:spacing w:val="-2"/>
                <w:sz w:val="12"/>
              </w:rPr>
              <w:t>SUPERIOR</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45"/>
              <w:ind w:left="10"/>
              <w:jc w:val="center"/>
              <w:rPr>
                <w:sz w:val="12"/>
              </w:rPr>
            </w:pPr>
            <w:r>
              <w:rPr>
                <w:spacing w:val="-2"/>
                <w:sz w:val="12"/>
              </w:rPr>
              <w:t>44.516,59€</w:t>
            </w:r>
          </w:p>
        </w:tc>
        <w:tc>
          <w:tcPr>
            <w:tcW w:w="1037" w:type="dxa"/>
          </w:tcPr>
          <w:p>
            <w:pPr>
              <w:pStyle w:val="TableParagraph"/>
              <w:spacing w:before="45"/>
              <w:ind w:left="12"/>
              <w:jc w:val="center"/>
              <w:rPr>
                <w:sz w:val="12"/>
              </w:rPr>
            </w:pPr>
            <w:r>
              <w:rPr>
                <w:spacing w:val="-2"/>
                <w:sz w:val="12"/>
              </w:rPr>
              <w:t>40.366,37€</w:t>
            </w:r>
          </w:p>
        </w:tc>
        <w:tc>
          <w:tcPr>
            <w:tcW w:w="1003" w:type="dxa"/>
          </w:tcPr>
          <w:p>
            <w:pPr>
              <w:pStyle w:val="TableParagraph"/>
              <w:spacing w:before="45"/>
              <w:ind w:left="13"/>
              <w:jc w:val="center"/>
              <w:rPr>
                <w:sz w:val="12"/>
              </w:rPr>
            </w:pPr>
            <w:r>
              <w:rPr>
                <w:spacing w:val="-2"/>
                <w:sz w:val="12"/>
              </w:rPr>
              <w:t>44.484,68€</w:t>
            </w:r>
          </w:p>
        </w:tc>
        <w:tc>
          <w:tcPr>
            <w:tcW w:w="1015" w:type="dxa"/>
          </w:tcPr>
          <w:p>
            <w:pPr>
              <w:pStyle w:val="TableParagraph"/>
              <w:rPr>
                <w:rFonts w:ascii="Times New Roman"/>
                <w:sz w:val="16"/>
              </w:rPr>
            </w:pPr>
          </w:p>
        </w:tc>
      </w:tr>
      <w:tr>
        <w:trPr>
          <w:trHeight w:val="592" w:hRule="atLeast"/>
        </w:trPr>
        <w:tc>
          <w:tcPr>
            <w:tcW w:w="900" w:type="dxa"/>
            <w:vMerge/>
            <w:tcBorders>
              <w:top w:val="nil"/>
            </w:tcBorders>
          </w:tcPr>
          <w:p>
            <w:pPr>
              <w:rPr>
                <w:sz w:val="2"/>
                <w:szCs w:val="2"/>
              </w:rPr>
            </w:pPr>
          </w:p>
        </w:tc>
        <w:tc>
          <w:tcPr>
            <w:tcW w:w="1646" w:type="dxa"/>
          </w:tcPr>
          <w:p>
            <w:pPr>
              <w:pStyle w:val="TableParagraph"/>
              <w:spacing w:before="54"/>
              <w:rPr>
                <w:sz w:val="12"/>
              </w:rPr>
            </w:pPr>
          </w:p>
          <w:p>
            <w:pPr>
              <w:pStyle w:val="TableParagraph"/>
              <w:ind w:left="69"/>
              <w:rPr>
                <w:sz w:val="12"/>
              </w:rPr>
            </w:pPr>
            <w:r>
              <w:rPr>
                <w:spacing w:val="-2"/>
                <w:sz w:val="12"/>
              </w:rPr>
              <w:t>TÉCNICO</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54"/>
              <w:rPr>
                <w:sz w:val="12"/>
              </w:rPr>
            </w:pPr>
          </w:p>
          <w:p>
            <w:pPr>
              <w:pStyle w:val="TableParagraph"/>
              <w:ind w:left="10"/>
              <w:jc w:val="center"/>
              <w:rPr>
                <w:sz w:val="12"/>
              </w:rPr>
            </w:pPr>
            <w:r>
              <w:rPr>
                <w:spacing w:val="-2"/>
                <w:sz w:val="12"/>
              </w:rPr>
              <w:t>40.879,34€</w:t>
            </w:r>
          </w:p>
        </w:tc>
        <w:tc>
          <w:tcPr>
            <w:tcW w:w="1037" w:type="dxa"/>
          </w:tcPr>
          <w:p>
            <w:pPr>
              <w:pStyle w:val="TableParagraph"/>
              <w:spacing w:before="54"/>
              <w:rPr>
                <w:sz w:val="12"/>
              </w:rPr>
            </w:pPr>
          </w:p>
          <w:p>
            <w:pPr>
              <w:pStyle w:val="TableParagraph"/>
              <w:ind w:left="12"/>
              <w:jc w:val="center"/>
              <w:rPr>
                <w:sz w:val="12"/>
              </w:rPr>
            </w:pPr>
            <w:r>
              <w:rPr>
                <w:spacing w:val="-2"/>
                <w:sz w:val="12"/>
              </w:rPr>
              <w:t>37.693,51€</w:t>
            </w:r>
          </w:p>
        </w:tc>
        <w:tc>
          <w:tcPr>
            <w:tcW w:w="1003" w:type="dxa"/>
          </w:tcPr>
          <w:p>
            <w:pPr>
              <w:pStyle w:val="TableParagraph"/>
              <w:rPr>
                <w:rFonts w:ascii="Times New Roman"/>
                <w:sz w:val="16"/>
              </w:rPr>
            </w:pPr>
          </w:p>
        </w:tc>
        <w:tc>
          <w:tcPr>
            <w:tcW w:w="1015" w:type="dxa"/>
          </w:tcPr>
          <w:p>
            <w:pPr>
              <w:pStyle w:val="TableParagraph"/>
              <w:rPr>
                <w:rFonts w:ascii="Times New Roman"/>
                <w:sz w:val="16"/>
              </w:rPr>
            </w:pPr>
          </w:p>
        </w:tc>
      </w:tr>
      <w:tr>
        <w:trPr>
          <w:trHeight w:val="302" w:hRule="atLeast"/>
        </w:trPr>
        <w:tc>
          <w:tcPr>
            <w:tcW w:w="900" w:type="dxa"/>
            <w:vMerge w:val="restart"/>
          </w:tcPr>
          <w:p>
            <w:pPr>
              <w:pStyle w:val="TableParagraph"/>
              <w:rPr>
                <w:sz w:val="12"/>
              </w:rPr>
            </w:pPr>
          </w:p>
          <w:p>
            <w:pPr>
              <w:pStyle w:val="TableParagraph"/>
              <w:spacing w:before="31"/>
              <w:rPr>
                <w:sz w:val="12"/>
              </w:rPr>
            </w:pPr>
          </w:p>
          <w:p>
            <w:pPr>
              <w:pStyle w:val="TableParagraph"/>
              <w:spacing w:line="362" w:lineRule="auto"/>
              <w:ind w:left="223" w:hanging="60"/>
              <w:rPr>
                <w:b/>
                <w:sz w:val="12"/>
              </w:rPr>
            </w:pPr>
            <w:r>
              <w:rPr>
                <w:b/>
                <w:spacing w:val="-2"/>
                <w:sz w:val="12"/>
              </w:rPr>
              <w:t>GRUPO</w:t>
            </w:r>
            <w:r>
              <w:rPr>
                <w:b/>
                <w:spacing w:val="-7"/>
                <w:sz w:val="12"/>
              </w:rPr>
              <w:t> </w:t>
            </w:r>
            <w:r>
              <w:rPr>
                <w:b/>
                <w:spacing w:val="-2"/>
                <w:sz w:val="12"/>
              </w:rPr>
              <w:t>III</w:t>
            </w:r>
            <w:r>
              <w:rPr>
                <w:b/>
                <w:spacing w:val="40"/>
                <w:sz w:val="12"/>
              </w:rPr>
              <w:t> </w:t>
            </w:r>
            <w:r>
              <w:rPr>
                <w:b/>
                <w:spacing w:val="-2"/>
                <w:sz w:val="12"/>
              </w:rPr>
              <w:t>MANDO</w:t>
            </w:r>
          </w:p>
        </w:tc>
        <w:tc>
          <w:tcPr>
            <w:tcW w:w="1646" w:type="dxa"/>
          </w:tcPr>
          <w:p>
            <w:pPr>
              <w:pStyle w:val="TableParagraph"/>
              <w:spacing w:before="45"/>
              <w:ind w:left="69"/>
              <w:rPr>
                <w:sz w:val="12"/>
              </w:rPr>
            </w:pPr>
            <w:r>
              <w:rPr>
                <w:sz w:val="12"/>
              </w:rPr>
              <w:t>MANDO</w:t>
            </w:r>
            <w:r>
              <w:rPr>
                <w:spacing w:val="-3"/>
                <w:sz w:val="12"/>
              </w:rPr>
              <w:t> </w:t>
            </w:r>
            <w:r>
              <w:rPr>
                <w:sz w:val="12"/>
              </w:rPr>
              <w:t>DE</w:t>
            </w:r>
            <w:r>
              <w:rPr>
                <w:spacing w:val="-2"/>
                <w:sz w:val="12"/>
              </w:rPr>
              <w:t> MOVIMIENTO</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45"/>
              <w:ind w:left="10"/>
              <w:jc w:val="center"/>
              <w:rPr>
                <w:sz w:val="12"/>
              </w:rPr>
            </w:pPr>
            <w:r>
              <w:rPr>
                <w:spacing w:val="-2"/>
                <w:sz w:val="12"/>
              </w:rPr>
              <w:t>53.768,75€</w:t>
            </w:r>
          </w:p>
        </w:tc>
        <w:tc>
          <w:tcPr>
            <w:tcW w:w="1037" w:type="dxa"/>
          </w:tcPr>
          <w:p>
            <w:pPr>
              <w:pStyle w:val="TableParagraph"/>
              <w:rPr>
                <w:rFonts w:ascii="Times New Roman"/>
                <w:sz w:val="16"/>
              </w:rPr>
            </w:pPr>
          </w:p>
        </w:tc>
        <w:tc>
          <w:tcPr>
            <w:tcW w:w="1003" w:type="dxa"/>
          </w:tcPr>
          <w:p>
            <w:pPr>
              <w:pStyle w:val="TableParagraph"/>
              <w:spacing w:before="45"/>
              <w:ind w:left="13"/>
              <w:jc w:val="center"/>
              <w:rPr>
                <w:sz w:val="12"/>
              </w:rPr>
            </w:pPr>
            <w:r>
              <w:rPr>
                <w:spacing w:val="-2"/>
                <w:sz w:val="12"/>
              </w:rPr>
              <w:t>62.797,82€</w:t>
            </w:r>
          </w:p>
        </w:tc>
        <w:tc>
          <w:tcPr>
            <w:tcW w:w="1015" w:type="dxa"/>
          </w:tcPr>
          <w:p>
            <w:pPr>
              <w:pStyle w:val="TableParagraph"/>
              <w:rPr>
                <w:rFonts w:ascii="Times New Roman"/>
                <w:sz w:val="16"/>
              </w:rPr>
            </w:pPr>
          </w:p>
        </w:tc>
      </w:tr>
      <w:tr>
        <w:trPr>
          <w:trHeight w:val="301" w:hRule="atLeast"/>
        </w:trPr>
        <w:tc>
          <w:tcPr>
            <w:tcW w:w="900" w:type="dxa"/>
            <w:vMerge/>
            <w:tcBorders>
              <w:top w:val="nil"/>
            </w:tcBorders>
          </w:tcPr>
          <w:p>
            <w:pPr>
              <w:rPr>
                <w:sz w:val="2"/>
                <w:szCs w:val="2"/>
              </w:rPr>
            </w:pPr>
          </w:p>
        </w:tc>
        <w:tc>
          <w:tcPr>
            <w:tcW w:w="1646" w:type="dxa"/>
          </w:tcPr>
          <w:p>
            <w:pPr>
              <w:pStyle w:val="TableParagraph"/>
              <w:spacing w:before="45"/>
              <w:ind w:left="69"/>
              <w:rPr>
                <w:sz w:val="12"/>
              </w:rPr>
            </w:pPr>
            <w:r>
              <w:rPr>
                <w:sz w:val="12"/>
              </w:rPr>
              <w:t>MANDO</w:t>
            </w:r>
            <w:r>
              <w:rPr>
                <w:spacing w:val="-4"/>
                <w:sz w:val="12"/>
              </w:rPr>
              <w:t> </w:t>
            </w:r>
            <w:r>
              <w:rPr>
                <w:sz w:val="12"/>
              </w:rPr>
              <w:t>DE</w:t>
            </w:r>
            <w:r>
              <w:rPr>
                <w:spacing w:val="-3"/>
                <w:sz w:val="12"/>
              </w:rPr>
              <w:t> </w:t>
            </w:r>
            <w:r>
              <w:rPr>
                <w:spacing w:val="-2"/>
                <w:sz w:val="12"/>
              </w:rPr>
              <w:t>TALLER</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45"/>
              <w:ind w:left="10"/>
              <w:jc w:val="center"/>
              <w:rPr>
                <w:sz w:val="12"/>
              </w:rPr>
            </w:pPr>
            <w:r>
              <w:rPr>
                <w:spacing w:val="-2"/>
                <w:sz w:val="12"/>
              </w:rPr>
              <w:t>59.142,66€</w:t>
            </w:r>
          </w:p>
        </w:tc>
        <w:tc>
          <w:tcPr>
            <w:tcW w:w="1037" w:type="dxa"/>
          </w:tcPr>
          <w:p>
            <w:pPr>
              <w:pStyle w:val="TableParagraph"/>
              <w:rPr>
                <w:rFonts w:ascii="Times New Roman"/>
                <w:sz w:val="16"/>
              </w:rPr>
            </w:pPr>
          </w:p>
        </w:tc>
        <w:tc>
          <w:tcPr>
            <w:tcW w:w="1003" w:type="dxa"/>
          </w:tcPr>
          <w:p>
            <w:pPr>
              <w:pStyle w:val="TableParagraph"/>
              <w:spacing w:before="45"/>
              <w:ind w:left="13"/>
              <w:jc w:val="center"/>
              <w:rPr>
                <w:sz w:val="12"/>
              </w:rPr>
            </w:pPr>
            <w:r>
              <w:rPr>
                <w:spacing w:val="-2"/>
                <w:sz w:val="12"/>
              </w:rPr>
              <w:t>56.277,24€</w:t>
            </w:r>
          </w:p>
        </w:tc>
        <w:tc>
          <w:tcPr>
            <w:tcW w:w="1015" w:type="dxa"/>
          </w:tcPr>
          <w:p>
            <w:pPr>
              <w:pStyle w:val="TableParagraph"/>
              <w:rPr>
                <w:rFonts w:ascii="Times New Roman"/>
                <w:sz w:val="16"/>
              </w:rPr>
            </w:pPr>
          </w:p>
        </w:tc>
      </w:tr>
      <w:tr>
        <w:trPr>
          <w:trHeight w:val="414" w:hRule="atLeast"/>
        </w:trPr>
        <w:tc>
          <w:tcPr>
            <w:tcW w:w="900" w:type="dxa"/>
            <w:vMerge/>
            <w:tcBorders>
              <w:top w:val="nil"/>
            </w:tcBorders>
          </w:tcPr>
          <w:p>
            <w:pPr>
              <w:rPr>
                <w:sz w:val="2"/>
                <w:szCs w:val="2"/>
              </w:rPr>
            </w:pPr>
          </w:p>
        </w:tc>
        <w:tc>
          <w:tcPr>
            <w:tcW w:w="1646" w:type="dxa"/>
          </w:tcPr>
          <w:p>
            <w:pPr>
              <w:pStyle w:val="TableParagraph"/>
              <w:spacing w:line="136" w:lineRule="exact"/>
              <w:ind w:left="69"/>
              <w:rPr>
                <w:sz w:val="12"/>
              </w:rPr>
            </w:pPr>
            <w:r>
              <w:rPr>
                <w:sz w:val="12"/>
              </w:rPr>
              <w:t>MANDO</w:t>
            </w:r>
            <w:r>
              <w:rPr>
                <w:spacing w:val="-5"/>
                <w:sz w:val="12"/>
              </w:rPr>
              <w:t> DE</w:t>
            </w:r>
          </w:p>
          <w:p>
            <w:pPr>
              <w:pStyle w:val="TableParagraph"/>
              <w:spacing w:before="71"/>
              <w:ind w:left="69"/>
              <w:rPr>
                <w:sz w:val="12"/>
              </w:rPr>
            </w:pPr>
            <w:r>
              <w:rPr>
                <w:spacing w:val="-2"/>
                <w:sz w:val="12"/>
              </w:rPr>
              <w:t>ADMINISTRACIÓN</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101"/>
              <w:ind w:left="10"/>
              <w:jc w:val="center"/>
              <w:rPr>
                <w:sz w:val="12"/>
              </w:rPr>
            </w:pPr>
            <w:r>
              <w:rPr>
                <w:spacing w:val="-2"/>
                <w:sz w:val="12"/>
              </w:rPr>
              <w:t>46.753,49€</w:t>
            </w:r>
          </w:p>
        </w:tc>
        <w:tc>
          <w:tcPr>
            <w:tcW w:w="1037" w:type="dxa"/>
          </w:tcPr>
          <w:p>
            <w:pPr>
              <w:pStyle w:val="TableParagraph"/>
              <w:spacing w:before="101"/>
              <w:ind w:left="12"/>
              <w:jc w:val="center"/>
              <w:rPr>
                <w:sz w:val="12"/>
              </w:rPr>
            </w:pPr>
            <w:r>
              <w:rPr>
                <w:spacing w:val="-2"/>
                <w:sz w:val="12"/>
              </w:rPr>
              <w:t>41.438,01€</w:t>
            </w:r>
          </w:p>
        </w:tc>
        <w:tc>
          <w:tcPr>
            <w:tcW w:w="1003" w:type="dxa"/>
          </w:tcPr>
          <w:p>
            <w:pPr>
              <w:pStyle w:val="TableParagraph"/>
              <w:spacing w:before="101"/>
              <w:ind w:left="13"/>
              <w:jc w:val="center"/>
              <w:rPr>
                <w:sz w:val="12"/>
              </w:rPr>
            </w:pPr>
            <w:r>
              <w:rPr>
                <w:spacing w:val="-2"/>
                <w:sz w:val="12"/>
              </w:rPr>
              <w:t>47.143,58€</w:t>
            </w:r>
          </w:p>
        </w:tc>
        <w:tc>
          <w:tcPr>
            <w:tcW w:w="1015" w:type="dxa"/>
          </w:tcPr>
          <w:p>
            <w:pPr>
              <w:pStyle w:val="TableParagraph"/>
              <w:spacing w:before="101"/>
              <w:ind w:right="194"/>
              <w:jc w:val="right"/>
              <w:rPr>
                <w:sz w:val="12"/>
              </w:rPr>
            </w:pPr>
            <w:r>
              <w:rPr>
                <w:spacing w:val="-2"/>
                <w:sz w:val="12"/>
              </w:rPr>
              <w:t>50.633,43€</w:t>
            </w:r>
          </w:p>
        </w:tc>
      </w:tr>
      <w:tr>
        <w:trPr>
          <w:trHeight w:val="414" w:hRule="atLeast"/>
        </w:trPr>
        <w:tc>
          <w:tcPr>
            <w:tcW w:w="900" w:type="dxa"/>
            <w:vMerge w:val="restart"/>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5"/>
              <w:rPr>
                <w:sz w:val="12"/>
              </w:rPr>
            </w:pPr>
          </w:p>
          <w:p>
            <w:pPr>
              <w:pStyle w:val="TableParagraph"/>
              <w:spacing w:line="360" w:lineRule="auto"/>
              <w:ind w:left="242" w:right="137" w:hanging="87"/>
              <w:rPr>
                <w:b/>
                <w:sz w:val="12"/>
              </w:rPr>
            </w:pPr>
            <w:r>
              <w:rPr>
                <w:b/>
                <w:sz w:val="12"/>
              </w:rPr>
              <w:t>GRUPO</w:t>
            </w:r>
            <w:r>
              <w:rPr>
                <w:b/>
                <w:spacing w:val="-9"/>
                <w:sz w:val="12"/>
              </w:rPr>
              <w:t> </w:t>
            </w:r>
            <w:r>
              <w:rPr>
                <w:b/>
                <w:sz w:val="12"/>
              </w:rPr>
              <w:t>IV</w:t>
            </w:r>
            <w:r>
              <w:rPr>
                <w:b/>
                <w:spacing w:val="40"/>
                <w:sz w:val="12"/>
              </w:rPr>
              <w:t> </w:t>
            </w:r>
            <w:r>
              <w:rPr>
                <w:b/>
                <w:spacing w:val="-2"/>
                <w:sz w:val="12"/>
              </w:rPr>
              <w:t>OFICIO</w:t>
            </w:r>
          </w:p>
        </w:tc>
        <w:tc>
          <w:tcPr>
            <w:tcW w:w="1646" w:type="dxa"/>
          </w:tcPr>
          <w:p>
            <w:pPr>
              <w:pStyle w:val="TableParagraph"/>
              <w:spacing w:line="136" w:lineRule="exact"/>
              <w:ind w:left="69"/>
              <w:rPr>
                <w:sz w:val="12"/>
              </w:rPr>
            </w:pPr>
            <w:r>
              <w:rPr>
                <w:spacing w:val="-2"/>
                <w:sz w:val="12"/>
              </w:rPr>
              <w:t>CONDUCTOR</w:t>
            </w:r>
          </w:p>
          <w:p>
            <w:pPr>
              <w:pStyle w:val="TableParagraph"/>
              <w:spacing w:before="68"/>
              <w:ind w:left="69"/>
              <w:rPr>
                <w:sz w:val="12"/>
              </w:rPr>
            </w:pPr>
            <w:r>
              <w:rPr>
                <w:spacing w:val="-2"/>
                <w:sz w:val="12"/>
              </w:rPr>
              <w:t>PERCEPTOR</w:t>
            </w:r>
          </w:p>
        </w:tc>
        <w:tc>
          <w:tcPr>
            <w:tcW w:w="818" w:type="dxa"/>
          </w:tcPr>
          <w:p>
            <w:pPr>
              <w:pStyle w:val="TableParagraph"/>
              <w:spacing w:before="101"/>
              <w:ind w:left="14"/>
              <w:jc w:val="center"/>
              <w:rPr>
                <w:sz w:val="12"/>
              </w:rPr>
            </w:pPr>
            <w:r>
              <w:rPr>
                <w:spacing w:val="-2"/>
                <w:sz w:val="12"/>
              </w:rPr>
              <w:t>27.506,74€</w:t>
            </w:r>
          </w:p>
        </w:tc>
        <w:tc>
          <w:tcPr>
            <w:tcW w:w="1039" w:type="dxa"/>
          </w:tcPr>
          <w:p>
            <w:pPr>
              <w:pStyle w:val="TableParagraph"/>
              <w:rPr>
                <w:rFonts w:ascii="Times New Roman"/>
                <w:sz w:val="16"/>
              </w:rPr>
            </w:pPr>
          </w:p>
        </w:tc>
        <w:tc>
          <w:tcPr>
            <w:tcW w:w="1039" w:type="dxa"/>
          </w:tcPr>
          <w:p>
            <w:pPr>
              <w:pStyle w:val="TableParagraph"/>
              <w:spacing w:before="101"/>
              <w:ind w:left="10"/>
              <w:jc w:val="center"/>
              <w:rPr>
                <w:sz w:val="12"/>
              </w:rPr>
            </w:pPr>
            <w:r>
              <w:rPr>
                <w:spacing w:val="-2"/>
                <w:sz w:val="12"/>
              </w:rPr>
              <w:t>36.834,53€</w:t>
            </w:r>
          </w:p>
        </w:tc>
        <w:tc>
          <w:tcPr>
            <w:tcW w:w="1037" w:type="dxa"/>
          </w:tcPr>
          <w:p>
            <w:pPr>
              <w:pStyle w:val="TableParagraph"/>
              <w:spacing w:before="101"/>
              <w:ind w:left="12"/>
              <w:jc w:val="center"/>
              <w:rPr>
                <w:sz w:val="12"/>
              </w:rPr>
            </w:pPr>
            <w:r>
              <w:rPr>
                <w:spacing w:val="-2"/>
                <w:sz w:val="12"/>
              </w:rPr>
              <w:t>34.275,61€</w:t>
            </w:r>
          </w:p>
        </w:tc>
        <w:tc>
          <w:tcPr>
            <w:tcW w:w="1003" w:type="dxa"/>
          </w:tcPr>
          <w:p>
            <w:pPr>
              <w:pStyle w:val="TableParagraph"/>
              <w:spacing w:before="101"/>
              <w:ind w:left="13"/>
              <w:jc w:val="center"/>
              <w:rPr>
                <w:sz w:val="12"/>
              </w:rPr>
            </w:pPr>
            <w:r>
              <w:rPr>
                <w:spacing w:val="-2"/>
                <w:sz w:val="12"/>
              </w:rPr>
              <w:t>42.966,08€</w:t>
            </w:r>
          </w:p>
        </w:tc>
        <w:tc>
          <w:tcPr>
            <w:tcW w:w="1015" w:type="dxa"/>
          </w:tcPr>
          <w:p>
            <w:pPr>
              <w:pStyle w:val="TableParagraph"/>
              <w:spacing w:before="101"/>
              <w:ind w:right="194"/>
              <w:jc w:val="right"/>
              <w:rPr>
                <w:sz w:val="12"/>
              </w:rPr>
            </w:pPr>
            <w:r>
              <w:rPr>
                <w:spacing w:val="-2"/>
                <w:sz w:val="12"/>
              </w:rPr>
              <w:t>36.152,30€</w:t>
            </w:r>
          </w:p>
        </w:tc>
      </w:tr>
      <w:tr>
        <w:trPr>
          <w:trHeight w:val="302" w:hRule="atLeast"/>
        </w:trPr>
        <w:tc>
          <w:tcPr>
            <w:tcW w:w="900" w:type="dxa"/>
            <w:vMerge/>
            <w:tcBorders>
              <w:top w:val="nil"/>
            </w:tcBorders>
          </w:tcPr>
          <w:p>
            <w:pPr>
              <w:rPr>
                <w:sz w:val="2"/>
                <w:szCs w:val="2"/>
              </w:rPr>
            </w:pPr>
          </w:p>
        </w:tc>
        <w:tc>
          <w:tcPr>
            <w:tcW w:w="1646" w:type="dxa"/>
          </w:tcPr>
          <w:p>
            <w:pPr>
              <w:pStyle w:val="TableParagraph"/>
              <w:spacing w:before="43"/>
              <w:ind w:left="69"/>
              <w:rPr>
                <w:sz w:val="12"/>
              </w:rPr>
            </w:pPr>
            <w:r>
              <w:rPr>
                <w:sz w:val="12"/>
              </w:rPr>
              <w:t>INSPECTOR</w:t>
            </w:r>
            <w:r>
              <w:rPr>
                <w:spacing w:val="-4"/>
                <w:sz w:val="12"/>
              </w:rPr>
              <w:t> </w:t>
            </w:r>
            <w:r>
              <w:rPr>
                <w:sz w:val="12"/>
              </w:rPr>
              <w:t>DE</w:t>
            </w:r>
            <w:r>
              <w:rPr>
                <w:spacing w:val="-3"/>
                <w:sz w:val="12"/>
              </w:rPr>
              <w:t> </w:t>
            </w:r>
            <w:r>
              <w:rPr>
                <w:spacing w:val="-2"/>
                <w:sz w:val="12"/>
              </w:rPr>
              <w:t>CALIDAD</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rPr>
                <w:rFonts w:ascii="Times New Roman"/>
                <w:sz w:val="16"/>
              </w:rPr>
            </w:pPr>
          </w:p>
        </w:tc>
        <w:tc>
          <w:tcPr>
            <w:tcW w:w="1037" w:type="dxa"/>
          </w:tcPr>
          <w:p>
            <w:pPr>
              <w:pStyle w:val="TableParagraph"/>
              <w:rPr>
                <w:rFonts w:ascii="Times New Roman"/>
                <w:sz w:val="16"/>
              </w:rPr>
            </w:pPr>
          </w:p>
        </w:tc>
        <w:tc>
          <w:tcPr>
            <w:tcW w:w="1003" w:type="dxa"/>
          </w:tcPr>
          <w:p>
            <w:pPr>
              <w:pStyle w:val="TableParagraph"/>
              <w:rPr>
                <w:rFonts w:ascii="Times New Roman"/>
                <w:sz w:val="16"/>
              </w:rPr>
            </w:pPr>
          </w:p>
        </w:tc>
        <w:tc>
          <w:tcPr>
            <w:tcW w:w="1015" w:type="dxa"/>
          </w:tcPr>
          <w:p>
            <w:pPr>
              <w:pStyle w:val="TableParagraph"/>
              <w:rPr>
                <w:rFonts w:ascii="Times New Roman"/>
                <w:sz w:val="16"/>
              </w:rPr>
            </w:pPr>
          </w:p>
        </w:tc>
      </w:tr>
      <w:tr>
        <w:trPr>
          <w:trHeight w:val="412" w:hRule="atLeast"/>
        </w:trPr>
        <w:tc>
          <w:tcPr>
            <w:tcW w:w="900" w:type="dxa"/>
            <w:vMerge/>
            <w:tcBorders>
              <w:top w:val="nil"/>
            </w:tcBorders>
          </w:tcPr>
          <w:p>
            <w:pPr>
              <w:rPr>
                <w:sz w:val="2"/>
                <w:szCs w:val="2"/>
              </w:rPr>
            </w:pPr>
          </w:p>
        </w:tc>
        <w:tc>
          <w:tcPr>
            <w:tcW w:w="1646" w:type="dxa"/>
          </w:tcPr>
          <w:p>
            <w:pPr>
              <w:pStyle w:val="TableParagraph"/>
              <w:spacing w:line="136" w:lineRule="exact"/>
              <w:ind w:left="69"/>
              <w:rPr>
                <w:sz w:val="12"/>
              </w:rPr>
            </w:pPr>
            <w:r>
              <w:rPr>
                <w:sz w:val="12"/>
              </w:rPr>
              <w:t>OFICIAL</w:t>
            </w:r>
            <w:r>
              <w:rPr>
                <w:spacing w:val="-2"/>
                <w:sz w:val="12"/>
              </w:rPr>
              <w:t> TALLER</w:t>
            </w:r>
          </w:p>
          <w:p>
            <w:pPr>
              <w:pStyle w:val="TableParagraph"/>
              <w:spacing w:before="68"/>
              <w:ind w:left="69"/>
              <w:rPr>
                <w:sz w:val="12"/>
              </w:rPr>
            </w:pPr>
            <w:r>
              <w:rPr>
                <w:spacing w:val="-2"/>
                <w:sz w:val="12"/>
              </w:rPr>
              <w:t>ESPECIALISTA</w:t>
            </w:r>
          </w:p>
        </w:tc>
        <w:tc>
          <w:tcPr>
            <w:tcW w:w="818" w:type="dxa"/>
          </w:tcPr>
          <w:p>
            <w:pPr>
              <w:pStyle w:val="TableParagraph"/>
              <w:spacing w:before="101"/>
              <w:ind w:left="14"/>
              <w:jc w:val="center"/>
              <w:rPr>
                <w:sz w:val="12"/>
              </w:rPr>
            </w:pPr>
            <w:r>
              <w:rPr>
                <w:spacing w:val="-2"/>
                <w:sz w:val="12"/>
              </w:rPr>
              <w:t>26.640,21€</w:t>
            </w:r>
          </w:p>
        </w:tc>
        <w:tc>
          <w:tcPr>
            <w:tcW w:w="1039" w:type="dxa"/>
          </w:tcPr>
          <w:p>
            <w:pPr>
              <w:pStyle w:val="TableParagraph"/>
              <w:rPr>
                <w:rFonts w:ascii="Times New Roman"/>
                <w:sz w:val="16"/>
              </w:rPr>
            </w:pPr>
          </w:p>
        </w:tc>
        <w:tc>
          <w:tcPr>
            <w:tcW w:w="1039" w:type="dxa"/>
          </w:tcPr>
          <w:p>
            <w:pPr>
              <w:pStyle w:val="TableParagraph"/>
              <w:spacing w:before="101"/>
              <w:ind w:left="10"/>
              <w:jc w:val="center"/>
              <w:rPr>
                <w:sz w:val="12"/>
              </w:rPr>
            </w:pPr>
            <w:r>
              <w:rPr>
                <w:spacing w:val="-2"/>
                <w:sz w:val="12"/>
              </w:rPr>
              <w:t>38.599,23€</w:t>
            </w:r>
          </w:p>
        </w:tc>
        <w:tc>
          <w:tcPr>
            <w:tcW w:w="1037" w:type="dxa"/>
          </w:tcPr>
          <w:p>
            <w:pPr>
              <w:pStyle w:val="TableParagraph"/>
              <w:spacing w:before="101"/>
              <w:ind w:left="12"/>
              <w:jc w:val="center"/>
              <w:rPr>
                <w:sz w:val="12"/>
              </w:rPr>
            </w:pPr>
            <w:r>
              <w:rPr>
                <w:spacing w:val="-2"/>
                <w:sz w:val="12"/>
              </w:rPr>
              <w:t>39.655,61€</w:t>
            </w:r>
          </w:p>
        </w:tc>
        <w:tc>
          <w:tcPr>
            <w:tcW w:w="1003" w:type="dxa"/>
          </w:tcPr>
          <w:p>
            <w:pPr>
              <w:pStyle w:val="TableParagraph"/>
              <w:spacing w:before="101"/>
              <w:ind w:left="13"/>
              <w:jc w:val="center"/>
              <w:rPr>
                <w:sz w:val="12"/>
              </w:rPr>
            </w:pPr>
            <w:r>
              <w:rPr>
                <w:spacing w:val="-2"/>
                <w:sz w:val="12"/>
              </w:rPr>
              <w:t>44.088,48€</w:t>
            </w:r>
          </w:p>
        </w:tc>
        <w:tc>
          <w:tcPr>
            <w:tcW w:w="1015" w:type="dxa"/>
          </w:tcPr>
          <w:p>
            <w:pPr>
              <w:pStyle w:val="TableParagraph"/>
              <w:rPr>
                <w:rFonts w:ascii="Times New Roman"/>
                <w:sz w:val="16"/>
              </w:rPr>
            </w:pPr>
          </w:p>
        </w:tc>
      </w:tr>
      <w:tr>
        <w:trPr>
          <w:trHeight w:val="302" w:hRule="atLeast"/>
        </w:trPr>
        <w:tc>
          <w:tcPr>
            <w:tcW w:w="900" w:type="dxa"/>
            <w:vMerge/>
            <w:tcBorders>
              <w:top w:val="nil"/>
            </w:tcBorders>
          </w:tcPr>
          <w:p>
            <w:pPr>
              <w:rPr>
                <w:sz w:val="2"/>
                <w:szCs w:val="2"/>
              </w:rPr>
            </w:pPr>
          </w:p>
        </w:tc>
        <w:tc>
          <w:tcPr>
            <w:tcW w:w="1646" w:type="dxa"/>
          </w:tcPr>
          <w:p>
            <w:pPr>
              <w:pStyle w:val="TableParagraph"/>
              <w:spacing w:before="45"/>
              <w:ind w:left="69"/>
              <w:rPr>
                <w:sz w:val="12"/>
              </w:rPr>
            </w:pPr>
            <w:r>
              <w:rPr>
                <w:sz w:val="12"/>
              </w:rPr>
              <w:t>AUXILIAR</w:t>
            </w:r>
            <w:r>
              <w:rPr>
                <w:spacing w:val="-7"/>
                <w:sz w:val="12"/>
              </w:rPr>
              <w:t> </w:t>
            </w:r>
            <w:r>
              <w:rPr>
                <w:spacing w:val="-2"/>
                <w:sz w:val="12"/>
              </w:rPr>
              <w:t>TALLER</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rPr>
                <w:rFonts w:ascii="Times New Roman"/>
                <w:sz w:val="16"/>
              </w:rPr>
            </w:pPr>
          </w:p>
        </w:tc>
        <w:tc>
          <w:tcPr>
            <w:tcW w:w="1037" w:type="dxa"/>
          </w:tcPr>
          <w:p>
            <w:pPr>
              <w:pStyle w:val="TableParagraph"/>
              <w:rPr>
                <w:rFonts w:ascii="Times New Roman"/>
                <w:sz w:val="16"/>
              </w:rPr>
            </w:pPr>
          </w:p>
        </w:tc>
        <w:tc>
          <w:tcPr>
            <w:tcW w:w="1003" w:type="dxa"/>
          </w:tcPr>
          <w:p>
            <w:pPr>
              <w:pStyle w:val="TableParagraph"/>
              <w:rPr>
                <w:rFonts w:ascii="Times New Roman"/>
                <w:sz w:val="16"/>
              </w:rPr>
            </w:pPr>
          </w:p>
        </w:tc>
        <w:tc>
          <w:tcPr>
            <w:tcW w:w="1015" w:type="dxa"/>
          </w:tcPr>
          <w:p>
            <w:pPr>
              <w:pStyle w:val="TableParagraph"/>
              <w:rPr>
                <w:rFonts w:ascii="Times New Roman"/>
                <w:sz w:val="16"/>
              </w:rPr>
            </w:pPr>
          </w:p>
        </w:tc>
      </w:tr>
      <w:tr>
        <w:trPr>
          <w:trHeight w:val="414" w:hRule="atLeast"/>
        </w:trPr>
        <w:tc>
          <w:tcPr>
            <w:tcW w:w="900" w:type="dxa"/>
            <w:vMerge/>
            <w:tcBorders>
              <w:top w:val="nil"/>
            </w:tcBorders>
          </w:tcPr>
          <w:p>
            <w:pPr>
              <w:rPr>
                <w:sz w:val="2"/>
                <w:szCs w:val="2"/>
              </w:rPr>
            </w:pPr>
          </w:p>
        </w:tc>
        <w:tc>
          <w:tcPr>
            <w:tcW w:w="1646" w:type="dxa"/>
          </w:tcPr>
          <w:p>
            <w:pPr>
              <w:pStyle w:val="TableParagraph"/>
              <w:spacing w:line="136" w:lineRule="exact"/>
              <w:ind w:left="69"/>
              <w:rPr>
                <w:sz w:val="12"/>
              </w:rPr>
            </w:pPr>
            <w:r>
              <w:rPr>
                <w:spacing w:val="-2"/>
                <w:sz w:val="12"/>
              </w:rPr>
              <w:t>OFICIAL</w:t>
            </w:r>
          </w:p>
          <w:p>
            <w:pPr>
              <w:pStyle w:val="TableParagraph"/>
              <w:spacing w:before="71"/>
              <w:ind w:left="69"/>
              <w:rPr>
                <w:sz w:val="12"/>
              </w:rPr>
            </w:pPr>
            <w:r>
              <w:rPr>
                <w:sz w:val="12"/>
              </w:rPr>
              <w:t>ADMINISTRACIÓN</w:t>
            </w:r>
            <w:r>
              <w:rPr>
                <w:spacing w:val="-5"/>
                <w:sz w:val="12"/>
              </w:rPr>
              <w:t> </w:t>
            </w:r>
            <w:r>
              <w:rPr>
                <w:spacing w:val="-4"/>
                <w:sz w:val="12"/>
              </w:rPr>
              <w:t>ESPE.</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spacing w:before="101"/>
              <w:ind w:left="10"/>
              <w:jc w:val="center"/>
              <w:rPr>
                <w:sz w:val="12"/>
              </w:rPr>
            </w:pPr>
            <w:r>
              <w:rPr>
                <w:spacing w:val="-2"/>
                <w:sz w:val="12"/>
              </w:rPr>
              <w:t>30.962,06€</w:t>
            </w:r>
          </w:p>
        </w:tc>
        <w:tc>
          <w:tcPr>
            <w:tcW w:w="1037" w:type="dxa"/>
          </w:tcPr>
          <w:p>
            <w:pPr>
              <w:pStyle w:val="TableParagraph"/>
              <w:spacing w:before="101"/>
              <w:ind w:left="12"/>
              <w:jc w:val="center"/>
              <w:rPr>
                <w:sz w:val="12"/>
              </w:rPr>
            </w:pPr>
            <w:r>
              <w:rPr>
                <w:spacing w:val="-2"/>
                <w:sz w:val="12"/>
              </w:rPr>
              <w:t>35.333,98€</w:t>
            </w:r>
          </w:p>
        </w:tc>
        <w:tc>
          <w:tcPr>
            <w:tcW w:w="1003" w:type="dxa"/>
          </w:tcPr>
          <w:p>
            <w:pPr>
              <w:pStyle w:val="TableParagraph"/>
              <w:spacing w:before="101"/>
              <w:ind w:left="13"/>
              <w:jc w:val="center"/>
              <w:rPr>
                <w:sz w:val="12"/>
              </w:rPr>
            </w:pPr>
            <w:r>
              <w:rPr>
                <w:spacing w:val="-2"/>
                <w:sz w:val="12"/>
              </w:rPr>
              <w:t>46.006,58€</w:t>
            </w:r>
          </w:p>
        </w:tc>
        <w:tc>
          <w:tcPr>
            <w:tcW w:w="1015" w:type="dxa"/>
          </w:tcPr>
          <w:p>
            <w:pPr>
              <w:pStyle w:val="TableParagraph"/>
              <w:spacing w:before="101"/>
              <w:ind w:left="70"/>
              <w:rPr>
                <w:sz w:val="12"/>
              </w:rPr>
            </w:pPr>
            <w:r>
              <w:rPr>
                <w:spacing w:val="-2"/>
                <w:sz w:val="12"/>
              </w:rPr>
              <w:t>35.507,10€</w:t>
            </w:r>
          </w:p>
        </w:tc>
      </w:tr>
      <w:tr>
        <w:trPr>
          <w:trHeight w:val="414" w:hRule="atLeast"/>
        </w:trPr>
        <w:tc>
          <w:tcPr>
            <w:tcW w:w="900" w:type="dxa"/>
            <w:vMerge/>
            <w:tcBorders>
              <w:top w:val="nil"/>
            </w:tcBorders>
          </w:tcPr>
          <w:p>
            <w:pPr>
              <w:rPr>
                <w:sz w:val="2"/>
                <w:szCs w:val="2"/>
              </w:rPr>
            </w:pPr>
          </w:p>
        </w:tc>
        <w:tc>
          <w:tcPr>
            <w:tcW w:w="1646" w:type="dxa"/>
          </w:tcPr>
          <w:p>
            <w:pPr>
              <w:pStyle w:val="TableParagraph"/>
              <w:spacing w:line="136" w:lineRule="exact"/>
              <w:ind w:left="69"/>
              <w:rPr>
                <w:sz w:val="12"/>
              </w:rPr>
            </w:pPr>
            <w:r>
              <w:rPr>
                <w:spacing w:val="-2"/>
                <w:sz w:val="12"/>
              </w:rPr>
              <w:t>AUXILIAR</w:t>
            </w:r>
          </w:p>
          <w:p>
            <w:pPr>
              <w:pStyle w:val="TableParagraph"/>
              <w:spacing w:before="68"/>
              <w:ind w:left="69"/>
              <w:rPr>
                <w:sz w:val="12"/>
              </w:rPr>
            </w:pPr>
            <w:r>
              <w:rPr>
                <w:spacing w:val="-2"/>
                <w:sz w:val="12"/>
              </w:rPr>
              <w:t>ADMIN/ESPECIALISTA</w:t>
            </w:r>
          </w:p>
        </w:tc>
        <w:tc>
          <w:tcPr>
            <w:tcW w:w="818" w:type="dxa"/>
          </w:tcPr>
          <w:p>
            <w:pPr>
              <w:pStyle w:val="TableParagraph"/>
              <w:rPr>
                <w:rFonts w:ascii="Times New Roman"/>
                <w:sz w:val="16"/>
              </w:rPr>
            </w:pPr>
          </w:p>
        </w:tc>
        <w:tc>
          <w:tcPr>
            <w:tcW w:w="1039" w:type="dxa"/>
          </w:tcPr>
          <w:p>
            <w:pPr>
              <w:pStyle w:val="TableParagraph"/>
              <w:rPr>
                <w:rFonts w:ascii="Times New Roman"/>
                <w:sz w:val="16"/>
              </w:rPr>
            </w:pPr>
          </w:p>
        </w:tc>
        <w:tc>
          <w:tcPr>
            <w:tcW w:w="1039" w:type="dxa"/>
          </w:tcPr>
          <w:p>
            <w:pPr>
              <w:pStyle w:val="TableParagraph"/>
              <w:rPr>
                <w:rFonts w:ascii="Times New Roman"/>
                <w:sz w:val="16"/>
              </w:rPr>
            </w:pPr>
          </w:p>
        </w:tc>
        <w:tc>
          <w:tcPr>
            <w:tcW w:w="1037" w:type="dxa"/>
          </w:tcPr>
          <w:p>
            <w:pPr>
              <w:pStyle w:val="TableParagraph"/>
              <w:rPr>
                <w:rFonts w:ascii="Times New Roman"/>
                <w:sz w:val="16"/>
              </w:rPr>
            </w:pPr>
          </w:p>
        </w:tc>
        <w:tc>
          <w:tcPr>
            <w:tcW w:w="1003" w:type="dxa"/>
          </w:tcPr>
          <w:p>
            <w:pPr>
              <w:pStyle w:val="TableParagraph"/>
              <w:rPr>
                <w:rFonts w:ascii="Times New Roman"/>
                <w:sz w:val="16"/>
              </w:rPr>
            </w:pPr>
          </w:p>
        </w:tc>
        <w:tc>
          <w:tcPr>
            <w:tcW w:w="1015" w:type="dxa"/>
          </w:tcPr>
          <w:p>
            <w:pPr>
              <w:pStyle w:val="TableParagraph"/>
              <w:rPr>
                <w:rFonts w:ascii="Times New Roman"/>
                <w:sz w:val="16"/>
              </w:rPr>
            </w:pPr>
          </w:p>
        </w:tc>
      </w:tr>
    </w:tbl>
    <w:p>
      <w:pPr>
        <w:pStyle w:val="BodyText"/>
      </w:pPr>
    </w:p>
    <w:p>
      <w:pPr>
        <w:pStyle w:val="BodyText"/>
        <w:spacing w:before="88"/>
      </w:pPr>
    </w:p>
    <w:p>
      <w:pPr>
        <w:pStyle w:val="BodyText"/>
        <w:spacing w:before="1"/>
        <w:ind w:left="1341"/>
      </w:pPr>
      <w:r>
        <w:rPr/>
        <w:t>Al igual</w:t>
      </w:r>
      <w:r>
        <w:rPr>
          <w:spacing w:val="-1"/>
        </w:rPr>
        <w:t> </w:t>
      </w:r>
      <w:r>
        <w:rPr/>
        <w:t>que el</w:t>
      </w:r>
      <w:r>
        <w:rPr>
          <w:spacing w:val="2"/>
        </w:rPr>
        <w:t> </w:t>
      </w:r>
      <w:r>
        <w:rPr/>
        <w:t>pasado</w:t>
      </w:r>
      <w:r>
        <w:rPr>
          <w:spacing w:val="1"/>
        </w:rPr>
        <w:t> </w:t>
      </w:r>
      <w:r>
        <w:rPr/>
        <w:t>ejercicio</w:t>
      </w:r>
      <w:r>
        <w:rPr>
          <w:spacing w:val="-2"/>
        </w:rPr>
        <w:t> </w:t>
      </w:r>
      <w:r>
        <w:rPr/>
        <w:t>2024,</w:t>
      </w:r>
      <w:r>
        <w:rPr>
          <w:spacing w:val="2"/>
        </w:rPr>
        <w:t> </w:t>
      </w:r>
      <w:r>
        <w:rPr/>
        <w:t>la</w:t>
      </w:r>
      <w:r>
        <w:rPr>
          <w:spacing w:val="-1"/>
        </w:rPr>
        <w:t> </w:t>
      </w:r>
      <w:r>
        <w:rPr/>
        <w:t>diferencia del</w:t>
      </w:r>
      <w:r>
        <w:rPr>
          <w:spacing w:val="1"/>
        </w:rPr>
        <w:t> </w:t>
      </w:r>
      <w:r>
        <w:rPr/>
        <w:t>promedio</w:t>
      </w:r>
      <w:r>
        <w:rPr>
          <w:spacing w:val="-1"/>
        </w:rPr>
        <w:t> </w:t>
      </w:r>
      <w:r>
        <w:rPr/>
        <w:t>de retribución</w:t>
      </w:r>
      <w:r>
        <w:rPr>
          <w:spacing w:val="2"/>
        </w:rPr>
        <w:t> </w:t>
      </w:r>
      <w:r>
        <w:rPr/>
        <w:t>(brecha </w:t>
      </w:r>
      <w:r>
        <w:rPr>
          <w:spacing w:val="-2"/>
        </w:rPr>
        <w:t>salarial)</w:t>
      </w:r>
    </w:p>
    <w:p>
      <w:pPr>
        <w:pStyle w:val="BodyText"/>
        <w:spacing w:before="113"/>
        <w:ind w:left="2"/>
        <w:jc w:val="center"/>
      </w:pPr>
      <w:r>
        <w:rPr/>
        <w:t>es</w:t>
      </w:r>
      <w:r>
        <w:rPr>
          <w:spacing w:val="45"/>
        </w:rPr>
        <w:t> </w:t>
      </w:r>
      <w:r>
        <w:rPr/>
        <w:t>la</w:t>
      </w:r>
      <w:r>
        <w:rPr>
          <w:spacing w:val="45"/>
        </w:rPr>
        <w:t> </w:t>
      </w:r>
      <w:r>
        <w:rPr/>
        <w:t>del</w:t>
      </w:r>
      <w:r>
        <w:rPr>
          <w:spacing w:val="41"/>
        </w:rPr>
        <w:t> </w:t>
      </w:r>
      <w:r>
        <w:rPr/>
        <w:t>nivel</w:t>
      </w:r>
      <w:r>
        <w:rPr>
          <w:spacing w:val="46"/>
        </w:rPr>
        <w:t> </w:t>
      </w:r>
      <w:r>
        <w:rPr/>
        <w:t>profesional</w:t>
      </w:r>
      <w:r>
        <w:rPr>
          <w:spacing w:val="47"/>
        </w:rPr>
        <w:t> </w:t>
      </w:r>
      <w:r>
        <w:rPr/>
        <w:t>de</w:t>
      </w:r>
      <w:r>
        <w:rPr>
          <w:spacing w:val="43"/>
        </w:rPr>
        <w:t> </w:t>
      </w:r>
      <w:r>
        <w:rPr/>
        <w:t>conductor/a-perceptor/a</w:t>
      </w:r>
      <w:r>
        <w:rPr>
          <w:spacing w:val="44"/>
        </w:rPr>
        <w:t> </w:t>
      </w:r>
      <w:r>
        <w:rPr/>
        <w:t>y</w:t>
      </w:r>
      <w:r>
        <w:rPr>
          <w:spacing w:val="44"/>
        </w:rPr>
        <w:t> </w:t>
      </w:r>
      <w:r>
        <w:rPr/>
        <w:t>es</w:t>
      </w:r>
      <w:r>
        <w:rPr>
          <w:spacing w:val="45"/>
        </w:rPr>
        <w:t> </w:t>
      </w:r>
      <w:r>
        <w:rPr/>
        <w:t>debida</w:t>
      </w:r>
      <w:r>
        <w:rPr>
          <w:spacing w:val="47"/>
        </w:rPr>
        <w:t> </w:t>
      </w:r>
      <w:r>
        <w:rPr/>
        <w:t>a</w:t>
      </w:r>
      <w:r>
        <w:rPr>
          <w:spacing w:val="44"/>
        </w:rPr>
        <w:t> </w:t>
      </w:r>
      <w:r>
        <w:rPr/>
        <w:t>la</w:t>
      </w:r>
      <w:r>
        <w:rPr>
          <w:spacing w:val="47"/>
        </w:rPr>
        <w:t> </w:t>
      </w:r>
      <w:r>
        <w:rPr/>
        <w:t>presencia</w:t>
      </w:r>
      <w:r>
        <w:rPr>
          <w:spacing w:val="44"/>
        </w:rPr>
        <w:t> </w:t>
      </w:r>
      <w:r>
        <w:rPr/>
        <w:t>de</w:t>
      </w:r>
      <w:r>
        <w:rPr>
          <w:spacing w:val="43"/>
        </w:rPr>
        <w:t> </w:t>
      </w:r>
      <w:r>
        <w:rPr>
          <w:spacing w:val="-5"/>
        </w:rPr>
        <w:t>más</w:t>
      </w:r>
    </w:p>
    <w:p>
      <w:pPr>
        <w:pStyle w:val="BodyText"/>
        <w:spacing w:before="115"/>
        <w:ind w:left="2"/>
        <w:jc w:val="center"/>
      </w:pPr>
      <w:r>
        <w:rPr/>
        <w:t>hombres</w:t>
      </w:r>
      <w:r>
        <w:rPr>
          <w:spacing w:val="73"/>
        </w:rPr>
        <w:t> </w:t>
      </w:r>
      <w:r>
        <w:rPr/>
        <w:t>con</w:t>
      </w:r>
      <w:r>
        <w:rPr>
          <w:spacing w:val="73"/>
        </w:rPr>
        <w:t> </w:t>
      </w:r>
      <w:r>
        <w:rPr/>
        <w:t>una</w:t>
      </w:r>
      <w:r>
        <w:rPr>
          <w:spacing w:val="73"/>
        </w:rPr>
        <w:t> </w:t>
      </w:r>
      <w:r>
        <w:rPr/>
        <w:t>antigüedad</w:t>
      </w:r>
      <w:r>
        <w:rPr>
          <w:spacing w:val="71"/>
        </w:rPr>
        <w:t> </w:t>
      </w:r>
      <w:r>
        <w:rPr/>
        <w:t>mayor</w:t>
      </w:r>
      <w:r>
        <w:rPr>
          <w:spacing w:val="73"/>
        </w:rPr>
        <w:t> </w:t>
      </w:r>
      <w:r>
        <w:rPr/>
        <w:t>que</w:t>
      </w:r>
      <w:r>
        <w:rPr>
          <w:spacing w:val="73"/>
        </w:rPr>
        <w:t> </w:t>
      </w:r>
      <w:r>
        <w:rPr/>
        <w:t>la</w:t>
      </w:r>
      <w:r>
        <w:rPr>
          <w:spacing w:val="71"/>
        </w:rPr>
        <w:t> </w:t>
      </w:r>
      <w:r>
        <w:rPr/>
        <w:t>de</w:t>
      </w:r>
      <w:r>
        <w:rPr>
          <w:spacing w:val="75"/>
        </w:rPr>
        <w:t> </w:t>
      </w:r>
      <w:r>
        <w:rPr/>
        <w:t>las</w:t>
      </w:r>
      <w:r>
        <w:rPr>
          <w:spacing w:val="72"/>
        </w:rPr>
        <w:t> </w:t>
      </w:r>
      <w:r>
        <w:rPr/>
        <w:t>mujeres.</w:t>
      </w:r>
      <w:r>
        <w:rPr>
          <w:spacing w:val="71"/>
        </w:rPr>
        <w:t> </w:t>
      </w:r>
      <w:r>
        <w:rPr/>
        <w:t>Mientras</w:t>
      </w:r>
      <w:r>
        <w:rPr>
          <w:spacing w:val="74"/>
        </w:rPr>
        <w:t> </w:t>
      </w:r>
      <w:r>
        <w:rPr/>
        <w:t>los</w:t>
      </w:r>
      <w:r>
        <w:rPr>
          <w:spacing w:val="76"/>
        </w:rPr>
        <w:t> </w:t>
      </w:r>
      <w:r>
        <w:rPr>
          <w:spacing w:val="-2"/>
        </w:rPr>
        <w:t>conductores-</w:t>
      </w:r>
    </w:p>
    <w:p>
      <w:pPr>
        <w:pStyle w:val="BodyText"/>
        <w:spacing w:before="116"/>
        <w:jc w:val="center"/>
      </w:pPr>
      <w:r>
        <w:rPr/>
        <w:t>perceptores</w:t>
      </w:r>
      <w:r>
        <w:rPr>
          <w:spacing w:val="-2"/>
        </w:rPr>
        <w:t> </w:t>
      </w:r>
      <w:r>
        <w:rPr/>
        <w:t>tienen</w:t>
      </w:r>
      <w:r>
        <w:rPr>
          <w:spacing w:val="-1"/>
        </w:rPr>
        <w:t> </w:t>
      </w:r>
      <w:r>
        <w:rPr/>
        <w:t>un</w:t>
      </w:r>
      <w:r>
        <w:rPr>
          <w:spacing w:val="-2"/>
        </w:rPr>
        <w:t> </w:t>
      </w:r>
      <w:r>
        <w:rPr/>
        <w:t>promedio</w:t>
      </w:r>
      <w:r>
        <w:rPr>
          <w:spacing w:val="-5"/>
        </w:rPr>
        <w:t> </w:t>
      </w:r>
      <w:r>
        <w:rPr/>
        <w:t>de</w:t>
      </w:r>
      <w:r>
        <w:rPr>
          <w:spacing w:val="-3"/>
        </w:rPr>
        <w:t> </w:t>
      </w:r>
      <w:r>
        <w:rPr/>
        <w:t>doce</w:t>
      </w:r>
      <w:r>
        <w:rPr>
          <w:spacing w:val="-3"/>
        </w:rPr>
        <w:t> </w:t>
      </w:r>
      <w:r>
        <w:rPr/>
        <w:t>(12)</w:t>
      </w:r>
      <w:r>
        <w:rPr>
          <w:spacing w:val="-1"/>
        </w:rPr>
        <w:t> </w:t>
      </w:r>
      <w:r>
        <w:rPr/>
        <w:t>años</w:t>
      </w:r>
      <w:r>
        <w:rPr>
          <w:spacing w:val="1"/>
        </w:rPr>
        <w:t> </w:t>
      </w:r>
      <w:r>
        <w:rPr/>
        <w:t>de</w:t>
      </w:r>
      <w:r>
        <w:rPr>
          <w:spacing w:val="-5"/>
        </w:rPr>
        <w:t> </w:t>
      </w:r>
      <w:r>
        <w:rPr/>
        <w:t>antigüedad, las</w:t>
      </w:r>
      <w:r>
        <w:rPr>
          <w:spacing w:val="-1"/>
        </w:rPr>
        <w:t> </w:t>
      </w:r>
      <w:r>
        <w:rPr/>
        <w:t>conductoras-</w:t>
      </w:r>
      <w:r>
        <w:rPr>
          <w:spacing w:val="-2"/>
        </w:rPr>
        <w:t>perceptoras</w:t>
      </w:r>
    </w:p>
    <w:p>
      <w:pPr>
        <w:pStyle w:val="BodyText"/>
        <w:spacing w:before="116"/>
        <w:ind w:left="3"/>
        <w:jc w:val="center"/>
      </w:pPr>
      <w:r>
        <w:rPr/>
        <mc:AlternateContent>
          <mc:Choice Requires="wps">
            <w:drawing>
              <wp:anchor distT="0" distB="0" distL="0" distR="0" allowOverlap="1" layoutInCell="1" locked="0" behindDoc="0" simplePos="0" relativeHeight="15809024">
                <wp:simplePos x="0" y="0"/>
                <wp:positionH relativeFrom="page">
                  <wp:posOffset>6966436</wp:posOffset>
                </wp:positionH>
                <wp:positionV relativeFrom="paragraph">
                  <wp:posOffset>81644</wp:posOffset>
                </wp:positionV>
                <wp:extent cx="263525" cy="327596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6.42872pt;width:20.75pt;height:257.95pt;mso-position-horizontal-relative:page;mso-position-vertical-relative:paragraph;z-index:15809024" type="#_x0000_t202" id="docshape22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tienen</w:t>
      </w:r>
      <w:r>
        <w:rPr>
          <w:spacing w:val="70"/>
        </w:rPr>
        <w:t> </w:t>
      </w:r>
      <w:r>
        <w:rPr/>
        <w:t>un</w:t>
      </w:r>
      <w:r>
        <w:rPr>
          <w:spacing w:val="67"/>
        </w:rPr>
        <w:t> </w:t>
      </w:r>
      <w:r>
        <w:rPr/>
        <w:t>promedio</w:t>
      </w:r>
      <w:r>
        <w:rPr>
          <w:spacing w:val="69"/>
        </w:rPr>
        <w:t> </w:t>
      </w:r>
      <w:r>
        <w:rPr/>
        <w:t>de</w:t>
      </w:r>
      <w:r>
        <w:rPr>
          <w:spacing w:val="69"/>
        </w:rPr>
        <w:t> </w:t>
      </w:r>
      <w:r>
        <w:rPr/>
        <w:t>tres</w:t>
      </w:r>
      <w:r>
        <w:rPr>
          <w:spacing w:val="69"/>
        </w:rPr>
        <w:t> </w:t>
      </w:r>
      <w:r>
        <w:rPr/>
        <w:t>(3)</w:t>
      </w:r>
      <w:r>
        <w:rPr>
          <w:spacing w:val="68"/>
        </w:rPr>
        <w:t> </w:t>
      </w:r>
      <w:r>
        <w:rPr/>
        <w:t>años,</w:t>
      </w:r>
      <w:r>
        <w:rPr>
          <w:spacing w:val="67"/>
        </w:rPr>
        <w:t> </w:t>
      </w:r>
      <w:r>
        <w:rPr/>
        <w:t>añadiéndose</w:t>
      </w:r>
      <w:r>
        <w:rPr>
          <w:spacing w:val="66"/>
        </w:rPr>
        <w:t> </w:t>
      </w:r>
      <w:r>
        <w:rPr/>
        <w:t>además</w:t>
      </w:r>
      <w:r>
        <w:rPr>
          <w:spacing w:val="69"/>
        </w:rPr>
        <w:t> </w:t>
      </w:r>
      <w:r>
        <w:rPr/>
        <w:t>el</w:t>
      </w:r>
      <w:r>
        <w:rPr>
          <w:spacing w:val="67"/>
        </w:rPr>
        <w:t> </w:t>
      </w:r>
      <w:r>
        <w:rPr/>
        <w:t>hecho</w:t>
      </w:r>
      <w:r>
        <w:rPr>
          <w:spacing w:val="69"/>
        </w:rPr>
        <w:t> </w:t>
      </w:r>
      <w:r>
        <w:rPr/>
        <w:t>que</w:t>
      </w:r>
      <w:r>
        <w:rPr>
          <w:spacing w:val="69"/>
        </w:rPr>
        <w:t> </w:t>
      </w:r>
      <w:r>
        <w:rPr/>
        <w:t>los</w:t>
      </w:r>
      <w:r>
        <w:rPr>
          <w:spacing w:val="69"/>
        </w:rPr>
        <w:t> </w:t>
      </w:r>
      <w:r>
        <w:rPr>
          <w:spacing w:val="-2"/>
        </w:rPr>
        <w:t>hombres</w:t>
      </w:r>
    </w:p>
    <w:p>
      <w:pPr>
        <w:pStyle w:val="BodyText"/>
        <w:spacing w:before="113"/>
        <w:jc w:val="center"/>
      </w:pPr>
      <w:r>
        <w:rPr/>
        <w:t>representan</w:t>
      </w:r>
      <w:r>
        <w:rPr>
          <w:spacing w:val="1"/>
        </w:rPr>
        <w:t> </w:t>
      </w:r>
      <w:r>
        <w:rPr/>
        <w:t>el</w:t>
      </w:r>
      <w:r>
        <w:rPr>
          <w:spacing w:val="27"/>
        </w:rPr>
        <w:t>  </w:t>
      </w:r>
      <w:r>
        <w:rPr/>
        <w:t>90,92%.</w:t>
      </w:r>
      <w:r>
        <w:rPr>
          <w:spacing w:val="-1"/>
        </w:rPr>
        <w:t> </w:t>
      </w:r>
      <w:r>
        <w:rPr/>
        <w:t>El</w:t>
      </w:r>
      <w:r>
        <w:rPr>
          <w:spacing w:val="-1"/>
        </w:rPr>
        <w:t> </w:t>
      </w:r>
      <w:r>
        <w:rPr/>
        <w:t>motivo</w:t>
      </w:r>
      <w:r>
        <w:rPr>
          <w:spacing w:val="-2"/>
        </w:rPr>
        <w:t> </w:t>
      </w:r>
      <w:r>
        <w:rPr/>
        <w:t>de esta</w:t>
      </w:r>
      <w:r>
        <w:rPr>
          <w:spacing w:val="-1"/>
        </w:rPr>
        <w:t> </w:t>
      </w:r>
      <w:r>
        <w:rPr/>
        <w:t>baja presencia</w:t>
      </w:r>
      <w:r>
        <w:rPr>
          <w:spacing w:val="-2"/>
        </w:rPr>
        <w:t> </w:t>
      </w:r>
      <w:r>
        <w:rPr/>
        <w:t>de la mujer</w:t>
      </w:r>
      <w:r>
        <w:rPr>
          <w:spacing w:val="1"/>
        </w:rPr>
        <w:t> </w:t>
      </w:r>
      <w:r>
        <w:rPr/>
        <w:t>en la</w:t>
      </w:r>
      <w:r>
        <w:rPr>
          <w:spacing w:val="-2"/>
        </w:rPr>
        <w:t> </w:t>
      </w:r>
      <w:r>
        <w:rPr/>
        <w:t>empresa</w:t>
      </w:r>
      <w:r>
        <w:rPr>
          <w:spacing w:val="-2"/>
        </w:rPr>
        <w:t> </w:t>
      </w:r>
      <w:r>
        <w:rPr/>
        <w:t>es</w:t>
      </w:r>
      <w:r>
        <w:rPr>
          <w:spacing w:val="2"/>
        </w:rPr>
        <w:t> </w:t>
      </w:r>
      <w:r>
        <w:rPr>
          <w:spacing w:val="-2"/>
        </w:rPr>
        <w:t>porque</w:t>
      </w:r>
    </w:p>
    <w:p>
      <w:pPr>
        <w:pStyle w:val="BodyText"/>
        <w:spacing w:before="115"/>
        <w:jc w:val="center"/>
      </w:pPr>
      <w:r>
        <w:rPr/>
        <w:t>su</w:t>
      </w:r>
      <w:r>
        <w:rPr>
          <w:spacing w:val="26"/>
        </w:rPr>
        <w:t>  </w:t>
      </w:r>
      <w:r>
        <w:rPr/>
        <w:t>incorporación</w:t>
      </w:r>
      <w:r>
        <w:rPr>
          <w:spacing w:val="79"/>
          <w:w w:val="150"/>
        </w:rPr>
        <w:t> </w:t>
      </w:r>
      <w:r>
        <w:rPr/>
        <w:t>ha</w:t>
      </w:r>
      <w:r>
        <w:rPr>
          <w:spacing w:val="26"/>
        </w:rPr>
        <w:t>  </w:t>
      </w:r>
      <w:r>
        <w:rPr/>
        <w:t>sido</w:t>
      </w:r>
      <w:r>
        <w:rPr>
          <w:spacing w:val="28"/>
        </w:rPr>
        <w:t>  </w:t>
      </w:r>
      <w:r>
        <w:rPr/>
        <w:t>muy</w:t>
      </w:r>
      <w:r>
        <w:rPr>
          <w:spacing w:val="75"/>
          <w:w w:val="150"/>
        </w:rPr>
        <w:t> </w:t>
      </w:r>
      <w:r>
        <w:rPr/>
        <w:t>reciente,</w:t>
      </w:r>
      <w:r>
        <w:rPr>
          <w:spacing w:val="26"/>
        </w:rPr>
        <w:t>  </w:t>
      </w:r>
      <w:r>
        <w:rPr/>
        <w:t>especialmente</w:t>
      </w:r>
      <w:r>
        <w:rPr>
          <w:spacing w:val="27"/>
        </w:rPr>
        <w:t>  </w:t>
      </w:r>
      <w:r>
        <w:rPr/>
        <w:t>en</w:t>
      </w:r>
      <w:r>
        <w:rPr>
          <w:spacing w:val="26"/>
        </w:rPr>
        <w:t>  </w:t>
      </w:r>
      <w:r>
        <w:rPr/>
        <w:t>el</w:t>
      </w:r>
      <w:r>
        <w:rPr>
          <w:spacing w:val="79"/>
          <w:w w:val="150"/>
        </w:rPr>
        <w:t> </w:t>
      </w:r>
      <w:r>
        <w:rPr/>
        <w:t>puesto</w:t>
      </w:r>
      <w:r>
        <w:rPr>
          <w:spacing w:val="26"/>
        </w:rPr>
        <w:t>  </w:t>
      </w:r>
      <w:r>
        <w:rPr/>
        <w:t>de</w:t>
      </w:r>
      <w:r>
        <w:rPr>
          <w:spacing w:val="27"/>
        </w:rPr>
        <w:t>  </w:t>
      </w:r>
      <w:r>
        <w:rPr/>
        <w:t>trabajo</w:t>
      </w:r>
      <w:r>
        <w:rPr>
          <w:spacing w:val="27"/>
        </w:rPr>
        <w:t>  </w:t>
      </w:r>
      <w:r>
        <w:rPr>
          <w:spacing w:val="-5"/>
        </w:rPr>
        <w:t>de</w:t>
      </w:r>
    </w:p>
    <w:p>
      <w:pPr>
        <w:pStyle w:val="BodyText"/>
        <w:spacing w:line="362" w:lineRule="auto" w:before="116"/>
        <w:ind w:left="1341" w:right="1308"/>
      </w:pPr>
      <w:r>
        <w:rPr/>
        <w:t>conductores/as-perceptor/as;</w:t>
      </w:r>
      <w:r>
        <w:rPr>
          <w:spacing w:val="33"/>
        </w:rPr>
        <w:t> </w:t>
      </w:r>
      <w:r>
        <w:rPr/>
        <w:t>pero</w:t>
      </w:r>
      <w:r>
        <w:rPr>
          <w:spacing w:val="30"/>
        </w:rPr>
        <w:t> </w:t>
      </w:r>
      <w:r>
        <w:rPr/>
        <w:t>seguimos</w:t>
      </w:r>
      <w:r>
        <w:rPr>
          <w:spacing w:val="33"/>
        </w:rPr>
        <w:t> </w:t>
      </w:r>
      <w:r>
        <w:rPr/>
        <w:t>avanzando</w:t>
      </w:r>
      <w:r>
        <w:rPr>
          <w:spacing w:val="31"/>
        </w:rPr>
        <w:t> </w:t>
      </w:r>
      <w:r>
        <w:rPr/>
        <w:t>progresivamente.</w:t>
      </w:r>
      <w:r>
        <w:rPr>
          <w:spacing w:val="31"/>
        </w:rPr>
        <w:t> </w:t>
      </w:r>
      <w:r>
        <w:rPr/>
        <w:t>A</w:t>
      </w:r>
      <w:r>
        <w:rPr>
          <w:spacing w:val="30"/>
        </w:rPr>
        <w:t> </w:t>
      </w:r>
      <w:r>
        <w:rPr/>
        <w:t>final</w:t>
      </w:r>
      <w:r>
        <w:rPr>
          <w:spacing w:val="29"/>
        </w:rPr>
        <w:t> </w:t>
      </w:r>
      <w:r>
        <w:rPr/>
        <w:t>de</w:t>
      </w:r>
      <w:r>
        <w:rPr>
          <w:spacing w:val="30"/>
        </w:rPr>
        <w:t> </w:t>
      </w:r>
      <w:r>
        <w:rPr/>
        <w:t>2025</w:t>
      </w:r>
      <w:r>
        <w:rPr>
          <w:spacing w:val="30"/>
        </w:rPr>
        <w:t> </w:t>
      </w:r>
      <w:r>
        <w:rPr/>
        <w:t>la plantilla cuenta con sesenta y cuatro mujeres (64) conductoras-perceptoras.</w:t>
      </w:r>
    </w:p>
    <w:p>
      <w:pPr>
        <w:pStyle w:val="BodyText"/>
        <w:spacing w:line="360" w:lineRule="auto" w:before="196"/>
        <w:ind w:left="1341" w:right="1336"/>
        <w:jc w:val="both"/>
      </w:pPr>
      <w:r>
        <w:rPr/>
        <w:t>La brecha salarial del</w:t>
      </w:r>
      <w:r>
        <w:rPr>
          <w:spacing w:val="-1"/>
        </w:rPr>
        <w:t> </w:t>
      </w:r>
      <w:r>
        <w:rPr/>
        <w:t>total de la plantilla</w:t>
      </w:r>
      <w:r>
        <w:rPr>
          <w:spacing w:val="-1"/>
        </w:rPr>
        <w:t> </w:t>
      </w:r>
      <w:r>
        <w:rPr/>
        <w:t>para el 2025 ha sido de 5,58%, inferior en 1,11 puntos a la del año 2024 (6,69%) a pesar de la brecha salarial negativa en los niveles de Jefes de Servicio, Jefe de Grupo, Jefe Oficina Técnica y Mando de Administración, debido a que la misma se origina principalmente por el nivel profesional de conductores/as-perceptores/as que presenta</w:t>
      </w:r>
      <w:r>
        <w:rPr>
          <w:spacing w:val="8"/>
        </w:rPr>
        <w:t> </w:t>
      </w:r>
      <w:r>
        <w:rPr/>
        <w:t>una</w:t>
      </w:r>
      <w:r>
        <w:rPr>
          <w:spacing w:val="5"/>
        </w:rPr>
        <w:t> </w:t>
      </w:r>
      <w:r>
        <w:rPr/>
        <w:t>brecha</w:t>
      </w:r>
      <w:r>
        <w:rPr>
          <w:spacing w:val="6"/>
        </w:rPr>
        <w:t> </w:t>
      </w:r>
      <w:r>
        <w:rPr/>
        <w:t>del</w:t>
      </w:r>
      <w:r>
        <w:rPr>
          <w:spacing w:val="5"/>
        </w:rPr>
        <w:t> </w:t>
      </w:r>
      <w:r>
        <w:rPr/>
        <w:t>13,05%</w:t>
      </w:r>
      <w:r>
        <w:rPr>
          <w:spacing w:val="12"/>
        </w:rPr>
        <w:t> </w:t>
      </w:r>
      <w:r>
        <w:rPr/>
        <w:t>y</w:t>
      </w:r>
      <w:r>
        <w:rPr>
          <w:spacing w:val="5"/>
        </w:rPr>
        <w:t> </w:t>
      </w:r>
      <w:r>
        <w:rPr/>
        <w:t>por</w:t>
      </w:r>
      <w:r>
        <w:rPr>
          <w:spacing w:val="9"/>
        </w:rPr>
        <w:t> </w:t>
      </w:r>
      <w:r>
        <w:rPr/>
        <w:t>los</w:t>
      </w:r>
      <w:r>
        <w:rPr>
          <w:spacing w:val="7"/>
        </w:rPr>
        <w:t> </w:t>
      </w:r>
      <w:r>
        <w:rPr/>
        <w:t>motivos</w:t>
      </w:r>
      <w:r>
        <w:rPr>
          <w:spacing w:val="7"/>
        </w:rPr>
        <w:t> </w:t>
      </w:r>
      <w:r>
        <w:rPr/>
        <w:t>expresados</w:t>
      </w:r>
      <w:r>
        <w:rPr>
          <w:spacing w:val="10"/>
        </w:rPr>
        <w:t> </w:t>
      </w:r>
      <w:r>
        <w:rPr/>
        <w:t>en</w:t>
      </w:r>
      <w:r>
        <w:rPr>
          <w:spacing w:val="8"/>
        </w:rPr>
        <w:t> </w:t>
      </w:r>
      <w:r>
        <w:rPr/>
        <w:t>el</w:t>
      </w:r>
      <w:r>
        <w:rPr>
          <w:spacing w:val="8"/>
        </w:rPr>
        <w:t> </w:t>
      </w:r>
      <w:r>
        <w:rPr/>
        <w:t>párrafo</w:t>
      </w:r>
      <w:r>
        <w:rPr>
          <w:spacing w:val="5"/>
        </w:rPr>
        <w:t> </w:t>
      </w:r>
      <w:r>
        <w:rPr/>
        <w:t>anterior,</w:t>
      </w:r>
      <w:r>
        <w:rPr>
          <w:spacing w:val="8"/>
        </w:rPr>
        <w:t> </w:t>
      </w:r>
      <w:r>
        <w:rPr/>
        <w:t>es</w:t>
      </w:r>
      <w:r>
        <w:rPr>
          <w:spacing w:val="7"/>
        </w:rPr>
        <w:t> </w:t>
      </w:r>
      <w:r>
        <w:rPr>
          <w:spacing w:val="-2"/>
        </w:rPr>
        <w:t>decir,</w:t>
      </w:r>
    </w:p>
    <w:p>
      <w:pPr>
        <w:pStyle w:val="BodyText"/>
        <w:spacing w:line="362" w:lineRule="auto"/>
        <w:ind w:left="1341" w:right="1308"/>
      </w:pPr>
      <w:r>
        <w:rPr/>
        <w:t>por</w:t>
      </w:r>
      <w:r>
        <w:rPr>
          <w:spacing w:val="40"/>
        </w:rPr>
        <w:t> </w:t>
      </w:r>
      <w:r>
        <w:rPr/>
        <w:t>registrarse</w:t>
      </w:r>
      <w:r>
        <w:rPr>
          <w:spacing w:val="40"/>
        </w:rPr>
        <w:t> </w:t>
      </w:r>
      <w:r>
        <w:rPr/>
        <w:t>mayor</w:t>
      </w:r>
      <w:r>
        <w:rPr>
          <w:spacing w:val="40"/>
        </w:rPr>
        <w:t> </w:t>
      </w:r>
      <w:r>
        <w:rPr/>
        <w:t>antigüedad</w:t>
      </w:r>
      <w:r>
        <w:rPr>
          <w:spacing w:val="40"/>
        </w:rPr>
        <w:t> </w:t>
      </w:r>
      <w:r>
        <w:rPr/>
        <w:t>en</w:t>
      </w:r>
      <w:r>
        <w:rPr>
          <w:spacing w:val="40"/>
        </w:rPr>
        <w:t> </w:t>
      </w:r>
      <w:r>
        <w:rPr/>
        <w:t>hombres</w:t>
      </w:r>
      <w:r>
        <w:rPr>
          <w:spacing w:val="40"/>
        </w:rPr>
        <w:t> </w:t>
      </w:r>
      <w:r>
        <w:rPr/>
        <w:t>que</w:t>
      </w:r>
      <w:r>
        <w:rPr>
          <w:spacing w:val="40"/>
        </w:rPr>
        <w:t> </w:t>
      </w:r>
      <w:r>
        <w:rPr/>
        <w:t>en</w:t>
      </w:r>
      <w:r>
        <w:rPr>
          <w:spacing w:val="40"/>
        </w:rPr>
        <w:t> </w:t>
      </w:r>
      <w:r>
        <w:rPr/>
        <w:t>mujeres</w:t>
      </w:r>
      <w:r>
        <w:rPr>
          <w:spacing w:val="40"/>
        </w:rPr>
        <w:t> </w:t>
      </w:r>
      <w:r>
        <w:rPr/>
        <w:t>y</w:t>
      </w:r>
      <w:r>
        <w:rPr>
          <w:spacing w:val="40"/>
        </w:rPr>
        <w:t> </w:t>
      </w:r>
      <w:r>
        <w:rPr/>
        <w:t>por</w:t>
      </w:r>
      <w:r>
        <w:rPr>
          <w:spacing w:val="40"/>
        </w:rPr>
        <w:t> </w:t>
      </w:r>
      <w:r>
        <w:rPr/>
        <w:t>el</w:t>
      </w:r>
      <w:r>
        <w:rPr>
          <w:spacing w:val="40"/>
        </w:rPr>
        <w:t> </w:t>
      </w:r>
      <w:r>
        <w:rPr/>
        <w:t>mayor</w:t>
      </w:r>
      <w:r>
        <w:rPr>
          <w:spacing w:val="40"/>
        </w:rPr>
        <w:t> </w:t>
      </w:r>
      <w:r>
        <w:rPr/>
        <w:t>número</w:t>
      </w:r>
      <w:r>
        <w:rPr>
          <w:spacing w:val="40"/>
        </w:rPr>
        <w:t> </w:t>
      </w:r>
      <w:r>
        <w:rPr/>
        <w:t>de hombres en este nivel profesional.</w:t>
      </w:r>
    </w:p>
    <w:p>
      <w:pPr>
        <w:pStyle w:val="BodyText"/>
        <w:spacing w:after="0" w:line="362" w:lineRule="auto"/>
        <w:sectPr>
          <w:pgSz w:w="11910" w:h="16840"/>
          <w:pgMar w:header="384" w:footer="1060" w:top="1200" w:bottom="1260" w:left="360" w:right="360"/>
        </w:sectPr>
      </w:pPr>
    </w:p>
    <w:p>
      <w:pPr>
        <w:pStyle w:val="BodyText"/>
        <w:spacing w:before="218"/>
        <w:ind w:left="1341"/>
      </w:pPr>
      <w:r>
        <w:rPr/>
        <mc:AlternateContent>
          <mc:Choice Requires="wps">
            <w:drawing>
              <wp:anchor distT="0" distB="0" distL="0" distR="0" allowOverlap="1" layoutInCell="1" locked="0" behindDoc="1" simplePos="0" relativeHeight="476777984">
                <wp:simplePos x="0" y="0"/>
                <wp:positionH relativeFrom="page">
                  <wp:posOffset>2679026</wp:posOffset>
                </wp:positionH>
                <wp:positionV relativeFrom="paragraph">
                  <wp:posOffset>943138</wp:posOffset>
                </wp:positionV>
                <wp:extent cx="91440" cy="14160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A</w:t>
                            </w:r>
                          </w:p>
                        </w:txbxContent>
                      </wps:txbx>
                      <wps:bodyPr wrap="square" lIns="0" tIns="0" rIns="0" bIns="0" rtlCol="0">
                        <a:noAutofit/>
                      </wps:bodyPr>
                    </wps:wsp>
                  </a:graphicData>
                </a:graphic>
              </wp:anchor>
            </w:drawing>
          </mc:Choice>
          <mc:Fallback>
            <w:pict>
              <v:shape style="position:absolute;margin-left:210.94696pt;margin-top:74.262856pt;width:7.2pt;height:11.15pt;mso-position-horizontal-relative:page;mso-position-vertical-relative:paragraph;z-index:-26538496" type="#_x0000_t202" id="docshape226" filled="false" stroked="false">
                <v:textbox inset="0,0,0,0">
                  <w:txbxContent>
                    <w:p>
                      <w:pPr>
                        <w:spacing w:line="223" w:lineRule="exact" w:before="0"/>
                        <w:ind w:left="0" w:right="0" w:firstLine="0"/>
                        <w:jc w:val="left"/>
                        <w:rPr>
                          <w:b/>
                          <w:sz w:val="20"/>
                        </w:rPr>
                      </w:pPr>
                      <w:r>
                        <w:rPr>
                          <w:b/>
                          <w:spacing w:val="-12"/>
                          <w:sz w:val="20"/>
                        </w:rPr>
                        <w:t>A</w:t>
                      </w:r>
                    </w:p>
                  </w:txbxContent>
                </v:textbox>
                <w10:wrap type="none"/>
              </v:shape>
            </w:pict>
          </mc:Fallback>
        </mc:AlternateContent>
      </w:r>
      <w:r>
        <w:rPr/>
        <w:t>Nuevas</w:t>
      </w:r>
      <w:r>
        <w:rPr>
          <w:spacing w:val="-6"/>
        </w:rPr>
        <w:t> </w:t>
      </w:r>
      <w:r>
        <w:rPr/>
        <w:t>contrataciones</w:t>
      </w:r>
      <w:r>
        <w:rPr>
          <w:spacing w:val="-5"/>
        </w:rPr>
        <w:t> </w:t>
      </w:r>
      <w:r>
        <w:rPr/>
        <w:t>de</w:t>
      </w:r>
      <w:r>
        <w:rPr>
          <w:spacing w:val="-4"/>
        </w:rPr>
        <w:t> </w:t>
      </w:r>
      <w:r>
        <w:rPr/>
        <w:t>personal</w:t>
      </w:r>
      <w:r>
        <w:rPr>
          <w:spacing w:val="-8"/>
        </w:rPr>
        <w:t> </w:t>
      </w:r>
      <w:r>
        <w:rPr/>
        <w:t>en</w:t>
      </w:r>
      <w:r>
        <w:rPr>
          <w:spacing w:val="-7"/>
        </w:rPr>
        <w:t> </w:t>
      </w:r>
      <w:r>
        <w:rPr/>
        <w:t>el</w:t>
      </w:r>
      <w:r>
        <w:rPr>
          <w:spacing w:val="-7"/>
        </w:rPr>
        <w:t> </w:t>
      </w:r>
      <w:r>
        <w:rPr/>
        <w:t>año</w:t>
      </w:r>
      <w:r>
        <w:rPr>
          <w:spacing w:val="-8"/>
        </w:rPr>
        <w:t> </w:t>
      </w:r>
      <w:r>
        <w:rPr/>
        <w:t>2025,</w:t>
      </w:r>
      <w:r>
        <w:rPr>
          <w:spacing w:val="-3"/>
        </w:rPr>
        <w:t> </w:t>
      </w:r>
      <w:r>
        <w:rPr/>
        <w:t>distribuidas</w:t>
      </w:r>
      <w:r>
        <w:rPr>
          <w:spacing w:val="-6"/>
        </w:rPr>
        <w:t> </w:t>
      </w:r>
      <w:r>
        <w:rPr/>
        <w:t>por</w:t>
      </w:r>
      <w:r>
        <w:rPr>
          <w:spacing w:val="-4"/>
        </w:rPr>
        <w:t> </w:t>
      </w:r>
      <w:r>
        <w:rPr/>
        <w:t>edad</w:t>
      </w:r>
      <w:r>
        <w:rPr>
          <w:spacing w:val="-4"/>
        </w:rPr>
        <w:t> </w:t>
      </w:r>
      <w:r>
        <w:rPr/>
        <w:t>y</w:t>
      </w:r>
      <w:r>
        <w:rPr>
          <w:spacing w:val="-9"/>
        </w:rPr>
        <w:t> </w:t>
      </w:r>
      <w:r>
        <w:rPr>
          <w:spacing w:val="-2"/>
        </w:rPr>
        <w:t>sexo:</w:t>
      </w:r>
    </w:p>
    <w:p>
      <w:pPr>
        <w:pStyle w:val="BodyText"/>
        <w:spacing w:before="85"/>
      </w:pPr>
    </w:p>
    <w:tbl>
      <w:tblPr>
        <w:tblW w:w="0" w:type="auto"/>
        <w:jc w:val="left"/>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8"/>
        <w:gridCol w:w="679"/>
        <w:gridCol w:w="919"/>
        <w:gridCol w:w="1056"/>
        <w:gridCol w:w="919"/>
        <w:gridCol w:w="679"/>
        <w:gridCol w:w="919"/>
      </w:tblGrid>
      <w:tr>
        <w:trPr>
          <w:trHeight w:val="345" w:hRule="atLeast"/>
        </w:trPr>
        <w:tc>
          <w:tcPr>
            <w:tcW w:w="2498" w:type="dxa"/>
            <w:vMerge w:val="restart"/>
            <w:tcBorders>
              <w:top w:val="nil"/>
              <w:left w:val="nil"/>
            </w:tcBorders>
          </w:tcPr>
          <w:p>
            <w:pPr>
              <w:pStyle w:val="TableParagraph"/>
              <w:rPr>
                <w:rFonts w:ascii="Times New Roman"/>
                <w:sz w:val="18"/>
              </w:rPr>
            </w:pPr>
          </w:p>
        </w:tc>
        <w:tc>
          <w:tcPr>
            <w:tcW w:w="5171" w:type="dxa"/>
            <w:gridSpan w:val="6"/>
            <w:shd w:val="clear" w:color="auto" w:fill="D7D7D7"/>
          </w:tcPr>
          <w:p>
            <w:pPr>
              <w:pStyle w:val="TableParagraph"/>
              <w:spacing w:line="225" w:lineRule="exact"/>
              <w:ind w:left="1401"/>
              <w:rPr>
                <w:b/>
                <w:sz w:val="20"/>
              </w:rPr>
            </w:pPr>
            <w:r>
              <w:rPr>
                <w:b/>
                <w:sz w:val="20"/>
              </w:rPr>
              <w:t>EDAD</w:t>
            </w:r>
            <w:r>
              <w:rPr>
                <w:b/>
                <w:spacing w:val="-10"/>
                <w:sz w:val="20"/>
              </w:rPr>
              <w:t> </w:t>
            </w:r>
            <w:r>
              <w:rPr>
                <w:b/>
                <w:sz w:val="20"/>
              </w:rPr>
              <w:t>Y</w:t>
            </w:r>
            <w:r>
              <w:rPr>
                <w:b/>
                <w:spacing w:val="-3"/>
                <w:sz w:val="20"/>
              </w:rPr>
              <w:t> </w:t>
            </w:r>
            <w:r>
              <w:rPr>
                <w:b/>
                <w:sz w:val="20"/>
              </w:rPr>
              <w:t>SEXO</w:t>
            </w:r>
            <w:r>
              <w:rPr>
                <w:b/>
                <w:spacing w:val="-1"/>
                <w:sz w:val="20"/>
              </w:rPr>
              <w:t> </w:t>
            </w:r>
            <w:r>
              <w:rPr>
                <w:b/>
                <w:sz w:val="20"/>
              </w:rPr>
              <w:t>AÑO</w:t>
            </w:r>
            <w:r>
              <w:rPr>
                <w:b/>
                <w:spacing w:val="-7"/>
                <w:sz w:val="20"/>
              </w:rPr>
              <w:t> </w:t>
            </w:r>
            <w:r>
              <w:rPr>
                <w:b/>
                <w:spacing w:val="-4"/>
                <w:sz w:val="20"/>
              </w:rPr>
              <w:t>2025</w:t>
            </w:r>
          </w:p>
        </w:tc>
      </w:tr>
      <w:tr>
        <w:trPr>
          <w:trHeight w:val="345" w:hRule="atLeast"/>
        </w:trPr>
        <w:tc>
          <w:tcPr>
            <w:tcW w:w="2498" w:type="dxa"/>
            <w:vMerge/>
            <w:tcBorders>
              <w:top w:val="nil"/>
              <w:left w:val="nil"/>
            </w:tcBorders>
          </w:tcPr>
          <w:p>
            <w:pPr>
              <w:rPr>
                <w:sz w:val="2"/>
                <w:szCs w:val="2"/>
              </w:rPr>
            </w:pPr>
          </w:p>
        </w:tc>
        <w:tc>
          <w:tcPr>
            <w:tcW w:w="1598" w:type="dxa"/>
            <w:gridSpan w:val="2"/>
            <w:shd w:val="clear" w:color="auto" w:fill="D7D7D7"/>
          </w:tcPr>
          <w:p>
            <w:pPr>
              <w:pStyle w:val="TableParagraph"/>
              <w:spacing w:line="225" w:lineRule="exact"/>
              <w:ind w:left="285"/>
              <w:rPr>
                <w:b/>
                <w:sz w:val="20"/>
              </w:rPr>
            </w:pPr>
            <w:r>
              <w:rPr>
                <w:b/>
                <w:sz w:val="20"/>
              </w:rPr>
              <w:t>&lt;</w:t>
            </w:r>
            <w:r>
              <w:rPr>
                <w:b/>
                <w:spacing w:val="-3"/>
                <w:sz w:val="20"/>
              </w:rPr>
              <w:t> </w:t>
            </w:r>
            <w:r>
              <w:rPr>
                <w:b/>
                <w:sz w:val="20"/>
              </w:rPr>
              <w:t>30</w:t>
            </w:r>
            <w:r>
              <w:rPr>
                <w:b/>
                <w:spacing w:val="1"/>
                <w:sz w:val="20"/>
              </w:rPr>
              <w:t> </w:t>
            </w:r>
            <w:r>
              <w:rPr>
                <w:b/>
                <w:spacing w:val="-4"/>
                <w:sz w:val="20"/>
              </w:rPr>
              <w:t>AÑOS</w:t>
            </w:r>
          </w:p>
        </w:tc>
        <w:tc>
          <w:tcPr>
            <w:tcW w:w="1975" w:type="dxa"/>
            <w:gridSpan w:val="2"/>
            <w:shd w:val="clear" w:color="auto" w:fill="D7D7D7"/>
          </w:tcPr>
          <w:p>
            <w:pPr>
              <w:pStyle w:val="TableParagraph"/>
              <w:spacing w:line="225" w:lineRule="exact"/>
              <w:ind w:left="415"/>
              <w:rPr>
                <w:b/>
                <w:sz w:val="20"/>
              </w:rPr>
            </w:pPr>
            <w:r>
              <w:rPr>
                <w:b/>
                <w:sz w:val="20"/>
              </w:rPr>
              <w:t>30-50</w:t>
            </w:r>
            <w:r>
              <w:rPr>
                <w:b/>
                <w:spacing w:val="-6"/>
                <w:sz w:val="20"/>
              </w:rPr>
              <w:t> </w:t>
            </w:r>
            <w:r>
              <w:rPr>
                <w:b/>
                <w:spacing w:val="-4"/>
                <w:sz w:val="20"/>
              </w:rPr>
              <w:t>AÑOS</w:t>
            </w:r>
          </w:p>
        </w:tc>
        <w:tc>
          <w:tcPr>
            <w:tcW w:w="1598" w:type="dxa"/>
            <w:gridSpan w:val="2"/>
            <w:shd w:val="clear" w:color="auto" w:fill="D7D7D7"/>
          </w:tcPr>
          <w:p>
            <w:pPr>
              <w:pStyle w:val="TableParagraph"/>
              <w:spacing w:line="225" w:lineRule="exact"/>
              <w:ind w:left="286"/>
              <w:rPr>
                <w:b/>
                <w:sz w:val="20"/>
              </w:rPr>
            </w:pPr>
            <w:r>
              <w:rPr>
                <w:b/>
                <w:sz w:val="20"/>
              </w:rPr>
              <w:t>&gt;</w:t>
            </w:r>
            <w:r>
              <w:rPr>
                <w:b/>
                <w:spacing w:val="-3"/>
                <w:sz w:val="20"/>
              </w:rPr>
              <w:t> </w:t>
            </w:r>
            <w:r>
              <w:rPr>
                <w:b/>
                <w:sz w:val="20"/>
              </w:rPr>
              <w:t>50</w:t>
            </w:r>
            <w:r>
              <w:rPr>
                <w:b/>
                <w:spacing w:val="1"/>
                <w:sz w:val="20"/>
              </w:rPr>
              <w:t> </w:t>
            </w:r>
            <w:r>
              <w:rPr>
                <w:b/>
                <w:spacing w:val="-4"/>
                <w:sz w:val="20"/>
              </w:rPr>
              <w:t>AÑOS</w:t>
            </w:r>
          </w:p>
        </w:tc>
      </w:tr>
      <w:tr>
        <w:trPr>
          <w:trHeight w:val="345" w:hRule="atLeast"/>
        </w:trPr>
        <w:tc>
          <w:tcPr>
            <w:tcW w:w="2498" w:type="dxa"/>
            <w:shd w:val="clear" w:color="auto" w:fill="D7D7D7"/>
          </w:tcPr>
          <w:p>
            <w:pPr>
              <w:pStyle w:val="TableParagraph"/>
              <w:spacing w:line="225" w:lineRule="exact"/>
              <w:ind w:left="129"/>
              <w:rPr>
                <w:b/>
                <w:sz w:val="20"/>
              </w:rPr>
            </w:pPr>
            <w:r>
              <w:rPr>
                <w:b/>
                <w:sz w:val="20"/>
              </w:rPr>
              <w:t>GRUPO</w:t>
            </w:r>
            <w:r>
              <w:rPr>
                <w:b/>
                <w:spacing w:val="-7"/>
                <w:sz w:val="20"/>
              </w:rPr>
              <w:t> </w:t>
            </w:r>
            <w:r>
              <w:rPr>
                <w:b/>
                <w:sz w:val="20"/>
              </w:rPr>
              <w:t>PROFESION</w:t>
            </w:r>
            <w:r>
              <w:rPr>
                <w:b/>
                <w:spacing w:val="77"/>
                <w:sz w:val="20"/>
              </w:rPr>
              <w:t> </w:t>
            </w:r>
            <w:r>
              <w:rPr>
                <w:b/>
                <w:spacing w:val="-10"/>
                <w:sz w:val="20"/>
              </w:rPr>
              <w:t>L</w:t>
            </w:r>
          </w:p>
        </w:tc>
        <w:tc>
          <w:tcPr>
            <w:tcW w:w="679" w:type="dxa"/>
            <w:shd w:val="clear" w:color="auto" w:fill="D7D7D7"/>
          </w:tcPr>
          <w:p>
            <w:pPr>
              <w:pStyle w:val="TableParagraph"/>
              <w:spacing w:line="225" w:lineRule="exact"/>
              <w:ind w:left="9" w:right="1"/>
              <w:jc w:val="center"/>
              <w:rPr>
                <w:b/>
                <w:sz w:val="20"/>
              </w:rPr>
            </w:pPr>
            <w:r>
              <w:rPr>
                <w:b/>
                <w:spacing w:val="-10"/>
                <w:sz w:val="20"/>
              </w:rPr>
              <w:t>H</w:t>
            </w:r>
          </w:p>
        </w:tc>
        <w:tc>
          <w:tcPr>
            <w:tcW w:w="919" w:type="dxa"/>
            <w:shd w:val="clear" w:color="auto" w:fill="D7D7D7"/>
          </w:tcPr>
          <w:p>
            <w:pPr>
              <w:pStyle w:val="TableParagraph"/>
              <w:spacing w:line="225" w:lineRule="exact"/>
              <w:ind w:left="12" w:right="1"/>
              <w:jc w:val="center"/>
              <w:rPr>
                <w:b/>
                <w:sz w:val="20"/>
              </w:rPr>
            </w:pPr>
            <w:r>
              <w:rPr>
                <w:b/>
                <w:spacing w:val="-10"/>
                <w:sz w:val="20"/>
              </w:rPr>
              <w:t>M</w:t>
            </w:r>
          </w:p>
        </w:tc>
        <w:tc>
          <w:tcPr>
            <w:tcW w:w="1056" w:type="dxa"/>
            <w:shd w:val="clear" w:color="auto" w:fill="D7D7D7"/>
          </w:tcPr>
          <w:p>
            <w:pPr>
              <w:pStyle w:val="TableParagraph"/>
              <w:spacing w:line="225" w:lineRule="exact"/>
              <w:ind w:left="11"/>
              <w:jc w:val="center"/>
              <w:rPr>
                <w:b/>
                <w:sz w:val="20"/>
              </w:rPr>
            </w:pPr>
            <w:r>
              <w:rPr>
                <w:b/>
                <w:spacing w:val="-10"/>
                <w:sz w:val="20"/>
              </w:rPr>
              <w:t>H</w:t>
            </w:r>
          </w:p>
        </w:tc>
        <w:tc>
          <w:tcPr>
            <w:tcW w:w="919" w:type="dxa"/>
            <w:shd w:val="clear" w:color="auto" w:fill="D7D7D7"/>
          </w:tcPr>
          <w:p>
            <w:pPr>
              <w:pStyle w:val="TableParagraph"/>
              <w:spacing w:line="225" w:lineRule="exact"/>
              <w:ind w:left="12" w:right="6"/>
              <w:jc w:val="center"/>
              <w:rPr>
                <w:b/>
                <w:sz w:val="20"/>
              </w:rPr>
            </w:pPr>
            <w:r>
              <w:rPr>
                <w:b/>
                <w:spacing w:val="-10"/>
                <w:sz w:val="20"/>
              </w:rPr>
              <w:t>M</w:t>
            </w:r>
          </w:p>
        </w:tc>
        <w:tc>
          <w:tcPr>
            <w:tcW w:w="679" w:type="dxa"/>
            <w:shd w:val="clear" w:color="auto" w:fill="D7D7D7"/>
          </w:tcPr>
          <w:p>
            <w:pPr>
              <w:pStyle w:val="TableParagraph"/>
              <w:spacing w:line="225" w:lineRule="exact"/>
              <w:ind w:left="9"/>
              <w:jc w:val="center"/>
              <w:rPr>
                <w:b/>
                <w:sz w:val="20"/>
              </w:rPr>
            </w:pPr>
            <w:r>
              <w:rPr>
                <w:b/>
                <w:spacing w:val="-10"/>
                <w:sz w:val="20"/>
              </w:rPr>
              <w:t>H</w:t>
            </w:r>
          </w:p>
        </w:tc>
        <w:tc>
          <w:tcPr>
            <w:tcW w:w="919" w:type="dxa"/>
            <w:shd w:val="clear" w:color="auto" w:fill="D7D7D7"/>
          </w:tcPr>
          <w:p>
            <w:pPr>
              <w:pStyle w:val="TableParagraph"/>
              <w:spacing w:line="225" w:lineRule="exact"/>
              <w:ind w:left="12"/>
              <w:jc w:val="center"/>
              <w:rPr>
                <w:b/>
                <w:sz w:val="20"/>
              </w:rPr>
            </w:pPr>
            <w:r>
              <w:rPr>
                <w:b/>
                <w:spacing w:val="-10"/>
                <w:sz w:val="20"/>
              </w:rPr>
              <w:t>M</w:t>
            </w:r>
          </w:p>
        </w:tc>
      </w:tr>
      <w:tr>
        <w:trPr>
          <w:trHeight w:val="364" w:hRule="atLeast"/>
        </w:trPr>
        <w:tc>
          <w:tcPr>
            <w:tcW w:w="2498" w:type="dxa"/>
          </w:tcPr>
          <w:p>
            <w:pPr>
              <w:pStyle w:val="TableParagraph"/>
              <w:spacing w:before="6"/>
              <w:ind w:left="69"/>
              <w:rPr>
                <w:sz w:val="20"/>
              </w:rPr>
            </w:pPr>
            <w:r>
              <w:rPr>
                <w:sz w:val="20"/>
              </w:rPr>
              <w:t>PERSONAL</w:t>
            </w:r>
            <w:r>
              <w:rPr>
                <w:spacing w:val="-12"/>
                <w:sz w:val="20"/>
              </w:rPr>
              <w:t> </w:t>
            </w:r>
            <w:r>
              <w:rPr>
                <w:spacing w:val="-2"/>
                <w:sz w:val="20"/>
              </w:rPr>
              <w:t>DIRECTIVO</w:t>
            </w:r>
          </w:p>
        </w:tc>
        <w:tc>
          <w:tcPr>
            <w:tcW w:w="679" w:type="dxa"/>
          </w:tcPr>
          <w:p>
            <w:pPr>
              <w:pStyle w:val="TableParagraph"/>
              <w:spacing w:line="243" w:lineRule="exact"/>
              <w:ind w:left="9" w:right="1"/>
              <w:jc w:val="center"/>
              <w:rPr>
                <w:rFonts w:ascii="Calibri"/>
                <w:sz w:val="20"/>
              </w:rPr>
            </w:pPr>
            <w:r>
              <w:rPr>
                <w:rFonts w:ascii="Calibri"/>
                <w:spacing w:val="-10"/>
                <w:sz w:val="20"/>
              </w:rPr>
              <w:t>0</w:t>
            </w:r>
          </w:p>
        </w:tc>
        <w:tc>
          <w:tcPr>
            <w:tcW w:w="919" w:type="dxa"/>
          </w:tcPr>
          <w:p>
            <w:pPr>
              <w:pStyle w:val="TableParagraph"/>
              <w:spacing w:line="243" w:lineRule="exact"/>
              <w:ind w:left="12" w:right="4"/>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c>
          <w:tcPr>
            <w:tcW w:w="679" w:type="dxa"/>
          </w:tcPr>
          <w:p>
            <w:pPr>
              <w:pStyle w:val="TableParagraph"/>
              <w:spacing w:line="243" w:lineRule="exact"/>
              <w:ind w:left="9"/>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r>
      <w:tr>
        <w:trPr>
          <w:trHeight w:val="366" w:hRule="atLeast"/>
        </w:trPr>
        <w:tc>
          <w:tcPr>
            <w:tcW w:w="2498" w:type="dxa"/>
          </w:tcPr>
          <w:p>
            <w:pPr>
              <w:pStyle w:val="TableParagraph"/>
              <w:spacing w:before="9"/>
              <w:ind w:left="69"/>
              <w:rPr>
                <w:sz w:val="20"/>
              </w:rPr>
            </w:pPr>
            <w:r>
              <w:rPr>
                <w:sz w:val="20"/>
              </w:rPr>
              <w:t>PERSONAL</w:t>
            </w:r>
            <w:r>
              <w:rPr>
                <w:spacing w:val="-12"/>
                <w:sz w:val="20"/>
              </w:rPr>
              <w:t> </w:t>
            </w:r>
            <w:r>
              <w:rPr>
                <w:spacing w:val="-2"/>
                <w:sz w:val="20"/>
              </w:rPr>
              <w:t>TÉCNICO</w:t>
            </w:r>
          </w:p>
        </w:tc>
        <w:tc>
          <w:tcPr>
            <w:tcW w:w="679" w:type="dxa"/>
          </w:tcPr>
          <w:p>
            <w:pPr>
              <w:pStyle w:val="TableParagraph"/>
              <w:spacing w:before="1"/>
              <w:ind w:left="9" w:right="1"/>
              <w:jc w:val="center"/>
              <w:rPr>
                <w:rFonts w:ascii="Calibri"/>
                <w:sz w:val="20"/>
              </w:rPr>
            </w:pPr>
            <w:r>
              <w:rPr>
                <w:rFonts w:ascii="Calibri"/>
                <w:spacing w:val="-10"/>
                <w:sz w:val="20"/>
              </w:rPr>
              <w:t>0</w:t>
            </w:r>
          </w:p>
        </w:tc>
        <w:tc>
          <w:tcPr>
            <w:tcW w:w="919" w:type="dxa"/>
          </w:tcPr>
          <w:p>
            <w:pPr>
              <w:pStyle w:val="TableParagraph"/>
              <w:spacing w:before="1"/>
              <w:ind w:left="12" w:right="4"/>
              <w:jc w:val="center"/>
              <w:rPr>
                <w:rFonts w:ascii="Calibri"/>
                <w:sz w:val="20"/>
              </w:rPr>
            </w:pPr>
            <w:r>
              <w:rPr>
                <w:rFonts w:ascii="Calibri"/>
                <w:spacing w:val="-10"/>
                <w:sz w:val="20"/>
              </w:rPr>
              <w:t>0</w:t>
            </w:r>
          </w:p>
        </w:tc>
        <w:tc>
          <w:tcPr>
            <w:tcW w:w="1056" w:type="dxa"/>
          </w:tcPr>
          <w:p>
            <w:pPr>
              <w:pStyle w:val="TableParagraph"/>
              <w:spacing w:before="1"/>
              <w:ind w:left="11"/>
              <w:jc w:val="center"/>
              <w:rPr>
                <w:rFonts w:ascii="Calibri"/>
                <w:sz w:val="20"/>
              </w:rPr>
            </w:pPr>
            <w:r>
              <w:rPr>
                <w:rFonts w:ascii="Calibri"/>
                <w:spacing w:val="-10"/>
                <w:sz w:val="20"/>
              </w:rPr>
              <w:t>0</w:t>
            </w:r>
          </w:p>
        </w:tc>
        <w:tc>
          <w:tcPr>
            <w:tcW w:w="919" w:type="dxa"/>
          </w:tcPr>
          <w:p>
            <w:pPr>
              <w:pStyle w:val="TableParagraph"/>
              <w:spacing w:before="1"/>
              <w:ind w:left="12" w:right="3"/>
              <w:jc w:val="center"/>
              <w:rPr>
                <w:rFonts w:ascii="Calibri"/>
                <w:sz w:val="20"/>
              </w:rPr>
            </w:pPr>
            <w:r>
              <w:rPr>
                <w:rFonts w:ascii="Calibri"/>
                <w:spacing w:val="-10"/>
                <w:sz w:val="20"/>
              </w:rPr>
              <w:t>3</w:t>
            </w:r>
          </w:p>
        </w:tc>
        <w:tc>
          <w:tcPr>
            <w:tcW w:w="679" w:type="dxa"/>
          </w:tcPr>
          <w:p>
            <w:pPr>
              <w:pStyle w:val="TableParagraph"/>
              <w:spacing w:before="1"/>
              <w:ind w:left="9"/>
              <w:jc w:val="center"/>
              <w:rPr>
                <w:rFonts w:ascii="Calibri"/>
                <w:sz w:val="20"/>
              </w:rPr>
            </w:pPr>
            <w:r>
              <w:rPr>
                <w:rFonts w:ascii="Calibri"/>
                <w:spacing w:val="-10"/>
                <w:sz w:val="20"/>
              </w:rPr>
              <w:t>0</w:t>
            </w:r>
          </w:p>
        </w:tc>
        <w:tc>
          <w:tcPr>
            <w:tcW w:w="919" w:type="dxa"/>
          </w:tcPr>
          <w:p>
            <w:pPr>
              <w:pStyle w:val="TableParagraph"/>
              <w:spacing w:before="1"/>
              <w:ind w:left="12" w:right="3"/>
              <w:jc w:val="center"/>
              <w:rPr>
                <w:rFonts w:ascii="Calibri"/>
                <w:sz w:val="20"/>
              </w:rPr>
            </w:pPr>
            <w:r>
              <w:rPr>
                <w:rFonts w:ascii="Calibri"/>
                <w:spacing w:val="-10"/>
                <w:sz w:val="20"/>
              </w:rPr>
              <w:t>1</w:t>
            </w:r>
          </w:p>
        </w:tc>
      </w:tr>
      <w:tr>
        <w:trPr>
          <w:trHeight w:val="366" w:hRule="atLeast"/>
        </w:trPr>
        <w:tc>
          <w:tcPr>
            <w:tcW w:w="2498" w:type="dxa"/>
          </w:tcPr>
          <w:p>
            <w:pPr>
              <w:pStyle w:val="TableParagraph"/>
              <w:spacing w:before="9"/>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679" w:type="dxa"/>
          </w:tcPr>
          <w:p>
            <w:pPr>
              <w:pStyle w:val="TableParagraph"/>
              <w:spacing w:line="243" w:lineRule="exact"/>
              <w:ind w:left="9" w:right="1"/>
              <w:jc w:val="center"/>
              <w:rPr>
                <w:rFonts w:ascii="Calibri"/>
                <w:sz w:val="20"/>
              </w:rPr>
            </w:pPr>
            <w:r>
              <w:rPr>
                <w:rFonts w:ascii="Calibri"/>
                <w:spacing w:val="-10"/>
                <w:sz w:val="20"/>
              </w:rPr>
              <w:t>0</w:t>
            </w:r>
          </w:p>
        </w:tc>
        <w:tc>
          <w:tcPr>
            <w:tcW w:w="919" w:type="dxa"/>
          </w:tcPr>
          <w:p>
            <w:pPr>
              <w:pStyle w:val="TableParagraph"/>
              <w:spacing w:line="243" w:lineRule="exact"/>
              <w:ind w:left="12" w:right="4"/>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c>
          <w:tcPr>
            <w:tcW w:w="679" w:type="dxa"/>
          </w:tcPr>
          <w:p>
            <w:pPr>
              <w:pStyle w:val="TableParagraph"/>
              <w:spacing w:line="243" w:lineRule="exact"/>
              <w:ind w:left="9"/>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r>
      <w:tr>
        <w:trPr>
          <w:trHeight w:val="366" w:hRule="atLeast"/>
        </w:trPr>
        <w:tc>
          <w:tcPr>
            <w:tcW w:w="2498" w:type="dxa"/>
          </w:tcPr>
          <w:p>
            <w:pPr>
              <w:pStyle w:val="TableParagraph"/>
              <w:spacing w:before="6"/>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679" w:type="dxa"/>
          </w:tcPr>
          <w:p>
            <w:pPr>
              <w:pStyle w:val="TableParagraph"/>
              <w:spacing w:line="243" w:lineRule="exact"/>
              <w:ind w:left="9" w:right="1"/>
              <w:jc w:val="center"/>
              <w:rPr>
                <w:rFonts w:ascii="Calibri"/>
                <w:sz w:val="20"/>
              </w:rPr>
            </w:pPr>
            <w:r>
              <w:rPr>
                <w:rFonts w:ascii="Calibri"/>
                <w:spacing w:val="-10"/>
                <w:sz w:val="20"/>
              </w:rPr>
              <w:t>5</w:t>
            </w:r>
          </w:p>
        </w:tc>
        <w:tc>
          <w:tcPr>
            <w:tcW w:w="919" w:type="dxa"/>
          </w:tcPr>
          <w:p>
            <w:pPr>
              <w:pStyle w:val="TableParagraph"/>
              <w:spacing w:line="243" w:lineRule="exact"/>
              <w:ind w:left="12" w:right="4"/>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5"/>
                <w:sz w:val="20"/>
              </w:rPr>
              <w:t>52</w:t>
            </w:r>
          </w:p>
        </w:tc>
        <w:tc>
          <w:tcPr>
            <w:tcW w:w="919" w:type="dxa"/>
          </w:tcPr>
          <w:p>
            <w:pPr>
              <w:pStyle w:val="TableParagraph"/>
              <w:spacing w:line="243" w:lineRule="exact"/>
              <w:ind w:left="12" w:right="3"/>
              <w:jc w:val="center"/>
              <w:rPr>
                <w:rFonts w:ascii="Calibri"/>
                <w:sz w:val="20"/>
              </w:rPr>
            </w:pPr>
            <w:r>
              <w:rPr>
                <w:rFonts w:ascii="Calibri"/>
                <w:spacing w:val="-5"/>
                <w:sz w:val="20"/>
              </w:rPr>
              <w:t>18</w:t>
            </w:r>
          </w:p>
        </w:tc>
        <w:tc>
          <w:tcPr>
            <w:tcW w:w="679" w:type="dxa"/>
          </w:tcPr>
          <w:p>
            <w:pPr>
              <w:pStyle w:val="TableParagraph"/>
              <w:spacing w:line="243" w:lineRule="exact"/>
              <w:ind w:left="9"/>
              <w:jc w:val="center"/>
              <w:rPr>
                <w:rFonts w:ascii="Calibri"/>
                <w:sz w:val="20"/>
              </w:rPr>
            </w:pPr>
            <w:r>
              <w:rPr>
                <w:rFonts w:ascii="Calibri"/>
                <w:spacing w:val="-5"/>
                <w:sz w:val="20"/>
              </w:rPr>
              <w:t>12</w:t>
            </w:r>
          </w:p>
        </w:tc>
        <w:tc>
          <w:tcPr>
            <w:tcW w:w="919" w:type="dxa"/>
          </w:tcPr>
          <w:p>
            <w:pPr>
              <w:pStyle w:val="TableParagraph"/>
              <w:spacing w:line="243" w:lineRule="exact"/>
              <w:ind w:left="12" w:right="3"/>
              <w:jc w:val="center"/>
              <w:rPr>
                <w:rFonts w:ascii="Calibri"/>
                <w:sz w:val="20"/>
              </w:rPr>
            </w:pPr>
            <w:r>
              <w:rPr>
                <w:rFonts w:ascii="Calibri"/>
                <w:spacing w:val="-10"/>
                <w:sz w:val="20"/>
              </w:rPr>
              <w:t>6</w:t>
            </w:r>
          </w:p>
        </w:tc>
      </w:tr>
      <w:tr>
        <w:trPr>
          <w:trHeight w:val="366" w:hRule="atLeast"/>
        </w:trPr>
        <w:tc>
          <w:tcPr>
            <w:tcW w:w="2498" w:type="dxa"/>
          </w:tcPr>
          <w:p>
            <w:pPr>
              <w:pStyle w:val="TableParagraph"/>
              <w:spacing w:before="4"/>
              <w:jc w:val="center"/>
              <w:rPr>
                <w:b/>
                <w:sz w:val="20"/>
              </w:rPr>
            </w:pPr>
            <w:r>
              <w:rPr>
                <w:b/>
                <w:spacing w:val="-2"/>
                <w:sz w:val="20"/>
              </w:rPr>
              <w:t>TOTAL</w:t>
            </w:r>
          </w:p>
        </w:tc>
        <w:tc>
          <w:tcPr>
            <w:tcW w:w="679" w:type="dxa"/>
          </w:tcPr>
          <w:p>
            <w:pPr>
              <w:pStyle w:val="TableParagraph"/>
              <w:spacing w:line="243" w:lineRule="exact"/>
              <w:ind w:left="9" w:right="1"/>
              <w:jc w:val="center"/>
              <w:rPr>
                <w:rFonts w:ascii="Calibri"/>
                <w:b/>
                <w:sz w:val="20"/>
              </w:rPr>
            </w:pPr>
            <w:r>
              <w:rPr>
                <w:rFonts w:ascii="Calibri"/>
                <w:b/>
                <w:spacing w:val="-10"/>
                <w:sz w:val="20"/>
              </w:rPr>
              <w:t>5</w:t>
            </w:r>
          </w:p>
        </w:tc>
        <w:tc>
          <w:tcPr>
            <w:tcW w:w="919" w:type="dxa"/>
          </w:tcPr>
          <w:p>
            <w:pPr>
              <w:pStyle w:val="TableParagraph"/>
              <w:spacing w:line="243" w:lineRule="exact"/>
              <w:ind w:left="12" w:right="4"/>
              <w:jc w:val="center"/>
              <w:rPr>
                <w:rFonts w:ascii="Calibri"/>
                <w:b/>
                <w:sz w:val="20"/>
              </w:rPr>
            </w:pPr>
            <w:r>
              <w:rPr>
                <w:rFonts w:ascii="Calibri"/>
                <w:b/>
                <w:spacing w:val="-10"/>
                <w:sz w:val="20"/>
              </w:rPr>
              <w:t>0</w:t>
            </w:r>
          </w:p>
        </w:tc>
        <w:tc>
          <w:tcPr>
            <w:tcW w:w="1056" w:type="dxa"/>
          </w:tcPr>
          <w:p>
            <w:pPr>
              <w:pStyle w:val="TableParagraph"/>
              <w:spacing w:line="243" w:lineRule="exact"/>
              <w:ind w:left="11"/>
              <w:jc w:val="center"/>
              <w:rPr>
                <w:rFonts w:ascii="Calibri"/>
                <w:b/>
                <w:sz w:val="20"/>
              </w:rPr>
            </w:pPr>
            <w:r>
              <w:rPr>
                <w:rFonts w:ascii="Calibri"/>
                <w:b/>
                <w:spacing w:val="-5"/>
                <w:sz w:val="20"/>
              </w:rPr>
              <w:t>52</w:t>
            </w:r>
          </w:p>
        </w:tc>
        <w:tc>
          <w:tcPr>
            <w:tcW w:w="919" w:type="dxa"/>
          </w:tcPr>
          <w:p>
            <w:pPr>
              <w:pStyle w:val="TableParagraph"/>
              <w:spacing w:line="243" w:lineRule="exact"/>
              <w:ind w:left="12" w:right="3"/>
              <w:jc w:val="center"/>
              <w:rPr>
                <w:rFonts w:ascii="Calibri"/>
                <w:b/>
                <w:sz w:val="20"/>
              </w:rPr>
            </w:pPr>
            <w:r>
              <w:rPr>
                <w:rFonts w:ascii="Calibri"/>
                <w:b/>
                <w:spacing w:val="-5"/>
                <w:sz w:val="20"/>
              </w:rPr>
              <w:t>21</w:t>
            </w:r>
          </w:p>
        </w:tc>
        <w:tc>
          <w:tcPr>
            <w:tcW w:w="679" w:type="dxa"/>
          </w:tcPr>
          <w:p>
            <w:pPr>
              <w:pStyle w:val="TableParagraph"/>
              <w:spacing w:line="243" w:lineRule="exact"/>
              <w:ind w:left="9"/>
              <w:jc w:val="center"/>
              <w:rPr>
                <w:rFonts w:ascii="Calibri"/>
                <w:b/>
                <w:sz w:val="20"/>
              </w:rPr>
            </w:pPr>
            <w:r>
              <w:rPr>
                <w:rFonts w:ascii="Calibri"/>
                <w:b/>
                <w:spacing w:val="-5"/>
                <w:sz w:val="20"/>
              </w:rPr>
              <w:t>12</w:t>
            </w:r>
          </w:p>
        </w:tc>
        <w:tc>
          <w:tcPr>
            <w:tcW w:w="919" w:type="dxa"/>
          </w:tcPr>
          <w:p>
            <w:pPr>
              <w:pStyle w:val="TableParagraph"/>
              <w:spacing w:line="243" w:lineRule="exact"/>
              <w:ind w:left="12" w:right="3"/>
              <w:jc w:val="center"/>
              <w:rPr>
                <w:rFonts w:ascii="Calibri"/>
                <w:b/>
                <w:sz w:val="20"/>
              </w:rPr>
            </w:pPr>
            <w:r>
              <w:rPr>
                <w:rFonts w:ascii="Calibri"/>
                <w:b/>
                <w:spacing w:val="-10"/>
                <w:sz w:val="20"/>
              </w:rPr>
              <w:t>7</w:t>
            </w:r>
          </w:p>
        </w:tc>
      </w:tr>
    </w:tbl>
    <w:p>
      <w:pPr>
        <w:pStyle w:val="BodyText"/>
      </w:pPr>
    </w:p>
    <w:p>
      <w:pPr>
        <w:pStyle w:val="BodyText"/>
        <w:spacing w:before="85"/>
      </w:pPr>
    </w:p>
    <w:p>
      <w:pPr>
        <w:pStyle w:val="BodyText"/>
        <w:spacing w:line="357" w:lineRule="auto" w:before="1" w:after="6"/>
        <w:ind w:left="1341" w:right="1308"/>
      </w:pPr>
      <w:r>
        <w:rPr/>
        <mc:AlternateContent>
          <mc:Choice Requires="wps">
            <w:drawing>
              <wp:anchor distT="0" distB="0" distL="0" distR="0" allowOverlap="1" layoutInCell="1" locked="0" behindDoc="1" simplePos="0" relativeHeight="476778496">
                <wp:simplePos x="0" y="0"/>
                <wp:positionH relativeFrom="page">
                  <wp:posOffset>2679026</wp:posOffset>
                </wp:positionH>
                <wp:positionV relativeFrom="paragraph">
                  <wp:posOffset>898205</wp:posOffset>
                </wp:positionV>
                <wp:extent cx="91440" cy="14160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A</w:t>
                            </w:r>
                          </w:p>
                        </w:txbxContent>
                      </wps:txbx>
                      <wps:bodyPr wrap="square" lIns="0" tIns="0" rIns="0" bIns="0" rtlCol="0">
                        <a:noAutofit/>
                      </wps:bodyPr>
                    </wps:wsp>
                  </a:graphicData>
                </a:graphic>
              </wp:anchor>
            </w:drawing>
          </mc:Choice>
          <mc:Fallback>
            <w:pict>
              <v:shape style="position:absolute;margin-left:210.94696pt;margin-top:70.724808pt;width:7.2pt;height:11.15pt;mso-position-horizontal-relative:page;mso-position-vertical-relative:paragraph;z-index:-26537984" type="#_x0000_t202" id="docshape227" filled="false" stroked="false">
                <v:textbox inset="0,0,0,0">
                  <w:txbxContent>
                    <w:p>
                      <w:pPr>
                        <w:spacing w:line="223" w:lineRule="exact" w:before="0"/>
                        <w:ind w:left="0" w:right="0" w:firstLine="0"/>
                        <w:jc w:val="left"/>
                        <w:rPr>
                          <w:b/>
                          <w:sz w:val="20"/>
                        </w:rPr>
                      </w:pPr>
                      <w:r>
                        <w:rPr>
                          <w:b/>
                          <w:spacing w:val="-12"/>
                          <w:sz w:val="20"/>
                        </w:rPr>
                        <w:t>A</w:t>
                      </w:r>
                    </w:p>
                  </w:txbxContent>
                </v:textbox>
                <w10:wrap type="none"/>
              </v:shape>
            </w:pict>
          </mc:Fallback>
        </mc:AlternateContent>
      </w:r>
      <w:r>
        <w:rPr/>
        <mc:AlternateContent>
          <mc:Choice Requires="wps">
            <w:drawing>
              <wp:anchor distT="0" distB="0" distL="0" distR="0" allowOverlap="1" layoutInCell="1" locked="0" behindDoc="1" simplePos="0" relativeHeight="476779520">
                <wp:simplePos x="0" y="0"/>
                <wp:positionH relativeFrom="page">
                  <wp:posOffset>5396483</wp:posOffset>
                </wp:positionH>
                <wp:positionV relativeFrom="paragraph">
                  <wp:posOffset>898205</wp:posOffset>
                </wp:positionV>
                <wp:extent cx="91440" cy="14160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H</w:t>
                            </w:r>
                          </w:p>
                        </w:txbxContent>
                      </wps:txbx>
                      <wps:bodyPr wrap="square" lIns="0" tIns="0" rIns="0" bIns="0" rtlCol="0">
                        <a:noAutofit/>
                      </wps:bodyPr>
                    </wps:wsp>
                  </a:graphicData>
                </a:graphic>
              </wp:anchor>
            </w:drawing>
          </mc:Choice>
          <mc:Fallback>
            <w:pict>
              <v:shape style="position:absolute;margin-left:424.919983pt;margin-top:70.724808pt;width:7.2pt;height:11.15pt;mso-position-horizontal-relative:page;mso-position-vertical-relative:paragraph;z-index:-26536960" type="#_x0000_t202" id="docshape228" filled="false" stroked="false">
                <v:textbox inset="0,0,0,0">
                  <w:txbxContent>
                    <w:p>
                      <w:pPr>
                        <w:spacing w:line="223" w:lineRule="exact" w:before="0"/>
                        <w:ind w:left="0" w:right="0" w:firstLine="0"/>
                        <w:jc w:val="left"/>
                        <w:rPr>
                          <w:b/>
                          <w:sz w:val="20"/>
                        </w:rPr>
                      </w:pPr>
                      <w:r>
                        <w:rPr>
                          <w:b/>
                          <w:spacing w:val="-12"/>
                          <w:sz w:val="20"/>
                        </w:rPr>
                        <w:t>H</w:t>
                      </w:r>
                    </w:p>
                  </w:txbxContent>
                </v:textbox>
                <w10:wrap type="none"/>
              </v:shape>
            </w:pict>
          </mc:Fallback>
        </mc:AlternateContent>
      </w:r>
      <w:r>
        <w:rPr/>
        <w:t>Comparativa de contrataciones de personal en el año 2025 con respecto al 2024, distribuidas por edad y sexo:</w:t>
      </w:r>
    </w:p>
    <w:tbl>
      <w:tblPr>
        <w:tblW w:w="0" w:type="auto"/>
        <w:jc w:val="left"/>
        <w:tblInd w:w="1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4"/>
        <w:gridCol w:w="831"/>
        <w:gridCol w:w="886"/>
        <w:gridCol w:w="1023"/>
        <w:gridCol w:w="889"/>
        <w:gridCol w:w="659"/>
        <w:gridCol w:w="889"/>
      </w:tblGrid>
      <w:tr>
        <w:trPr>
          <w:trHeight w:val="345" w:hRule="atLeast"/>
        </w:trPr>
        <w:tc>
          <w:tcPr>
            <w:tcW w:w="2494" w:type="dxa"/>
            <w:vMerge w:val="restart"/>
            <w:tcBorders>
              <w:top w:val="nil"/>
              <w:left w:val="nil"/>
            </w:tcBorders>
          </w:tcPr>
          <w:p>
            <w:pPr>
              <w:pStyle w:val="TableParagraph"/>
              <w:rPr>
                <w:rFonts w:ascii="Times New Roman"/>
                <w:sz w:val="18"/>
              </w:rPr>
            </w:pPr>
          </w:p>
        </w:tc>
        <w:tc>
          <w:tcPr>
            <w:tcW w:w="5177" w:type="dxa"/>
            <w:gridSpan w:val="6"/>
            <w:shd w:val="clear" w:color="auto" w:fill="D7D7D7"/>
          </w:tcPr>
          <w:p>
            <w:pPr>
              <w:pStyle w:val="TableParagraph"/>
              <w:spacing w:line="225" w:lineRule="exact"/>
              <w:ind w:left="1307"/>
              <w:rPr>
                <w:b/>
                <w:sz w:val="20"/>
              </w:rPr>
            </w:pPr>
            <w:r>
              <w:rPr>
                <w:b/>
                <w:sz w:val="20"/>
              </w:rPr>
              <w:t>EDAD</w:t>
            </w:r>
            <w:r>
              <w:rPr>
                <w:b/>
                <w:spacing w:val="-7"/>
                <w:sz w:val="20"/>
              </w:rPr>
              <w:t> </w:t>
            </w:r>
            <w:r>
              <w:rPr>
                <w:b/>
                <w:sz w:val="20"/>
              </w:rPr>
              <w:t>Y</w:t>
            </w:r>
            <w:r>
              <w:rPr>
                <w:b/>
                <w:spacing w:val="-3"/>
                <w:sz w:val="20"/>
              </w:rPr>
              <w:t> </w:t>
            </w:r>
            <w:r>
              <w:rPr>
                <w:b/>
                <w:sz w:val="20"/>
              </w:rPr>
              <w:t>SEXO</w:t>
            </w:r>
            <w:r>
              <w:rPr>
                <w:b/>
                <w:spacing w:val="-3"/>
                <w:sz w:val="20"/>
              </w:rPr>
              <w:t> </w:t>
            </w:r>
            <w:r>
              <w:rPr>
                <w:b/>
                <w:sz w:val="20"/>
              </w:rPr>
              <w:t>∆</w:t>
            </w:r>
            <w:r>
              <w:rPr>
                <w:b/>
                <w:spacing w:val="-8"/>
                <w:sz w:val="20"/>
              </w:rPr>
              <w:t> </w:t>
            </w:r>
            <w:r>
              <w:rPr>
                <w:b/>
                <w:sz w:val="20"/>
              </w:rPr>
              <w:t>2025-</w:t>
            </w:r>
            <w:r>
              <w:rPr>
                <w:b/>
                <w:spacing w:val="-4"/>
                <w:sz w:val="20"/>
              </w:rPr>
              <w:t>2024</w:t>
            </w:r>
          </w:p>
        </w:tc>
      </w:tr>
      <w:tr>
        <w:trPr>
          <w:trHeight w:val="345" w:hRule="atLeast"/>
        </w:trPr>
        <w:tc>
          <w:tcPr>
            <w:tcW w:w="2494" w:type="dxa"/>
            <w:vMerge/>
            <w:tcBorders>
              <w:top w:val="nil"/>
              <w:left w:val="nil"/>
            </w:tcBorders>
          </w:tcPr>
          <w:p>
            <w:pPr>
              <w:rPr>
                <w:sz w:val="2"/>
                <w:szCs w:val="2"/>
              </w:rPr>
            </w:pPr>
          </w:p>
        </w:tc>
        <w:tc>
          <w:tcPr>
            <w:tcW w:w="1717" w:type="dxa"/>
            <w:gridSpan w:val="2"/>
            <w:shd w:val="clear" w:color="auto" w:fill="D7D7D7"/>
          </w:tcPr>
          <w:p>
            <w:pPr>
              <w:pStyle w:val="TableParagraph"/>
              <w:spacing w:line="225" w:lineRule="exact"/>
              <w:ind w:left="342"/>
              <w:rPr>
                <w:b/>
                <w:sz w:val="20"/>
              </w:rPr>
            </w:pPr>
            <w:r>
              <w:rPr>
                <w:b/>
                <w:sz w:val="20"/>
              </w:rPr>
              <w:t>&lt;</w:t>
            </w:r>
            <w:r>
              <w:rPr>
                <w:b/>
                <w:spacing w:val="-3"/>
                <w:sz w:val="20"/>
              </w:rPr>
              <w:t> </w:t>
            </w:r>
            <w:r>
              <w:rPr>
                <w:b/>
                <w:sz w:val="20"/>
              </w:rPr>
              <w:t>30</w:t>
            </w:r>
            <w:r>
              <w:rPr>
                <w:b/>
                <w:spacing w:val="1"/>
                <w:sz w:val="20"/>
              </w:rPr>
              <w:t> </w:t>
            </w:r>
            <w:r>
              <w:rPr>
                <w:b/>
                <w:spacing w:val="-4"/>
                <w:sz w:val="20"/>
              </w:rPr>
              <w:t>AÑOS</w:t>
            </w:r>
          </w:p>
        </w:tc>
        <w:tc>
          <w:tcPr>
            <w:tcW w:w="1912" w:type="dxa"/>
            <w:gridSpan w:val="2"/>
            <w:shd w:val="clear" w:color="auto" w:fill="D7D7D7"/>
          </w:tcPr>
          <w:p>
            <w:pPr>
              <w:pStyle w:val="TableParagraph"/>
              <w:spacing w:line="225" w:lineRule="exact"/>
              <w:ind w:left="379"/>
              <w:rPr>
                <w:b/>
                <w:sz w:val="20"/>
              </w:rPr>
            </w:pPr>
            <w:r>
              <w:rPr>
                <w:b/>
                <w:sz w:val="20"/>
              </w:rPr>
              <w:t>30-50</w:t>
            </w:r>
            <w:r>
              <w:rPr>
                <w:b/>
                <w:spacing w:val="-6"/>
                <w:sz w:val="20"/>
              </w:rPr>
              <w:t> </w:t>
            </w:r>
            <w:r>
              <w:rPr>
                <w:b/>
                <w:spacing w:val="-4"/>
                <w:sz w:val="20"/>
              </w:rPr>
              <w:t>AÑOS</w:t>
            </w:r>
          </w:p>
        </w:tc>
        <w:tc>
          <w:tcPr>
            <w:tcW w:w="1548" w:type="dxa"/>
            <w:gridSpan w:val="2"/>
            <w:shd w:val="clear" w:color="auto" w:fill="D7D7D7"/>
          </w:tcPr>
          <w:p>
            <w:pPr>
              <w:pStyle w:val="TableParagraph"/>
              <w:spacing w:line="225" w:lineRule="exact"/>
              <w:ind w:left="255"/>
              <w:rPr>
                <w:b/>
                <w:sz w:val="20"/>
              </w:rPr>
            </w:pPr>
            <w:r>
              <w:rPr>
                <w:b/>
                <w:sz w:val="20"/>
              </w:rPr>
              <w:t>&gt;</w:t>
            </w:r>
            <w:r>
              <w:rPr>
                <w:b/>
                <w:spacing w:val="-3"/>
                <w:sz w:val="20"/>
              </w:rPr>
              <w:t> </w:t>
            </w:r>
            <w:r>
              <w:rPr>
                <w:b/>
                <w:sz w:val="20"/>
              </w:rPr>
              <w:t>50</w:t>
            </w:r>
            <w:r>
              <w:rPr>
                <w:b/>
                <w:spacing w:val="1"/>
                <w:sz w:val="20"/>
              </w:rPr>
              <w:t> </w:t>
            </w:r>
            <w:r>
              <w:rPr>
                <w:b/>
                <w:spacing w:val="-4"/>
                <w:sz w:val="20"/>
              </w:rPr>
              <w:t>AÑOS</w:t>
            </w:r>
          </w:p>
        </w:tc>
      </w:tr>
      <w:tr>
        <w:trPr>
          <w:trHeight w:val="345" w:hRule="atLeast"/>
        </w:trPr>
        <w:tc>
          <w:tcPr>
            <w:tcW w:w="2494" w:type="dxa"/>
            <w:shd w:val="clear" w:color="auto" w:fill="D7D7D7"/>
          </w:tcPr>
          <w:p>
            <w:pPr>
              <w:pStyle w:val="TableParagraph"/>
              <w:spacing w:line="225" w:lineRule="exact"/>
              <w:ind w:left="126"/>
              <w:rPr>
                <w:b/>
                <w:sz w:val="20"/>
              </w:rPr>
            </w:pPr>
            <w:r>
              <w:rPr>
                <w:b/>
                <w:sz w:val="20"/>
              </w:rPr>
              <w:t>GRUPO</w:t>
            </w:r>
            <w:r>
              <w:rPr>
                <w:b/>
                <w:spacing w:val="-7"/>
                <w:sz w:val="20"/>
              </w:rPr>
              <w:t> </w:t>
            </w:r>
            <w:r>
              <w:rPr>
                <w:b/>
                <w:sz w:val="20"/>
              </w:rPr>
              <w:t>PROFESION</w:t>
            </w:r>
            <w:r>
              <w:rPr>
                <w:b/>
                <w:spacing w:val="77"/>
                <w:sz w:val="20"/>
              </w:rPr>
              <w:t> </w:t>
            </w:r>
            <w:r>
              <w:rPr>
                <w:b/>
                <w:spacing w:val="-10"/>
                <w:sz w:val="20"/>
              </w:rPr>
              <w:t>L</w:t>
            </w:r>
          </w:p>
        </w:tc>
        <w:tc>
          <w:tcPr>
            <w:tcW w:w="831" w:type="dxa"/>
            <w:shd w:val="clear" w:color="auto" w:fill="D7D7D7"/>
          </w:tcPr>
          <w:p>
            <w:pPr>
              <w:pStyle w:val="TableParagraph"/>
              <w:spacing w:line="225" w:lineRule="exact"/>
              <w:ind w:left="8"/>
              <w:jc w:val="center"/>
              <w:rPr>
                <w:b/>
                <w:sz w:val="20"/>
              </w:rPr>
            </w:pPr>
            <w:r>
              <w:rPr>
                <w:b/>
                <w:spacing w:val="-10"/>
                <w:sz w:val="20"/>
              </w:rPr>
              <w:t>H</w:t>
            </w:r>
          </w:p>
        </w:tc>
        <w:tc>
          <w:tcPr>
            <w:tcW w:w="886" w:type="dxa"/>
            <w:shd w:val="clear" w:color="auto" w:fill="D7D7D7"/>
          </w:tcPr>
          <w:p>
            <w:pPr>
              <w:pStyle w:val="TableParagraph"/>
              <w:spacing w:line="225" w:lineRule="exact"/>
              <w:ind w:left="7"/>
              <w:jc w:val="center"/>
              <w:rPr>
                <w:b/>
                <w:sz w:val="20"/>
              </w:rPr>
            </w:pPr>
            <w:r>
              <w:rPr>
                <w:b/>
                <w:spacing w:val="-10"/>
                <w:sz w:val="20"/>
              </w:rPr>
              <w:t>M</w:t>
            </w:r>
          </w:p>
        </w:tc>
        <w:tc>
          <w:tcPr>
            <w:tcW w:w="1023" w:type="dxa"/>
            <w:shd w:val="clear" w:color="auto" w:fill="D7D7D7"/>
          </w:tcPr>
          <w:p>
            <w:pPr>
              <w:pStyle w:val="TableParagraph"/>
              <w:spacing w:line="225" w:lineRule="exact"/>
              <w:ind w:left="6"/>
              <w:jc w:val="center"/>
              <w:rPr>
                <w:b/>
                <w:sz w:val="20"/>
              </w:rPr>
            </w:pPr>
            <w:r>
              <w:rPr>
                <w:b/>
                <w:spacing w:val="-10"/>
                <w:sz w:val="20"/>
              </w:rPr>
              <w:t>H</w:t>
            </w:r>
          </w:p>
        </w:tc>
        <w:tc>
          <w:tcPr>
            <w:tcW w:w="889" w:type="dxa"/>
            <w:shd w:val="clear" w:color="auto" w:fill="D7D7D7"/>
          </w:tcPr>
          <w:p>
            <w:pPr>
              <w:pStyle w:val="TableParagraph"/>
              <w:spacing w:line="225" w:lineRule="exact"/>
              <w:ind w:left="2"/>
              <w:jc w:val="center"/>
              <w:rPr>
                <w:b/>
                <w:sz w:val="20"/>
              </w:rPr>
            </w:pPr>
            <w:r>
              <w:rPr>
                <w:b/>
                <w:spacing w:val="-10"/>
                <w:sz w:val="20"/>
              </w:rPr>
              <w:t>M</w:t>
            </w:r>
          </w:p>
        </w:tc>
        <w:tc>
          <w:tcPr>
            <w:tcW w:w="659" w:type="dxa"/>
            <w:shd w:val="clear" w:color="auto" w:fill="D7D7D7"/>
          </w:tcPr>
          <w:p>
            <w:pPr>
              <w:pStyle w:val="TableParagraph"/>
              <w:rPr>
                <w:rFonts w:ascii="Times New Roman"/>
                <w:sz w:val="18"/>
              </w:rPr>
            </w:pPr>
          </w:p>
        </w:tc>
        <w:tc>
          <w:tcPr>
            <w:tcW w:w="889" w:type="dxa"/>
            <w:shd w:val="clear" w:color="auto" w:fill="D7D7D7"/>
          </w:tcPr>
          <w:p>
            <w:pPr>
              <w:pStyle w:val="TableParagraph"/>
              <w:spacing w:line="225" w:lineRule="exact"/>
              <w:ind w:left="2" w:right="2"/>
              <w:jc w:val="center"/>
              <w:rPr>
                <w:b/>
                <w:sz w:val="20"/>
              </w:rPr>
            </w:pPr>
            <w:r>
              <w:rPr>
                <w:b/>
                <w:spacing w:val="-10"/>
                <w:sz w:val="20"/>
              </w:rPr>
              <w:t>M</w:t>
            </w:r>
          </w:p>
        </w:tc>
      </w:tr>
      <w:tr>
        <w:trPr>
          <w:trHeight w:val="366" w:hRule="atLeast"/>
        </w:trPr>
        <w:tc>
          <w:tcPr>
            <w:tcW w:w="2494" w:type="dxa"/>
          </w:tcPr>
          <w:p>
            <w:pPr>
              <w:pStyle w:val="TableParagraph"/>
              <w:spacing w:before="6"/>
              <w:ind w:left="69"/>
              <w:rPr>
                <w:sz w:val="20"/>
              </w:rPr>
            </w:pPr>
            <w:r>
              <w:rPr>
                <w:sz w:val="20"/>
              </w:rPr>
              <w:t>PERSONAL</w:t>
            </w:r>
            <w:r>
              <w:rPr>
                <w:spacing w:val="-12"/>
                <w:sz w:val="20"/>
              </w:rPr>
              <w:t> </w:t>
            </w:r>
            <w:r>
              <w:rPr>
                <w:spacing w:val="-2"/>
                <w:sz w:val="20"/>
              </w:rPr>
              <w:t>DIRECTIVO</w:t>
            </w:r>
          </w:p>
        </w:tc>
        <w:tc>
          <w:tcPr>
            <w:tcW w:w="831" w:type="dxa"/>
          </w:tcPr>
          <w:p>
            <w:pPr>
              <w:pStyle w:val="TableParagraph"/>
              <w:spacing w:line="243" w:lineRule="exact"/>
              <w:ind w:left="8"/>
              <w:jc w:val="center"/>
              <w:rPr>
                <w:rFonts w:ascii="Calibri"/>
                <w:sz w:val="20"/>
              </w:rPr>
            </w:pPr>
            <w:r>
              <w:rPr>
                <w:rFonts w:ascii="Calibri"/>
                <w:spacing w:val="-10"/>
                <w:sz w:val="20"/>
              </w:rPr>
              <w:t>0</w:t>
            </w:r>
          </w:p>
        </w:tc>
        <w:tc>
          <w:tcPr>
            <w:tcW w:w="886" w:type="dxa"/>
          </w:tcPr>
          <w:p>
            <w:pPr>
              <w:pStyle w:val="TableParagraph"/>
              <w:spacing w:line="243" w:lineRule="exact"/>
              <w:ind w:left="7" w:right="3"/>
              <w:jc w:val="center"/>
              <w:rPr>
                <w:rFonts w:ascii="Calibri"/>
                <w:sz w:val="20"/>
              </w:rPr>
            </w:pPr>
            <w:r>
              <w:rPr>
                <w:rFonts w:ascii="Calibri"/>
                <w:spacing w:val="-10"/>
                <w:sz w:val="20"/>
              </w:rPr>
              <w:t>0</w:t>
            </w:r>
          </w:p>
        </w:tc>
        <w:tc>
          <w:tcPr>
            <w:tcW w:w="1023" w:type="dxa"/>
          </w:tcPr>
          <w:p>
            <w:pPr>
              <w:pStyle w:val="TableParagraph"/>
              <w:spacing w:line="243" w:lineRule="exact"/>
              <w:ind w:left="6"/>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0</w:t>
            </w:r>
          </w:p>
        </w:tc>
        <w:tc>
          <w:tcPr>
            <w:tcW w:w="659" w:type="dxa"/>
          </w:tcPr>
          <w:p>
            <w:pPr>
              <w:pStyle w:val="TableParagraph"/>
              <w:spacing w:line="243" w:lineRule="exact"/>
              <w:ind w:left="2"/>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0</w:t>
            </w:r>
          </w:p>
        </w:tc>
      </w:tr>
      <w:tr>
        <w:trPr>
          <w:trHeight w:val="364" w:hRule="atLeast"/>
        </w:trPr>
        <w:tc>
          <w:tcPr>
            <w:tcW w:w="2494" w:type="dxa"/>
          </w:tcPr>
          <w:p>
            <w:pPr>
              <w:pStyle w:val="TableParagraph"/>
              <w:spacing w:before="6"/>
              <w:ind w:left="69"/>
              <w:rPr>
                <w:sz w:val="20"/>
              </w:rPr>
            </w:pPr>
            <w:r>
              <w:rPr>
                <w:sz w:val="20"/>
              </w:rPr>
              <w:t>PERSONAL</w:t>
            </w:r>
            <w:r>
              <w:rPr>
                <w:spacing w:val="-12"/>
                <w:sz w:val="20"/>
              </w:rPr>
              <w:t> </w:t>
            </w:r>
            <w:r>
              <w:rPr>
                <w:spacing w:val="-2"/>
                <w:sz w:val="20"/>
              </w:rPr>
              <w:t>TÉCNICO</w:t>
            </w:r>
          </w:p>
        </w:tc>
        <w:tc>
          <w:tcPr>
            <w:tcW w:w="831" w:type="dxa"/>
          </w:tcPr>
          <w:p>
            <w:pPr>
              <w:pStyle w:val="TableParagraph"/>
              <w:spacing w:line="243" w:lineRule="exact"/>
              <w:ind w:left="8"/>
              <w:jc w:val="center"/>
              <w:rPr>
                <w:rFonts w:ascii="Calibri"/>
                <w:sz w:val="20"/>
              </w:rPr>
            </w:pPr>
            <w:r>
              <w:rPr>
                <w:rFonts w:ascii="Calibri"/>
                <w:spacing w:val="-10"/>
                <w:sz w:val="20"/>
              </w:rPr>
              <w:t>0</w:t>
            </w:r>
          </w:p>
        </w:tc>
        <w:tc>
          <w:tcPr>
            <w:tcW w:w="886" w:type="dxa"/>
          </w:tcPr>
          <w:p>
            <w:pPr>
              <w:pStyle w:val="TableParagraph"/>
              <w:spacing w:line="243" w:lineRule="exact"/>
              <w:ind w:left="7" w:right="5"/>
              <w:jc w:val="center"/>
              <w:rPr>
                <w:rFonts w:ascii="Calibri"/>
                <w:sz w:val="20"/>
              </w:rPr>
            </w:pPr>
            <w:r>
              <w:rPr>
                <w:rFonts w:ascii="Calibri"/>
                <w:spacing w:val="-4"/>
                <w:sz w:val="20"/>
              </w:rPr>
              <w:t>-</w:t>
            </w:r>
            <w:r>
              <w:rPr>
                <w:rFonts w:ascii="Calibri"/>
                <w:spacing w:val="-10"/>
                <w:sz w:val="20"/>
              </w:rPr>
              <w:t>2</w:t>
            </w:r>
          </w:p>
        </w:tc>
        <w:tc>
          <w:tcPr>
            <w:tcW w:w="1023" w:type="dxa"/>
          </w:tcPr>
          <w:p>
            <w:pPr>
              <w:pStyle w:val="TableParagraph"/>
              <w:spacing w:line="243" w:lineRule="exact"/>
              <w:ind w:left="6" w:right="3"/>
              <w:jc w:val="center"/>
              <w:rPr>
                <w:rFonts w:ascii="Calibri"/>
                <w:sz w:val="20"/>
              </w:rPr>
            </w:pPr>
            <w:r>
              <w:rPr>
                <w:rFonts w:ascii="Calibri"/>
                <w:spacing w:val="-4"/>
                <w:sz w:val="20"/>
              </w:rPr>
              <w:t>-</w:t>
            </w:r>
            <w:r>
              <w:rPr>
                <w:rFonts w:ascii="Calibri"/>
                <w:spacing w:val="-10"/>
                <w:sz w:val="20"/>
              </w:rPr>
              <w:t>1</w:t>
            </w:r>
          </w:p>
        </w:tc>
        <w:tc>
          <w:tcPr>
            <w:tcW w:w="889" w:type="dxa"/>
          </w:tcPr>
          <w:p>
            <w:pPr>
              <w:pStyle w:val="TableParagraph"/>
              <w:spacing w:line="243" w:lineRule="exact"/>
              <w:ind w:left="2" w:right="2"/>
              <w:jc w:val="center"/>
              <w:rPr>
                <w:rFonts w:ascii="Calibri"/>
                <w:sz w:val="20"/>
              </w:rPr>
            </w:pPr>
            <w:r>
              <w:rPr>
                <w:rFonts w:ascii="Calibri"/>
                <w:spacing w:val="-10"/>
                <w:sz w:val="20"/>
              </w:rPr>
              <w:t>2</w:t>
            </w:r>
          </w:p>
        </w:tc>
        <w:tc>
          <w:tcPr>
            <w:tcW w:w="659" w:type="dxa"/>
          </w:tcPr>
          <w:p>
            <w:pPr>
              <w:pStyle w:val="TableParagraph"/>
              <w:spacing w:line="243" w:lineRule="exact"/>
              <w:ind w:left="2"/>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1</w:t>
            </w:r>
          </w:p>
        </w:tc>
      </w:tr>
      <w:tr>
        <w:trPr>
          <w:trHeight w:val="366" w:hRule="atLeast"/>
        </w:trPr>
        <w:tc>
          <w:tcPr>
            <w:tcW w:w="2494" w:type="dxa"/>
          </w:tcPr>
          <w:p>
            <w:pPr>
              <w:pStyle w:val="TableParagraph"/>
              <w:spacing w:before="9"/>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831" w:type="dxa"/>
          </w:tcPr>
          <w:p>
            <w:pPr>
              <w:pStyle w:val="TableParagraph"/>
              <w:spacing w:line="243" w:lineRule="exact"/>
              <w:ind w:left="8"/>
              <w:jc w:val="center"/>
              <w:rPr>
                <w:rFonts w:ascii="Calibri"/>
                <w:sz w:val="20"/>
              </w:rPr>
            </w:pPr>
            <w:r>
              <w:rPr>
                <w:rFonts w:ascii="Calibri"/>
                <w:spacing w:val="-10"/>
                <w:sz w:val="20"/>
              </w:rPr>
              <w:t>0</w:t>
            </w:r>
          </w:p>
        </w:tc>
        <w:tc>
          <w:tcPr>
            <w:tcW w:w="886" w:type="dxa"/>
          </w:tcPr>
          <w:p>
            <w:pPr>
              <w:pStyle w:val="TableParagraph"/>
              <w:spacing w:line="243" w:lineRule="exact"/>
              <w:ind w:left="7" w:right="3"/>
              <w:jc w:val="center"/>
              <w:rPr>
                <w:rFonts w:ascii="Calibri"/>
                <w:sz w:val="20"/>
              </w:rPr>
            </w:pPr>
            <w:r>
              <w:rPr>
                <w:rFonts w:ascii="Calibri"/>
                <w:spacing w:val="-10"/>
                <w:sz w:val="20"/>
              </w:rPr>
              <w:t>0</w:t>
            </w:r>
          </w:p>
        </w:tc>
        <w:tc>
          <w:tcPr>
            <w:tcW w:w="1023" w:type="dxa"/>
          </w:tcPr>
          <w:p>
            <w:pPr>
              <w:pStyle w:val="TableParagraph"/>
              <w:spacing w:line="243" w:lineRule="exact"/>
              <w:ind w:left="6"/>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0</w:t>
            </w:r>
          </w:p>
        </w:tc>
        <w:tc>
          <w:tcPr>
            <w:tcW w:w="659" w:type="dxa"/>
          </w:tcPr>
          <w:p>
            <w:pPr>
              <w:pStyle w:val="TableParagraph"/>
              <w:spacing w:line="243" w:lineRule="exact"/>
              <w:ind w:left="2"/>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0</w:t>
            </w:r>
          </w:p>
        </w:tc>
      </w:tr>
      <w:tr>
        <w:trPr>
          <w:trHeight w:val="366" w:hRule="atLeast"/>
        </w:trPr>
        <w:tc>
          <w:tcPr>
            <w:tcW w:w="2494" w:type="dxa"/>
          </w:tcPr>
          <w:p>
            <w:pPr>
              <w:pStyle w:val="TableParagraph"/>
              <w:spacing w:before="9"/>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831" w:type="dxa"/>
          </w:tcPr>
          <w:p>
            <w:pPr>
              <w:pStyle w:val="TableParagraph"/>
              <w:spacing w:line="243" w:lineRule="exact"/>
              <w:ind w:left="8"/>
              <w:jc w:val="center"/>
              <w:rPr>
                <w:rFonts w:ascii="Calibri"/>
                <w:sz w:val="20"/>
              </w:rPr>
            </w:pPr>
            <w:r>
              <w:rPr>
                <w:rFonts w:ascii="Calibri"/>
                <w:spacing w:val="-10"/>
                <w:sz w:val="20"/>
              </w:rPr>
              <w:t>5</w:t>
            </w:r>
          </w:p>
        </w:tc>
        <w:tc>
          <w:tcPr>
            <w:tcW w:w="886" w:type="dxa"/>
          </w:tcPr>
          <w:p>
            <w:pPr>
              <w:pStyle w:val="TableParagraph"/>
              <w:spacing w:line="243" w:lineRule="exact"/>
              <w:ind w:left="7" w:right="3"/>
              <w:jc w:val="center"/>
              <w:rPr>
                <w:rFonts w:ascii="Calibri"/>
                <w:sz w:val="20"/>
              </w:rPr>
            </w:pPr>
            <w:r>
              <w:rPr>
                <w:rFonts w:ascii="Calibri"/>
                <w:spacing w:val="-10"/>
                <w:sz w:val="20"/>
              </w:rPr>
              <w:t>0</w:t>
            </w:r>
          </w:p>
        </w:tc>
        <w:tc>
          <w:tcPr>
            <w:tcW w:w="1023" w:type="dxa"/>
          </w:tcPr>
          <w:p>
            <w:pPr>
              <w:pStyle w:val="TableParagraph"/>
              <w:spacing w:line="243" w:lineRule="exact"/>
              <w:ind w:left="6" w:right="3"/>
              <w:jc w:val="center"/>
              <w:rPr>
                <w:rFonts w:ascii="Calibri"/>
                <w:sz w:val="20"/>
              </w:rPr>
            </w:pPr>
            <w:r>
              <w:rPr>
                <w:rFonts w:ascii="Calibri"/>
                <w:spacing w:val="-4"/>
                <w:sz w:val="20"/>
              </w:rPr>
              <w:t>-</w:t>
            </w:r>
            <w:r>
              <w:rPr>
                <w:rFonts w:ascii="Calibri"/>
                <w:spacing w:val="-10"/>
                <w:sz w:val="20"/>
              </w:rPr>
              <w:t>8</w:t>
            </w:r>
          </w:p>
        </w:tc>
        <w:tc>
          <w:tcPr>
            <w:tcW w:w="889" w:type="dxa"/>
          </w:tcPr>
          <w:p>
            <w:pPr>
              <w:pStyle w:val="TableParagraph"/>
              <w:spacing w:line="243" w:lineRule="exact"/>
              <w:ind w:left="2" w:right="2"/>
              <w:jc w:val="center"/>
              <w:rPr>
                <w:rFonts w:ascii="Calibri"/>
                <w:sz w:val="20"/>
              </w:rPr>
            </w:pPr>
            <w:r>
              <w:rPr>
                <w:rFonts w:ascii="Calibri"/>
                <w:spacing w:val="-10"/>
                <w:sz w:val="20"/>
              </w:rPr>
              <w:t>8</w:t>
            </w:r>
          </w:p>
        </w:tc>
        <w:tc>
          <w:tcPr>
            <w:tcW w:w="659" w:type="dxa"/>
          </w:tcPr>
          <w:p>
            <w:pPr>
              <w:pStyle w:val="TableParagraph"/>
              <w:spacing w:line="243" w:lineRule="exact"/>
              <w:ind w:left="2"/>
              <w:jc w:val="center"/>
              <w:rPr>
                <w:rFonts w:ascii="Calibri"/>
                <w:sz w:val="20"/>
              </w:rPr>
            </w:pPr>
            <w:r>
              <w:rPr>
                <w:rFonts w:ascii="Calibri"/>
                <w:spacing w:val="-10"/>
                <w:sz w:val="20"/>
              </w:rPr>
              <w:t>0</w:t>
            </w:r>
          </w:p>
        </w:tc>
        <w:tc>
          <w:tcPr>
            <w:tcW w:w="889" w:type="dxa"/>
          </w:tcPr>
          <w:p>
            <w:pPr>
              <w:pStyle w:val="TableParagraph"/>
              <w:spacing w:line="243" w:lineRule="exact"/>
              <w:ind w:left="2" w:right="2"/>
              <w:jc w:val="center"/>
              <w:rPr>
                <w:rFonts w:ascii="Calibri"/>
                <w:sz w:val="20"/>
              </w:rPr>
            </w:pPr>
            <w:r>
              <w:rPr>
                <w:rFonts w:ascii="Calibri"/>
                <w:spacing w:val="-10"/>
                <w:sz w:val="20"/>
              </w:rPr>
              <w:t>5</w:t>
            </w:r>
          </w:p>
        </w:tc>
      </w:tr>
      <w:tr>
        <w:trPr>
          <w:trHeight w:val="366" w:hRule="atLeast"/>
        </w:trPr>
        <w:tc>
          <w:tcPr>
            <w:tcW w:w="2494" w:type="dxa"/>
          </w:tcPr>
          <w:p>
            <w:pPr>
              <w:pStyle w:val="TableParagraph"/>
              <w:spacing w:before="4"/>
              <w:ind w:right="1"/>
              <w:jc w:val="center"/>
              <w:rPr>
                <w:b/>
                <w:sz w:val="20"/>
              </w:rPr>
            </w:pPr>
            <w:r>
              <w:rPr>
                <w:b/>
                <w:spacing w:val="-2"/>
                <w:sz w:val="20"/>
              </w:rPr>
              <w:t>TOTAL</w:t>
            </w:r>
          </w:p>
        </w:tc>
        <w:tc>
          <w:tcPr>
            <w:tcW w:w="831" w:type="dxa"/>
          </w:tcPr>
          <w:p>
            <w:pPr>
              <w:pStyle w:val="TableParagraph"/>
              <w:spacing w:line="243" w:lineRule="exact"/>
              <w:ind w:left="8"/>
              <w:jc w:val="center"/>
              <w:rPr>
                <w:rFonts w:ascii="Calibri"/>
                <w:b/>
                <w:sz w:val="20"/>
              </w:rPr>
            </w:pPr>
            <w:r>
              <w:rPr>
                <w:rFonts w:ascii="Calibri"/>
                <w:b/>
                <w:spacing w:val="-10"/>
                <w:sz w:val="20"/>
              </w:rPr>
              <w:t>5</w:t>
            </w:r>
          </w:p>
        </w:tc>
        <w:tc>
          <w:tcPr>
            <w:tcW w:w="886" w:type="dxa"/>
          </w:tcPr>
          <w:p>
            <w:pPr>
              <w:pStyle w:val="TableParagraph"/>
              <w:spacing w:line="243" w:lineRule="exact"/>
              <w:ind w:left="7" w:right="5"/>
              <w:jc w:val="center"/>
              <w:rPr>
                <w:rFonts w:ascii="Calibri"/>
                <w:b/>
                <w:sz w:val="20"/>
              </w:rPr>
            </w:pPr>
            <w:r>
              <w:rPr>
                <w:rFonts w:ascii="Calibri"/>
                <w:b/>
                <w:spacing w:val="-4"/>
                <w:sz w:val="20"/>
              </w:rPr>
              <w:t>-</w:t>
            </w:r>
            <w:r>
              <w:rPr>
                <w:rFonts w:ascii="Calibri"/>
                <w:b/>
                <w:spacing w:val="-10"/>
                <w:sz w:val="20"/>
              </w:rPr>
              <w:t>2</w:t>
            </w:r>
          </w:p>
        </w:tc>
        <w:tc>
          <w:tcPr>
            <w:tcW w:w="1023" w:type="dxa"/>
          </w:tcPr>
          <w:p>
            <w:pPr>
              <w:pStyle w:val="TableParagraph"/>
              <w:spacing w:line="243" w:lineRule="exact"/>
              <w:ind w:left="6" w:right="3"/>
              <w:jc w:val="center"/>
              <w:rPr>
                <w:rFonts w:ascii="Calibri"/>
                <w:b/>
                <w:sz w:val="20"/>
              </w:rPr>
            </w:pPr>
            <w:r>
              <w:rPr>
                <w:rFonts w:ascii="Calibri"/>
                <w:b/>
                <w:spacing w:val="-4"/>
                <w:sz w:val="20"/>
              </w:rPr>
              <w:t>-</w:t>
            </w:r>
            <w:r>
              <w:rPr>
                <w:rFonts w:ascii="Calibri"/>
                <w:b/>
                <w:spacing w:val="-10"/>
                <w:sz w:val="20"/>
              </w:rPr>
              <w:t>9</w:t>
            </w:r>
          </w:p>
        </w:tc>
        <w:tc>
          <w:tcPr>
            <w:tcW w:w="889" w:type="dxa"/>
          </w:tcPr>
          <w:p>
            <w:pPr>
              <w:pStyle w:val="TableParagraph"/>
              <w:spacing w:line="243" w:lineRule="exact"/>
              <w:ind w:left="2" w:right="2"/>
              <w:jc w:val="center"/>
              <w:rPr>
                <w:rFonts w:ascii="Calibri"/>
                <w:b/>
                <w:sz w:val="20"/>
              </w:rPr>
            </w:pPr>
            <w:r>
              <w:rPr>
                <w:rFonts w:ascii="Calibri"/>
                <w:b/>
                <w:spacing w:val="-5"/>
                <w:sz w:val="20"/>
              </w:rPr>
              <w:t>10</w:t>
            </w:r>
          </w:p>
        </w:tc>
        <w:tc>
          <w:tcPr>
            <w:tcW w:w="659" w:type="dxa"/>
          </w:tcPr>
          <w:p>
            <w:pPr>
              <w:pStyle w:val="TableParagraph"/>
              <w:spacing w:line="243" w:lineRule="exact"/>
              <w:ind w:left="2"/>
              <w:jc w:val="center"/>
              <w:rPr>
                <w:rFonts w:ascii="Calibri"/>
                <w:b/>
                <w:sz w:val="20"/>
              </w:rPr>
            </w:pPr>
            <w:r>
              <w:rPr>
                <w:rFonts w:ascii="Calibri"/>
                <w:b/>
                <w:spacing w:val="-10"/>
                <w:sz w:val="20"/>
              </w:rPr>
              <w:t>0</w:t>
            </w:r>
          </w:p>
        </w:tc>
        <w:tc>
          <w:tcPr>
            <w:tcW w:w="889" w:type="dxa"/>
          </w:tcPr>
          <w:p>
            <w:pPr>
              <w:pStyle w:val="TableParagraph"/>
              <w:spacing w:line="243" w:lineRule="exact"/>
              <w:ind w:left="2" w:right="2"/>
              <w:jc w:val="center"/>
              <w:rPr>
                <w:rFonts w:ascii="Calibri"/>
                <w:b/>
                <w:sz w:val="20"/>
              </w:rPr>
            </w:pPr>
            <w:r>
              <w:rPr>
                <w:rFonts w:ascii="Calibri"/>
                <w:b/>
                <w:spacing w:val="-10"/>
                <w:sz w:val="20"/>
              </w:rPr>
              <w:t>6</w:t>
            </w:r>
          </w:p>
        </w:tc>
      </w:tr>
    </w:tbl>
    <w:p>
      <w:pPr>
        <w:pStyle w:val="BodyText"/>
        <w:spacing w:before="116"/>
      </w:pPr>
    </w:p>
    <w:p>
      <w:pPr>
        <w:pStyle w:val="BodyText"/>
        <w:spacing w:line="278" w:lineRule="auto"/>
        <w:ind w:left="1341" w:right="1388"/>
      </w:pPr>
      <w:r>
        <w:rPr/>
        <mc:AlternateContent>
          <mc:Choice Requires="wps">
            <w:drawing>
              <wp:anchor distT="0" distB="0" distL="0" distR="0" allowOverlap="1" layoutInCell="1" locked="0" behindDoc="1" simplePos="0" relativeHeight="476779008">
                <wp:simplePos x="0" y="0"/>
                <wp:positionH relativeFrom="page">
                  <wp:posOffset>2679026</wp:posOffset>
                </wp:positionH>
                <wp:positionV relativeFrom="paragraph">
                  <wp:posOffset>922448</wp:posOffset>
                </wp:positionV>
                <wp:extent cx="91440" cy="14160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A</w:t>
                            </w:r>
                          </w:p>
                        </w:txbxContent>
                      </wps:txbx>
                      <wps:bodyPr wrap="square" lIns="0" tIns="0" rIns="0" bIns="0" rtlCol="0">
                        <a:noAutofit/>
                      </wps:bodyPr>
                    </wps:wsp>
                  </a:graphicData>
                </a:graphic>
              </wp:anchor>
            </w:drawing>
          </mc:Choice>
          <mc:Fallback>
            <w:pict>
              <v:shape style="position:absolute;margin-left:210.94696pt;margin-top:72.633728pt;width:7.2pt;height:11.15pt;mso-position-horizontal-relative:page;mso-position-vertical-relative:paragraph;z-index:-26537472" type="#_x0000_t202" id="docshape229" filled="false" stroked="false">
                <v:textbox inset="0,0,0,0">
                  <w:txbxContent>
                    <w:p>
                      <w:pPr>
                        <w:spacing w:line="223" w:lineRule="exact" w:before="0"/>
                        <w:ind w:left="0" w:right="0" w:firstLine="0"/>
                        <w:jc w:val="left"/>
                        <w:rPr>
                          <w:b/>
                          <w:sz w:val="20"/>
                        </w:rPr>
                      </w:pPr>
                      <w:r>
                        <w:rPr>
                          <w:b/>
                          <w:spacing w:val="-12"/>
                          <w:sz w:val="20"/>
                        </w:rPr>
                        <w:t>A</w:t>
                      </w:r>
                    </w:p>
                  </w:txbxContent>
                </v:textbox>
                <w10:wrap type="none"/>
              </v:shape>
            </w:pict>
          </mc:Fallback>
        </mc:AlternateContent>
      </w:r>
      <w:r>
        <w:rPr/>
        <mc:AlternateContent>
          <mc:Choice Requires="wps">
            <w:drawing>
              <wp:anchor distT="0" distB="0" distL="0" distR="0" allowOverlap="1" layoutInCell="1" locked="0" behindDoc="0" simplePos="0" relativeHeight="15811584">
                <wp:simplePos x="0" y="0"/>
                <wp:positionH relativeFrom="page">
                  <wp:posOffset>6966436</wp:posOffset>
                </wp:positionH>
                <wp:positionV relativeFrom="paragraph">
                  <wp:posOffset>550974</wp:posOffset>
                </wp:positionV>
                <wp:extent cx="263525" cy="327596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3.383839pt;width:20.75pt;height:257.95pt;mso-position-horizontal-relative:page;mso-position-vertical-relative:paragraph;z-index:15811584" type="#_x0000_t202" id="docshape23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El</w:t>
      </w:r>
      <w:r>
        <w:rPr>
          <w:spacing w:val="-1"/>
        </w:rPr>
        <w:t> </w:t>
      </w:r>
      <w:r>
        <w:rPr/>
        <w:t>número</w:t>
      </w:r>
      <w:r>
        <w:rPr>
          <w:spacing w:val="-4"/>
        </w:rPr>
        <w:t> </w:t>
      </w:r>
      <w:r>
        <w:rPr/>
        <w:t>total</w:t>
      </w:r>
      <w:r>
        <w:rPr>
          <w:spacing w:val="-5"/>
        </w:rPr>
        <w:t> </w:t>
      </w:r>
      <w:r>
        <w:rPr/>
        <w:t>de</w:t>
      </w:r>
      <w:r>
        <w:rPr>
          <w:spacing w:val="-1"/>
        </w:rPr>
        <w:t> </w:t>
      </w:r>
      <w:r>
        <w:rPr/>
        <w:t>empleados</w:t>
      </w:r>
      <w:r>
        <w:rPr>
          <w:spacing w:val="-3"/>
        </w:rPr>
        <w:t> </w:t>
      </w:r>
      <w:r>
        <w:rPr/>
        <w:t>que</w:t>
      </w:r>
      <w:r>
        <w:rPr>
          <w:spacing w:val="-1"/>
        </w:rPr>
        <w:t> </w:t>
      </w:r>
      <w:r>
        <w:rPr/>
        <w:t>han</w:t>
      </w:r>
      <w:r>
        <w:rPr>
          <w:spacing w:val="-1"/>
        </w:rPr>
        <w:t> </w:t>
      </w:r>
      <w:r>
        <w:rPr/>
        <w:t>tenido</w:t>
      </w:r>
      <w:r>
        <w:rPr>
          <w:spacing w:val="-4"/>
        </w:rPr>
        <w:t> </w:t>
      </w:r>
      <w:r>
        <w:rPr/>
        <w:t>derecho</w:t>
      </w:r>
      <w:r>
        <w:rPr>
          <w:spacing w:val="-1"/>
        </w:rPr>
        <w:t> </w:t>
      </w:r>
      <w:r>
        <w:rPr/>
        <w:t>y</w:t>
      </w:r>
      <w:r>
        <w:rPr>
          <w:spacing w:val="-7"/>
        </w:rPr>
        <w:t> </w:t>
      </w:r>
      <w:r>
        <w:rPr/>
        <w:t>se</w:t>
      </w:r>
      <w:r>
        <w:rPr>
          <w:spacing w:val="-5"/>
        </w:rPr>
        <w:t> </w:t>
      </w:r>
      <w:r>
        <w:rPr/>
        <w:t>han</w:t>
      </w:r>
      <w:r>
        <w:rPr>
          <w:spacing w:val="-1"/>
        </w:rPr>
        <w:t> </w:t>
      </w:r>
      <w:r>
        <w:rPr/>
        <w:t>acogido</w:t>
      </w:r>
      <w:r>
        <w:rPr>
          <w:spacing w:val="-3"/>
        </w:rPr>
        <w:t> </w:t>
      </w:r>
      <w:r>
        <w:rPr/>
        <w:t>a</w:t>
      </w:r>
      <w:r>
        <w:rPr>
          <w:spacing w:val="-4"/>
        </w:rPr>
        <w:t> </w:t>
      </w:r>
      <w:r>
        <w:rPr/>
        <w:t>permiso</w:t>
      </w:r>
      <w:r>
        <w:rPr>
          <w:spacing w:val="-5"/>
        </w:rPr>
        <w:t> </w:t>
      </w:r>
      <w:r>
        <w:rPr/>
        <w:t>parental</w:t>
      </w:r>
      <w:r>
        <w:rPr>
          <w:spacing w:val="-1"/>
        </w:rPr>
        <w:t> </w:t>
      </w:r>
      <w:r>
        <w:rPr/>
        <w:t>en el 2025, distribuido por edad y sexo:</w:t>
      </w:r>
    </w:p>
    <w:p>
      <w:pPr>
        <w:pStyle w:val="BodyText"/>
        <w:spacing w:before="1"/>
        <w:rPr>
          <w:sz w:val="17"/>
        </w:rPr>
      </w:pPr>
    </w:p>
    <w:tbl>
      <w:tblPr>
        <w:tblW w:w="0" w:type="auto"/>
        <w:jc w:val="left"/>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8"/>
        <w:gridCol w:w="782"/>
        <w:gridCol w:w="816"/>
        <w:gridCol w:w="1056"/>
        <w:gridCol w:w="919"/>
        <w:gridCol w:w="679"/>
        <w:gridCol w:w="919"/>
      </w:tblGrid>
      <w:tr>
        <w:trPr>
          <w:trHeight w:val="345" w:hRule="atLeast"/>
        </w:trPr>
        <w:tc>
          <w:tcPr>
            <w:tcW w:w="2498" w:type="dxa"/>
            <w:vMerge w:val="restart"/>
            <w:tcBorders>
              <w:top w:val="nil"/>
              <w:left w:val="nil"/>
            </w:tcBorders>
          </w:tcPr>
          <w:p>
            <w:pPr>
              <w:pStyle w:val="TableParagraph"/>
              <w:rPr>
                <w:rFonts w:ascii="Times New Roman"/>
                <w:sz w:val="18"/>
              </w:rPr>
            </w:pPr>
          </w:p>
        </w:tc>
        <w:tc>
          <w:tcPr>
            <w:tcW w:w="5171" w:type="dxa"/>
            <w:gridSpan w:val="6"/>
            <w:shd w:val="clear" w:color="auto" w:fill="D7D7D7"/>
          </w:tcPr>
          <w:p>
            <w:pPr>
              <w:pStyle w:val="TableParagraph"/>
              <w:spacing w:line="225" w:lineRule="exact"/>
              <w:ind w:left="1401"/>
              <w:rPr>
                <w:b/>
                <w:sz w:val="20"/>
              </w:rPr>
            </w:pPr>
            <w:r>
              <w:rPr>
                <w:b/>
                <w:sz w:val="20"/>
              </w:rPr>
              <w:t>EDAD</w:t>
            </w:r>
            <w:r>
              <w:rPr>
                <w:b/>
                <w:spacing w:val="-10"/>
                <w:sz w:val="20"/>
              </w:rPr>
              <w:t> </w:t>
            </w:r>
            <w:r>
              <w:rPr>
                <w:b/>
                <w:sz w:val="20"/>
              </w:rPr>
              <w:t>Y</w:t>
            </w:r>
            <w:r>
              <w:rPr>
                <w:b/>
                <w:spacing w:val="-3"/>
                <w:sz w:val="20"/>
              </w:rPr>
              <w:t> </w:t>
            </w:r>
            <w:r>
              <w:rPr>
                <w:b/>
                <w:sz w:val="20"/>
              </w:rPr>
              <w:t>SEXO</w:t>
            </w:r>
            <w:r>
              <w:rPr>
                <w:b/>
                <w:spacing w:val="-1"/>
                <w:sz w:val="20"/>
              </w:rPr>
              <w:t> </w:t>
            </w:r>
            <w:r>
              <w:rPr>
                <w:b/>
                <w:sz w:val="20"/>
              </w:rPr>
              <w:t>AÑO</w:t>
            </w:r>
            <w:r>
              <w:rPr>
                <w:b/>
                <w:spacing w:val="-7"/>
                <w:sz w:val="20"/>
              </w:rPr>
              <w:t> </w:t>
            </w:r>
            <w:r>
              <w:rPr>
                <w:b/>
                <w:spacing w:val="-4"/>
                <w:sz w:val="20"/>
              </w:rPr>
              <w:t>2025</w:t>
            </w:r>
          </w:p>
        </w:tc>
      </w:tr>
      <w:tr>
        <w:trPr>
          <w:trHeight w:val="345" w:hRule="atLeast"/>
        </w:trPr>
        <w:tc>
          <w:tcPr>
            <w:tcW w:w="2498" w:type="dxa"/>
            <w:vMerge/>
            <w:tcBorders>
              <w:top w:val="nil"/>
              <w:left w:val="nil"/>
            </w:tcBorders>
          </w:tcPr>
          <w:p>
            <w:pPr>
              <w:rPr>
                <w:sz w:val="2"/>
                <w:szCs w:val="2"/>
              </w:rPr>
            </w:pPr>
          </w:p>
        </w:tc>
        <w:tc>
          <w:tcPr>
            <w:tcW w:w="1598" w:type="dxa"/>
            <w:gridSpan w:val="2"/>
            <w:shd w:val="clear" w:color="auto" w:fill="D7D7D7"/>
          </w:tcPr>
          <w:p>
            <w:pPr>
              <w:pStyle w:val="TableParagraph"/>
              <w:spacing w:line="225" w:lineRule="exact"/>
              <w:ind w:left="285"/>
              <w:rPr>
                <w:b/>
                <w:sz w:val="20"/>
              </w:rPr>
            </w:pPr>
            <w:r>
              <w:rPr>
                <w:b/>
                <w:sz w:val="20"/>
              </w:rPr>
              <w:t>&lt;</w:t>
            </w:r>
            <w:r>
              <w:rPr>
                <w:b/>
                <w:spacing w:val="-3"/>
                <w:sz w:val="20"/>
              </w:rPr>
              <w:t> </w:t>
            </w:r>
            <w:r>
              <w:rPr>
                <w:b/>
                <w:sz w:val="20"/>
              </w:rPr>
              <w:t>30</w:t>
            </w:r>
            <w:r>
              <w:rPr>
                <w:b/>
                <w:spacing w:val="1"/>
                <w:sz w:val="20"/>
              </w:rPr>
              <w:t> </w:t>
            </w:r>
            <w:r>
              <w:rPr>
                <w:b/>
                <w:spacing w:val="-4"/>
                <w:sz w:val="20"/>
              </w:rPr>
              <w:t>AÑOS</w:t>
            </w:r>
          </w:p>
        </w:tc>
        <w:tc>
          <w:tcPr>
            <w:tcW w:w="1975" w:type="dxa"/>
            <w:gridSpan w:val="2"/>
            <w:shd w:val="clear" w:color="auto" w:fill="D7D7D7"/>
          </w:tcPr>
          <w:p>
            <w:pPr>
              <w:pStyle w:val="TableParagraph"/>
              <w:spacing w:line="225" w:lineRule="exact"/>
              <w:ind w:left="415"/>
              <w:rPr>
                <w:b/>
                <w:sz w:val="20"/>
              </w:rPr>
            </w:pPr>
            <w:r>
              <w:rPr>
                <w:b/>
                <w:sz w:val="20"/>
              </w:rPr>
              <w:t>30-50</w:t>
            </w:r>
            <w:r>
              <w:rPr>
                <w:b/>
                <w:spacing w:val="-6"/>
                <w:sz w:val="20"/>
              </w:rPr>
              <w:t> </w:t>
            </w:r>
            <w:r>
              <w:rPr>
                <w:b/>
                <w:spacing w:val="-4"/>
                <w:sz w:val="20"/>
              </w:rPr>
              <w:t>AÑOS</w:t>
            </w:r>
          </w:p>
        </w:tc>
        <w:tc>
          <w:tcPr>
            <w:tcW w:w="1598" w:type="dxa"/>
            <w:gridSpan w:val="2"/>
            <w:shd w:val="clear" w:color="auto" w:fill="D7D7D7"/>
          </w:tcPr>
          <w:p>
            <w:pPr>
              <w:pStyle w:val="TableParagraph"/>
              <w:spacing w:line="225" w:lineRule="exact"/>
              <w:ind w:left="286"/>
              <w:rPr>
                <w:b/>
                <w:sz w:val="20"/>
              </w:rPr>
            </w:pPr>
            <w:r>
              <w:rPr>
                <w:b/>
                <w:sz w:val="20"/>
              </w:rPr>
              <w:t>&gt;</w:t>
            </w:r>
            <w:r>
              <w:rPr>
                <w:b/>
                <w:spacing w:val="-3"/>
                <w:sz w:val="20"/>
              </w:rPr>
              <w:t> </w:t>
            </w:r>
            <w:r>
              <w:rPr>
                <w:b/>
                <w:sz w:val="20"/>
              </w:rPr>
              <w:t>50</w:t>
            </w:r>
            <w:r>
              <w:rPr>
                <w:b/>
                <w:spacing w:val="1"/>
                <w:sz w:val="20"/>
              </w:rPr>
              <w:t> </w:t>
            </w:r>
            <w:r>
              <w:rPr>
                <w:b/>
                <w:spacing w:val="-4"/>
                <w:sz w:val="20"/>
              </w:rPr>
              <w:t>AÑOS</w:t>
            </w:r>
          </w:p>
        </w:tc>
      </w:tr>
      <w:tr>
        <w:trPr>
          <w:trHeight w:val="345" w:hRule="atLeast"/>
        </w:trPr>
        <w:tc>
          <w:tcPr>
            <w:tcW w:w="2498" w:type="dxa"/>
            <w:shd w:val="clear" w:color="auto" w:fill="D7D7D7"/>
          </w:tcPr>
          <w:p>
            <w:pPr>
              <w:pStyle w:val="TableParagraph"/>
              <w:spacing w:line="225" w:lineRule="exact"/>
              <w:ind w:left="129"/>
              <w:rPr>
                <w:b/>
                <w:sz w:val="20"/>
              </w:rPr>
            </w:pPr>
            <w:r>
              <w:rPr>
                <w:b/>
                <w:sz w:val="20"/>
              </w:rPr>
              <w:t>GRUPO</w:t>
            </w:r>
            <w:r>
              <w:rPr>
                <w:b/>
                <w:spacing w:val="-7"/>
                <w:sz w:val="20"/>
              </w:rPr>
              <w:t> </w:t>
            </w:r>
            <w:r>
              <w:rPr>
                <w:b/>
                <w:sz w:val="20"/>
              </w:rPr>
              <w:t>PROFESION</w:t>
            </w:r>
            <w:r>
              <w:rPr>
                <w:b/>
                <w:spacing w:val="77"/>
                <w:sz w:val="20"/>
              </w:rPr>
              <w:t> </w:t>
            </w:r>
            <w:r>
              <w:rPr>
                <w:b/>
                <w:spacing w:val="-10"/>
                <w:sz w:val="20"/>
              </w:rPr>
              <w:t>L</w:t>
            </w:r>
          </w:p>
        </w:tc>
        <w:tc>
          <w:tcPr>
            <w:tcW w:w="782" w:type="dxa"/>
            <w:shd w:val="clear" w:color="auto" w:fill="D7D7D7"/>
          </w:tcPr>
          <w:p>
            <w:pPr>
              <w:pStyle w:val="TableParagraph"/>
              <w:spacing w:line="225" w:lineRule="exact"/>
              <w:ind w:left="10"/>
              <w:jc w:val="center"/>
              <w:rPr>
                <w:b/>
                <w:sz w:val="20"/>
              </w:rPr>
            </w:pPr>
            <w:r>
              <w:rPr>
                <w:b/>
                <w:spacing w:val="-10"/>
                <w:sz w:val="20"/>
              </w:rPr>
              <w:t>H</w:t>
            </w:r>
          </w:p>
        </w:tc>
        <w:tc>
          <w:tcPr>
            <w:tcW w:w="816" w:type="dxa"/>
            <w:shd w:val="clear" w:color="auto" w:fill="D7D7D7"/>
          </w:tcPr>
          <w:p>
            <w:pPr>
              <w:pStyle w:val="TableParagraph"/>
              <w:spacing w:line="225" w:lineRule="exact"/>
              <w:ind w:left="11" w:right="2"/>
              <w:jc w:val="center"/>
              <w:rPr>
                <w:b/>
                <w:sz w:val="20"/>
              </w:rPr>
            </w:pPr>
            <w:r>
              <w:rPr>
                <w:b/>
                <w:spacing w:val="-10"/>
                <w:sz w:val="20"/>
              </w:rPr>
              <w:t>M</w:t>
            </w:r>
          </w:p>
        </w:tc>
        <w:tc>
          <w:tcPr>
            <w:tcW w:w="1056" w:type="dxa"/>
            <w:shd w:val="clear" w:color="auto" w:fill="D7D7D7"/>
          </w:tcPr>
          <w:p>
            <w:pPr>
              <w:pStyle w:val="TableParagraph"/>
              <w:spacing w:line="225" w:lineRule="exact"/>
              <w:ind w:left="11"/>
              <w:jc w:val="center"/>
              <w:rPr>
                <w:b/>
                <w:sz w:val="20"/>
              </w:rPr>
            </w:pPr>
            <w:r>
              <w:rPr>
                <w:b/>
                <w:spacing w:val="-10"/>
                <w:sz w:val="20"/>
              </w:rPr>
              <w:t>H</w:t>
            </w:r>
          </w:p>
        </w:tc>
        <w:tc>
          <w:tcPr>
            <w:tcW w:w="919" w:type="dxa"/>
            <w:shd w:val="clear" w:color="auto" w:fill="D7D7D7"/>
          </w:tcPr>
          <w:p>
            <w:pPr>
              <w:pStyle w:val="TableParagraph"/>
              <w:spacing w:line="225" w:lineRule="exact"/>
              <w:ind w:left="12" w:right="6"/>
              <w:jc w:val="center"/>
              <w:rPr>
                <w:b/>
                <w:sz w:val="20"/>
              </w:rPr>
            </w:pPr>
            <w:r>
              <w:rPr>
                <w:b/>
                <w:spacing w:val="-10"/>
                <w:sz w:val="20"/>
              </w:rPr>
              <w:t>M</w:t>
            </w:r>
          </w:p>
        </w:tc>
        <w:tc>
          <w:tcPr>
            <w:tcW w:w="679" w:type="dxa"/>
            <w:shd w:val="clear" w:color="auto" w:fill="D7D7D7"/>
          </w:tcPr>
          <w:p>
            <w:pPr>
              <w:pStyle w:val="TableParagraph"/>
              <w:spacing w:line="225" w:lineRule="exact"/>
              <w:ind w:left="9"/>
              <w:jc w:val="center"/>
              <w:rPr>
                <w:b/>
                <w:sz w:val="20"/>
              </w:rPr>
            </w:pPr>
            <w:r>
              <w:rPr>
                <w:b/>
                <w:spacing w:val="-10"/>
                <w:sz w:val="20"/>
              </w:rPr>
              <w:t>H</w:t>
            </w:r>
          </w:p>
        </w:tc>
        <w:tc>
          <w:tcPr>
            <w:tcW w:w="919" w:type="dxa"/>
            <w:shd w:val="clear" w:color="auto" w:fill="D7D7D7"/>
          </w:tcPr>
          <w:p>
            <w:pPr>
              <w:pStyle w:val="TableParagraph"/>
              <w:spacing w:line="225" w:lineRule="exact"/>
              <w:ind w:left="12"/>
              <w:jc w:val="center"/>
              <w:rPr>
                <w:b/>
                <w:sz w:val="20"/>
              </w:rPr>
            </w:pPr>
            <w:r>
              <w:rPr>
                <w:b/>
                <w:spacing w:val="-10"/>
                <w:sz w:val="20"/>
              </w:rPr>
              <w:t>M</w:t>
            </w:r>
          </w:p>
        </w:tc>
      </w:tr>
      <w:tr>
        <w:trPr>
          <w:trHeight w:val="366" w:hRule="atLeast"/>
        </w:trPr>
        <w:tc>
          <w:tcPr>
            <w:tcW w:w="2498" w:type="dxa"/>
          </w:tcPr>
          <w:p>
            <w:pPr>
              <w:pStyle w:val="TableParagraph"/>
              <w:spacing w:before="9"/>
              <w:ind w:left="69"/>
              <w:rPr>
                <w:sz w:val="20"/>
              </w:rPr>
            </w:pPr>
            <w:r>
              <w:rPr>
                <w:sz w:val="20"/>
              </w:rPr>
              <w:t>PERSONAL</w:t>
            </w:r>
            <w:r>
              <w:rPr>
                <w:spacing w:val="-12"/>
                <w:sz w:val="20"/>
              </w:rPr>
              <w:t> </w:t>
            </w:r>
            <w:r>
              <w:rPr>
                <w:spacing w:val="-2"/>
                <w:sz w:val="20"/>
              </w:rPr>
              <w:t>DIRECTIVO</w:t>
            </w:r>
          </w:p>
        </w:tc>
        <w:tc>
          <w:tcPr>
            <w:tcW w:w="782" w:type="dxa"/>
          </w:tcPr>
          <w:p>
            <w:pPr>
              <w:pStyle w:val="TableParagraph"/>
              <w:spacing w:line="243" w:lineRule="exact"/>
              <w:ind w:left="10"/>
              <w:jc w:val="center"/>
              <w:rPr>
                <w:rFonts w:ascii="Calibri"/>
                <w:sz w:val="20"/>
              </w:rPr>
            </w:pPr>
            <w:r>
              <w:rPr>
                <w:rFonts w:ascii="Calibri"/>
                <w:spacing w:val="-10"/>
                <w:sz w:val="20"/>
              </w:rPr>
              <w:t>0</w:t>
            </w:r>
          </w:p>
        </w:tc>
        <w:tc>
          <w:tcPr>
            <w:tcW w:w="816" w:type="dxa"/>
          </w:tcPr>
          <w:p>
            <w:pPr>
              <w:pStyle w:val="TableParagraph"/>
              <w:spacing w:line="243" w:lineRule="exact"/>
              <w:ind w:left="11"/>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10"/>
                <w:sz w:val="20"/>
              </w:rPr>
              <w:t>1</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c>
          <w:tcPr>
            <w:tcW w:w="679" w:type="dxa"/>
          </w:tcPr>
          <w:p>
            <w:pPr>
              <w:pStyle w:val="TableParagraph"/>
              <w:spacing w:line="243" w:lineRule="exact"/>
              <w:ind w:left="9"/>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r>
      <w:tr>
        <w:trPr>
          <w:trHeight w:val="364" w:hRule="atLeast"/>
        </w:trPr>
        <w:tc>
          <w:tcPr>
            <w:tcW w:w="2498" w:type="dxa"/>
          </w:tcPr>
          <w:p>
            <w:pPr>
              <w:pStyle w:val="TableParagraph"/>
              <w:spacing w:before="6"/>
              <w:ind w:left="69"/>
              <w:rPr>
                <w:sz w:val="20"/>
              </w:rPr>
            </w:pPr>
            <w:r>
              <w:rPr>
                <w:sz w:val="20"/>
              </w:rPr>
              <w:t>PERSONAL</w:t>
            </w:r>
            <w:r>
              <w:rPr>
                <w:spacing w:val="-12"/>
                <w:sz w:val="20"/>
              </w:rPr>
              <w:t> </w:t>
            </w:r>
            <w:r>
              <w:rPr>
                <w:spacing w:val="-2"/>
                <w:sz w:val="20"/>
              </w:rPr>
              <w:t>TÉCNICO</w:t>
            </w:r>
          </w:p>
        </w:tc>
        <w:tc>
          <w:tcPr>
            <w:tcW w:w="782" w:type="dxa"/>
          </w:tcPr>
          <w:p>
            <w:pPr>
              <w:pStyle w:val="TableParagraph"/>
              <w:spacing w:line="243" w:lineRule="exact"/>
              <w:ind w:left="10"/>
              <w:jc w:val="center"/>
              <w:rPr>
                <w:rFonts w:ascii="Calibri"/>
                <w:sz w:val="20"/>
              </w:rPr>
            </w:pPr>
            <w:r>
              <w:rPr>
                <w:rFonts w:ascii="Calibri"/>
                <w:spacing w:val="-10"/>
                <w:sz w:val="20"/>
              </w:rPr>
              <w:t>0</w:t>
            </w:r>
          </w:p>
        </w:tc>
        <w:tc>
          <w:tcPr>
            <w:tcW w:w="816" w:type="dxa"/>
          </w:tcPr>
          <w:p>
            <w:pPr>
              <w:pStyle w:val="TableParagraph"/>
              <w:spacing w:line="243" w:lineRule="exact"/>
              <w:ind w:left="11"/>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c>
          <w:tcPr>
            <w:tcW w:w="679" w:type="dxa"/>
          </w:tcPr>
          <w:p>
            <w:pPr>
              <w:pStyle w:val="TableParagraph"/>
              <w:spacing w:line="243" w:lineRule="exact"/>
              <w:ind w:left="9"/>
              <w:jc w:val="center"/>
              <w:rPr>
                <w:rFonts w:ascii="Calibri"/>
                <w:sz w:val="20"/>
              </w:rPr>
            </w:pPr>
            <w:r>
              <w:rPr>
                <w:rFonts w:ascii="Calibri"/>
                <w:spacing w:val="-10"/>
                <w:sz w:val="20"/>
              </w:rPr>
              <w:t>0</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r>
      <w:tr>
        <w:trPr>
          <w:trHeight w:val="366" w:hRule="atLeast"/>
        </w:trPr>
        <w:tc>
          <w:tcPr>
            <w:tcW w:w="2498" w:type="dxa"/>
          </w:tcPr>
          <w:p>
            <w:pPr>
              <w:pStyle w:val="TableParagraph"/>
              <w:spacing w:before="9"/>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782" w:type="dxa"/>
          </w:tcPr>
          <w:p>
            <w:pPr>
              <w:pStyle w:val="TableParagraph"/>
              <w:spacing w:before="1"/>
              <w:ind w:left="10"/>
              <w:jc w:val="center"/>
              <w:rPr>
                <w:rFonts w:ascii="Calibri"/>
                <w:sz w:val="20"/>
              </w:rPr>
            </w:pPr>
            <w:r>
              <w:rPr>
                <w:rFonts w:ascii="Calibri"/>
                <w:spacing w:val="-10"/>
                <w:sz w:val="20"/>
              </w:rPr>
              <w:t>0</w:t>
            </w:r>
          </w:p>
        </w:tc>
        <w:tc>
          <w:tcPr>
            <w:tcW w:w="816" w:type="dxa"/>
          </w:tcPr>
          <w:p>
            <w:pPr>
              <w:pStyle w:val="TableParagraph"/>
              <w:spacing w:before="1"/>
              <w:ind w:left="11"/>
              <w:jc w:val="center"/>
              <w:rPr>
                <w:rFonts w:ascii="Calibri"/>
                <w:sz w:val="20"/>
              </w:rPr>
            </w:pPr>
            <w:r>
              <w:rPr>
                <w:rFonts w:ascii="Calibri"/>
                <w:spacing w:val="-10"/>
                <w:sz w:val="20"/>
              </w:rPr>
              <w:t>0</w:t>
            </w:r>
          </w:p>
        </w:tc>
        <w:tc>
          <w:tcPr>
            <w:tcW w:w="1056" w:type="dxa"/>
          </w:tcPr>
          <w:p>
            <w:pPr>
              <w:pStyle w:val="TableParagraph"/>
              <w:spacing w:before="1"/>
              <w:ind w:left="11"/>
              <w:jc w:val="center"/>
              <w:rPr>
                <w:rFonts w:ascii="Calibri"/>
                <w:sz w:val="20"/>
              </w:rPr>
            </w:pPr>
            <w:r>
              <w:rPr>
                <w:rFonts w:ascii="Calibri"/>
                <w:spacing w:val="-10"/>
                <w:sz w:val="20"/>
              </w:rPr>
              <w:t>0</w:t>
            </w:r>
          </w:p>
        </w:tc>
        <w:tc>
          <w:tcPr>
            <w:tcW w:w="919" w:type="dxa"/>
          </w:tcPr>
          <w:p>
            <w:pPr>
              <w:pStyle w:val="TableParagraph"/>
              <w:spacing w:before="1"/>
              <w:ind w:left="12" w:right="3"/>
              <w:jc w:val="center"/>
              <w:rPr>
                <w:rFonts w:ascii="Calibri"/>
                <w:sz w:val="20"/>
              </w:rPr>
            </w:pPr>
            <w:r>
              <w:rPr>
                <w:rFonts w:ascii="Calibri"/>
                <w:spacing w:val="-10"/>
                <w:sz w:val="20"/>
              </w:rPr>
              <w:t>1</w:t>
            </w:r>
          </w:p>
        </w:tc>
        <w:tc>
          <w:tcPr>
            <w:tcW w:w="679" w:type="dxa"/>
          </w:tcPr>
          <w:p>
            <w:pPr>
              <w:pStyle w:val="TableParagraph"/>
              <w:spacing w:before="1"/>
              <w:ind w:left="9"/>
              <w:jc w:val="center"/>
              <w:rPr>
                <w:rFonts w:ascii="Calibri"/>
                <w:sz w:val="20"/>
              </w:rPr>
            </w:pPr>
            <w:r>
              <w:rPr>
                <w:rFonts w:ascii="Calibri"/>
                <w:spacing w:val="-10"/>
                <w:sz w:val="20"/>
              </w:rPr>
              <w:t>0</w:t>
            </w:r>
          </w:p>
        </w:tc>
        <w:tc>
          <w:tcPr>
            <w:tcW w:w="919" w:type="dxa"/>
          </w:tcPr>
          <w:p>
            <w:pPr>
              <w:pStyle w:val="TableParagraph"/>
              <w:spacing w:before="1"/>
              <w:ind w:left="12" w:right="3"/>
              <w:jc w:val="center"/>
              <w:rPr>
                <w:rFonts w:ascii="Calibri"/>
                <w:sz w:val="20"/>
              </w:rPr>
            </w:pPr>
            <w:r>
              <w:rPr>
                <w:rFonts w:ascii="Calibri"/>
                <w:spacing w:val="-10"/>
                <w:sz w:val="20"/>
              </w:rPr>
              <w:t>0</w:t>
            </w:r>
          </w:p>
        </w:tc>
      </w:tr>
      <w:tr>
        <w:trPr>
          <w:trHeight w:val="366" w:hRule="atLeast"/>
        </w:trPr>
        <w:tc>
          <w:tcPr>
            <w:tcW w:w="2498" w:type="dxa"/>
          </w:tcPr>
          <w:p>
            <w:pPr>
              <w:pStyle w:val="TableParagraph"/>
              <w:spacing w:before="9"/>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782" w:type="dxa"/>
          </w:tcPr>
          <w:p>
            <w:pPr>
              <w:pStyle w:val="TableParagraph"/>
              <w:spacing w:line="243" w:lineRule="exact"/>
              <w:ind w:left="10"/>
              <w:jc w:val="center"/>
              <w:rPr>
                <w:rFonts w:ascii="Calibri"/>
                <w:sz w:val="20"/>
              </w:rPr>
            </w:pPr>
            <w:r>
              <w:rPr>
                <w:rFonts w:ascii="Calibri"/>
                <w:spacing w:val="-10"/>
                <w:sz w:val="20"/>
              </w:rPr>
              <w:t>1</w:t>
            </w:r>
          </w:p>
        </w:tc>
        <w:tc>
          <w:tcPr>
            <w:tcW w:w="816" w:type="dxa"/>
          </w:tcPr>
          <w:p>
            <w:pPr>
              <w:pStyle w:val="TableParagraph"/>
              <w:spacing w:line="243" w:lineRule="exact"/>
              <w:ind w:left="11"/>
              <w:jc w:val="center"/>
              <w:rPr>
                <w:rFonts w:ascii="Calibri"/>
                <w:sz w:val="20"/>
              </w:rPr>
            </w:pPr>
            <w:r>
              <w:rPr>
                <w:rFonts w:ascii="Calibri"/>
                <w:spacing w:val="-10"/>
                <w:sz w:val="20"/>
              </w:rPr>
              <w:t>0</w:t>
            </w:r>
          </w:p>
        </w:tc>
        <w:tc>
          <w:tcPr>
            <w:tcW w:w="1056" w:type="dxa"/>
          </w:tcPr>
          <w:p>
            <w:pPr>
              <w:pStyle w:val="TableParagraph"/>
              <w:spacing w:line="243" w:lineRule="exact"/>
              <w:ind w:left="11"/>
              <w:jc w:val="center"/>
              <w:rPr>
                <w:rFonts w:ascii="Calibri"/>
                <w:sz w:val="20"/>
              </w:rPr>
            </w:pPr>
            <w:r>
              <w:rPr>
                <w:rFonts w:ascii="Calibri"/>
                <w:spacing w:val="-5"/>
                <w:sz w:val="20"/>
              </w:rPr>
              <w:t>21</w:t>
            </w:r>
          </w:p>
        </w:tc>
        <w:tc>
          <w:tcPr>
            <w:tcW w:w="919" w:type="dxa"/>
          </w:tcPr>
          <w:p>
            <w:pPr>
              <w:pStyle w:val="TableParagraph"/>
              <w:spacing w:line="243" w:lineRule="exact"/>
              <w:ind w:left="12" w:right="3"/>
              <w:jc w:val="center"/>
              <w:rPr>
                <w:rFonts w:ascii="Calibri"/>
                <w:sz w:val="20"/>
              </w:rPr>
            </w:pPr>
            <w:r>
              <w:rPr>
                <w:rFonts w:ascii="Calibri"/>
                <w:spacing w:val="-10"/>
                <w:sz w:val="20"/>
              </w:rPr>
              <w:t>0</w:t>
            </w:r>
          </w:p>
        </w:tc>
        <w:tc>
          <w:tcPr>
            <w:tcW w:w="679" w:type="dxa"/>
          </w:tcPr>
          <w:p>
            <w:pPr>
              <w:pStyle w:val="TableParagraph"/>
              <w:spacing w:line="243" w:lineRule="exact"/>
              <w:ind w:left="9"/>
              <w:jc w:val="center"/>
              <w:rPr>
                <w:rFonts w:ascii="Calibri"/>
                <w:sz w:val="20"/>
              </w:rPr>
            </w:pPr>
            <w:r>
              <w:rPr>
                <w:rFonts w:ascii="Calibri"/>
                <w:spacing w:val="-10"/>
                <w:sz w:val="20"/>
              </w:rPr>
              <w:t>0</w:t>
            </w:r>
          </w:p>
        </w:tc>
        <w:tc>
          <w:tcPr>
            <w:tcW w:w="919" w:type="dxa"/>
          </w:tcPr>
          <w:p>
            <w:pPr>
              <w:pStyle w:val="TableParagraph"/>
              <w:spacing w:before="18"/>
              <w:ind w:left="12" w:right="2"/>
              <w:jc w:val="center"/>
              <w:rPr>
                <w:sz w:val="20"/>
              </w:rPr>
            </w:pPr>
            <w:r>
              <w:rPr>
                <w:spacing w:val="-10"/>
                <w:sz w:val="20"/>
              </w:rPr>
              <w:t>0</w:t>
            </w:r>
          </w:p>
        </w:tc>
      </w:tr>
      <w:tr>
        <w:trPr>
          <w:trHeight w:val="366" w:hRule="atLeast"/>
        </w:trPr>
        <w:tc>
          <w:tcPr>
            <w:tcW w:w="2498" w:type="dxa"/>
          </w:tcPr>
          <w:p>
            <w:pPr>
              <w:pStyle w:val="TableParagraph"/>
              <w:spacing w:before="6"/>
              <w:jc w:val="center"/>
              <w:rPr>
                <w:b/>
                <w:sz w:val="20"/>
              </w:rPr>
            </w:pPr>
            <w:r>
              <w:rPr>
                <w:b/>
                <w:spacing w:val="-2"/>
                <w:sz w:val="20"/>
              </w:rPr>
              <w:t>TOTAL</w:t>
            </w:r>
          </w:p>
        </w:tc>
        <w:tc>
          <w:tcPr>
            <w:tcW w:w="782" w:type="dxa"/>
          </w:tcPr>
          <w:p>
            <w:pPr>
              <w:pStyle w:val="TableParagraph"/>
              <w:spacing w:line="243" w:lineRule="exact"/>
              <w:ind w:left="10"/>
              <w:jc w:val="center"/>
              <w:rPr>
                <w:rFonts w:ascii="Calibri"/>
                <w:b/>
                <w:sz w:val="20"/>
              </w:rPr>
            </w:pPr>
            <w:r>
              <w:rPr>
                <w:rFonts w:ascii="Calibri"/>
                <w:b/>
                <w:spacing w:val="-10"/>
                <w:sz w:val="20"/>
              </w:rPr>
              <w:t>1</w:t>
            </w:r>
          </w:p>
        </w:tc>
        <w:tc>
          <w:tcPr>
            <w:tcW w:w="816" w:type="dxa"/>
          </w:tcPr>
          <w:p>
            <w:pPr>
              <w:pStyle w:val="TableParagraph"/>
              <w:spacing w:line="243" w:lineRule="exact"/>
              <w:ind w:left="11"/>
              <w:jc w:val="center"/>
              <w:rPr>
                <w:rFonts w:ascii="Calibri"/>
                <w:b/>
                <w:sz w:val="20"/>
              </w:rPr>
            </w:pPr>
            <w:r>
              <w:rPr>
                <w:rFonts w:ascii="Calibri"/>
                <w:b/>
                <w:spacing w:val="-10"/>
                <w:sz w:val="20"/>
              </w:rPr>
              <w:t>0</w:t>
            </w:r>
          </w:p>
        </w:tc>
        <w:tc>
          <w:tcPr>
            <w:tcW w:w="1056" w:type="dxa"/>
          </w:tcPr>
          <w:p>
            <w:pPr>
              <w:pStyle w:val="TableParagraph"/>
              <w:spacing w:line="243" w:lineRule="exact"/>
              <w:ind w:left="11"/>
              <w:jc w:val="center"/>
              <w:rPr>
                <w:rFonts w:ascii="Calibri"/>
                <w:b/>
                <w:sz w:val="20"/>
              </w:rPr>
            </w:pPr>
            <w:r>
              <w:rPr>
                <w:rFonts w:ascii="Calibri"/>
                <w:b/>
                <w:spacing w:val="-5"/>
                <w:sz w:val="20"/>
              </w:rPr>
              <w:t>22</w:t>
            </w:r>
          </w:p>
        </w:tc>
        <w:tc>
          <w:tcPr>
            <w:tcW w:w="919" w:type="dxa"/>
          </w:tcPr>
          <w:p>
            <w:pPr>
              <w:pStyle w:val="TableParagraph"/>
              <w:spacing w:line="243" w:lineRule="exact"/>
              <w:ind w:left="12" w:right="3"/>
              <w:jc w:val="center"/>
              <w:rPr>
                <w:rFonts w:ascii="Calibri"/>
                <w:b/>
                <w:sz w:val="20"/>
              </w:rPr>
            </w:pPr>
            <w:r>
              <w:rPr>
                <w:rFonts w:ascii="Calibri"/>
                <w:b/>
                <w:spacing w:val="-10"/>
                <w:sz w:val="20"/>
              </w:rPr>
              <w:t>1</w:t>
            </w:r>
          </w:p>
        </w:tc>
        <w:tc>
          <w:tcPr>
            <w:tcW w:w="679" w:type="dxa"/>
          </w:tcPr>
          <w:p>
            <w:pPr>
              <w:pStyle w:val="TableParagraph"/>
              <w:spacing w:line="243" w:lineRule="exact"/>
              <w:ind w:left="9"/>
              <w:jc w:val="center"/>
              <w:rPr>
                <w:rFonts w:ascii="Calibri"/>
                <w:b/>
                <w:sz w:val="20"/>
              </w:rPr>
            </w:pPr>
            <w:r>
              <w:rPr>
                <w:rFonts w:ascii="Calibri"/>
                <w:b/>
                <w:spacing w:val="-10"/>
                <w:sz w:val="20"/>
              </w:rPr>
              <w:t>0</w:t>
            </w:r>
          </w:p>
        </w:tc>
        <w:tc>
          <w:tcPr>
            <w:tcW w:w="919" w:type="dxa"/>
          </w:tcPr>
          <w:p>
            <w:pPr>
              <w:pStyle w:val="TableParagraph"/>
              <w:spacing w:before="16"/>
              <w:ind w:left="12" w:right="2"/>
              <w:jc w:val="center"/>
              <w:rPr>
                <w:b/>
                <w:sz w:val="20"/>
              </w:rPr>
            </w:pPr>
            <w:r>
              <w:rPr>
                <w:b/>
                <w:spacing w:val="-10"/>
                <w:sz w:val="20"/>
              </w:rPr>
              <w:t>0</w:t>
            </w:r>
          </w:p>
        </w:tc>
      </w:tr>
    </w:tbl>
    <w:p>
      <w:pPr>
        <w:pStyle w:val="TableParagraph"/>
        <w:spacing w:after="0"/>
        <w:jc w:val="center"/>
        <w:rPr>
          <w:b/>
          <w:sz w:val="20"/>
        </w:rPr>
        <w:sectPr>
          <w:pgSz w:w="11910" w:h="16840"/>
          <w:pgMar w:header="384" w:footer="1060" w:top="1200" w:bottom="1260" w:left="360" w:right="360"/>
        </w:sectPr>
      </w:pPr>
    </w:p>
    <w:p>
      <w:pPr>
        <w:pStyle w:val="BodyText"/>
        <w:spacing w:line="362" w:lineRule="auto" w:before="215"/>
        <w:ind w:left="1341" w:right="1308"/>
      </w:pPr>
      <w:r>
        <w:rPr/>
        <w:t>Comparativa</w:t>
      </w:r>
      <w:r>
        <w:rPr>
          <w:spacing w:val="40"/>
        </w:rPr>
        <w:t> </w:t>
      </w:r>
      <w:r>
        <w:rPr/>
        <w:t>del</w:t>
      </w:r>
      <w:r>
        <w:rPr>
          <w:spacing w:val="40"/>
        </w:rPr>
        <w:t> </w:t>
      </w:r>
      <w:r>
        <w:rPr/>
        <w:t>número</w:t>
      </w:r>
      <w:r>
        <w:rPr>
          <w:spacing w:val="40"/>
        </w:rPr>
        <w:t> </w:t>
      </w:r>
      <w:r>
        <w:rPr/>
        <w:t>total</w:t>
      </w:r>
      <w:r>
        <w:rPr>
          <w:spacing w:val="40"/>
        </w:rPr>
        <w:t> </w:t>
      </w:r>
      <w:r>
        <w:rPr/>
        <w:t>de</w:t>
      </w:r>
      <w:r>
        <w:rPr>
          <w:spacing w:val="40"/>
        </w:rPr>
        <w:t> </w:t>
      </w:r>
      <w:r>
        <w:rPr/>
        <w:t>empleados</w:t>
      </w:r>
      <w:r>
        <w:rPr>
          <w:spacing w:val="40"/>
        </w:rPr>
        <w:t> </w:t>
      </w:r>
      <w:r>
        <w:rPr/>
        <w:t>que</w:t>
      </w:r>
      <w:r>
        <w:rPr>
          <w:spacing w:val="40"/>
        </w:rPr>
        <w:t> </w:t>
      </w:r>
      <w:r>
        <w:rPr/>
        <w:t>han</w:t>
      </w:r>
      <w:r>
        <w:rPr>
          <w:spacing w:val="40"/>
        </w:rPr>
        <w:t> </w:t>
      </w:r>
      <w:r>
        <w:rPr/>
        <w:t>tenido</w:t>
      </w:r>
      <w:r>
        <w:rPr>
          <w:spacing w:val="40"/>
        </w:rPr>
        <w:t> </w:t>
      </w:r>
      <w:r>
        <w:rPr/>
        <w:t>derecho</w:t>
      </w:r>
      <w:r>
        <w:rPr>
          <w:spacing w:val="40"/>
        </w:rPr>
        <w:t> </w:t>
      </w:r>
      <w:r>
        <w:rPr/>
        <w:t>y</w:t>
      </w:r>
      <w:r>
        <w:rPr>
          <w:spacing w:val="37"/>
        </w:rPr>
        <w:t> </w:t>
      </w:r>
      <w:r>
        <w:rPr/>
        <w:t>se</w:t>
      </w:r>
      <w:r>
        <w:rPr>
          <w:spacing w:val="40"/>
        </w:rPr>
        <w:t> </w:t>
      </w:r>
      <w:r>
        <w:rPr/>
        <w:t>han</w:t>
      </w:r>
      <w:r>
        <w:rPr>
          <w:spacing w:val="40"/>
        </w:rPr>
        <w:t> </w:t>
      </w:r>
      <w:r>
        <w:rPr/>
        <w:t>acogido</w:t>
      </w:r>
      <w:r>
        <w:rPr>
          <w:spacing w:val="40"/>
        </w:rPr>
        <w:t> </w:t>
      </w:r>
      <w:r>
        <w:rPr/>
        <w:t>al permiso parenteral en el 2025 con respecto al 2024, distribuidas por edad y sexo:</w:t>
      </w:r>
    </w:p>
    <w:p>
      <w:pPr>
        <w:pStyle w:val="BodyText"/>
        <w:spacing w:before="3"/>
        <w:rPr>
          <w:sz w:val="17"/>
        </w:rPr>
      </w:pPr>
    </w:p>
    <w:tbl>
      <w:tblPr>
        <w:tblW w:w="0" w:type="auto"/>
        <w:jc w:val="left"/>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8"/>
        <w:gridCol w:w="704"/>
        <w:gridCol w:w="949"/>
        <w:gridCol w:w="704"/>
        <w:gridCol w:w="951"/>
        <w:gridCol w:w="704"/>
        <w:gridCol w:w="949"/>
      </w:tblGrid>
      <w:tr>
        <w:trPr>
          <w:trHeight w:val="345" w:hRule="atLeast"/>
        </w:trPr>
        <w:tc>
          <w:tcPr>
            <w:tcW w:w="2398" w:type="dxa"/>
            <w:vMerge w:val="restart"/>
            <w:tcBorders>
              <w:top w:val="nil"/>
              <w:left w:val="nil"/>
            </w:tcBorders>
          </w:tcPr>
          <w:p>
            <w:pPr>
              <w:pStyle w:val="TableParagraph"/>
              <w:rPr>
                <w:rFonts w:ascii="Times New Roman"/>
                <w:sz w:val="18"/>
              </w:rPr>
            </w:pPr>
          </w:p>
        </w:tc>
        <w:tc>
          <w:tcPr>
            <w:tcW w:w="4961" w:type="dxa"/>
            <w:gridSpan w:val="6"/>
            <w:shd w:val="clear" w:color="auto" w:fill="D7D7D7"/>
          </w:tcPr>
          <w:p>
            <w:pPr>
              <w:pStyle w:val="TableParagraph"/>
              <w:spacing w:line="225" w:lineRule="exact"/>
              <w:ind w:left="1199"/>
              <w:rPr>
                <w:b/>
                <w:sz w:val="20"/>
              </w:rPr>
            </w:pPr>
            <w:r>
              <w:rPr>
                <w:b/>
                <w:sz w:val="20"/>
              </w:rPr>
              <w:t>EDAD</w:t>
            </w:r>
            <w:r>
              <w:rPr>
                <w:b/>
                <w:spacing w:val="-7"/>
                <w:sz w:val="20"/>
              </w:rPr>
              <w:t> </w:t>
            </w:r>
            <w:r>
              <w:rPr>
                <w:b/>
                <w:sz w:val="20"/>
              </w:rPr>
              <w:t>Y</w:t>
            </w:r>
            <w:r>
              <w:rPr>
                <w:b/>
                <w:spacing w:val="-3"/>
                <w:sz w:val="20"/>
              </w:rPr>
              <w:t> </w:t>
            </w:r>
            <w:r>
              <w:rPr>
                <w:b/>
                <w:sz w:val="20"/>
              </w:rPr>
              <w:t>SEXO</w:t>
            </w:r>
            <w:r>
              <w:rPr>
                <w:b/>
                <w:spacing w:val="-3"/>
                <w:sz w:val="20"/>
              </w:rPr>
              <w:t> </w:t>
            </w:r>
            <w:r>
              <w:rPr>
                <w:b/>
                <w:sz w:val="20"/>
              </w:rPr>
              <w:t>∆</w:t>
            </w:r>
            <w:r>
              <w:rPr>
                <w:b/>
                <w:spacing w:val="-8"/>
                <w:sz w:val="20"/>
              </w:rPr>
              <w:t> </w:t>
            </w:r>
            <w:r>
              <w:rPr>
                <w:b/>
                <w:sz w:val="20"/>
              </w:rPr>
              <w:t>2025-</w:t>
            </w:r>
            <w:r>
              <w:rPr>
                <w:b/>
                <w:spacing w:val="-4"/>
                <w:sz w:val="20"/>
              </w:rPr>
              <w:t>2024</w:t>
            </w:r>
          </w:p>
        </w:tc>
      </w:tr>
      <w:tr>
        <w:trPr>
          <w:trHeight w:val="342" w:hRule="atLeast"/>
        </w:trPr>
        <w:tc>
          <w:tcPr>
            <w:tcW w:w="2398" w:type="dxa"/>
            <w:vMerge/>
            <w:tcBorders>
              <w:top w:val="nil"/>
              <w:left w:val="nil"/>
            </w:tcBorders>
          </w:tcPr>
          <w:p>
            <w:pPr>
              <w:rPr>
                <w:sz w:val="2"/>
                <w:szCs w:val="2"/>
              </w:rPr>
            </w:pPr>
          </w:p>
        </w:tc>
        <w:tc>
          <w:tcPr>
            <w:tcW w:w="1653" w:type="dxa"/>
            <w:gridSpan w:val="2"/>
            <w:shd w:val="clear" w:color="auto" w:fill="D7D7D7"/>
          </w:tcPr>
          <w:p>
            <w:pPr>
              <w:pStyle w:val="TableParagraph"/>
              <w:spacing w:line="225" w:lineRule="exact"/>
              <w:ind w:left="311"/>
              <w:rPr>
                <w:b/>
                <w:sz w:val="20"/>
              </w:rPr>
            </w:pPr>
            <w:r>
              <w:rPr>
                <w:b/>
                <w:sz w:val="20"/>
              </w:rPr>
              <w:t>&lt;</w:t>
            </w:r>
            <w:r>
              <w:rPr>
                <w:b/>
                <w:spacing w:val="-3"/>
                <w:sz w:val="20"/>
              </w:rPr>
              <w:t> </w:t>
            </w:r>
            <w:r>
              <w:rPr>
                <w:b/>
                <w:sz w:val="20"/>
              </w:rPr>
              <w:t>30</w:t>
            </w:r>
            <w:r>
              <w:rPr>
                <w:b/>
                <w:spacing w:val="1"/>
                <w:sz w:val="20"/>
              </w:rPr>
              <w:t> </w:t>
            </w:r>
            <w:r>
              <w:rPr>
                <w:b/>
                <w:spacing w:val="-4"/>
                <w:sz w:val="20"/>
              </w:rPr>
              <w:t>AÑOS</w:t>
            </w:r>
          </w:p>
        </w:tc>
        <w:tc>
          <w:tcPr>
            <w:tcW w:w="1655" w:type="dxa"/>
            <w:gridSpan w:val="2"/>
            <w:shd w:val="clear" w:color="auto" w:fill="D7D7D7"/>
          </w:tcPr>
          <w:p>
            <w:pPr>
              <w:pStyle w:val="TableParagraph"/>
              <w:spacing w:line="225" w:lineRule="exact"/>
              <w:ind w:left="249"/>
              <w:rPr>
                <w:b/>
                <w:sz w:val="20"/>
              </w:rPr>
            </w:pPr>
            <w:r>
              <w:rPr>
                <w:b/>
                <w:sz w:val="20"/>
              </w:rPr>
              <w:t>30-50</w:t>
            </w:r>
            <w:r>
              <w:rPr>
                <w:b/>
                <w:spacing w:val="-6"/>
                <w:sz w:val="20"/>
              </w:rPr>
              <w:t> </w:t>
            </w:r>
            <w:r>
              <w:rPr>
                <w:b/>
                <w:spacing w:val="-4"/>
                <w:sz w:val="20"/>
              </w:rPr>
              <w:t>AÑOS</w:t>
            </w:r>
          </w:p>
        </w:tc>
        <w:tc>
          <w:tcPr>
            <w:tcW w:w="1653" w:type="dxa"/>
            <w:gridSpan w:val="2"/>
            <w:shd w:val="clear" w:color="auto" w:fill="D7D7D7"/>
          </w:tcPr>
          <w:p>
            <w:pPr>
              <w:pStyle w:val="TableParagraph"/>
              <w:spacing w:line="225" w:lineRule="exact"/>
              <w:ind w:left="308"/>
              <w:rPr>
                <w:b/>
                <w:sz w:val="20"/>
              </w:rPr>
            </w:pPr>
            <w:r>
              <w:rPr>
                <w:b/>
                <w:sz w:val="20"/>
              </w:rPr>
              <w:t>&gt;</w:t>
            </w:r>
            <w:r>
              <w:rPr>
                <w:b/>
                <w:spacing w:val="-3"/>
                <w:sz w:val="20"/>
              </w:rPr>
              <w:t> </w:t>
            </w:r>
            <w:r>
              <w:rPr>
                <w:b/>
                <w:sz w:val="20"/>
              </w:rPr>
              <w:t>50</w:t>
            </w:r>
            <w:r>
              <w:rPr>
                <w:b/>
                <w:spacing w:val="1"/>
                <w:sz w:val="20"/>
              </w:rPr>
              <w:t> </w:t>
            </w:r>
            <w:r>
              <w:rPr>
                <w:b/>
                <w:spacing w:val="-4"/>
                <w:sz w:val="20"/>
              </w:rPr>
              <w:t>AÑOS</w:t>
            </w:r>
          </w:p>
        </w:tc>
      </w:tr>
      <w:tr>
        <w:trPr>
          <w:trHeight w:val="345" w:hRule="atLeast"/>
        </w:trPr>
        <w:tc>
          <w:tcPr>
            <w:tcW w:w="2398" w:type="dxa"/>
            <w:shd w:val="clear" w:color="auto" w:fill="D7D7D7"/>
          </w:tcPr>
          <w:p>
            <w:pPr>
              <w:pStyle w:val="TableParagraph"/>
              <w:spacing w:line="227" w:lineRule="exact"/>
              <w:ind w:left="78"/>
              <w:rPr>
                <w:b/>
                <w:sz w:val="20"/>
              </w:rPr>
            </w:pPr>
            <w:r>
              <w:rPr>
                <w:b/>
                <w:sz w:val="20"/>
              </w:rPr>
              <w:t>GRUPO</w:t>
            </w:r>
            <w:r>
              <w:rPr>
                <w:b/>
                <w:spacing w:val="-11"/>
                <w:sz w:val="20"/>
              </w:rPr>
              <w:t> </w:t>
            </w:r>
            <w:r>
              <w:rPr>
                <w:b/>
                <w:spacing w:val="-2"/>
                <w:sz w:val="20"/>
              </w:rPr>
              <w:t>PROFESIONAL</w:t>
            </w:r>
          </w:p>
        </w:tc>
        <w:tc>
          <w:tcPr>
            <w:tcW w:w="704" w:type="dxa"/>
            <w:shd w:val="clear" w:color="auto" w:fill="D7D7D7"/>
          </w:tcPr>
          <w:p>
            <w:pPr>
              <w:pStyle w:val="TableParagraph"/>
              <w:spacing w:line="227" w:lineRule="exact"/>
              <w:ind w:left="30" w:right="25"/>
              <w:jc w:val="center"/>
              <w:rPr>
                <w:b/>
                <w:sz w:val="20"/>
              </w:rPr>
            </w:pPr>
            <w:r>
              <w:rPr>
                <w:b/>
                <w:spacing w:val="-10"/>
                <w:sz w:val="20"/>
              </w:rPr>
              <w:t>H</w:t>
            </w:r>
          </w:p>
        </w:tc>
        <w:tc>
          <w:tcPr>
            <w:tcW w:w="949" w:type="dxa"/>
            <w:shd w:val="clear" w:color="auto" w:fill="D7D7D7"/>
          </w:tcPr>
          <w:p>
            <w:pPr>
              <w:pStyle w:val="TableParagraph"/>
              <w:spacing w:line="227" w:lineRule="exact"/>
              <w:ind w:left="11" w:right="5"/>
              <w:jc w:val="center"/>
              <w:rPr>
                <w:b/>
                <w:sz w:val="20"/>
              </w:rPr>
            </w:pPr>
            <w:r>
              <w:rPr>
                <w:b/>
                <w:spacing w:val="-10"/>
                <w:sz w:val="20"/>
              </w:rPr>
              <w:t>M</w:t>
            </w:r>
          </w:p>
        </w:tc>
        <w:tc>
          <w:tcPr>
            <w:tcW w:w="704" w:type="dxa"/>
            <w:shd w:val="clear" w:color="auto" w:fill="D7D7D7"/>
          </w:tcPr>
          <w:p>
            <w:pPr>
              <w:pStyle w:val="TableParagraph"/>
              <w:spacing w:line="227" w:lineRule="exact"/>
              <w:ind w:left="30" w:right="29"/>
              <w:jc w:val="center"/>
              <w:rPr>
                <w:b/>
                <w:sz w:val="20"/>
              </w:rPr>
            </w:pPr>
            <w:r>
              <w:rPr>
                <w:b/>
                <w:spacing w:val="-10"/>
                <w:sz w:val="20"/>
              </w:rPr>
              <w:t>H</w:t>
            </w:r>
          </w:p>
        </w:tc>
        <w:tc>
          <w:tcPr>
            <w:tcW w:w="951" w:type="dxa"/>
            <w:shd w:val="clear" w:color="auto" w:fill="D7D7D7"/>
          </w:tcPr>
          <w:p>
            <w:pPr>
              <w:pStyle w:val="TableParagraph"/>
              <w:spacing w:line="227" w:lineRule="exact"/>
              <w:ind w:left="2" w:right="2"/>
              <w:jc w:val="center"/>
              <w:rPr>
                <w:b/>
                <w:sz w:val="20"/>
              </w:rPr>
            </w:pPr>
            <w:r>
              <w:rPr>
                <w:b/>
                <w:spacing w:val="-10"/>
                <w:sz w:val="20"/>
              </w:rPr>
              <w:t>M</w:t>
            </w:r>
          </w:p>
        </w:tc>
        <w:tc>
          <w:tcPr>
            <w:tcW w:w="704" w:type="dxa"/>
            <w:shd w:val="clear" w:color="auto" w:fill="D7D7D7"/>
          </w:tcPr>
          <w:p>
            <w:pPr>
              <w:pStyle w:val="TableParagraph"/>
              <w:spacing w:line="227" w:lineRule="exact"/>
              <w:ind w:left="30" w:right="30"/>
              <w:jc w:val="center"/>
              <w:rPr>
                <w:b/>
                <w:sz w:val="20"/>
              </w:rPr>
            </w:pPr>
            <w:r>
              <w:rPr>
                <w:b/>
                <w:spacing w:val="-10"/>
                <w:sz w:val="20"/>
              </w:rPr>
              <w:t>H</w:t>
            </w:r>
          </w:p>
        </w:tc>
        <w:tc>
          <w:tcPr>
            <w:tcW w:w="949" w:type="dxa"/>
            <w:shd w:val="clear" w:color="auto" w:fill="D7D7D7"/>
          </w:tcPr>
          <w:p>
            <w:pPr>
              <w:pStyle w:val="TableParagraph"/>
              <w:spacing w:line="227" w:lineRule="exact"/>
              <w:ind w:left="6" w:right="8"/>
              <w:jc w:val="center"/>
              <w:rPr>
                <w:b/>
                <w:sz w:val="20"/>
              </w:rPr>
            </w:pPr>
            <w:r>
              <w:rPr>
                <w:b/>
                <w:spacing w:val="-10"/>
                <w:sz w:val="20"/>
              </w:rPr>
              <w:t>M</w:t>
            </w:r>
          </w:p>
        </w:tc>
      </w:tr>
      <w:tr>
        <w:trPr>
          <w:trHeight w:val="366" w:hRule="atLeast"/>
        </w:trPr>
        <w:tc>
          <w:tcPr>
            <w:tcW w:w="2398" w:type="dxa"/>
          </w:tcPr>
          <w:p>
            <w:pPr>
              <w:pStyle w:val="TableParagraph"/>
              <w:spacing w:before="9"/>
              <w:ind w:left="69"/>
              <w:rPr>
                <w:sz w:val="20"/>
              </w:rPr>
            </w:pPr>
            <w:r>
              <w:rPr>
                <w:sz w:val="20"/>
              </w:rPr>
              <w:t>PERSONAL</w:t>
            </w:r>
            <w:r>
              <w:rPr>
                <w:spacing w:val="-12"/>
                <w:sz w:val="20"/>
              </w:rPr>
              <w:t> </w:t>
            </w:r>
            <w:r>
              <w:rPr>
                <w:spacing w:val="-2"/>
                <w:sz w:val="20"/>
              </w:rPr>
              <w:t>DIRECTIVO</w:t>
            </w:r>
          </w:p>
        </w:tc>
        <w:tc>
          <w:tcPr>
            <w:tcW w:w="704" w:type="dxa"/>
          </w:tcPr>
          <w:p>
            <w:pPr>
              <w:pStyle w:val="TableParagraph"/>
              <w:spacing w:before="1"/>
              <w:ind w:left="30" w:right="25"/>
              <w:jc w:val="center"/>
              <w:rPr>
                <w:rFonts w:ascii="Calibri"/>
                <w:sz w:val="20"/>
              </w:rPr>
            </w:pPr>
            <w:r>
              <w:rPr>
                <w:rFonts w:ascii="Calibri"/>
                <w:spacing w:val="-10"/>
                <w:sz w:val="20"/>
              </w:rPr>
              <w:t>0</w:t>
            </w:r>
          </w:p>
        </w:tc>
        <w:tc>
          <w:tcPr>
            <w:tcW w:w="949" w:type="dxa"/>
          </w:tcPr>
          <w:p>
            <w:pPr>
              <w:pStyle w:val="TableParagraph"/>
              <w:spacing w:before="1"/>
              <w:ind w:left="8" w:right="5"/>
              <w:jc w:val="center"/>
              <w:rPr>
                <w:rFonts w:ascii="Calibri"/>
                <w:sz w:val="20"/>
              </w:rPr>
            </w:pPr>
            <w:r>
              <w:rPr>
                <w:rFonts w:ascii="Calibri"/>
                <w:spacing w:val="-10"/>
                <w:sz w:val="20"/>
              </w:rPr>
              <w:t>0</w:t>
            </w:r>
          </w:p>
        </w:tc>
        <w:tc>
          <w:tcPr>
            <w:tcW w:w="704" w:type="dxa"/>
          </w:tcPr>
          <w:p>
            <w:pPr>
              <w:pStyle w:val="TableParagraph"/>
              <w:spacing w:before="1"/>
              <w:ind w:left="30" w:right="30"/>
              <w:jc w:val="center"/>
              <w:rPr>
                <w:rFonts w:ascii="Calibri"/>
                <w:sz w:val="20"/>
              </w:rPr>
            </w:pPr>
            <w:r>
              <w:rPr>
                <w:rFonts w:ascii="Calibri"/>
                <w:spacing w:val="-4"/>
                <w:sz w:val="20"/>
              </w:rPr>
              <w:t>-</w:t>
            </w:r>
            <w:r>
              <w:rPr>
                <w:rFonts w:ascii="Calibri"/>
                <w:spacing w:val="-10"/>
                <w:sz w:val="20"/>
              </w:rPr>
              <w:t>1</w:t>
            </w:r>
          </w:p>
        </w:tc>
        <w:tc>
          <w:tcPr>
            <w:tcW w:w="951" w:type="dxa"/>
          </w:tcPr>
          <w:p>
            <w:pPr>
              <w:pStyle w:val="TableParagraph"/>
              <w:spacing w:before="1"/>
              <w:ind w:left="1" w:right="2"/>
              <w:jc w:val="center"/>
              <w:rPr>
                <w:rFonts w:ascii="Calibri"/>
                <w:sz w:val="20"/>
              </w:rPr>
            </w:pPr>
            <w:r>
              <w:rPr>
                <w:rFonts w:ascii="Calibri"/>
                <w:spacing w:val="-10"/>
                <w:sz w:val="20"/>
              </w:rPr>
              <w:t>0</w:t>
            </w:r>
          </w:p>
        </w:tc>
        <w:tc>
          <w:tcPr>
            <w:tcW w:w="704" w:type="dxa"/>
          </w:tcPr>
          <w:p>
            <w:pPr>
              <w:pStyle w:val="TableParagraph"/>
              <w:spacing w:before="1"/>
              <w:ind w:left="30" w:right="30"/>
              <w:jc w:val="center"/>
              <w:rPr>
                <w:rFonts w:ascii="Calibri"/>
                <w:sz w:val="20"/>
              </w:rPr>
            </w:pPr>
            <w:r>
              <w:rPr>
                <w:rFonts w:ascii="Calibri"/>
                <w:spacing w:val="-10"/>
                <w:sz w:val="20"/>
              </w:rPr>
              <w:t>0</w:t>
            </w:r>
          </w:p>
        </w:tc>
        <w:tc>
          <w:tcPr>
            <w:tcW w:w="949" w:type="dxa"/>
          </w:tcPr>
          <w:p>
            <w:pPr>
              <w:pStyle w:val="TableParagraph"/>
              <w:spacing w:before="1"/>
              <w:ind w:left="6" w:right="11"/>
              <w:jc w:val="center"/>
              <w:rPr>
                <w:rFonts w:ascii="Calibri"/>
                <w:sz w:val="20"/>
              </w:rPr>
            </w:pPr>
            <w:r>
              <w:rPr>
                <w:rFonts w:ascii="Calibri"/>
                <w:spacing w:val="-10"/>
                <w:sz w:val="20"/>
              </w:rPr>
              <w:t>0</w:t>
            </w:r>
          </w:p>
        </w:tc>
      </w:tr>
      <w:tr>
        <w:trPr>
          <w:trHeight w:val="366" w:hRule="atLeast"/>
        </w:trPr>
        <w:tc>
          <w:tcPr>
            <w:tcW w:w="2398" w:type="dxa"/>
          </w:tcPr>
          <w:p>
            <w:pPr>
              <w:pStyle w:val="TableParagraph"/>
              <w:spacing w:before="9"/>
              <w:ind w:left="69"/>
              <w:rPr>
                <w:sz w:val="20"/>
              </w:rPr>
            </w:pPr>
            <w:r>
              <w:rPr>
                <w:sz w:val="20"/>
              </w:rPr>
              <w:t>PERSONAL</w:t>
            </w:r>
            <w:r>
              <w:rPr>
                <w:spacing w:val="-12"/>
                <w:sz w:val="20"/>
              </w:rPr>
              <w:t> </w:t>
            </w:r>
            <w:r>
              <w:rPr>
                <w:spacing w:val="-2"/>
                <w:sz w:val="20"/>
              </w:rPr>
              <w:t>TÉCNICO</w:t>
            </w:r>
          </w:p>
        </w:tc>
        <w:tc>
          <w:tcPr>
            <w:tcW w:w="704" w:type="dxa"/>
          </w:tcPr>
          <w:p>
            <w:pPr>
              <w:pStyle w:val="TableParagraph"/>
              <w:spacing w:line="243" w:lineRule="exact"/>
              <w:ind w:left="30" w:right="25"/>
              <w:jc w:val="center"/>
              <w:rPr>
                <w:rFonts w:ascii="Calibri"/>
                <w:sz w:val="20"/>
              </w:rPr>
            </w:pPr>
            <w:r>
              <w:rPr>
                <w:rFonts w:ascii="Calibri"/>
                <w:spacing w:val="-10"/>
                <w:sz w:val="20"/>
              </w:rPr>
              <w:t>0</w:t>
            </w:r>
          </w:p>
        </w:tc>
        <w:tc>
          <w:tcPr>
            <w:tcW w:w="949" w:type="dxa"/>
          </w:tcPr>
          <w:p>
            <w:pPr>
              <w:pStyle w:val="TableParagraph"/>
              <w:spacing w:line="243" w:lineRule="exact"/>
              <w:ind w:left="8" w:right="5"/>
              <w:jc w:val="center"/>
              <w:rPr>
                <w:rFonts w:ascii="Calibri"/>
                <w:sz w:val="20"/>
              </w:rPr>
            </w:pPr>
            <w:r>
              <w:rPr>
                <w:rFonts w:ascii="Calibri"/>
                <w:spacing w:val="-10"/>
                <w:sz w:val="20"/>
              </w:rPr>
              <w:t>0</w:t>
            </w:r>
          </w:p>
        </w:tc>
        <w:tc>
          <w:tcPr>
            <w:tcW w:w="704" w:type="dxa"/>
          </w:tcPr>
          <w:p>
            <w:pPr>
              <w:pStyle w:val="TableParagraph"/>
              <w:spacing w:line="243" w:lineRule="exact"/>
              <w:ind w:left="30" w:right="28"/>
              <w:jc w:val="center"/>
              <w:rPr>
                <w:rFonts w:ascii="Calibri"/>
                <w:sz w:val="20"/>
              </w:rPr>
            </w:pPr>
            <w:r>
              <w:rPr>
                <w:rFonts w:ascii="Calibri"/>
                <w:spacing w:val="-10"/>
                <w:sz w:val="20"/>
              </w:rPr>
              <w:t>0</w:t>
            </w:r>
          </w:p>
        </w:tc>
        <w:tc>
          <w:tcPr>
            <w:tcW w:w="951" w:type="dxa"/>
          </w:tcPr>
          <w:p>
            <w:pPr>
              <w:pStyle w:val="TableParagraph"/>
              <w:spacing w:line="243" w:lineRule="exact"/>
              <w:ind w:left="1" w:right="2"/>
              <w:jc w:val="center"/>
              <w:rPr>
                <w:rFonts w:ascii="Calibri"/>
                <w:sz w:val="20"/>
              </w:rPr>
            </w:pPr>
            <w:r>
              <w:rPr>
                <w:rFonts w:ascii="Calibri"/>
                <w:spacing w:val="-10"/>
                <w:sz w:val="20"/>
              </w:rPr>
              <w:t>0</w:t>
            </w:r>
          </w:p>
        </w:tc>
        <w:tc>
          <w:tcPr>
            <w:tcW w:w="704" w:type="dxa"/>
          </w:tcPr>
          <w:p>
            <w:pPr>
              <w:pStyle w:val="TableParagraph"/>
              <w:spacing w:line="243" w:lineRule="exact"/>
              <w:ind w:left="30" w:right="30"/>
              <w:jc w:val="center"/>
              <w:rPr>
                <w:rFonts w:ascii="Calibri"/>
                <w:sz w:val="20"/>
              </w:rPr>
            </w:pPr>
            <w:r>
              <w:rPr>
                <w:rFonts w:ascii="Calibri"/>
                <w:spacing w:val="-10"/>
                <w:sz w:val="20"/>
              </w:rPr>
              <w:t>0</w:t>
            </w:r>
          </w:p>
        </w:tc>
        <w:tc>
          <w:tcPr>
            <w:tcW w:w="949" w:type="dxa"/>
          </w:tcPr>
          <w:p>
            <w:pPr>
              <w:pStyle w:val="TableParagraph"/>
              <w:spacing w:line="243" w:lineRule="exact"/>
              <w:ind w:left="6" w:right="11"/>
              <w:jc w:val="center"/>
              <w:rPr>
                <w:rFonts w:ascii="Calibri"/>
                <w:sz w:val="20"/>
              </w:rPr>
            </w:pPr>
            <w:r>
              <w:rPr>
                <w:rFonts w:ascii="Calibri"/>
                <w:spacing w:val="-10"/>
                <w:sz w:val="20"/>
              </w:rPr>
              <w:t>0</w:t>
            </w:r>
          </w:p>
        </w:tc>
      </w:tr>
      <w:tr>
        <w:trPr>
          <w:trHeight w:val="366" w:hRule="atLeast"/>
        </w:trPr>
        <w:tc>
          <w:tcPr>
            <w:tcW w:w="2398" w:type="dxa"/>
          </w:tcPr>
          <w:p>
            <w:pPr>
              <w:pStyle w:val="TableParagraph"/>
              <w:spacing w:before="6"/>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704" w:type="dxa"/>
          </w:tcPr>
          <w:p>
            <w:pPr>
              <w:pStyle w:val="TableParagraph"/>
              <w:spacing w:line="243" w:lineRule="exact"/>
              <w:ind w:left="30" w:right="25"/>
              <w:jc w:val="center"/>
              <w:rPr>
                <w:rFonts w:ascii="Calibri"/>
                <w:sz w:val="20"/>
              </w:rPr>
            </w:pPr>
            <w:r>
              <w:rPr>
                <w:rFonts w:ascii="Calibri"/>
                <w:spacing w:val="-10"/>
                <w:sz w:val="20"/>
              </w:rPr>
              <w:t>0</w:t>
            </w:r>
          </w:p>
        </w:tc>
        <w:tc>
          <w:tcPr>
            <w:tcW w:w="949" w:type="dxa"/>
          </w:tcPr>
          <w:p>
            <w:pPr>
              <w:pStyle w:val="TableParagraph"/>
              <w:spacing w:line="243" w:lineRule="exact"/>
              <w:ind w:left="8" w:right="5"/>
              <w:jc w:val="center"/>
              <w:rPr>
                <w:rFonts w:ascii="Calibri"/>
                <w:sz w:val="20"/>
              </w:rPr>
            </w:pPr>
            <w:r>
              <w:rPr>
                <w:rFonts w:ascii="Calibri"/>
                <w:spacing w:val="-10"/>
                <w:sz w:val="20"/>
              </w:rPr>
              <w:t>0</w:t>
            </w:r>
          </w:p>
        </w:tc>
        <w:tc>
          <w:tcPr>
            <w:tcW w:w="704" w:type="dxa"/>
          </w:tcPr>
          <w:p>
            <w:pPr>
              <w:pStyle w:val="TableParagraph"/>
              <w:spacing w:line="243" w:lineRule="exact"/>
              <w:ind w:left="30" w:right="28"/>
              <w:jc w:val="center"/>
              <w:rPr>
                <w:rFonts w:ascii="Calibri"/>
                <w:sz w:val="20"/>
              </w:rPr>
            </w:pPr>
            <w:r>
              <w:rPr>
                <w:rFonts w:ascii="Calibri"/>
                <w:spacing w:val="-10"/>
                <w:sz w:val="20"/>
              </w:rPr>
              <w:t>0</w:t>
            </w:r>
          </w:p>
        </w:tc>
        <w:tc>
          <w:tcPr>
            <w:tcW w:w="951" w:type="dxa"/>
          </w:tcPr>
          <w:p>
            <w:pPr>
              <w:pStyle w:val="TableParagraph"/>
              <w:spacing w:line="243" w:lineRule="exact"/>
              <w:ind w:left="1" w:right="2"/>
              <w:jc w:val="center"/>
              <w:rPr>
                <w:rFonts w:ascii="Calibri"/>
                <w:sz w:val="20"/>
              </w:rPr>
            </w:pPr>
            <w:r>
              <w:rPr>
                <w:rFonts w:ascii="Calibri"/>
                <w:spacing w:val="-10"/>
                <w:sz w:val="20"/>
              </w:rPr>
              <w:t>0</w:t>
            </w:r>
          </w:p>
        </w:tc>
        <w:tc>
          <w:tcPr>
            <w:tcW w:w="704" w:type="dxa"/>
          </w:tcPr>
          <w:p>
            <w:pPr>
              <w:pStyle w:val="TableParagraph"/>
              <w:spacing w:line="243" w:lineRule="exact"/>
              <w:ind w:left="30" w:right="30"/>
              <w:jc w:val="center"/>
              <w:rPr>
                <w:rFonts w:ascii="Calibri"/>
                <w:sz w:val="20"/>
              </w:rPr>
            </w:pPr>
            <w:r>
              <w:rPr>
                <w:rFonts w:ascii="Calibri"/>
                <w:spacing w:val="-10"/>
                <w:sz w:val="20"/>
              </w:rPr>
              <w:t>0</w:t>
            </w:r>
          </w:p>
        </w:tc>
        <w:tc>
          <w:tcPr>
            <w:tcW w:w="949" w:type="dxa"/>
          </w:tcPr>
          <w:p>
            <w:pPr>
              <w:pStyle w:val="TableParagraph"/>
              <w:spacing w:line="243" w:lineRule="exact"/>
              <w:ind w:left="6" w:right="11"/>
              <w:jc w:val="center"/>
              <w:rPr>
                <w:rFonts w:ascii="Calibri"/>
                <w:sz w:val="20"/>
              </w:rPr>
            </w:pPr>
            <w:r>
              <w:rPr>
                <w:rFonts w:ascii="Calibri"/>
                <w:spacing w:val="-10"/>
                <w:sz w:val="20"/>
              </w:rPr>
              <w:t>0</w:t>
            </w:r>
          </w:p>
        </w:tc>
      </w:tr>
      <w:tr>
        <w:trPr>
          <w:trHeight w:val="364" w:hRule="atLeast"/>
        </w:trPr>
        <w:tc>
          <w:tcPr>
            <w:tcW w:w="2398" w:type="dxa"/>
          </w:tcPr>
          <w:p>
            <w:pPr>
              <w:pStyle w:val="TableParagraph"/>
              <w:spacing w:before="6"/>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704" w:type="dxa"/>
          </w:tcPr>
          <w:p>
            <w:pPr>
              <w:pStyle w:val="TableParagraph"/>
              <w:spacing w:line="243" w:lineRule="exact"/>
              <w:ind w:left="30" w:right="25"/>
              <w:jc w:val="center"/>
              <w:rPr>
                <w:rFonts w:ascii="Calibri"/>
                <w:sz w:val="20"/>
              </w:rPr>
            </w:pPr>
            <w:r>
              <w:rPr>
                <w:rFonts w:ascii="Calibri"/>
                <w:spacing w:val="-10"/>
                <w:sz w:val="20"/>
              </w:rPr>
              <w:t>1</w:t>
            </w:r>
          </w:p>
        </w:tc>
        <w:tc>
          <w:tcPr>
            <w:tcW w:w="949" w:type="dxa"/>
          </w:tcPr>
          <w:p>
            <w:pPr>
              <w:pStyle w:val="TableParagraph"/>
              <w:spacing w:line="243" w:lineRule="exact"/>
              <w:ind w:left="8" w:right="5"/>
              <w:jc w:val="center"/>
              <w:rPr>
                <w:rFonts w:ascii="Calibri"/>
                <w:sz w:val="20"/>
              </w:rPr>
            </w:pPr>
            <w:r>
              <w:rPr>
                <w:rFonts w:ascii="Calibri"/>
                <w:spacing w:val="-10"/>
                <w:sz w:val="20"/>
              </w:rPr>
              <w:t>0</w:t>
            </w:r>
          </w:p>
        </w:tc>
        <w:tc>
          <w:tcPr>
            <w:tcW w:w="704" w:type="dxa"/>
          </w:tcPr>
          <w:p>
            <w:pPr>
              <w:pStyle w:val="TableParagraph"/>
              <w:spacing w:line="243" w:lineRule="exact"/>
              <w:ind w:left="30" w:right="28"/>
              <w:jc w:val="center"/>
              <w:rPr>
                <w:rFonts w:ascii="Calibri"/>
                <w:sz w:val="20"/>
              </w:rPr>
            </w:pPr>
            <w:r>
              <w:rPr>
                <w:rFonts w:ascii="Calibri"/>
                <w:spacing w:val="-10"/>
                <w:sz w:val="20"/>
              </w:rPr>
              <w:t>9</w:t>
            </w:r>
          </w:p>
        </w:tc>
        <w:tc>
          <w:tcPr>
            <w:tcW w:w="951" w:type="dxa"/>
          </w:tcPr>
          <w:p>
            <w:pPr>
              <w:pStyle w:val="TableParagraph"/>
              <w:spacing w:line="243" w:lineRule="exact"/>
              <w:ind w:right="2"/>
              <w:jc w:val="center"/>
              <w:rPr>
                <w:rFonts w:ascii="Calibri"/>
                <w:sz w:val="20"/>
              </w:rPr>
            </w:pPr>
            <w:r>
              <w:rPr>
                <w:rFonts w:ascii="Calibri"/>
                <w:spacing w:val="-4"/>
                <w:sz w:val="20"/>
              </w:rPr>
              <w:t>-</w:t>
            </w:r>
            <w:r>
              <w:rPr>
                <w:rFonts w:ascii="Calibri"/>
                <w:spacing w:val="-10"/>
                <w:sz w:val="20"/>
              </w:rPr>
              <w:t>2</w:t>
            </w:r>
          </w:p>
        </w:tc>
        <w:tc>
          <w:tcPr>
            <w:tcW w:w="704" w:type="dxa"/>
          </w:tcPr>
          <w:p>
            <w:pPr>
              <w:pStyle w:val="TableParagraph"/>
              <w:spacing w:line="243" w:lineRule="exact"/>
              <w:ind w:left="30" w:right="30"/>
              <w:jc w:val="center"/>
              <w:rPr>
                <w:rFonts w:ascii="Calibri"/>
                <w:sz w:val="20"/>
              </w:rPr>
            </w:pPr>
            <w:r>
              <w:rPr>
                <w:rFonts w:ascii="Calibri"/>
                <w:spacing w:val="-10"/>
                <w:sz w:val="20"/>
              </w:rPr>
              <w:t>0</w:t>
            </w:r>
          </w:p>
        </w:tc>
        <w:tc>
          <w:tcPr>
            <w:tcW w:w="949" w:type="dxa"/>
          </w:tcPr>
          <w:p>
            <w:pPr>
              <w:pStyle w:val="TableParagraph"/>
              <w:spacing w:line="243" w:lineRule="exact"/>
              <w:ind w:left="6" w:right="11"/>
              <w:jc w:val="center"/>
              <w:rPr>
                <w:rFonts w:ascii="Calibri"/>
                <w:sz w:val="20"/>
              </w:rPr>
            </w:pPr>
            <w:r>
              <w:rPr>
                <w:rFonts w:ascii="Calibri"/>
                <w:spacing w:val="-10"/>
                <w:sz w:val="20"/>
              </w:rPr>
              <w:t>0</w:t>
            </w:r>
          </w:p>
        </w:tc>
      </w:tr>
      <w:tr>
        <w:trPr>
          <w:trHeight w:val="366" w:hRule="atLeast"/>
        </w:trPr>
        <w:tc>
          <w:tcPr>
            <w:tcW w:w="2398" w:type="dxa"/>
          </w:tcPr>
          <w:p>
            <w:pPr>
              <w:pStyle w:val="TableParagraph"/>
              <w:spacing w:before="6"/>
              <w:ind w:right="1"/>
              <w:jc w:val="center"/>
              <w:rPr>
                <w:b/>
                <w:sz w:val="20"/>
              </w:rPr>
            </w:pPr>
            <w:r>
              <w:rPr>
                <w:b/>
                <w:spacing w:val="-2"/>
                <w:sz w:val="20"/>
              </w:rPr>
              <w:t>TOTAL</w:t>
            </w:r>
          </w:p>
        </w:tc>
        <w:tc>
          <w:tcPr>
            <w:tcW w:w="704" w:type="dxa"/>
          </w:tcPr>
          <w:p>
            <w:pPr>
              <w:pStyle w:val="TableParagraph"/>
              <w:spacing w:before="1"/>
              <w:ind w:left="30" w:right="25"/>
              <w:jc w:val="center"/>
              <w:rPr>
                <w:rFonts w:ascii="Calibri"/>
                <w:b/>
                <w:sz w:val="20"/>
              </w:rPr>
            </w:pPr>
            <w:r>
              <w:rPr>
                <w:rFonts w:ascii="Calibri"/>
                <w:b/>
                <w:spacing w:val="-10"/>
                <w:sz w:val="20"/>
              </w:rPr>
              <w:t>1</w:t>
            </w:r>
          </w:p>
        </w:tc>
        <w:tc>
          <w:tcPr>
            <w:tcW w:w="949" w:type="dxa"/>
          </w:tcPr>
          <w:p>
            <w:pPr>
              <w:pStyle w:val="TableParagraph"/>
              <w:spacing w:before="1"/>
              <w:ind w:left="8" w:right="5"/>
              <w:jc w:val="center"/>
              <w:rPr>
                <w:rFonts w:ascii="Calibri"/>
                <w:b/>
                <w:sz w:val="20"/>
              </w:rPr>
            </w:pPr>
            <w:r>
              <w:rPr>
                <w:rFonts w:ascii="Calibri"/>
                <w:b/>
                <w:spacing w:val="-10"/>
                <w:sz w:val="20"/>
              </w:rPr>
              <w:t>0</w:t>
            </w:r>
          </w:p>
        </w:tc>
        <w:tc>
          <w:tcPr>
            <w:tcW w:w="704" w:type="dxa"/>
          </w:tcPr>
          <w:p>
            <w:pPr>
              <w:pStyle w:val="TableParagraph"/>
              <w:spacing w:before="1"/>
              <w:ind w:left="30" w:right="28"/>
              <w:jc w:val="center"/>
              <w:rPr>
                <w:rFonts w:ascii="Calibri"/>
                <w:b/>
                <w:sz w:val="20"/>
              </w:rPr>
            </w:pPr>
            <w:r>
              <w:rPr>
                <w:rFonts w:ascii="Calibri"/>
                <w:b/>
                <w:spacing w:val="-10"/>
                <w:sz w:val="20"/>
              </w:rPr>
              <w:t>8</w:t>
            </w:r>
          </w:p>
        </w:tc>
        <w:tc>
          <w:tcPr>
            <w:tcW w:w="951" w:type="dxa"/>
          </w:tcPr>
          <w:p>
            <w:pPr>
              <w:pStyle w:val="TableParagraph"/>
              <w:spacing w:before="1"/>
              <w:ind w:right="2"/>
              <w:jc w:val="center"/>
              <w:rPr>
                <w:rFonts w:ascii="Calibri"/>
                <w:b/>
                <w:sz w:val="20"/>
              </w:rPr>
            </w:pPr>
            <w:r>
              <w:rPr>
                <w:rFonts w:ascii="Calibri"/>
                <w:b/>
                <w:spacing w:val="-4"/>
                <w:sz w:val="20"/>
              </w:rPr>
              <w:t>-</w:t>
            </w:r>
            <w:r>
              <w:rPr>
                <w:rFonts w:ascii="Calibri"/>
                <w:b/>
                <w:spacing w:val="-10"/>
                <w:sz w:val="20"/>
              </w:rPr>
              <w:t>2</w:t>
            </w:r>
          </w:p>
        </w:tc>
        <w:tc>
          <w:tcPr>
            <w:tcW w:w="704" w:type="dxa"/>
          </w:tcPr>
          <w:p>
            <w:pPr>
              <w:pStyle w:val="TableParagraph"/>
              <w:spacing w:before="1"/>
              <w:ind w:left="30" w:right="30"/>
              <w:jc w:val="center"/>
              <w:rPr>
                <w:rFonts w:ascii="Calibri"/>
                <w:b/>
                <w:sz w:val="20"/>
              </w:rPr>
            </w:pPr>
            <w:r>
              <w:rPr>
                <w:rFonts w:ascii="Calibri"/>
                <w:b/>
                <w:spacing w:val="-10"/>
                <w:sz w:val="20"/>
              </w:rPr>
              <w:t>0</w:t>
            </w:r>
          </w:p>
        </w:tc>
        <w:tc>
          <w:tcPr>
            <w:tcW w:w="949" w:type="dxa"/>
          </w:tcPr>
          <w:p>
            <w:pPr>
              <w:pStyle w:val="TableParagraph"/>
              <w:spacing w:before="1"/>
              <w:ind w:left="6" w:right="11"/>
              <w:jc w:val="center"/>
              <w:rPr>
                <w:rFonts w:ascii="Calibri"/>
                <w:b/>
                <w:sz w:val="20"/>
              </w:rPr>
            </w:pPr>
            <w:r>
              <w:rPr>
                <w:rFonts w:ascii="Calibri"/>
                <w:b/>
                <w:spacing w:val="-10"/>
                <w:sz w:val="20"/>
              </w:rPr>
              <w:t>0</w:t>
            </w:r>
          </w:p>
        </w:tc>
      </w:tr>
    </w:tbl>
    <w:p>
      <w:pPr>
        <w:pStyle w:val="BodyText"/>
      </w:pPr>
    </w:p>
    <w:p>
      <w:pPr>
        <w:pStyle w:val="BodyText"/>
        <w:spacing w:before="86"/>
      </w:pPr>
    </w:p>
    <w:p>
      <w:pPr>
        <w:pStyle w:val="Heading3"/>
        <w:numPr>
          <w:ilvl w:val="1"/>
          <w:numId w:val="31"/>
        </w:numPr>
        <w:tabs>
          <w:tab w:pos="1670" w:val="left" w:leader="none"/>
        </w:tabs>
        <w:spacing w:line="240" w:lineRule="auto" w:before="0" w:after="0"/>
        <w:ind w:left="1670" w:right="0" w:hanging="329"/>
        <w:jc w:val="left"/>
      </w:pPr>
      <w:bookmarkStart w:name="_TOC_250027" w:id="25"/>
      <w:r>
        <w:rPr/>
        <w:t>Organización</w:t>
      </w:r>
      <w:r>
        <w:rPr>
          <w:spacing w:val="-10"/>
        </w:rPr>
        <w:t> </w:t>
      </w:r>
      <w:r>
        <w:rPr/>
        <w:t>del</w:t>
      </w:r>
      <w:r>
        <w:rPr>
          <w:spacing w:val="-7"/>
        </w:rPr>
        <w:t> </w:t>
      </w:r>
      <w:bookmarkEnd w:id="25"/>
      <w:r>
        <w:rPr>
          <w:spacing w:val="-2"/>
        </w:rPr>
        <w:t>Trabajo</w:t>
      </w:r>
    </w:p>
    <w:p>
      <w:pPr>
        <w:pStyle w:val="BodyText"/>
        <w:spacing w:before="46"/>
        <w:rPr>
          <w:b/>
        </w:rPr>
      </w:pPr>
    </w:p>
    <w:p>
      <w:pPr>
        <w:pStyle w:val="BodyText"/>
        <w:spacing w:line="360" w:lineRule="auto" w:before="1"/>
        <w:ind w:left="1341" w:right="1334"/>
        <w:jc w:val="both"/>
      </w:pPr>
      <w:r>
        <w:rPr/>
        <w:t>Las personas empleadas constituyen el grupo de interés al que GMSA dedica una mayor atención, en tanto en cuanto son los ejecutores de las políticas y gran parte de la actividad </w:t>
      </w:r>
      <w:r>
        <w:rPr>
          <w:spacing w:val="-2"/>
        </w:rPr>
        <w:t>societaria.</w:t>
      </w:r>
    </w:p>
    <w:p>
      <w:pPr>
        <w:pStyle w:val="BodyText"/>
        <w:spacing w:line="360" w:lineRule="auto" w:before="198"/>
        <w:ind w:left="1341" w:right="1337"/>
        <w:jc w:val="both"/>
      </w:pPr>
      <w:r>
        <w:rPr/>
        <w:t>La motivación y el compromiso con la marcha de la empresa son aspectos esenciales que se intentan alcanzar a través políticas concretas, de la evaluación del clima laboral y de acciones de comunicación interna (boletín, whatsapp corporativo, reuniones con la Dirección, etc.) en coordinación con la comunicación externa.</w:t>
      </w:r>
    </w:p>
    <w:p>
      <w:pPr>
        <w:pStyle w:val="BodyText"/>
        <w:spacing w:line="360" w:lineRule="auto" w:before="200"/>
        <w:ind w:left="1341" w:right="1332"/>
        <w:jc w:val="both"/>
      </w:pPr>
      <w:r>
        <w:rPr/>
        <mc:AlternateContent>
          <mc:Choice Requires="wps">
            <w:drawing>
              <wp:anchor distT="0" distB="0" distL="0" distR="0" allowOverlap="1" layoutInCell="1" locked="0" behindDoc="0" simplePos="0" relativeHeight="15812096">
                <wp:simplePos x="0" y="0"/>
                <wp:positionH relativeFrom="page">
                  <wp:posOffset>6966436</wp:posOffset>
                </wp:positionH>
                <wp:positionV relativeFrom="paragraph">
                  <wp:posOffset>886295</wp:posOffset>
                </wp:positionV>
                <wp:extent cx="263525" cy="327596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69.787025pt;width:20.75pt;height:257.95pt;mso-position-horizontal-relative:page;mso-position-vertical-relative:paragraph;z-index:15812096" type="#_x0000_t202" id="docshape23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39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 flexibilidad con horarios y el uso de permutas que permitan la conciliación trabajo-familia y una retribución digna acorde con el desempeño en cada puesto,</w:t>
      </w:r>
      <w:r>
        <w:rPr>
          <w:spacing w:val="40"/>
        </w:rPr>
        <w:t> </w:t>
      </w:r>
      <w:r>
        <w:rPr/>
        <w:t>la responsabilidad y los resultados obtenidos, así como explorar la mejora de la competitividad del régimen retributivo respecto de estándares del sector público y privado, para facilitar la atracción y retención del talento –todo ello en el marco de las limitaciones legales y presupuestarias vigente-</w:t>
      </w:r>
      <w:r>
        <w:rPr>
          <w:spacing w:val="40"/>
        </w:rPr>
        <w:t> </w:t>
      </w:r>
      <w:r>
        <w:rPr/>
        <w:t>y más acorde a los conocimientos, habilidades y competencias necesarias en estos tiempos, son los fundamentos de una política en materia laboral que siguen marcando nuestra orientación en la búsqueda de altos niveles de productividad, calidad y permanencia.</w:t>
      </w:r>
    </w:p>
    <w:p>
      <w:pPr>
        <w:pStyle w:val="BodyText"/>
        <w:spacing w:line="360" w:lineRule="auto" w:before="201"/>
        <w:ind w:left="1341" w:right="1341"/>
        <w:jc w:val="both"/>
      </w:pPr>
      <w:r>
        <w:rPr/>
        <w:t>Los conocimientos necesarios para el desempeño y desarrollo de los puestos de trabajo se adquieren</w:t>
      </w:r>
      <w:r>
        <w:rPr>
          <w:spacing w:val="-4"/>
        </w:rPr>
        <w:t> </w:t>
      </w:r>
      <w:r>
        <w:rPr/>
        <w:t>fundamentalmente</w:t>
      </w:r>
      <w:r>
        <w:rPr>
          <w:spacing w:val="-2"/>
        </w:rPr>
        <w:t> </w:t>
      </w:r>
      <w:r>
        <w:rPr/>
        <w:t>a</w:t>
      </w:r>
      <w:r>
        <w:rPr>
          <w:spacing w:val="-2"/>
        </w:rPr>
        <w:t> </w:t>
      </w:r>
      <w:r>
        <w:rPr/>
        <w:t>través</w:t>
      </w:r>
      <w:r>
        <w:rPr>
          <w:spacing w:val="-1"/>
        </w:rPr>
        <w:t> </w:t>
      </w:r>
      <w:r>
        <w:rPr/>
        <w:t>de</w:t>
      </w:r>
      <w:r>
        <w:rPr>
          <w:spacing w:val="-1"/>
        </w:rPr>
        <w:t> </w:t>
      </w:r>
      <w:r>
        <w:rPr/>
        <w:t>la</w:t>
      </w:r>
      <w:r>
        <w:rPr>
          <w:spacing w:val="-2"/>
        </w:rPr>
        <w:t> </w:t>
      </w:r>
      <w:r>
        <w:rPr/>
        <w:t>autoformación y</w:t>
      </w:r>
      <w:r>
        <w:rPr>
          <w:spacing w:val="-8"/>
        </w:rPr>
        <w:t> </w:t>
      </w:r>
      <w:r>
        <w:rPr/>
        <w:t>cursos</w:t>
      </w:r>
      <w:r>
        <w:rPr>
          <w:spacing w:val="-1"/>
        </w:rPr>
        <w:t> </w:t>
      </w:r>
      <w:r>
        <w:rPr/>
        <w:t>específicos</w:t>
      </w:r>
      <w:r>
        <w:rPr>
          <w:spacing w:val="-1"/>
        </w:rPr>
        <w:t> </w:t>
      </w:r>
      <w:r>
        <w:rPr/>
        <w:t>establecidos</w:t>
      </w:r>
      <w:r>
        <w:rPr>
          <w:spacing w:val="-1"/>
        </w:rPr>
        <w:t> </w:t>
      </w:r>
      <w:r>
        <w:rPr/>
        <w:t>en el plan de formación y aprendizaje anual, continuando en un proceso de revisión de los procedimientos</w:t>
      </w:r>
      <w:r>
        <w:rPr>
          <w:spacing w:val="42"/>
        </w:rPr>
        <w:t>  </w:t>
      </w:r>
      <w:r>
        <w:rPr/>
        <w:t>actuales</w:t>
      </w:r>
      <w:r>
        <w:rPr>
          <w:spacing w:val="42"/>
        </w:rPr>
        <w:t>  </w:t>
      </w:r>
      <w:r>
        <w:rPr/>
        <w:t>de</w:t>
      </w:r>
      <w:r>
        <w:rPr>
          <w:spacing w:val="42"/>
        </w:rPr>
        <w:t>  </w:t>
      </w:r>
      <w:r>
        <w:rPr/>
        <w:t>formación</w:t>
      </w:r>
      <w:r>
        <w:rPr>
          <w:spacing w:val="42"/>
        </w:rPr>
        <w:t>  </w:t>
      </w:r>
      <w:r>
        <w:rPr/>
        <w:t>para</w:t>
      </w:r>
      <w:r>
        <w:rPr>
          <w:spacing w:val="41"/>
        </w:rPr>
        <w:t>  </w:t>
      </w:r>
      <w:r>
        <w:rPr/>
        <w:t>adaptarlos</w:t>
      </w:r>
      <w:r>
        <w:rPr>
          <w:spacing w:val="43"/>
        </w:rPr>
        <w:t>  </w:t>
      </w:r>
      <w:r>
        <w:rPr/>
        <w:t>a</w:t>
      </w:r>
      <w:r>
        <w:rPr>
          <w:spacing w:val="41"/>
        </w:rPr>
        <w:t>  </w:t>
      </w:r>
      <w:r>
        <w:rPr/>
        <w:t>las</w:t>
      </w:r>
      <w:r>
        <w:rPr>
          <w:spacing w:val="43"/>
        </w:rPr>
        <w:t>  </w:t>
      </w:r>
      <w:r>
        <w:rPr/>
        <w:t>nuevas</w:t>
      </w:r>
      <w:r>
        <w:rPr>
          <w:spacing w:val="43"/>
        </w:rPr>
        <w:t>  </w:t>
      </w:r>
      <w:r>
        <w:rPr>
          <w:spacing w:val="-2"/>
        </w:rPr>
        <w:t>necesidades</w:t>
      </w:r>
    </w:p>
    <w:p>
      <w:pPr>
        <w:pStyle w:val="BodyText"/>
        <w:tabs>
          <w:tab w:pos="5574" w:val="left" w:leader="none"/>
        </w:tabs>
        <w:spacing w:before="1"/>
        <w:jc w:val="center"/>
      </w:pPr>
      <w:r>
        <w:rPr/>
        <w:t>diagnosticando</w:t>
      </w:r>
      <w:r>
        <w:rPr>
          <w:spacing w:val="29"/>
        </w:rPr>
        <w:t>  </w:t>
      </w:r>
      <w:r>
        <w:rPr/>
        <w:t>conocimiento</w:t>
      </w:r>
      <w:r>
        <w:rPr>
          <w:spacing w:val="32"/>
        </w:rPr>
        <w:t>  </w:t>
      </w:r>
      <w:r>
        <w:rPr/>
        <w:t>y</w:t>
      </w:r>
      <w:r>
        <w:rPr>
          <w:spacing w:val="29"/>
        </w:rPr>
        <w:t>  </w:t>
      </w:r>
      <w:r>
        <w:rPr/>
        <w:t>competencias</w:t>
      </w:r>
      <w:r>
        <w:rPr>
          <w:spacing w:val="30"/>
        </w:rPr>
        <w:t>  </w:t>
      </w:r>
      <w:r>
        <w:rPr>
          <w:spacing w:val="-2"/>
        </w:rPr>
        <w:t>claves,</w:t>
      </w:r>
      <w:r>
        <w:rPr/>
        <w:tab/>
        <w:t>estableciendo</w:t>
      </w:r>
      <w:r>
        <w:rPr>
          <w:spacing w:val="28"/>
        </w:rPr>
        <w:t>  </w:t>
      </w:r>
      <w:r>
        <w:rPr>
          <w:spacing w:val="-2"/>
        </w:rPr>
        <w:t>métodos/canales</w:t>
      </w:r>
    </w:p>
    <w:p>
      <w:pPr>
        <w:pStyle w:val="BodyText"/>
        <w:tabs>
          <w:tab w:pos="8042" w:val="left" w:leader="none"/>
        </w:tabs>
        <w:spacing w:line="362" w:lineRule="auto" w:before="113"/>
        <w:ind w:left="1341" w:right="1340"/>
      </w:pPr>
      <w:r>
        <w:rPr/>
        <w:t>formativos</w:t>
      </w:r>
      <w:r>
        <w:rPr>
          <w:spacing w:val="40"/>
        </w:rPr>
        <w:t> </w:t>
      </w:r>
      <w:r>
        <w:rPr/>
        <w:t>(teleformación,</w:t>
      </w:r>
      <w:r>
        <w:rPr>
          <w:spacing w:val="40"/>
        </w:rPr>
        <w:t> </w:t>
      </w:r>
      <w:r>
        <w:rPr/>
        <w:t>semipresencial,</w:t>
      </w:r>
      <w:r>
        <w:rPr>
          <w:spacing w:val="40"/>
        </w:rPr>
        <w:t> </w:t>
      </w:r>
      <w:r>
        <w:rPr/>
        <w:t>presencial)</w:t>
      </w:r>
      <w:r>
        <w:rPr>
          <w:spacing w:val="80"/>
        </w:rPr>
        <w:t> </w:t>
      </w:r>
      <w:r>
        <w:rPr/>
        <w:t>y</w:t>
      </w:r>
      <w:r>
        <w:rPr>
          <w:spacing w:val="40"/>
        </w:rPr>
        <w:t> </w:t>
      </w:r>
      <w:r>
        <w:rPr/>
        <w:t>contenidos</w:t>
        <w:tab/>
        <w:t>para</w:t>
      </w:r>
      <w:r>
        <w:rPr>
          <w:spacing w:val="72"/>
        </w:rPr>
        <w:t> </w:t>
      </w:r>
      <w:r>
        <w:rPr/>
        <w:t>actualizar</w:t>
      </w:r>
      <w:r>
        <w:rPr>
          <w:spacing w:val="40"/>
        </w:rPr>
        <w:t> </w:t>
      </w:r>
      <w:r>
        <w:rPr/>
        <w:t>los conocimientos, habilidades y competencias necesarios.</w:t>
      </w:r>
    </w:p>
    <w:p>
      <w:pPr>
        <w:pStyle w:val="BodyText"/>
        <w:spacing w:after="0" w:line="362" w:lineRule="auto"/>
        <w:sectPr>
          <w:pgSz w:w="11910" w:h="16840"/>
          <w:pgMar w:header="384" w:footer="1060" w:top="1200" w:bottom="1260" w:left="360" w:right="360"/>
        </w:sectPr>
      </w:pPr>
    </w:p>
    <w:p>
      <w:pPr>
        <w:pStyle w:val="BodyText"/>
        <w:spacing w:line="360" w:lineRule="auto" w:before="215"/>
        <w:ind w:left="1341" w:right="1335"/>
        <w:jc w:val="both"/>
      </w:pPr>
      <w:r>
        <w:rPr/>
        <w:t>Los valores del trabajo en equipo y la colaboración permanente, así como otras facilidades (zona de comida y descansos, etc.), completan los aspectos más relevantes relacionados con las políticas en materia laboral.</w:t>
      </w:r>
    </w:p>
    <w:p>
      <w:pPr>
        <w:pStyle w:val="BodyText"/>
        <w:spacing w:line="362" w:lineRule="auto" w:before="199"/>
        <w:ind w:left="1341" w:right="1308"/>
      </w:pPr>
      <w:r>
        <w:rPr/>
        <w:t>Durante el</w:t>
      </w:r>
      <w:r>
        <w:rPr>
          <w:spacing w:val="-3"/>
        </w:rPr>
        <w:t> </w:t>
      </w:r>
      <w:r>
        <w:rPr/>
        <w:t>2025</w:t>
      </w:r>
      <w:r>
        <w:rPr>
          <w:spacing w:val="-1"/>
        </w:rPr>
        <w:t> </w:t>
      </w:r>
      <w:r>
        <w:rPr/>
        <w:t>seguimos avanzando</w:t>
      </w:r>
      <w:r>
        <w:rPr>
          <w:spacing w:val="-2"/>
        </w:rPr>
        <w:t> </w:t>
      </w:r>
      <w:r>
        <w:rPr/>
        <w:t>en la</w:t>
      </w:r>
      <w:r>
        <w:rPr>
          <w:spacing w:val="-2"/>
        </w:rPr>
        <w:t> </w:t>
      </w:r>
      <w:r>
        <w:rPr/>
        <w:t>negociación</w:t>
      </w:r>
      <w:r>
        <w:rPr>
          <w:spacing w:val="-2"/>
        </w:rPr>
        <w:t> </w:t>
      </w:r>
      <w:r>
        <w:rPr/>
        <w:t>del</w:t>
      </w:r>
      <w:r>
        <w:rPr>
          <w:spacing w:val="-3"/>
        </w:rPr>
        <w:t> </w:t>
      </w:r>
      <w:r>
        <w:rPr/>
        <w:t>convenio</w:t>
      </w:r>
      <w:r>
        <w:rPr>
          <w:spacing w:val="-2"/>
        </w:rPr>
        <w:t> </w:t>
      </w:r>
      <w:r>
        <w:rPr/>
        <w:t>colectivo</w:t>
      </w:r>
      <w:r>
        <w:rPr>
          <w:spacing w:val="-2"/>
        </w:rPr>
        <w:t> </w:t>
      </w:r>
      <w:r>
        <w:rPr/>
        <w:t>de</w:t>
      </w:r>
      <w:r>
        <w:rPr>
          <w:spacing w:val="-2"/>
        </w:rPr>
        <w:t> </w:t>
      </w:r>
      <w:r>
        <w:rPr/>
        <w:t>empresa</w:t>
      </w:r>
      <w:r>
        <w:rPr>
          <w:spacing w:val="-2"/>
        </w:rPr>
        <w:t> </w:t>
      </w:r>
      <w:r>
        <w:rPr/>
        <w:t>con la representación de los trabajadores.</w:t>
      </w:r>
    </w:p>
    <w:p>
      <w:pPr>
        <w:pStyle w:val="Heading3"/>
        <w:numPr>
          <w:ilvl w:val="2"/>
          <w:numId w:val="31"/>
        </w:numPr>
        <w:tabs>
          <w:tab w:pos="1892" w:val="left" w:leader="none"/>
        </w:tabs>
        <w:spacing w:line="240" w:lineRule="auto" w:before="196" w:after="0"/>
        <w:ind w:left="1892" w:right="0" w:hanging="551"/>
        <w:jc w:val="left"/>
      </w:pPr>
      <w:bookmarkStart w:name="_TOC_250026" w:id="26"/>
      <w:r>
        <w:rPr/>
        <w:t>Organización</w:t>
      </w:r>
      <w:r>
        <w:rPr>
          <w:spacing w:val="-9"/>
        </w:rPr>
        <w:t> </w:t>
      </w:r>
      <w:r>
        <w:rPr/>
        <w:t>del</w:t>
      </w:r>
      <w:r>
        <w:rPr>
          <w:spacing w:val="-7"/>
        </w:rPr>
        <w:t> </w:t>
      </w:r>
      <w:r>
        <w:rPr/>
        <w:t>Tiempo</w:t>
      </w:r>
      <w:r>
        <w:rPr>
          <w:spacing w:val="-7"/>
        </w:rPr>
        <w:t> </w:t>
      </w:r>
      <w:r>
        <w:rPr/>
        <w:t>de</w:t>
      </w:r>
      <w:r>
        <w:rPr>
          <w:spacing w:val="-7"/>
        </w:rPr>
        <w:t> </w:t>
      </w:r>
      <w:bookmarkEnd w:id="26"/>
      <w:r>
        <w:rPr>
          <w:spacing w:val="-2"/>
        </w:rPr>
        <w:t>Trabajo</w:t>
      </w:r>
    </w:p>
    <w:p>
      <w:pPr>
        <w:pStyle w:val="BodyText"/>
        <w:spacing w:before="44"/>
        <w:rPr>
          <w:b/>
        </w:rPr>
      </w:pPr>
    </w:p>
    <w:p>
      <w:pPr>
        <w:pStyle w:val="BodyText"/>
        <w:spacing w:line="360" w:lineRule="auto"/>
        <w:ind w:left="1341" w:right="1336"/>
        <w:jc w:val="both"/>
      </w:pPr>
      <w:r>
        <w:rPr/>
        <w:t>La jornada de promedio semanal es de TREINTA Y CINCO HORAS (35 horas semanales de promedio) desde el 1 de mayo de 2021 y la distribución del tiempo de trabajo están recogidas en Capítulo 6º. Tiempo de Trabajo, del Convenio Colectivo de Guaguas Municipales, S.A., Sección 1ª. Artículo 28, 29, 30 y</w:t>
      </w:r>
      <w:r>
        <w:rPr>
          <w:spacing w:val="-1"/>
        </w:rPr>
        <w:t> </w:t>
      </w:r>
      <w:r>
        <w:rPr/>
        <w:t>Anexo</w:t>
      </w:r>
      <w:r>
        <w:rPr>
          <w:spacing w:val="-1"/>
        </w:rPr>
        <w:t> </w:t>
      </w:r>
      <w:r>
        <w:rPr/>
        <w:t>VI (B.O.P.</w:t>
      </w:r>
      <w:r>
        <w:rPr>
          <w:spacing w:val="-1"/>
        </w:rPr>
        <w:t> </w:t>
      </w:r>
      <w:r>
        <w:rPr/>
        <w:t>nº126,</w:t>
      </w:r>
      <w:r>
        <w:rPr>
          <w:spacing w:val="-1"/>
        </w:rPr>
        <w:t> </w:t>
      </w:r>
      <w:r>
        <w:rPr/>
        <w:t>del 18</w:t>
      </w:r>
      <w:r>
        <w:rPr>
          <w:spacing w:val="-1"/>
        </w:rPr>
        <w:t> </w:t>
      </w:r>
      <w:r>
        <w:rPr/>
        <w:t>de Octubre</w:t>
      </w:r>
      <w:r>
        <w:rPr>
          <w:spacing w:val="-1"/>
        </w:rPr>
        <w:t> </w:t>
      </w:r>
      <w:r>
        <w:rPr/>
        <w:t>de</w:t>
      </w:r>
      <w:r>
        <w:rPr>
          <w:spacing w:val="-1"/>
        </w:rPr>
        <w:t> </w:t>
      </w:r>
      <w:r>
        <w:rPr/>
        <w:t>2019) así</w:t>
      </w:r>
      <w:r>
        <w:rPr>
          <w:spacing w:val="40"/>
        </w:rPr>
        <w:t> </w:t>
      </w:r>
      <w:r>
        <w:rPr/>
        <w:t>como en el acta de acuerdos Comité de Huelga de fecha 28 de noviembre 2021 ratificado el 30 de </w:t>
      </w:r>
      <w:r>
        <w:rPr>
          <w:spacing w:val="-2"/>
        </w:rPr>
        <w:t>noviembre.</w:t>
      </w:r>
    </w:p>
    <w:p>
      <w:pPr>
        <w:pStyle w:val="Heading3"/>
        <w:numPr>
          <w:ilvl w:val="2"/>
          <w:numId w:val="31"/>
        </w:numPr>
        <w:tabs>
          <w:tab w:pos="1947" w:val="left" w:leader="none"/>
        </w:tabs>
        <w:spacing w:line="240" w:lineRule="auto" w:before="200" w:after="0"/>
        <w:ind w:left="1947" w:right="0" w:hanging="606"/>
        <w:jc w:val="left"/>
      </w:pPr>
      <w:bookmarkStart w:name="_TOC_250025" w:id="27"/>
      <w:r>
        <w:rPr/>
        <w:t>Número</w:t>
      </w:r>
      <w:r>
        <w:rPr>
          <w:spacing w:val="-4"/>
        </w:rPr>
        <w:t> </w:t>
      </w:r>
      <w:r>
        <w:rPr/>
        <w:t>de</w:t>
      </w:r>
      <w:r>
        <w:rPr>
          <w:spacing w:val="-5"/>
        </w:rPr>
        <w:t> </w:t>
      </w:r>
      <w:r>
        <w:rPr/>
        <w:t>horas</w:t>
      </w:r>
      <w:r>
        <w:rPr>
          <w:spacing w:val="-5"/>
        </w:rPr>
        <w:t> </w:t>
      </w:r>
      <w:r>
        <w:rPr/>
        <w:t>de </w:t>
      </w:r>
      <w:bookmarkEnd w:id="27"/>
      <w:r>
        <w:rPr>
          <w:spacing w:val="-2"/>
        </w:rPr>
        <w:t>Absentismo</w:t>
      </w:r>
    </w:p>
    <w:p>
      <w:pPr>
        <w:pStyle w:val="BodyText"/>
        <w:spacing w:before="44"/>
        <w:rPr>
          <w:b/>
        </w:rPr>
      </w:pPr>
    </w:p>
    <w:p>
      <w:pPr>
        <w:pStyle w:val="BodyText"/>
        <w:spacing w:line="362" w:lineRule="auto" w:before="1"/>
        <w:ind w:left="1341" w:right="1333"/>
        <w:jc w:val="both"/>
      </w:pPr>
      <w:r>
        <w:rPr/>
        <mc:AlternateContent>
          <mc:Choice Requires="wps">
            <w:drawing>
              <wp:anchor distT="0" distB="0" distL="0" distR="0" allowOverlap="1" layoutInCell="1" locked="0" behindDoc="1" simplePos="0" relativeHeight="476781056">
                <wp:simplePos x="0" y="0"/>
                <wp:positionH relativeFrom="page">
                  <wp:posOffset>5429408</wp:posOffset>
                </wp:positionH>
                <wp:positionV relativeFrom="paragraph">
                  <wp:posOffset>1057655</wp:posOffset>
                </wp:positionV>
                <wp:extent cx="53975" cy="889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53975" cy="88900"/>
                        </a:xfrm>
                        <a:prstGeom prst="rect">
                          <a:avLst/>
                        </a:prstGeom>
                      </wps:spPr>
                      <wps:txbx>
                        <w:txbxContent>
                          <w:p>
                            <w:pPr>
                              <w:spacing w:line="139" w:lineRule="exact" w:before="0"/>
                              <w:ind w:left="0" w:right="0" w:firstLine="0"/>
                              <w:jc w:val="left"/>
                              <w:rPr>
                                <w:rFonts w:ascii="Calibri"/>
                                <w:b/>
                                <w:sz w:val="14"/>
                              </w:rPr>
                            </w:pPr>
                            <w:r>
                              <w:rPr>
                                <w:rFonts w:ascii="Calibri"/>
                                <w:b/>
                                <w:spacing w:val="-10"/>
                                <w:sz w:val="14"/>
                              </w:rPr>
                              <w:t>A</w:t>
                            </w:r>
                          </w:p>
                        </w:txbxContent>
                      </wps:txbx>
                      <wps:bodyPr wrap="square" lIns="0" tIns="0" rIns="0" bIns="0" rtlCol="0">
                        <a:noAutofit/>
                      </wps:bodyPr>
                    </wps:wsp>
                  </a:graphicData>
                </a:graphic>
              </wp:anchor>
            </w:drawing>
          </mc:Choice>
          <mc:Fallback>
            <w:pict>
              <v:shape style="position:absolute;margin-left:427.512451pt;margin-top:83.279991pt;width:4.25pt;height:7pt;mso-position-horizontal-relative:page;mso-position-vertical-relative:paragraph;z-index:-26535424" type="#_x0000_t202" id="docshape232" filled="false" stroked="false">
                <v:textbox inset="0,0,0,0">
                  <w:txbxContent>
                    <w:p>
                      <w:pPr>
                        <w:spacing w:line="139" w:lineRule="exact" w:before="0"/>
                        <w:ind w:left="0" w:right="0" w:firstLine="0"/>
                        <w:jc w:val="left"/>
                        <w:rPr>
                          <w:rFonts w:ascii="Calibri"/>
                          <w:b/>
                          <w:sz w:val="14"/>
                        </w:rPr>
                      </w:pPr>
                      <w:r>
                        <w:rPr>
                          <w:rFonts w:ascii="Calibri"/>
                          <w:b/>
                          <w:spacing w:val="-10"/>
                          <w:sz w:val="14"/>
                        </w:rPr>
                        <w:t>A</w:t>
                      </w:r>
                    </w:p>
                  </w:txbxContent>
                </v:textbox>
                <w10:wrap type="none"/>
              </v:shape>
            </w:pict>
          </mc:Fallback>
        </mc:AlternateContent>
      </w:r>
      <w:r>
        <w:rPr/>
        <w:t>Número de horas anuales por enfermedad o accidente derivado de contingencias comunes y</w:t>
      </w:r>
      <w:r>
        <w:rPr>
          <w:spacing w:val="40"/>
        </w:rPr>
        <w:t> </w:t>
      </w:r>
      <w:r>
        <w:rPr/>
        <w:t>de contingencias profesionales:</w:t>
      </w:r>
    </w:p>
    <w:p>
      <w:pPr>
        <w:pStyle w:val="BodyText"/>
        <w:spacing w:before="2" w:after="1"/>
        <w:rPr>
          <w:sz w:val="17"/>
        </w:r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459"/>
        <w:gridCol w:w="1418"/>
        <w:gridCol w:w="1684"/>
        <w:gridCol w:w="1391"/>
        <w:gridCol w:w="1271"/>
      </w:tblGrid>
      <w:tr>
        <w:trPr>
          <w:trHeight w:val="299" w:hRule="atLeast"/>
        </w:trPr>
        <w:tc>
          <w:tcPr>
            <w:tcW w:w="8464" w:type="dxa"/>
            <w:gridSpan w:val="6"/>
            <w:shd w:val="clear" w:color="auto" w:fill="D7D7D7"/>
          </w:tcPr>
          <w:p>
            <w:pPr>
              <w:pStyle w:val="TableParagraph"/>
              <w:spacing w:line="152" w:lineRule="exact" w:before="128"/>
              <w:ind w:left="10"/>
              <w:jc w:val="center"/>
              <w:rPr>
                <w:rFonts w:ascii="Calibri"/>
                <w:b/>
                <w:sz w:val="14"/>
              </w:rPr>
            </w:pPr>
            <w:r>
              <w:rPr>
                <w:rFonts w:ascii="Calibri"/>
                <w:b/>
                <w:spacing w:val="-2"/>
                <w:sz w:val="14"/>
              </w:rPr>
              <w:t>ABSENTISMO</w:t>
            </w:r>
            <w:r>
              <w:rPr>
                <w:rFonts w:ascii="Calibri"/>
                <w:b/>
                <w:spacing w:val="9"/>
                <w:sz w:val="14"/>
              </w:rPr>
              <w:t> </w:t>
            </w:r>
            <w:r>
              <w:rPr>
                <w:rFonts w:ascii="Calibri"/>
                <w:b/>
                <w:spacing w:val="-2"/>
                <w:sz w:val="14"/>
              </w:rPr>
              <w:t>INCAPACIDAD</w:t>
            </w:r>
            <w:r>
              <w:rPr>
                <w:rFonts w:ascii="Calibri"/>
                <w:b/>
                <w:spacing w:val="12"/>
                <w:sz w:val="14"/>
              </w:rPr>
              <w:t> </w:t>
            </w:r>
            <w:r>
              <w:rPr>
                <w:rFonts w:ascii="Calibri"/>
                <w:b/>
                <w:spacing w:val="-2"/>
                <w:sz w:val="14"/>
              </w:rPr>
              <w:t>TEMPORAL</w:t>
            </w:r>
          </w:p>
        </w:tc>
      </w:tr>
      <w:tr>
        <w:trPr>
          <w:trHeight w:val="1019" w:hRule="atLeast"/>
        </w:trPr>
        <w:tc>
          <w:tcPr>
            <w:tcW w:w="1241" w:type="dxa"/>
            <w:shd w:val="clear" w:color="auto" w:fill="D7D7D7"/>
          </w:tcPr>
          <w:p>
            <w:pPr>
              <w:pStyle w:val="TableParagraph"/>
              <w:spacing w:before="91"/>
              <w:rPr>
                <w:sz w:val="14"/>
              </w:rPr>
            </w:pPr>
          </w:p>
          <w:p>
            <w:pPr>
              <w:pStyle w:val="TableParagraph"/>
              <w:spacing w:before="1"/>
              <w:ind w:left="131" w:right="127" w:firstLine="3"/>
              <w:jc w:val="center"/>
              <w:rPr>
                <w:rFonts w:ascii="Calibri"/>
                <w:b/>
                <w:sz w:val="14"/>
              </w:rPr>
            </w:pPr>
            <w:r>
              <w:rPr>
                <w:rFonts w:ascii="Calibri"/>
                <w:b/>
                <w:spacing w:val="-2"/>
                <w:sz w:val="14"/>
              </w:rPr>
              <w:t>HORAS</w:t>
            </w:r>
            <w:r>
              <w:rPr>
                <w:rFonts w:ascii="Calibri"/>
                <w:b/>
                <w:spacing w:val="40"/>
                <w:sz w:val="14"/>
              </w:rPr>
              <w:t> </w:t>
            </w:r>
            <w:r>
              <w:rPr>
                <w:rFonts w:ascii="Calibri"/>
                <w:b/>
                <w:spacing w:val="-2"/>
                <w:sz w:val="14"/>
              </w:rPr>
              <w:t>CONTINGENCIAS</w:t>
            </w:r>
            <w:r>
              <w:rPr>
                <w:rFonts w:ascii="Calibri"/>
                <w:b/>
                <w:spacing w:val="40"/>
                <w:sz w:val="14"/>
              </w:rPr>
              <w:t> </w:t>
            </w:r>
            <w:r>
              <w:rPr>
                <w:rFonts w:ascii="Calibri"/>
                <w:b/>
                <w:sz w:val="14"/>
              </w:rPr>
              <w:t>COMUNES</w:t>
            </w:r>
            <w:r>
              <w:rPr>
                <w:rFonts w:ascii="Calibri"/>
                <w:b/>
                <w:spacing w:val="-7"/>
                <w:sz w:val="14"/>
              </w:rPr>
              <w:t> </w:t>
            </w:r>
            <w:r>
              <w:rPr>
                <w:rFonts w:ascii="Calibri"/>
                <w:b/>
                <w:sz w:val="14"/>
              </w:rPr>
              <w:t>2025</w:t>
            </w:r>
          </w:p>
        </w:tc>
        <w:tc>
          <w:tcPr>
            <w:tcW w:w="1459" w:type="dxa"/>
            <w:shd w:val="clear" w:color="auto" w:fill="D7D7D7"/>
          </w:tcPr>
          <w:p>
            <w:pPr>
              <w:pStyle w:val="TableParagraph"/>
              <w:spacing w:before="91"/>
              <w:rPr>
                <w:sz w:val="14"/>
              </w:rPr>
            </w:pPr>
          </w:p>
          <w:p>
            <w:pPr>
              <w:pStyle w:val="TableParagraph"/>
              <w:spacing w:before="1"/>
              <w:ind w:left="78" w:right="73" w:hanging="1"/>
              <w:jc w:val="center"/>
              <w:rPr>
                <w:rFonts w:ascii="Calibri"/>
                <w:b/>
                <w:sz w:val="14"/>
              </w:rPr>
            </w:pPr>
            <w:r>
              <w:rPr>
                <w:rFonts w:ascii="Calibri"/>
                <w:b/>
                <w:spacing w:val="-2"/>
                <w:sz w:val="14"/>
              </w:rPr>
              <w:t>HORAS</w:t>
            </w:r>
            <w:r>
              <w:rPr>
                <w:rFonts w:ascii="Calibri"/>
                <w:b/>
                <w:spacing w:val="40"/>
                <w:sz w:val="14"/>
              </w:rPr>
              <w:t> </w:t>
            </w:r>
            <w:r>
              <w:rPr>
                <w:rFonts w:ascii="Calibri"/>
                <w:b/>
                <w:spacing w:val="-2"/>
                <w:sz w:val="14"/>
              </w:rPr>
              <w:t>CONTINGENCIAS</w:t>
            </w:r>
            <w:r>
              <w:rPr>
                <w:rFonts w:ascii="Calibri"/>
                <w:b/>
                <w:spacing w:val="40"/>
                <w:sz w:val="14"/>
              </w:rPr>
              <w:t> </w:t>
            </w:r>
            <w:r>
              <w:rPr>
                <w:rFonts w:ascii="Calibri"/>
                <w:b/>
                <w:sz w:val="14"/>
              </w:rPr>
              <w:t>PROFESIONALES</w:t>
            </w:r>
            <w:r>
              <w:rPr>
                <w:rFonts w:ascii="Calibri"/>
                <w:b/>
                <w:spacing w:val="9"/>
                <w:sz w:val="14"/>
              </w:rPr>
              <w:t> </w:t>
            </w:r>
            <w:r>
              <w:rPr>
                <w:rFonts w:ascii="Calibri"/>
                <w:b/>
                <w:sz w:val="14"/>
              </w:rPr>
              <w:t>2025</w:t>
            </w:r>
          </w:p>
        </w:tc>
        <w:tc>
          <w:tcPr>
            <w:tcW w:w="1418" w:type="dxa"/>
            <w:shd w:val="clear" w:color="auto" w:fill="D7D7D7"/>
          </w:tcPr>
          <w:p>
            <w:pPr>
              <w:pStyle w:val="TableParagraph"/>
              <w:spacing w:before="91"/>
              <w:rPr>
                <w:sz w:val="14"/>
              </w:rPr>
            </w:pPr>
          </w:p>
          <w:p>
            <w:pPr>
              <w:pStyle w:val="TableParagraph"/>
              <w:spacing w:before="1"/>
              <w:ind w:left="220" w:right="215" w:firstLine="3"/>
              <w:jc w:val="center"/>
              <w:rPr>
                <w:rFonts w:ascii="Calibri"/>
                <w:b/>
                <w:sz w:val="14"/>
              </w:rPr>
            </w:pPr>
            <w:r>
              <w:rPr>
                <w:rFonts w:ascii="Calibri"/>
                <w:b/>
                <w:spacing w:val="-2"/>
                <w:sz w:val="14"/>
              </w:rPr>
              <w:t>HORAS</w:t>
            </w:r>
            <w:r>
              <w:rPr>
                <w:rFonts w:ascii="Calibri"/>
                <w:b/>
                <w:spacing w:val="40"/>
                <w:sz w:val="14"/>
              </w:rPr>
              <w:t> </w:t>
            </w:r>
            <w:r>
              <w:rPr>
                <w:rFonts w:ascii="Calibri"/>
                <w:b/>
                <w:spacing w:val="-2"/>
                <w:sz w:val="14"/>
              </w:rPr>
              <w:t>CONTINGENCIAS</w:t>
            </w:r>
            <w:r>
              <w:rPr>
                <w:rFonts w:ascii="Calibri"/>
                <w:b/>
                <w:spacing w:val="40"/>
                <w:sz w:val="14"/>
              </w:rPr>
              <w:t> </w:t>
            </w:r>
            <w:r>
              <w:rPr>
                <w:rFonts w:ascii="Calibri"/>
                <w:b/>
                <w:sz w:val="14"/>
              </w:rPr>
              <w:t>COMUNES</w:t>
            </w:r>
            <w:r>
              <w:rPr>
                <w:rFonts w:ascii="Calibri"/>
                <w:b/>
                <w:spacing w:val="-7"/>
                <w:sz w:val="14"/>
              </w:rPr>
              <w:t> </w:t>
            </w:r>
            <w:r>
              <w:rPr>
                <w:rFonts w:ascii="Calibri"/>
                <w:b/>
                <w:sz w:val="14"/>
              </w:rPr>
              <w:t>2024</w:t>
            </w:r>
          </w:p>
        </w:tc>
        <w:tc>
          <w:tcPr>
            <w:tcW w:w="1684" w:type="dxa"/>
            <w:shd w:val="clear" w:color="auto" w:fill="D7D7D7"/>
          </w:tcPr>
          <w:p>
            <w:pPr>
              <w:pStyle w:val="TableParagraph"/>
              <w:spacing w:before="91"/>
              <w:rPr>
                <w:sz w:val="14"/>
              </w:rPr>
            </w:pPr>
          </w:p>
          <w:p>
            <w:pPr>
              <w:pStyle w:val="TableParagraph"/>
              <w:spacing w:before="1"/>
              <w:ind w:left="208" w:right="199" w:firstLine="1"/>
              <w:jc w:val="center"/>
              <w:rPr>
                <w:rFonts w:ascii="Calibri"/>
                <w:b/>
                <w:sz w:val="14"/>
              </w:rPr>
            </w:pPr>
            <w:r>
              <w:rPr>
                <w:rFonts w:ascii="Calibri"/>
                <w:b/>
                <w:spacing w:val="-2"/>
                <w:sz w:val="14"/>
              </w:rPr>
              <w:t>HORAS</w:t>
            </w:r>
            <w:r>
              <w:rPr>
                <w:rFonts w:ascii="Calibri"/>
                <w:b/>
                <w:spacing w:val="40"/>
                <w:sz w:val="14"/>
              </w:rPr>
              <w:t> </w:t>
            </w:r>
            <w:r>
              <w:rPr>
                <w:rFonts w:ascii="Calibri"/>
                <w:b/>
                <w:spacing w:val="-2"/>
                <w:sz w:val="14"/>
              </w:rPr>
              <w:t>CONTINGENCIAS</w:t>
            </w:r>
            <w:r>
              <w:rPr>
                <w:rFonts w:ascii="Calibri"/>
                <w:b/>
                <w:spacing w:val="40"/>
                <w:sz w:val="14"/>
              </w:rPr>
              <w:t> </w:t>
            </w:r>
            <w:r>
              <w:rPr>
                <w:rFonts w:ascii="Calibri"/>
                <w:b/>
                <w:spacing w:val="-2"/>
                <w:sz w:val="14"/>
              </w:rPr>
              <w:t>PROFESIONALES</w:t>
            </w:r>
            <w:r>
              <w:rPr>
                <w:rFonts w:ascii="Calibri"/>
                <w:b/>
                <w:spacing w:val="-6"/>
                <w:sz w:val="14"/>
              </w:rPr>
              <w:t> </w:t>
            </w:r>
            <w:r>
              <w:rPr>
                <w:rFonts w:ascii="Calibri"/>
                <w:b/>
                <w:spacing w:val="-2"/>
                <w:sz w:val="14"/>
              </w:rPr>
              <w:t>2024</w:t>
            </w:r>
          </w:p>
        </w:tc>
        <w:tc>
          <w:tcPr>
            <w:tcW w:w="1391" w:type="dxa"/>
            <w:shd w:val="clear" w:color="auto" w:fill="D7D7D7"/>
          </w:tcPr>
          <w:p>
            <w:pPr>
              <w:pStyle w:val="TableParagraph"/>
              <w:spacing w:before="91"/>
              <w:rPr>
                <w:sz w:val="14"/>
              </w:rPr>
            </w:pPr>
          </w:p>
          <w:p>
            <w:pPr>
              <w:pStyle w:val="TableParagraph"/>
              <w:spacing w:before="1"/>
              <w:ind w:left="46" w:right="36"/>
              <w:jc w:val="center"/>
              <w:rPr>
                <w:rFonts w:ascii="Calibri" w:hAnsi="Calibri"/>
                <w:b/>
                <w:sz w:val="14"/>
              </w:rPr>
            </w:pPr>
            <w:r>
              <w:rPr>
                <w:rFonts w:ascii="Calibri" w:hAnsi="Calibri"/>
                <w:b/>
                <w:sz w:val="14"/>
              </w:rPr>
              <w:t>∆</w:t>
            </w:r>
            <w:r>
              <w:rPr>
                <w:rFonts w:ascii="Calibri" w:hAnsi="Calibri"/>
                <w:b/>
                <w:spacing w:val="-8"/>
                <w:sz w:val="14"/>
              </w:rPr>
              <w:t> </w:t>
            </w:r>
            <w:r>
              <w:rPr>
                <w:rFonts w:ascii="Calibri" w:hAnsi="Calibri"/>
                <w:b/>
                <w:sz w:val="14"/>
              </w:rPr>
              <w:t>HORAS</w:t>
            </w:r>
            <w:r>
              <w:rPr>
                <w:rFonts w:ascii="Calibri" w:hAnsi="Calibri"/>
                <w:b/>
                <w:spacing w:val="40"/>
                <w:sz w:val="14"/>
              </w:rPr>
              <w:t> </w:t>
            </w:r>
            <w:r>
              <w:rPr>
                <w:rFonts w:ascii="Calibri" w:hAnsi="Calibri"/>
                <w:b/>
                <w:sz w:val="14"/>
              </w:rPr>
              <w:t>CONTINGENCI</w:t>
            </w:r>
            <w:r>
              <w:rPr>
                <w:rFonts w:ascii="Calibri" w:hAnsi="Calibri"/>
                <w:b/>
                <w:spacing w:val="22"/>
                <w:sz w:val="14"/>
              </w:rPr>
              <w:t> </w:t>
            </w:r>
            <w:r>
              <w:rPr>
                <w:rFonts w:ascii="Calibri" w:hAnsi="Calibri"/>
                <w:b/>
                <w:sz w:val="14"/>
              </w:rPr>
              <w:t>S</w:t>
            </w:r>
            <w:r>
              <w:rPr>
                <w:rFonts w:ascii="Calibri" w:hAnsi="Calibri"/>
                <w:b/>
                <w:spacing w:val="40"/>
                <w:sz w:val="14"/>
              </w:rPr>
              <w:t> </w:t>
            </w:r>
            <w:r>
              <w:rPr>
                <w:rFonts w:ascii="Calibri" w:hAnsi="Calibri"/>
                <w:b/>
                <w:spacing w:val="-2"/>
                <w:sz w:val="14"/>
              </w:rPr>
              <w:t>COMUNES</w:t>
            </w:r>
          </w:p>
        </w:tc>
        <w:tc>
          <w:tcPr>
            <w:tcW w:w="1271" w:type="dxa"/>
            <w:shd w:val="clear" w:color="auto" w:fill="D7D7D7"/>
          </w:tcPr>
          <w:p>
            <w:pPr>
              <w:pStyle w:val="TableParagraph"/>
              <w:spacing w:before="91"/>
              <w:rPr>
                <w:sz w:val="14"/>
              </w:rPr>
            </w:pPr>
          </w:p>
          <w:p>
            <w:pPr>
              <w:pStyle w:val="TableParagraph"/>
              <w:spacing w:before="1"/>
              <w:ind w:left="150" w:firstLine="225"/>
              <w:rPr>
                <w:rFonts w:ascii="Calibri" w:hAnsi="Calibri"/>
                <w:b/>
                <w:sz w:val="14"/>
              </w:rPr>
            </w:pPr>
            <w:r>
              <w:rPr>
                <w:rFonts w:ascii="Calibri" w:hAnsi="Calibri"/>
                <w:b/>
                <w:sz w:val="14"/>
              </w:rPr>
              <w:t>∆</w:t>
            </w:r>
            <w:r>
              <w:rPr>
                <w:rFonts w:ascii="Calibri" w:hAnsi="Calibri"/>
                <w:b/>
                <w:spacing w:val="-8"/>
                <w:sz w:val="14"/>
              </w:rPr>
              <w:t> </w:t>
            </w:r>
            <w:r>
              <w:rPr>
                <w:rFonts w:ascii="Calibri" w:hAnsi="Calibri"/>
                <w:b/>
                <w:sz w:val="14"/>
              </w:rPr>
              <w:t>HORAS</w:t>
            </w:r>
            <w:r>
              <w:rPr>
                <w:rFonts w:ascii="Calibri" w:hAnsi="Calibri"/>
                <w:b/>
                <w:spacing w:val="40"/>
                <w:sz w:val="14"/>
              </w:rPr>
              <w:t> </w:t>
            </w:r>
            <w:r>
              <w:rPr>
                <w:rFonts w:ascii="Calibri" w:hAnsi="Calibri"/>
                <w:b/>
                <w:spacing w:val="-2"/>
                <w:sz w:val="14"/>
              </w:rPr>
              <w:t>CONTINGENCIAS</w:t>
            </w:r>
            <w:r>
              <w:rPr>
                <w:rFonts w:ascii="Calibri" w:hAnsi="Calibri"/>
                <w:b/>
                <w:spacing w:val="40"/>
                <w:sz w:val="14"/>
              </w:rPr>
              <w:t> </w:t>
            </w:r>
            <w:r>
              <w:rPr>
                <w:rFonts w:ascii="Calibri" w:hAnsi="Calibri"/>
                <w:b/>
                <w:spacing w:val="-2"/>
                <w:sz w:val="14"/>
              </w:rPr>
              <w:t>PROFESIONALES</w:t>
            </w:r>
          </w:p>
        </w:tc>
      </w:tr>
      <w:tr>
        <w:trPr>
          <w:trHeight w:val="441" w:hRule="atLeast"/>
        </w:trPr>
        <w:tc>
          <w:tcPr>
            <w:tcW w:w="1241" w:type="dxa"/>
          </w:tcPr>
          <w:p>
            <w:pPr>
              <w:pStyle w:val="TableParagraph"/>
              <w:spacing w:before="12"/>
              <w:rPr>
                <w:sz w:val="18"/>
              </w:rPr>
            </w:pPr>
          </w:p>
          <w:p>
            <w:pPr>
              <w:pStyle w:val="TableParagraph"/>
              <w:spacing w:line="202" w:lineRule="exact"/>
              <w:ind w:left="208"/>
              <w:rPr>
                <w:rFonts w:ascii="Calibri"/>
                <w:sz w:val="18"/>
              </w:rPr>
            </w:pPr>
            <w:r>
              <w:rPr>
                <w:rFonts w:ascii="Calibri"/>
                <w:spacing w:val="-2"/>
                <w:sz w:val="18"/>
              </w:rPr>
              <w:t>156.520,00</w:t>
            </w:r>
          </w:p>
        </w:tc>
        <w:tc>
          <w:tcPr>
            <w:tcW w:w="1459" w:type="dxa"/>
          </w:tcPr>
          <w:p>
            <w:pPr>
              <w:pStyle w:val="TableParagraph"/>
              <w:spacing w:before="12"/>
              <w:rPr>
                <w:sz w:val="18"/>
              </w:rPr>
            </w:pPr>
          </w:p>
          <w:p>
            <w:pPr>
              <w:pStyle w:val="TableParagraph"/>
              <w:spacing w:line="202" w:lineRule="exact"/>
              <w:ind w:left="361"/>
              <w:rPr>
                <w:rFonts w:ascii="Calibri"/>
                <w:sz w:val="18"/>
              </w:rPr>
            </w:pPr>
            <w:r>
              <w:rPr>
                <w:rFonts w:ascii="Calibri"/>
                <w:spacing w:val="-2"/>
                <w:sz w:val="18"/>
              </w:rPr>
              <w:t>18.885,00</w:t>
            </w:r>
          </w:p>
        </w:tc>
        <w:tc>
          <w:tcPr>
            <w:tcW w:w="1418" w:type="dxa"/>
          </w:tcPr>
          <w:p>
            <w:pPr>
              <w:pStyle w:val="TableParagraph"/>
              <w:spacing w:before="12"/>
              <w:rPr>
                <w:sz w:val="18"/>
              </w:rPr>
            </w:pPr>
          </w:p>
          <w:p>
            <w:pPr>
              <w:pStyle w:val="TableParagraph"/>
              <w:spacing w:line="202" w:lineRule="exact"/>
              <w:ind w:left="459"/>
              <w:rPr>
                <w:rFonts w:ascii="Calibri"/>
                <w:sz w:val="18"/>
              </w:rPr>
            </w:pPr>
            <w:r>
              <w:rPr>
                <w:rFonts w:ascii="Calibri"/>
                <w:spacing w:val="-2"/>
                <w:sz w:val="18"/>
              </w:rPr>
              <w:t>168.310,00</w:t>
            </w:r>
          </w:p>
        </w:tc>
        <w:tc>
          <w:tcPr>
            <w:tcW w:w="1684" w:type="dxa"/>
          </w:tcPr>
          <w:p>
            <w:pPr>
              <w:pStyle w:val="TableParagraph"/>
              <w:spacing w:before="12"/>
              <w:rPr>
                <w:sz w:val="18"/>
              </w:rPr>
            </w:pPr>
          </w:p>
          <w:p>
            <w:pPr>
              <w:pStyle w:val="TableParagraph"/>
              <w:spacing w:line="202" w:lineRule="exact"/>
              <w:ind w:left="678"/>
              <w:rPr>
                <w:rFonts w:ascii="Calibri"/>
                <w:sz w:val="18"/>
              </w:rPr>
            </w:pPr>
            <w:r>
              <w:rPr>
                <w:rFonts w:ascii="Calibri"/>
                <w:spacing w:val="-2"/>
                <w:sz w:val="18"/>
              </w:rPr>
              <w:t>15.530,00</w:t>
            </w:r>
          </w:p>
        </w:tc>
        <w:tc>
          <w:tcPr>
            <w:tcW w:w="1391" w:type="dxa"/>
          </w:tcPr>
          <w:p>
            <w:pPr>
              <w:pStyle w:val="TableParagraph"/>
              <w:spacing w:before="12"/>
              <w:rPr>
                <w:sz w:val="18"/>
              </w:rPr>
            </w:pPr>
          </w:p>
          <w:p>
            <w:pPr>
              <w:pStyle w:val="TableParagraph"/>
              <w:tabs>
                <w:tab w:pos="543" w:val="left" w:leader="none"/>
              </w:tabs>
              <w:spacing w:line="202" w:lineRule="exact"/>
              <w:ind w:left="121"/>
              <w:rPr>
                <w:rFonts w:ascii="Calibri"/>
                <w:sz w:val="18"/>
              </w:rPr>
            </w:pPr>
            <w:r>
              <w:rPr>
                <w:rFonts w:ascii="Calibri"/>
                <w:spacing w:val="-10"/>
                <w:sz w:val="18"/>
              </w:rPr>
              <w:t>-</w:t>
            </w:r>
            <w:r>
              <w:rPr>
                <w:rFonts w:ascii="Calibri"/>
                <w:sz w:val="18"/>
              </w:rPr>
              <w:tab/>
            </w:r>
            <w:r>
              <w:rPr>
                <w:rFonts w:ascii="Calibri"/>
                <w:spacing w:val="-2"/>
                <w:sz w:val="18"/>
              </w:rPr>
              <w:t>11.790,00</w:t>
            </w:r>
          </w:p>
        </w:tc>
        <w:tc>
          <w:tcPr>
            <w:tcW w:w="1271" w:type="dxa"/>
          </w:tcPr>
          <w:p>
            <w:pPr>
              <w:pStyle w:val="TableParagraph"/>
              <w:spacing w:before="12"/>
              <w:rPr>
                <w:sz w:val="18"/>
              </w:rPr>
            </w:pPr>
          </w:p>
          <w:p>
            <w:pPr>
              <w:pStyle w:val="TableParagraph"/>
              <w:spacing w:line="202" w:lineRule="exact"/>
              <w:ind w:left="318"/>
              <w:rPr>
                <w:rFonts w:ascii="Calibri"/>
                <w:sz w:val="18"/>
              </w:rPr>
            </w:pPr>
            <w:r>
              <w:rPr>
                <w:rFonts w:ascii="Calibri"/>
                <w:spacing w:val="-2"/>
                <w:sz w:val="18"/>
              </w:rPr>
              <w:t>3.355,00</w:t>
            </w:r>
          </w:p>
        </w:tc>
      </w:tr>
    </w:tbl>
    <w:p>
      <w:pPr>
        <w:pStyle w:val="BodyText"/>
      </w:pPr>
    </w:p>
    <w:p>
      <w:pPr>
        <w:pStyle w:val="BodyText"/>
        <w:spacing w:before="83"/>
      </w:pPr>
    </w:p>
    <w:p>
      <w:pPr>
        <w:pStyle w:val="BodyText"/>
        <w:spacing w:line="360" w:lineRule="auto"/>
        <w:ind w:left="1341" w:right="1336"/>
        <w:jc w:val="both"/>
      </w:pPr>
      <w:r>
        <w:rPr/>
        <mc:AlternateContent>
          <mc:Choice Requires="wps">
            <w:drawing>
              <wp:anchor distT="0" distB="0" distL="0" distR="0" allowOverlap="1" layoutInCell="1" locked="0" behindDoc="0" simplePos="0" relativeHeight="15813120">
                <wp:simplePos x="0" y="0"/>
                <wp:positionH relativeFrom="page">
                  <wp:posOffset>6966436</wp:posOffset>
                </wp:positionH>
                <wp:positionV relativeFrom="paragraph">
                  <wp:posOffset>169606</wp:posOffset>
                </wp:positionV>
                <wp:extent cx="263525" cy="327596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3.354815pt;width:20.75pt;height:257.95pt;mso-position-horizontal-relative:page;mso-position-vertical-relative:paragraph;z-index:15813120" type="#_x0000_t202" id="docshape23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Las horas totales de absentismo en el 2025 han disminuido con respecto al 2024 revirtiendo la tendencia alcista generalizada del año 2024 y a pesar del ligero aumento de horas de absentismo por contingencias profesionales. Si bien el dato es descendente, realmente no podemos sentirnos satisfechos de normalizar el número de horas de ausencia por esta causa que desde los años posteriores a la pandemia ha crecido y se ha mantenido en niveles superiores</w:t>
      </w:r>
      <w:r>
        <w:rPr>
          <w:spacing w:val="13"/>
        </w:rPr>
        <w:t> </w:t>
      </w:r>
      <w:r>
        <w:rPr/>
        <w:t>a</w:t>
      </w:r>
      <w:r>
        <w:rPr>
          <w:spacing w:val="12"/>
        </w:rPr>
        <w:t> </w:t>
      </w:r>
      <w:r>
        <w:rPr/>
        <w:t>los</w:t>
      </w:r>
      <w:r>
        <w:rPr>
          <w:spacing w:val="14"/>
        </w:rPr>
        <w:t> </w:t>
      </w:r>
      <w:r>
        <w:rPr/>
        <w:t>años</w:t>
      </w:r>
      <w:r>
        <w:rPr>
          <w:spacing w:val="13"/>
        </w:rPr>
        <w:t> </w:t>
      </w:r>
      <w:r>
        <w:rPr/>
        <w:t>previos</w:t>
      </w:r>
      <w:r>
        <w:rPr>
          <w:spacing w:val="14"/>
        </w:rPr>
        <w:t> </w:t>
      </w:r>
      <w:r>
        <w:rPr/>
        <w:t>a</w:t>
      </w:r>
      <w:r>
        <w:rPr>
          <w:spacing w:val="12"/>
        </w:rPr>
        <w:t> </w:t>
      </w:r>
      <w:r>
        <w:rPr/>
        <w:t>la</w:t>
      </w:r>
      <w:r>
        <w:rPr>
          <w:spacing w:val="13"/>
        </w:rPr>
        <w:t> </w:t>
      </w:r>
      <w:r>
        <w:rPr/>
        <w:t>pandemia,</w:t>
      </w:r>
      <w:r>
        <w:rPr>
          <w:spacing w:val="12"/>
        </w:rPr>
        <w:t> </w:t>
      </w:r>
      <w:r>
        <w:rPr/>
        <w:t>2019</w:t>
      </w:r>
      <w:r>
        <w:rPr>
          <w:spacing w:val="17"/>
        </w:rPr>
        <w:t> </w:t>
      </w:r>
      <w:r>
        <w:rPr/>
        <w:t>y</w:t>
      </w:r>
      <w:r>
        <w:rPr>
          <w:spacing w:val="10"/>
        </w:rPr>
        <w:t> </w:t>
      </w:r>
      <w:r>
        <w:rPr/>
        <w:t>anteriores.</w:t>
      </w:r>
      <w:r>
        <w:rPr>
          <w:spacing w:val="12"/>
        </w:rPr>
        <w:t> </w:t>
      </w:r>
      <w:r>
        <w:rPr/>
        <w:t>Como</w:t>
      </w:r>
      <w:r>
        <w:rPr>
          <w:spacing w:val="11"/>
        </w:rPr>
        <w:t> </w:t>
      </w:r>
      <w:r>
        <w:rPr/>
        <w:t>también</w:t>
      </w:r>
      <w:r>
        <w:rPr>
          <w:spacing w:val="12"/>
        </w:rPr>
        <w:t> </w:t>
      </w:r>
      <w:r>
        <w:rPr/>
        <w:t>se</w:t>
      </w:r>
      <w:r>
        <w:rPr>
          <w:spacing w:val="13"/>
        </w:rPr>
        <w:t> </w:t>
      </w:r>
      <w:r>
        <w:rPr/>
        <w:t>han</w:t>
      </w:r>
      <w:r>
        <w:rPr>
          <w:spacing w:val="14"/>
        </w:rPr>
        <w:t> </w:t>
      </w:r>
      <w:r>
        <w:rPr>
          <w:spacing w:val="-2"/>
        </w:rPr>
        <w:t>hecho</w:t>
      </w:r>
    </w:p>
    <w:p>
      <w:pPr>
        <w:pStyle w:val="BodyText"/>
        <w:spacing w:line="229" w:lineRule="exact"/>
        <w:jc w:val="center"/>
      </w:pPr>
      <w:r>
        <w:rPr/>
        <w:t>eco</w:t>
      </w:r>
      <w:r>
        <w:rPr>
          <w:spacing w:val="54"/>
        </w:rPr>
        <w:t> </w:t>
      </w:r>
      <w:r>
        <w:rPr/>
        <w:t>en</w:t>
      </w:r>
      <w:r>
        <w:rPr>
          <w:spacing w:val="56"/>
        </w:rPr>
        <w:t> </w:t>
      </w:r>
      <w:r>
        <w:rPr/>
        <w:t>otras</w:t>
      </w:r>
      <w:r>
        <w:rPr>
          <w:spacing w:val="58"/>
        </w:rPr>
        <w:t> </w:t>
      </w:r>
      <w:r>
        <w:rPr/>
        <w:t>empresas</w:t>
      </w:r>
      <w:r>
        <w:rPr>
          <w:spacing w:val="57"/>
        </w:rPr>
        <w:t> </w:t>
      </w:r>
      <w:r>
        <w:rPr/>
        <w:t>de</w:t>
      </w:r>
      <w:r>
        <w:rPr>
          <w:spacing w:val="58"/>
        </w:rPr>
        <w:t> </w:t>
      </w:r>
      <w:r>
        <w:rPr/>
        <w:t>nuestro</w:t>
      </w:r>
      <w:r>
        <w:rPr>
          <w:spacing w:val="56"/>
        </w:rPr>
        <w:t> </w:t>
      </w:r>
      <w:r>
        <w:rPr/>
        <w:t>sector</w:t>
      </w:r>
      <w:r>
        <w:rPr>
          <w:spacing w:val="56"/>
        </w:rPr>
        <w:t> </w:t>
      </w:r>
      <w:r>
        <w:rPr/>
        <w:t>en</w:t>
      </w:r>
      <w:r>
        <w:rPr>
          <w:spacing w:val="56"/>
        </w:rPr>
        <w:t> </w:t>
      </w:r>
      <w:r>
        <w:rPr/>
        <w:t>particular</w:t>
      </w:r>
      <w:r>
        <w:rPr>
          <w:spacing w:val="59"/>
        </w:rPr>
        <w:t> </w:t>
      </w:r>
      <w:r>
        <w:rPr/>
        <w:t>y</w:t>
      </w:r>
      <w:r>
        <w:rPr>
          <w:spacing w:val="52"/>
        </w:rPr>
        <w:t> </w:t>
      </w:r>
      <w:r>
        <w:rPr/>
        <w:t>de</w:t>
      </w:r>
      <w:r>
        <w:rPr>
          <w:spacing w:val="55"/>
        </w:rPr>
        <w:t> </w:t>
      </w:r>
      <w:r>
        <w:rPr/>
        <w:t>otros</w:t>
      </w:r>
      <w:r>
        <w:rPr>
          <w:spacing w:val="57"/>
        </w:rPr>
        <w:t> </w:t>
      </w:r>
      <w:r>
        <w:rPr/>
        <w:t>sectores</w:t>
      </w:r>
      <w:r>
        <w:rPr>
          <w:spacing w:val="58"/>
        </w:rPr>
        <w:t> </w:t>
      </w:r>
      <w:r>
        <w:rPr/>
        <w:t>a</w:t>
      </w:r>
      <w:r>
        <w:rPr>
          <w:spacing w:val="55"/>
        </w:rPr>
        <w:t> </w:t>
      </w:r>
      <w:r>
        <w:rPr/>
        <w:t>través</w:t>
      </w:r>
      <w:r>
        <w:rPr>
          <w:spacing w:val="57"/>
        </w:rPr>
        <w:t> </w:t>
      </w:r>
      <w:r>
        <w:rPr>
          <w:spacing w:val="-5"/>
        </w:rPr>
        <w:t>de</w:t>
      </w:r>
    </w:p>
    <w:p>
      <w:pPr>
        <w:pStyle w:val="BodyText"/>
        <w:spacing w:before="118"/>
        <w:ind w:left="1341"/>
      </w:pPr>
      <w:r>
        <w:rPr/>
        <w:t>organizaciones</w:t>
      </w:r>
      <w:r>
        <w:rPr>
          <w:spacing w:val="-9"/>
        </w:rPr>
        <w:t> </w:t>
      </w:r>
      <w:r>
        <w:rPr/>
        <w:t>empresariales</w:t>
      </w:r>
      <w:r>
        <w:rPr>
          <w:spacing w:val="-5"/>
        </w:rPr>
        <w:t> </w:t>
      </w:r>
      <w:r>
        <w:rPr/>
        <w:t>y</w:t>
      </w:r>
      <w:r>
        <w:rPr>
          <w:spacing w:val="-14"/>
        </w:rPr>
        <w:t> </w:t>
      </w:r>
      <w:r>
        <w:rPr/>
        <w:t>otras</w:t>
      </w:r>
      <w:r>
        <w:rPr>
          <w:spacing w:val="-8"/>
        </w:rPr>
        <w:t> </w:t>
      </w:r>
      <w:r>
        <w:rPr>
          <w:spacing w:val="-2"/>
        </w:rPr>
        <w:t>entidades.</w:t>
      </w:r>
    </w:p>
    <w:p>
      <w:pPr>
        <w:pStyle w:val="BodyText"/>
        <w:spacing w:before="82"/>
      </w:pPr>
    </w:p>
    <w:p>
      <w:pPr>
        <w:pStyle w:val="BodyText"/>
        <w:spacing w:line="360" w:lineRule="auto"/>
        <w:ind w:left="1341" w:right="1337"/>
        <w:jc w:val="both"/>
      </w:pPr>
      <w:r>
        <w:rPr/>
        <w:t>Si bien nos encontramos con dificultades para poder reducir estas horas de ausencia, ya que seguimos dependiendo</w:t>
      </w:r>
      <w:r>
        <w:rPr>
          <w:spacing w:val="-3"/>
        </w:rPr>
        <w:t> </w:t>
      </w:r>
      <w:r>
        <w:rPr/>
        <w:t>de</w:t>
      </w:r>
      <w:r>
        <w:rPr>
          <w:spacing w:val="-2"/>
        </w:rPr>
        <w:t> </w:t>
      </w:r>
      <w:r>
        <w:rPr/>
        <w:t>los servicios sanitarios</w:t>
      </w:r>
      <w:r>
        <w:rPr>
          <w:spacing w:val="-2"/>
        </w:rPr>
        <w:t> </w:t>
      </w:r>
      <w:r>
        <w:rPr/>
        <w:t>públicos,</w:t>
      </w:r>
      <w:r>
        <w:rPr>
          <w:spacing w:val="-3"/>
        </w:rPr>
        <w:t> </w:t>
      </w:r>
      <w:r>
        <w:rPr/>
        <w:t>a</w:t>
      </w:r>
      <w:r>
        <w:rPr>
          <w:spacing w:val="-1"/>
        </w:rPr>
        <w:t> </w:t>
      </w:r>
      <w:r>
        <w:rPr/>
        <w:t>pesar del adelanto</w:t>
      </w:r>
      <w:r>
        <w:rPr>
          <w:spacing w:val="-1"/>
        </w:rPr>
        <w:t> </w:t>
      </w:r>
      <w:r>
        <w:rPr/>
        <w:t>de</w:t>
      </w:r>
      <w:r>
        <w:rPr>
          <w:spacing w:val="-3"/>
        </w:rPr>
        <w:t> </w:t>
      </w:r>
      <w:r>
        <w:rPr/>
        <w:t>las</w:t>
      </w:r>
      <w:r>
        <w:rPr>
          <w:spacing w:val="-2"/>
        </w:rPr>
        <w:t> </w:t>
      </w:r>
      <w:r>
        <w:rPr/>
        <w:t>pruebas diagnósticas realizadas con</w:t>
      </w:r>
      <w:r>
        <w:rPr>
          <w:spacing w:val="-3"/>
        </w:rPr>
        <w:t> </w:t>
      </w:r>
      <w:r>
        <w:rPr/>
        <w:t>cargo a</w:t>
      </w:r>
      <w:r>
        <w:rPr>
          <w:spacing w:val="-1"/>
        </w:rPr>
        <w:t> </w:t>
      </w:r>
      <w:r>
        <w:rPr/>
        <w:t>la</w:t>
      </w:r>
      <w:r>
        <w:rPr>
          <w:spacing w:val="-3"/>
        </w:rPr>
        <w:t> </w:t>
      </w:r>
      <w:r>
        <w:rPr/>
        <w:t>empresa,</w:t>
      </w:r>
      <w:r>
        <w:rPr>
          <w:spacing w:val="-1"/>
        </w:rPr>
        <w:t> </w:t>
      </w:r>
      <w:r>
        <w:rPr/>
        <w:t>seguimos buscando</w:t>
      </w:r>
      <w:r>
        <w:rPr>
          <w:spacing w:val="-1"/>
        </w:rPr>
        <w:t> </w:t>
      </w:r>
      <w:r>
        <w:rPr/>
        <w:t>nuevas</w:t>
      </w:r>
      <w:r>
        <w:rPr>
          <w:spacing w:val="-1"/>
        </w:rPr>
        <w:t> </w:t>
      </w:r>
      <w:r>
        <w:rPr/>
        <w:t>acciones</w:t>
      </w:r>
      <w:r>
        <w:rPr>
          <w:spacing w:val="40"/>
        </w:rPr>
        <w:t> </w:t>
      </w:r>
      <w:r>
        <w:rPr/>
        <w:t>como</w:t>
      </w:r>
      <w:r>
        <w:rPr>
          <w:spacing w:val="-3"/>
        </w:rPr>
        <w:t> </w:t>
      </w:r>
      <w:r>
        <w:rPr/>
        <w:t>la de mejora del bienestar y salud de los trabajadores a través de nuestro servicio de Salud Laboral y Bienestar, para intentar revertir la situación.</w:t>
      </w:r>
    </w:p>
    <w:p>
      <w:pPr>
        <w:pStyle w:val="BodyText"/>
        <w:spacing w:after="0" w:line="360" w:lineRule="auto"/>
        <w:jc w:val="both"/>
        <w:sectPr>
          <w:pgSz w:w="11910" w:h="16840"/>
          <w:pgMar w:header="384" w:footer="1060" w:top="1200" w:bottom="1260" w:left="360" w:right="360"/>
        </w:sectPr>
      </w:pPr>
    </w:p>
    <w:p>
      <w:pPr>
        <w:pStyle w:val="Heading3"/>
        <w:numPr>
          <w:ilvl w:val="2"/>
          <w:numId w:val="31"/>
        </w:numPr>
        <w:tabs>
          <w:tab w:pos="1892" w:val="left" w:leader="none"/>
        </w:tabs>
        <w:spacing w:line="276" w:lineRule="auto" w:before="215" w:after="0"/>
        <w:ind w:left="1341" w:right="1553" w:firstLine="0"/>
        <w:jc w:val="left"/>
      </w:pPr>
      <w:bookmarkStart w:name="_TOC_250024" w:id="28"/>
      <w:r>
        <w:rPr/>
        <w:t>Medidas</w:t>
      </w:r>
      <w:r>
        <w:rPr>
          <w:spacing w:val="-4"/>
        </w:rPr>
        <w:t> </w:t>
      </w:r>
      <w:r>
        <w:rPr/>
        <w:t>destinadas</w:t>
      </w:r>
      <w:r>
        <w:rPr>
          <w:spacing w:val="-4"/>
        </w:rPr>
        <w:t> </w:t>
      </w:r>
      <w:r>
        <w:rPr/>
        <w:t>a</w:t>
      </w:r>
      <w:r>
        <w:rPr>
          <w:spacing w:val="-1"/>
        </w:rPr>
        <w:t> </w:t>
      </w:r>
      <w:r>
        <w:rPr/>
        <w:t>facilitar</w:t>
      </w:r>
      <w:r>
        <w:rPr>
          <w:spacing w:val="-3"/>
        </w:rPr>
        <w:t> </w:t>
      </w:r>
      <w:r>
        <w:rPr/>
        <w:t>el</w:t>
      </w:r>
      <w:r>
        <w:rPr>
          <w:spacing w:val="-4"/>
        </w:rPr>
        <w:t> </w:t>
      </w:r>
      <w:r>
        <w:rPr/>
        <w:t>disfrute</w:t>
      </w:r>
      <w:r>
        <w:rPr>
          <w:spacing w:val="-5"/>
        </w:rPr>
        <w:t> </w:t>
      </w:r>
      <w:r>
        <w:rPr/>
        <w:t>de</w:t>
      </w:r>
      <w:r>
        <w:rPr>
          <w:spacing w:val="-3"/>
        </w:rPr>
        <w:t> </w:t>
      </w:r>
      <w:r>
        <w:rPr/>
        <w:t>la</w:t>
      </w:r>
      <w:r>
        <w:rPr>
          <w:spacing w:val="-5"/>
        </w:rPr>
        <w:t> </w:t>
      </w:r>
      <w:r>
        <w:rPr/>
        <w:t>conciliación</w:t>
      </w:r>
      <w:r>
        <w:rPr>
          <w:spacing w:val="-1"/>
        </w:rPr>
        <w:t> </w:t>
      </w:r>
      <w:r>
        <w:rPr/>
        <w:t>y</w:t>
      </w:r>
      <w:r>
        <w:rPr>
          <w:spacing w:val="-5"/>
        </w:rPr>
        <w:t> </w:t>
      </w:r>
      <w:r>
        <w:rPr/>
        <w:t>fomentar</w:t>
      </w:r>
      <w:r>
        <w:rPr>
          <w:spacing w:val="-5"/>
        </w:rPr>
        <w:t> </w:t>
      </w:r>
      <w:r>
        <w:rPr/>
        <w:t>el</w:t>
      </w:r>
      <w:r>
        <w:rPr>
          <w:spacing w:val="-1"/>
        </w:rPr>
        <w:t> </w:t>
      </w:r>
      <w:bookmarkEnd w:id="28"/>
      <w:r>
        <w:rPr/>
        <w:t>ejercicio correspondiente de estos por parte de ambos progenitores</w:t>
      </w:r>
    </w:p>
    <w:p>
      <w:pPr>
        <w:pStyle w:val="BodyText"/>
        <w:spacing w:before="9"/>
        <w:rPr>
          <w:b/>
        </w:rPr>
      </w:pPr>
    </w:p>
    <w:p>
      <w:pPr>
        <w:pStyle w:val="BodyText"/>
        <w:spacing w:line="360" w:lineRule="auto"/>
        <w:ind w:left="1341" w:right="1338"/>
        <w:jc w:val="both"/>
      </w:pPr>
      <w:r>
        <w:rPr/>
        <w:t>El 27 de junio de 2023 se firma el acta de aprobación del 2º Plan de Igualdad de Guaguas Municipales. Durante el año 2024 hemos estado gestionando los trámites correspondientes al registro de dicho plan y se ha actualizado la composición de la Comisión de Igualdad por parte de la representación de los trabajadores consecuencia de las elecciones sindicales celebradas a finales del año 2023.</w:t>
      </w:r>
    </w:p>
    <w:p>
      <w:pPr>
        <w:pStyle w:val="BodyText"/>
        <w:spacing w:before="200"/>
        <w:ind w:left="1341"/>
        <w:jc w:val="both"/>
      </w:pPr>
      <w:r>
        <w:rPr/>
        <w:t>Durante</w:t>
      </w:r>
      <w:r>
        <w:rPr>
          <w:spacing w:val="10"/>
        </w:rPr>
        <w:t> </w:t>
      </w:r>
      <w:r>
        <w:rPr/>
        <w:t>el</w:t>
      </w:r>
      <w:r>
        <w:rPr>
          <w:spacing w:val="9"/>
        </w:rPr>
        <w:t> </w:t>
      </w:r>
      <w:r>
        <w:rPr/>
        <w:t>año</w:t>
      </w:r>
      <w:r>
        <w:rPr>
          <w:spacing w:val="7"/>
        </w:rPr>
        <w:t> </w:t>
      </w:r>
      <w:r>
        <w:rPr/>
        <w:t>2025</w:t>
      </w:r>
      <w:r>
        <w:rPr>
          <w:spacing w:val="10"/>
        </w:rPr>
        <w:t> </w:t>
      </w:r>
      <w:r>
        <w:rPr/>
        <w:t>en</w:t>
      </w:r>
      <w:r>
        <w:rPr>
          <w:spacing w:val="8"/>
        </w:rPr>
        <w:t> </w:t>
      </w:r>
      <w:r>
        <w:rPr/>
        <w:t>materia</w:t>
      </w:r>
      <w:r>
        <w:rPr>
          <w:spacing w:val="10"/>
        </w:rPr>
        <w:t> </w:t>
      </w:r>
      <w:r>
        <w:rPr/>
        <w:t>de</w:t>
      </w:r>
      <w:r>
        <w:rPr>
          <w:spacing w:val="7"/>
        </w:rPr>
        <w:t> </w:t>
      </w:r>
      <w:r>
        <w:rPr/>
        <w:t>corresponsabilidad</w:t>
      </w:r>
      <w:r>
        <w:rPr>
          <w:spacing w:val="8"/>
        </w:rPr>
        <w:t> </w:t>
      </w:r>
      <w:r>
        <w:rPr/>
        <w:t>9</w:t>
      </w:r>
      <w:r>
        <w:rPr>
          <w:spacing w:val="7"/>
        </w:rPr>
        <w:t> </w:t>
      </w:r>
      <w:r>
        <w:rPr/>
        <w:t>empleados/as</w:t>
      </w:r>
      <w:r>
        <w:rPr>
          <w:spacing w:val="10"/>
        </w:rPr>
        <w:t> </w:t>
      </w:r>
      <w:r>
        <w:rPr/>
        <w:t>(8</w:t>
      </w:r>
      <w:r>
        <w:rPr>
          <w:spacing w:val="7"/>
        </w:rPr>
        <w:t> </w:t>
      </w:r>
      <w:r>
        <w:rPr/>
        <w:t>hombres</w:t>
      </w:r>
      <w:r>
        <w:rPr>
          <w:spacing w:val="12"/>
        </w:rPr>
        <w:t> </w:t>
      </w:r>
      <w:r>
        <w:rPr/>
        <w:t>y</w:t>
      </w:r>
      <w:r>
        <w:rPr>
          <w:spacing w:val="4"/>
        </w:rPr>
        <w:t> </w:t>
      </w:r>
      <w:r>
        <w:rPr/>
        <w:t>1</w:t>
      </w:r>
      <w:r>
        <w:rPr>
          <w:spacing w:val="7"/>
        </w:rPr>
        <w:t> </w:t>
      </w:r>
      <w:r>
        <w:rPr>
          <w:spacing w:val="-2"/>
        </w:rPr>
        <w:t>mujer)</w:t>
      </w:r>
    </w:p>
    <w:p>
      <w:pPr>
        <w:pStyle w:val="BodyText"/>
        <w:spacing w:before="116"/>
        <w:ind w:right="1"/>
        <w:jc w:val="center"/>
      </w:pPr>
      <w:r>
        <w:rPr/>
        <w:t>disfrutaron</w:t>
      </w:r>
      <w:r>
        <w:rPr>
          <w:spacing w:val="44"/>
        </w:rPr>
        <w:t> </w:t>
      </w:r>
      <w:r>
        <w:rPr/>
        <w:t>de</w:t>
      </w:r>
      <w:r>
        <w:rPr>
          <w:spacing w:val="42"/>
        </w:rPr>
        <w:t> </w:t>
      </w:r>
      <w:r>
        <w:rPr/>
        <w:t>reducción</w:t>
      </w:r>
      <w:r>
        <w:rPr>
          <w:spacing w:val="46"/>
        </w:rPr>
        <w:t> </w:t>
      </w:r>
      <w:r>
        <w:rPr/>
        <w:t>de</w:t>
      </w:r>
      <w:r>
        <w:rPr>
          <w:spacing w:val="44"/>
        </w:rPr>
        <w:t> </w:t>
      </w:r>
      <w:r>
        <w:rPr/>
        <w:t>jornada.</w:t>
      </w:r>
      <w:r>
        <w:rPr>
          <w:spacing w:val="45"/>
        </w:rPr>
        <w:t> </w:t>
      </w:r>
      <w:r>
        <w:rPr/>
        <w:t>En</w:t>
      </w:r>
      <w:r>
        <w:rPr>
          <w:spacing w:val="41"/>
        </w:rPr>
        <w:t> </w:t>
      </w:r>
      <w:r>
        <w:rPr/>
        <w:t>relación</w:t>
      </w:r>
      <w:r>
        <w:rPr>
          <w:spacing w:val="45"/>
        </w:rPr>
        <w:t> </w:t>
      </w:r>
      <w:r>
        <w:rPr/>
        <w:t>con</w:t>
      </w:r>
      <w:r>
        <w:rPr>
          <w:spacing w:val="44"/>
        </w:rPr>
        <w:t> </w:t>
      </w:r>
      <w:r>
        <w:rPr/>
        <w:t>adaptación</w:t>
      </w:r>
      <w:r>
        <w:rPr>
          <w:spacing w:val="46"/>
        </w:rPr>
        <w:t> </w:t>
      </w:r>
      <w:r>
        <w:rPr/>
        <w:t>de</w:t>
      </w:r>
      <w:r>
        <w:rPr>
          <w:spacing w:val="45"/>
        </w:rPr>
        <w:t> </w:t>
      </w:r>
      <w:r>
        <w:rPr/>
        <w:t>la</w:t>
      </w:r>
      <w:r>
        <w:rPr>
          <w:spacing w:val="44"/>
        </w:rPr>
        <w:t> </w:t>
      </w:r>
      <w:r>
        <w:rPr/>
        <w:t>jornada,</w:t>
      </w:r>
      <w:r>
        <w:rPr>
          <w:spacing w:val="42"/>
        </w:rPr>
        <w:t> </w:t>
      </w:r>
      <w:r>
        <w:rPr/>
        <w:t>fueron</w:t>
      </w:r>
      <w:r>
        <w:rPr>
          <w:spacing w:val="45"/>
        </w:rPr>
        <w:t> </w:t>
      </w:r>
      <w:r>
        <w:rPr>
          <w:spacing w:val="-5"/>
        </w:rPr>
        <w:t>16</w:t>
      </w:r>
    </w:p>
    <w:p>
      <w:pPr>
        <w:pStyle w:val="BodyText"/>
        <w:spacing w:before="118"/>
        <w:ind w:left="1341"/>
      </w:pPr>
      <w:r>
        <w:rPr/>
        <w:t>empleados/as</w:t>
      </w:r>
      <w:r>
        <w:rPr>
          <w:spacing w:val="-5"/>
        </w:rPr>
        <w:t> </w:t>
      </w:r>
      <w:r>
        <w:rPr/>
        <w:t>(15</w:t>
      </w:r>
      <w:r>
        <w:rPr>
          <w:spacing w:val="-5"/>
        </w:rPr>
        <w:t> </w:t>
      </w:r>
      <w:r>
        <w:rPr/>
        <w:t>hombres</w:t>
      </w:r>
      <w:r>
        <w:rPr>
          <w:spacing w:val="-1"/>
        </w:rPr>
        <w:t> </w:t>
      </w:r>
      <w:r>
        <w:rPr/>
        <w:t>y</w:t>
      </w:r>
      <w:r>
        <w:rPr>
          <w:spacing w:val="-9"/>
        </w:rPr>
        <w:t> </w:t>
      </w:r>
      <w:r>
        <w:rPr/>
        <w:t>1</w:t>
      </w:r>
      <w:r>
        <w:rPr>
          <w:spacing w:val="-6"/>
        </w:rPr>
        <w:t> </w:t>
      </w:r>
      <w:r>
        <w:rPr/>
        <w:t>mujer)</w:t>
      </w:r>
      <w:r>
        <w:rPr>
          <w:spacing w:val="-4"/>
        </w:rPr>
        <w:t> </w:t>
      </w:r>
      <w:r>
        <w:rPr/>
        <w:t>los</w:t>
      </w:r>
      <w:r>
        <w:rPr>
          <w:spacing w:val="-5"/>
        </w:rPr>
        <w:t> </w:t>
      </w:r>
      <w:r>
        <w:rPr/>
        <w:t>que</w:t>
      </w:r>
      <w:r>
        <w:rPr>
          <w:spacing w:val="-7"/>
        </w:rPr>
        <w:t> </w:t>
      </w:r>
      <w:r>
        <w:rPr/>
        <w:t>tuvieron</w:t>
      </w:r>
      <w:r>
        <w:rPr>
          <w:spacing w:val="-5"/>
        </w:rPr>
        <w:t> </w:t>
      </w:r>
      <w:r>
        <w:rPr/>
        <w:t>este</w:t>
      </w:r>
      <w:r>
        <w:rPr>
          <w:spacing w:val="-6"/>
        </w:rPr>
        <w:t> </w:t>
      </w:r>
      <w:r>
        <w:rPr/>
        <w:t>tipo</w:t>
      </w:r>
      <w:r>
        <w:rPr>
          <w:spacing w:val="-5"/>
        </w:rPr>
        <w:t> </w:t>
      </w:r>
      <w:r>
        <w:rPr/>
        <w:t>de</w:t>
      </w:r>
      <w:r>
        <w:rPr>
          <w:spacing w:val="-3"/>
        </w:rPr>
        <w:t> </w:t>
      </w:r>
      <w:r>
        <w:rPr/>
        <w:t>adaptació</w:t>
      </w:r>
      <w:r>
        <w:rPr>
          <w:spacing w:val="43"/>
        </w:rPr>
        <w:t> </w:t>
      </w:r>
      <w:r>
        <w:rPr>
          <w:spacing w:val="-10"/>
        </w:rPr>
        <w:t>.</w:t>
      </w:r>
    </w:p>
    <w:p>
      <w:pPr>
        <w:pStyle w:val="BodyText"/>
        <w:spacing w:before="82"/>
      </w:pPr>
    </w:p>
    <w:p>
      <w:pPr>
        <w:pStyle w:val="BodyText"/>
        <w:spacing w:line="360" w:lineRule="auto"/>
        <w:ind w:left="1341" w:right="1337"/>
        <w:jc w:val="both"/>
      </w:pPr>
      <w:r>
        <w:rPr/>
        <w:t>Guaguas Municipales, no disponiendo de medidas de desconexión digital y sin perjuicio de la negociación del siguiente plan, dispone del 2ª PLAN DE IGUALDAD NEGOCIADO DE TRATO Y OPORTUNIDADES EFECTIVAS ENTRE HOMBRES Y MUJERES solicitando su inscripción</w:t>
      </w:r>
      <w:r>
        <w:rPr>
          <w:spacing w:val="40"/>
        </w:rPr>
        <w:t> </w:t>
      </w:r>
      <w:r>
        <w:rPr/>
        <w:t>y publicación en el registro laboral de Las Palmas de Gran Canaria el 30 de junio de 2025, con número de registro 002035.</w:t>
      </w:r>
    </w:p>
    <w:p>
      <w:pPr>
        <w:pStyle w:val="Heading3"/>
        <w:numPr>
          <w:ilvl w:val="1"/>
          <w:numId w:val="31"/>
        </w:numPr>
        <w:tabs>
          <w:tab w:pos="1670" w:val="left" w:leader="none"/>
        </w:tabs>
        <w:spacing w:line="240" w:lineRule="auto" w:before="200" w:after="0"/>
        <w:ind w:left="1670" w:right="0" w:hanging="329"/>
        <w:jc w:val="left"/>
      </w:pPr>
      <w:bookmarkStart w:name="_TOC_250023" w:id="29"/>
      <w:r>
        <w:rPr>
          <w:spacing w:val="-2"/>
        </w:rPr>
        <w:t>Relaciones</w:t>
      </w:r>
      <w:r>
        <w:rPr>
          <w:spacing w:val="20"/>
        </w:rPr>
        <w:t> </w:t>
      </w:r>
      <w:bookmarkEnd w:id="29"/>
      <w:r>
        <w:rPr>
          <w:spacing w:val="-2"/>
        </w:rPr>
        <w:t>trabajador-empresa</w:t>
      </w:r>
    </w:p>
    <w:p>
      <w:pPr>
        <w:pStyle w:val="BodyText"/>
        <w:spacing w:before="44"/>
        <w:rPr>
          <w:b/>
        </w:rPr>
      </w:pPr>
    </w:p>
    <w:p>
      <w:pPr>
        <w:pStyle w:val="BodyText"/>
        <w:spacing w:line="360" w:lineRule="auto"/>
        <w:ind w:left="1341" w:right="1333"/>
        <w:jc w:val="both"/>
      </w:pPr>
      <w:r>
        <w:rPr/>
        <w:t>La compañía, siguiendo lo establecido en el artículo 41 del Estatuto de los Trabajadores, ha establecido un plazo de 15 días de preaviso a los empleados y sus representantes antes de la aplicación de cambios operacionales significativos que podrían afectarles de forma considerable. Dicho plazo no se encuentra recogido explícitamente en el Convenio Colectivo Negociado de GMSA.</w:t>
      </w:r>
    </w:p>
    <w:p>
      <w:pPr>
        <w:pStyle w:val="Heading3"/>
        <w:numPr>
          <w:ilvl w:val="1"/>
          <w:numId w:val="31"/>
        </w:numPr>
        <w:tabs>
          <w:tab w:pos="1673" w:val="left" w:leader="none"/>
        </w:tabs>
        <w:spacing w:line="240" w:lineRule="auto" w:before="200" w:after="0"/>
        <w:ind w:left="1673" w:right="0" w:hanging="332"/>
        <w:jc w:val="left"/>
      </w:pPr>
      <w:bookmarkStart w:name="_TOC_250022" w:id="30"/>
      <w:r>
        <w:rPr/>
        <w:t>Salud</w:t>
      </w:r>
      <w:r>
        <w:rPr>
          <w:spacing w:val="-3"/>
        </w:rPr>
        <w:t> </w:t>
      </w:r>
      <w:r>
        <w:rPr/>
        <w:t>y</w:t>
      </w:r>
      <w:r>
        <w:rPr>
          <w:spacing w:val="-6"/>
        </w:rPr>
        <w:t> </w:t>
      </w:r>
      <w:bookmarkEnd w:id="30"/>
      <w:r>
        <w:rPr>
          <w:spacing w:val="-2"/>
        </w:rPr>
        <w:t>Seguridad</w:t>
      </w:r>
    </w:p>
    <w:p>
      <w:pPr>
        <w:pStyle w:val="BodyText"/>
        <w:spacing w:before="44"/>
        <w:rPr>
          <w:b/>
        </w:rPr>
      </w:pPr>
    </w:p>
    <w:p>
      <w:pPr>
        <w:pStyle w:val="BodyText"/>
        <w:spacing w:line="360" w:lineRule="auto"/>
        <w:ind w:left="1341" w:right="1336"/>
        <w:jc w:val="both"/>
      </w:pPr>
      <w:r>
        <w:rPr/>
        <mc:AlternateContent>
          <mc:Choice Requires="wps">
            <w:drawing>
              <wp:anchor distT="0" distB="0" distL="0" distR="0" allowOverlap="1" layoutInCell="1" locked="0" behindDoc="0" simplePos="0" relativeHeight="15813632">
                <wp:simplePos x="0" y="0"/>
                <wp:positionH relativeFrom="page">
                  <wp:posOffset>6966436</wp:posOffset>
                </wp:positionH>
                <wp:positionV relativeFrom="paragraph">
                  <wp:posOffset>75512</wp:posOffset>
                </wp:positionV>
                <wp:extent cx="263525" cy="327596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945869pt;width:20.75pt;height:257.95pt;mso-position-horizontal-relative:page;mso-position-vertical-relative:paragraph;z-index:15813632" type="#_x0000_t202" id="docshape23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41</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 tarea fundamental del Servicio de Salud Laboral y Bienestar, acreditado como una de las Especialidades del Servicio de Prevención Propio de Guaguas, se basa en el cumplimiento del deber de protección de la salud de nuestros compañeros/as en el entorno laboral. Pero no solamente</w:t>
      </w:r>
      <w:r>
        <w:rPr>
          <w:spacing w:val="-6"/>
        </w:rPr>
        <w:t> </w:t>
      </w:r>
      <w:r>
        <w:rPr/>
        <w:t>se</w:t>
      </w:r>
      <w:r>
        <w:rPr>
          <w:spacing w:val="-3"/>
        </w:rPr>
        <w:t> </w:t>
      </w:r>
      <w:r>
        <w:rPr/>
        <w:t>encarga</w:t>
      </w:r>
      <w:r>
        <w:rPr>
          <w:spacing w:val="-2"/>
        </w:rPr>
        <w:t> </w:t>
      </w:r>
      <w:r>
        <w:rPr/>
        <w:t>del</w:t>
      </w:r>
      <w:r>
        <w:rPr>
          <w:spacing w:val="-2"/>
        </w:rPr>
        <w:t> </w:t>
      </w:r>
      <w:r>
        <w:rPr/>
        <w:t>cumplimiento</w:t>
      </w:r>
      <w:r>
        <w:rPr>
          <w:spacing w:val="-2"/>
        </w:rPr>
        <w:t> </w:t>
      </w:r>
      <w:r>
        <w:rPr/>
        <w:t>legal</w:t>
      </w:r>
      <w:r>
        <w:rPr>
          <w:spacing w:val="-2"/>
        </w:rPr>
        <w:t> </w:t>
      </w:r>
      <w:r>
        <w:rPr/>
        <w:t>de</w:t>
      </w:r>
      <w:r>
        <w:rPr>
          <w:spacing w:val="-2"/>
        </w:rPr>
        <w:t> </w:t>
      </w:r>
      <w:r>
        <w:rPr/>
        <w:t>todo lo</w:t>
      </w:r>
      <w:r>
        <w:rPr>
          <w:spacing w:val="-3"/>
        </w:rPr>
        <w:t> </w:t>
      </w:r>
      <w:r>
        <w:rPr/>
        <w:t>relacionado</w:t>
      </w:r>
      <w:r>
        <w:rPr>
          <w:spacing w:val="-6"/>
        </w:rPr>
        <w:t> </w:t>
      </w:r>
      <w:r>
        <w:rPr/>
        <w:t>con la</w:t>
      </w:r>
      <w:r>
        <w:rPr>
          <w:spacing w:val="-1"/>
        </w:rPr>
        <w:t> </w:t>
      </w:r>
      <w:r>
        <w:rPr/>
        <w:t>Salud</w:t>
      </w:r>
      <w:r>
        <w:rPr>
          <w:spacing w:val="-4"/>
        </w:rPr>
        <w:t> </w:t>
      </w:r>
      <w:r>
        <w:rPr/>
        <w:t>en</w:t>
      </w:r>
      <w:r>
        <w:rPr>
          <w:spacing w:val="-2"/>
        </w:rPr>
        <w:t> </w:t>
      </w:r>
      <w:r>
        <w:rPr/>
        <w:t>el</w:t>
      </w:r>
      <w:r>
        <w:rPr>
          <w:spacing w:val="-2"/>
        </w:rPr>
        <w:t> Trabajo,</w:t>
      </w:r>
    </w:p>
    <w:p>
      <w:pPr>
        <w:pStyle w:val="BodyText"/>
        <w:jc w:val="center"/>
      </w:pPr>
      <w:r>
        <w:rPr/>
        <w:t>desde</w:t>
      </w:r>
      <w:r>
        <w:rPr>
          <w:spacing w:val="64"/>
        </w:rPr>
        <w:t> </w:t>
      </w:r>
      <w:r>
        <w:rPr/>
        <w:t>la</w:t>
      </w:r>
      <w:r>
        <w:rPr>
          <w:spacing w:val="64"/>
        </w:rPr>
        <w:t> </w:t>
      </w:r>
      <w:r>
        <w:rPr/>
        <w:t>propia</w:t>
      </w:r>
      <w:r>
        <w:rPr>
          <w:spacing w:val="64"/>
        </w:rPr>
        <w:t> </w:t>
      </w:r>
      <w:r>
        <w:rPr/>
        <w:t>Dirección</w:t>
      </w:r>
      <w:r>
        <w:rPr>
          <w:spacing w:val="64"/>
        </w:rPr>
        <w:t> </w:t>
      </w:r>
      <w:r>
        <w:rPr/>
        <w:t>de</w:t>
      </w:r>
      <w:r>
        <w:rPr>
          <w:spacing w:val="66"/>
        </w:rPr>
        <w:t> </w:t>
      </w:r>
      <w:r>
        <w:rPr/>
        <w:t>la</w:t>
      </w:r>
      <w:r>
        <w:rPr>
          <w:spacing w:val="65"/>
        </w:rPr>
        <w:t> </w:t>
      </w:r>
      <w:r>
        <w:rPr/>
        <w:t>compañía</w:t>
      </w:r>
      <w:r>
        <w:rPr>
          <w:spacing w:val="67"/>
        </w:rPr>
        <w:t> </w:t>
      </w:r>
      <w:r>
        <w:rPr/>
        <w:t>y</w:t>
      </w:r>
      <w:r>
        <w:rPr>
          <w:spacing w:val="59"/>
        </w:rPr>
        <w:t> </w:t>
      </w:r>
      <w:r>
        <w:rPr/>
        <w:t>del</w:t>
      </w:r>
      <w:r>
        <w:rPr>
          <w:spacing w:val="64"/>
        </w:rPr>
        <w:t> </w:t>
      </w:r>
      <w:r>
        <w:rPr/>
        <w:t>propio</w:t>
      </w:r>
      <w:r>
        <w:rPr>
          <w:spacing w:val="65"/>
        </w:rPr>
        <w:t> </w:t>
      </w:r>
      <w:r>
        <w:rPr/>
        <w:t>Plan</w:t>
      </w:r>
      <w:r>
        <w:rPr>
          <w:spacing w:val="64"/>
        </w:rPr>
        <w:t> </w:t>
      </w:r>
      <w:r>
        <w:rPr/>
        <w:t>Estratégico</w:t>
      </w:r>
      <w:r>
        <w:rPr>
          <w:spacing w:val="63"/>
        </w:rPr>
        <w:t> </w:t>
      </w:r>
      <w:r>
        <w:rPr/>
        <w:t>vigente</w:t>
      </w:r>
      <w:r>
        <w:rPr>
          <w:spacing w:val="62"/>
        </w:rPr>
        <w:t> </w:t>
      </w:r>
      <w:r>
        <w:rPr/>
        <w:t>se</w:t>
      </w:r>
      <w:r>
        <w:rPr>
          <w:spacing w:val="65"/>
        </w:rPr>
        <w:t> </w:t>
      </w:r>
      <w:r>
        <w:rPr>
          <w:spacing w:val="-5"/>
        </w:rPr>
        <w:t>ha</w:t>
      </w:r>
    </w:p>
    <w:p>
      <w:pPr>
        <w:pStyle w:val="BodyText"/>
        <w:spacing w:line="360" w:lineRule="auto" w:before="116"/>
        <w:ind w:left="1341" w:right="1334"/>
        <w:jc w:val="both"/>
      </w:pPr>
      <w:r>
        <w:rPr/>
        <w:t>encomendado a este Servicio la tarea de tratar de buscar las vías adecuadas para mejorar de</w:t>
      </w:r>
      <w:r>
        <w:rPr>
          <w:spacing w:val="40"/>
        </w:rPr>
        <w:t> </w:t>
      </w:r>
      <w:r>
        <w:rPr/>
        <w:t>la salud de los trabajadores/as en todos los ámbitos de su vida, tanto laboral como extralaboralmente. De forma complementaria a sus obligaciones legales, desarrolla acciones orientadas a la promoción y protección de la salud</w:t>
      </w:r>
      <w:r>
        <w:rPr>
          <w:b/>
        </w:rPr>
        <w:t>, </w:t>
      </w:r>
      <w:r>
        <w:rPr/>
        <w:t>con un enfoque preventivo e integral que sitúa a las personas trabajadoras en el centro de nuestra actuación. En este contexto nació el proyecto </w:t>
      </w:r>
      <w:r>
        <w:rPr>
          <w:b/>
        </w:rPr>
        <w:t>“</w:t>
      </w:r>
      <w:r>
        <w:rPr/>
        <w:t>Guaguas es Bienestar</w:t>
      </w:r>
      <w:r>
        <w:rPr>
          <w:b/>
        </w:rPr>
        <w:t>”</w:t>
      </w:r>
      <w:r>
        <w:rPr/>
        <w:t>, una iniciativa estratégica destinada a fomentar hábitos de vida</w:t>
      </w:r>
      <w:r>
        <w:rPr>
          <w:spacing w:val="55"/>
          <w:w w:val="150"/>
        </w:rPr>
        <w:t> </w:t>
      </w:r>
      <w:r>
        <w:rPr/>
        <w:t>saludables,</w:t>
      </w:r>
      <w:r>
        <w:rPr>
          <w:spacing w:val="55"/>
          <w:w w:val="150"/>
        </w:rPr>
        <w:t> </w:t>
      </w:r>
      <w:r>
        <w:rPr/>
        <w:t>el</w:t>
      </w:r>
      <w:r>
        <w:rPr>
          <w:spacing w:val="57"/>
          <w:w w:val="150"/>
        </w:rPr>
        <w:t> </w:t>
      </w:r>
      <w:r>
        <w:rPr/>
        <w:t>bienestar</w:t>
      </w:r>
      <w:r>
        <w:rPr>
          <w:spacing w:val="60"/>
          <w:w w:val="150"/>
        </w:rPr>
        <w:t> </w:t>
      </w:r>
      <w:r>
        <w:rPr/>
        <w:t>físico,</w:t>
      </w:r>
      <w:r>
        <w:rPr>
          <w:spacing w:val="55"/>
          <w:w w:val="150"/>
        </w:rPr>
        <w:t> </w:t>
      </w:r>
      <w:r>
        <w:rPr/>
        <w:t>mental</w:t>
      </w:r>
      <w:r>
        <w:rPr>
          <w:spacing w:val="59"/>
          <w:w w:val="150"/>
        </w:rPr>
        <w:t> </w:t>
      </w:r>
      <w:r>
        <w:rPr/>
        <w:t>y</w:t>
      </w:r>
      <w:r>
        <w:rPr>
          <w:spacing w:val="53"/>
          <w:w w:val="150"/>
        </w:rPr>
        <w:t> </w:t>
      </w:r>
      <w:r>
        <w:rPr/>
        <w:t>emocional,</w:t>
      </w:r>
      <w:r>
        <w:rPr>
          <w:spacing w:val="59"/>
          <w:w w:val="150"/>
        </w:rPr>
        <w:t> </w:t>
      </w:r>
      <w:r>
        <w:rPr/>
        <w:t>y</w:t>
      </w:r>
      <w:r>
        <w:rPr>
          <w:spacing w:val="55"/>
          <w:w w:val="150"/>
        </w:rPr>
        <w:t> </w:t>
      </w:r>
      <w:r>
        <w:rPr/>
        <w:t>la</w:t>
      </w:r>
      <w:r>
        <w:rPr>
          <w:spacing w:val="57"/>
          <w:w w:val="150"/>
        </w:rPr>
        <w:t> </w:t>
      </w:r>
      <w:r>
        <w:rPr/>
        <w:t>adopción</w:t>
      </w:r>
      <w:r>
        <w:rPr>
          <w:spacing w:val="58"/>
          <w:w w:val="150"/>
        </w:rPr>
        <w:t> </w:t>
      </w:r>
      <w:r>
        <w:rPr/>
        <w:t>de</w:t>
      </w:r>
      <w:r>
        <w:rPr>
          <w:spacing w:val="58"/>
          <w:w w:val="150"/>
        </w:rPr>
        <w:t> </w:t>
      </w:r>
      <w:r>
        <w:rPr>
          <w:spacing w:val="-2"/>
        </w:rPr>
        <w:t>conductas</w:t>
      </w:r>
    </w:p>
    <w:p>
      <w:pPr>
        <w:pStyle w:val="BodyText"/>
        <w:jc w:val="center"/>
      </w:pPr>
      <w:r>
        <w:rPr/>
        <w:t>preventivas,</w:t>
      </w:r>
      <w:r>
        <w:rPr>
          <w:spacing w:val="62"/>
        </w:rPr>
        <w:t> </w:t>
      </w:r>
      <w:r>
        <w:rPr/>
        <w:t>contribuyendo</w:t>
      </w:r>
      <w:r>
        <w:rPr>
          <w:spacing w:val="66"/>
        </w:rPr>
        <w:t> </w:t>
      </w:r>
      <w:r>
        <w:rPr/>
        <w:t>así</w:t>
      </w:r>
      <w:r>
        <w:rPr>
          <w:spacing w:val="64"/>
        </w:rPr>
        <w:t> </w:t>
      </w:r>
      <w:r>
        <w:rPr/>
        <w:t>a</w:t>
      </w:r>
      <w:r>
        <w:rPr>
          <w:spacing w:val="67"/>
        </w:rPr>
        <w:t> </w:t>
      </w:r>
      <w:r>
        <w:rPr/>
        <w:t>la</w:t>
      </w:r>
      <w:r>
        <w:rPr>
          <w:spacing w:val="65"/>
        </w:rPr>
        <w:t> </w:t>
      </w:r>
      <w:r>
        <w:rPr/>
        <w:t>mejora</w:t>
      </w:r>
      <w:r>
        <w:rPr>
          <w:spacing w:val="64"/>
        </w:rPr>
        <w:t> </w:t>
      </w:r>
      <w:r>
        <w:rPr/>
        <w:t>de</w:t>
      </w:r>
      <w:r>
        <w:rPr>
          <w:spacing w:val="66"/>
        </w:rPr>
        <w:t> </w:t>
      </w:r>
      <w:r>
        <w:rPr/>
        <w:t>la</w:t>
      </w:r>
      <w:r>
        <w:rPr>
          <w:spacing w:val="64"/>
        </w:rPr>
        <w:t> </w:t>
      </w:r>
      <w:r>
        <w:rPr/>
        <w:t>calidad</w:t>
      </w:r>
      <w:r>
        <w:rPr>
          <w:spacing w:val="64"/>
        </w:rPr>
        <w:t> </w:t>
      </w:r>
      <w:r>
        <w:rPr/>
        <w:t>de</w:t>
      </w:r>
      <w:r>
        <w:rPr>
          <w:spacing w:val="66"/>
        </w:rPr>
        <w:t> </w:t>
      </w:r>
      <w:r>
        <w:rPr/>
        <w:t>vida,</w:t>
      </w:r>
      <w:r>
        <w:rPr>
          <w:spacing w:val="66"/>
        </w:rPr>
        <w:t> </w:t>
      </w:r>
      <w:r>
        <w:rPr/>
        <w:t>el</w:t>
      </w:r>
      <w:r>
        <w:rPr>
          <w:spacing w:val="64"/>
        </w:rPr>
        <w:t> </w:t>
      </w:r>
      <w:r>
        <w:rPr/>
        <w:t>clima</w:t>
      </w:r>
      <w:r>
        <w:rPr>
          <w:spacing w:val="64"/>
        </w:rPr>
        <w:t> </w:t>
      </w:r>
      <w:r>
        <w:rPr/>
        <w:t>laboral</w:t>
      </w:r>
      <w:r>
        <w:rPr>
          <w:spacing w:val="65"/>
        </w:rPr>
        <w:t> </w:t>
      </w:r>
      <w:r>
        <w:rPr/>
        <w:t>y</w:t>
      </w:r>
      <w:r>
        <w:rPr>
          <w:spacing w:val="63"/>
        </w:rPr>
        <w:t> </w:t>
      </w:r>
      <w:r>
        <w:rPr>
          <w:spacing w:val="-5"/>
        </w:rPr>
        <w:t>el</w:t>
      </w:r>
    </w:p>
    <w:p>
      <w:pPr>
        <w:pStyle w:val="BodyText"/>
        <w:spacing w:before="118"/>
        <w:ind w:left="1341"/>
      </w:pPr>
      <w:r>
        <w:rPr/>
        <w:t>compromiso</w:t>
      </w:r>
      <w:r>
        <w:rPr>
          <w:spacing w:val="-7"/>
        </w:rPr>
        <w:t> </w:t>
      </w:r>
      <w:r>
        <w:rPr/>
        <w:t>de</w:t>
      </w:r>
      <w:r>
        <w:rPr>
          <w:spacing w:val="-5"/>
        </w:rPr>
        <w:t> </w:t>
      </w:r>
      <w:r>
        <w:rPr/>
        <w:t>la</w:t>
      </w:r>
      <w:r>
        <w:rPr>
          <w:spacing w:val="-7"/>
        </w:rPr>
        <w:t> </w:t>
      </w:r>
      <w:r>
        <w:rPr/>
        <w:t>organización</w:t>
      </w:r>
      <w:r>
        <w:rPr>
          <w:spacing w:val="-5"/>
        </w:rPr>
        <w:t> </w:t>
      </w:r>
      <w:r>
        <w:rPr/>
        <w:t>con</w:t>
      </w:r>
      <w:r>
        <w:rPr>
          <w:spacing w:val="-4"/>
        </w:rPr>
        <w:t> </w:t>
      </w:r>
      <w:r>
        <w:rPr/>
        <w:t>la</w:t>
      </w:r>
      <w:r>
        <w:rPr>
          <w:spacing w:val="-3"/>
        </w:rPr>
        <w:t> </w:t>
      </w:r>
      <w:r>
        <w:rPr/>
        <w:t>salud</w:t>
      </w:r>
      <w:r>
        <w:rPr>
          <w:spacing w:val="-1"/>
        </w:rPr>
        <w:t> </w:t>
      </w:r>
      <w:r>
        <w:rPr/>
        <w:t>y</w:t>
      </w:r>
      <w:r>
        <w:rPr>
          <w:spacing w:val="-8"/>
        </w:rPr>
        <w:t> </w:t>
      </w:r>
      <w:r>
        <w:rPr/>
        <w:t>el</w:t>
      </w:r>
      <w:r>
        <w:rPr>
          <w:spacing w:val="-6"/>
        </w:rPr>
        <w:t> </w:t>
      </w:r>
      <w:r>
        <w:rPr/>
        <w:t>bienestar</w:t>
      </w:r>
      <w:r>
        <w:rPr>
          <w:spacing w:val="-4"/>
        </w:rPr>
        <w:t> </w:t>
      </w:r>
      <w:r>
        <w:rPr>
          <w:spacing w:val="-2"/>
        </w:rPr>
        <w:t>sostenible.</w:t>
      </w:r>
    </w:p>
    <w:p>
      <w:pPr>
        <w:pStyle w:val="BodyText"/>
        <w:spacing w:after="0"/>
        <w:sectPr>
          <w:pgSz w:w="11910" w:h="16840"/>
          <w:pgMar w:header="384" w:footer="1060" w:top="1200" w:bottom="1260" w:left="360" w:right="360"/>
        </w:sectPr>
      </w:pPr>
    </w:p>
    <w:p>
      <w:pPr>
        <w:pStyle w:val="BodyText"/>
        <w:spacing w:line="360" w:lineRule="auto" w:before="215"/>
        <w:ind w:left="1341" w:right="1336"/>
        <w:jc w:val="both"/>
      </w:pPr>
      <w:r>
        <w:rPr/>
        <w:t>A lo largo del 2023 inició su proyecto de bienestar encaminado a formar e informar a los trabajadores y trabajadoras para que adquieran unos hábitos duraderos de salud en su día a día. Durante esta anualidad se ha seguido contando con la ayuda de profesionales externos a</w:t>
      </w:r>
      <w:r>
        <w:rPr>
          <w:spacing w:val="40"/>
        </w:rPr>
        <w:t> </w:t>
      </w:r>
      <w:r>
        <w:rPr/>
        <w:t>la</w:t>
      </w:r>
      <w:r>
        <w:rPr>
          <w:spacing w:val="-2"/>
        </w:rPr>
        <w:t> </w:t>
      </w:r>
      <w:r>
        <w:rPr/>
        <w:t>plantilla para</w:t>
      </w:r>
      <w:r>
        <w:rPr>
          <w:spacing w:val="-2"/>
        </w:rPr>
        <w:t> </w:t>
      </w:r>
      <w:r>
        <w:rPr/>
        <w:t>desarrollar esta</w:t>
      </w:r>
      <w:r>
        <w:rPr>
          <w:spacing w:val="-2"/>
        </w:rPr>
        <w:t> </w:t>
      </w:r>
      <w:r>
        <w:rPr/>
        <w:t>labor: por un lado, con la de un Licenciado en Educación Física y, por otro, con el de una Diplomada en Nutrición y Dietética. Además, y como refuerzo a este compromiso, se ha incorporado la colaboración de un psicólogo externo, con el objetivo de ofrecer apoyo especializado y abordar de forma profesional las situaciones y problemáticas relacionadas con la salud psicológica y emocional, contribuyendo así a mejorar la calidad de vida laboral y el bienestar global de la plantilla.</w:t>
      </w:r>
    </w:p>
    <w:p>
      <w:pPr>
        <w:pStyle w:val="BodyText"/>
        <w:spacing w:line="362" w:lineRule="auto" w:before="200"/>
        <w:ind w:left="1341" w:right="1308"/>
      </w:pPr>
      <w:r>
        <w:rPr/>
        <w:t>Dentro de las muchas acciones desarrolladas en el programa de “Guaguas es Bienestar” cabe destacar las siguientes acciones:</w:t>
      </w:r>
    </w:p>
    <w:p>
      <w:pPr>
        <w:pStyle w:val="ListParagraph"/>
        <w:numPr>
          <w:ilvl w:val="0"/>
          <w:numId w:val="39"/>
        </w:numPr>
        <w:tabs>
          <w:tab w:pos="2059" w:val="left" w:leader="none"/>
          <w:tab w:pos="2061" w:val="left" w:leader="none"/>
        </w:tabs>
        <w:spacing w:line="360" w:lineRule="auto" w:before="196" w:after="0"/>
        <w:ind w:left="2061" w:right="1337" w:hanging="360"/>
        <w:jc w:val="both"/>
        <w:rPr>
          <w:sz w:val="20"/>
        </w:rPr>
      </w:pPr>
      <w:r>
        <w:rPr>
          <w:sz w:val="20"/>
        </w:rPr>
        <w:t>Formación / información: considerando lo dispersa que está la plantilla, se optó por continuar con el uso de medios audiovisuales: a través de Whatsapp se enviaron</w:t>
      </w:r>
      <w:r>
        <w:rPr>
          <w:spacing w:val="40"/>
          <w:sz w:val="20"/>
        </w:rPr>
        <w:t> </w:t>
      </w:r>
      <w:r>
        <w:rPr>
          <w:sz w:val="20"/>
        </w:rPr>
        <w:t>videos con información relativa a establecer una alimentación sana y saludable y con consejos y recomendaciones para una práctica deportiva regular.</w:t>
      </w:r>
    </w:p>
    <w:p>
      <w:pPr>
        <w:pStyle w:val="ListParagraph"/>
        <w:numPr>
          <w:ilvl w:val="0"/>
          <w:numId w:val="39"/>
        </w:numPr>
        <w:tabs>
          <w:tab w:pos="2059" w:val="left" w:leader="none"/>
          <w:tab w:pos="2061" w:val="left" w:leader="none"/>
        </w:tabs>
        <w:spacing w:line="357" w:lineRule="auto" w:before="0" w:after="0"/>
        <w:ind w:left="2061" w:right="1336" w:hanging="360"/>
        <w:jc w:val="both"/>
        <w:rPr>
          <w:sz w:val="20"/>
        </w:rPr>
      </w:pPr>
      <w:r>
        <w:rPr>
          <w:sz w:val="20"/>
        </w:rPr>
        <w:t>Desplazamiento a terminales para promover hábitos saludables in situ, promocionando tanto el seguimiento de buenos hábitos de ejercicio / deportivos como nutricionales.</w:t>
      </w:r>
    </w:p>
    <w:p>
      <w:pPr>
        <w:pStyle w:val="ListParagraph"/>
        <w:numPr>
          <w:ilvl w:val="0"/>
          <w:numId w:val="39"/>
        </w:numPr>
        <w:tabs>
          <w:tab w:pos="2059" w:val="left" w:leader="none"/>
          <w:tab w:pos="2061" w:val="left" w:leader="none"/>
        </w:tabs>
        <w:spacing w:line="360" w:lineRule="auto" w:before="4" w:after="0"/>
        <w:ind w:left="2061" w:right="1334" w:hanging="360"/>
        <w:jc w:val="both"/>
        <w:rPr>
          <w:sz w:val="20"/>
        </w:rPr>
      </w:pPr>
      <w:r>
        <w:rPr>
          <w:sz w:val="20"/>
        </w:rPr>
        <w:t>Se ha</w:t>
      </w:r>
      <w:r>
        <w:rPr>
          <w:spacing w:val="-2"/>
          <w:sz w:val="20"/>
        </w:rPr>
        <w:t> </w:t>
      </w:r>
      <w:r>
        <w:rPr>
          <w:sz w:val="20"/>
        </w:rPr>
        <w:t>contado</w:t>
      </w:r>
      <w:r>
        <w:rPr>
          <w:spacing w:val="-2"/>
          <w:sz w:val="20"/>
        </w:rPr>
        <w:t> </w:t>
      </w:r>
      <w:r>
        <w:rPr>
          <w:sz w:val="20"/>
        </w:rPr>
        <w:t>con la colaboración del Preparador Físico con</w:t>
      </w:r>
      <w:r>
        <w:rPr>
          <w:spacing w:val="-2"/>
          <w:sz w:val="20"/>
        </w:rPr>
        <w:t> </w:t>
      </w:r>
      <w:r>
        <w:rPr>
          <w:sz w:val="20"/>
        </w:rPr>
        <w:t>la intención de asesorar y formar e informar adecuadamente a los compañeros en la práctica deportiva.</w:t>
      </w:r>
    </w:p>
    <w:p>
      <w:pPr>
        <w:pStyle w:val="ListParagraph"/>
        <w:numPr>
          <w:ilvl w:val="0"/>
          <w:numId w:val="39"/>
        </w:numPr>
        <w:tabs>
          <w:tab w:pos="2059" w:val="left" w:leader="none"/>
          <w:tab w:pos="2061" w:val="left" w:leader="none"/>
        </w:tabs>
        <w:spacing w:line="360" w:lineRule="auto" w:before="1" w:after="0"/>
        <w:ind w:left="2061" w:right="1337" w:hanging="360"/>
        <w:jc w:val="both"/>
        <w:rPr>
          <w:sz w:val="20"/>
        </w:rPr>
      </w:pPr>
      <w:r>
        <w:rPr>
          <w:sz w:val="20"/>
        </w:rPr>
        <w:t>A lo largo del 2025, los trabajadores y trabajadoras han contado con la posibilidad de solicitar asesoramiento individualizado de su problema nutricional con la Nutricionista del Hospital Perpetuo Socorro presencialmente.</w:t>
      </w:r>
    </w:p>
    <w:p>
      <w:pPr>
        <w:pStyle w:val="ListParagraph"/>
        <w:numPr>
          <w:ilvl w:val="0"/>
          <w:numId w:val="39"/>
        </w:numPr>
        <w:tabs>
          <w:tab w:pos="2059" w:val="left" w:leader="none"/>
          <w:tab w:pos="2061" w:val="left" w:leader="none"/>
        </w:tabs>
        <w:spacing w:line="360" w:lineRule="auto" w:before="0" w:after="0"/>
        <w:ind w:left="2061" w:right="1336" w:hanging="360"/>
        <w:jc w:val="both"/>
        <w:rPr>
          <w:sz w:val="20"/>
        </w:rPr>
      </w:pPr>
      <w:r>
        <w:rPr>
          <w:sz w:val="20"/>
        </w:rPr>
        <mc:AlternateContent>
          <mc:Choice Requires="wps">
            <w:drawing>
              <wp:anchor distT="0" distB="0" distL="0" distR="0" allowOverlap="1" layoutInCell="1" locked="0" behindDoc="0" simplePos="0" relativeHeight="15814144">
                <wp:simplePos x="0" y="0"/>
                <wp:positionH relativeFrom="page">
                  <wp:posOffset>6966436</wp:posOffset>
                </wp:positionH>
                <wp:positionV relativeFrom="paragraph">
                  <wp:posOffset>580962</wp:posOffset>
                </wp:positionV>
                <wp:extent cx="263525" cy="327596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5.745087pt;width:20.75pt;height:257.95pt;mso-position-horizontal-relative:page;mso-position-vertical-relative:paragraph;z-index:15814144" type="#_x0000_t202" id="docshape23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Mensualmente, en la revista “Hablemos de nosotros”, se ha seguido incluyendo un articulo divulgativo haciendo referencia a temas de salud y</w:t>
      </w:r>
      <w:r>
        <w:rPr>
          <w:spacing w:val="-2"/>
          <w:sz w:val="20"/>
        </w:rPr>
        <w:t> </w:t>
      </w:r>
      <w:r>
        <w:rPr>
          <w:sz w:val="20"/>
        </w:rPr>
        <w:t>bienestar que nos afectan a </w:t>
      </w:r>
      <w:r>
        <w:rPr>
          <w:spacing w:val="-2"/>
          <w:sz w:val="20"/>
        </w:rPr>
        <w:t>todos.</w:t>
      </w:r>
    </w:p>
    <w:p>
      <w:pPr>
        <w:pStyle w:val="ListParagraph"/>
        <w:numPr>
          <w:ilvl w:val="0"/>
          <w:numId w:val="39"/>
        </w:numPr>
        <w:tabs>
          <w:tab w:pos="2059" w:val="left" w:leader="none"/>
          <w:tab w:pos="2061" w:val="left" w:leader="none"/>
        </w:tabs>
        <w:spacing w:line="360" w:lineRule="auto" w:before="0" w:after="0"/>
        <w:ind w:left="2061" w:right="1338" w:hanging="360"/>
        <w:jc w:val="both"/>
        <w:rPr>
          <w:sz w:val="20"/>
        </w:rPr>
      </w:pPr>
      <w:r>
        <w:rPr>
          <w:sz w:val="20"/>
        </w:rPr>
        <w:t>Se ha derivado a cualquier trabajador y trabajadora a recibir ayuda psicológica por</w:t>
      </w:r>
      <w:r>
        <w:rPr>
          <w:spacing w:val="40"/>
          <w:sz w:val="20"/>
        </w:rPr>
        <w:t> </w:t>
      </w:r>
      <w:r>
        <w:rPr>
          <w:sz w:val="20"/>
        </w:rPr>
        <w:t>parte de un Especialista en caso necesario.</w:t>
      </w:r>
    </w:p>
    <w:p>
      <w:pPr>
        <w:pStyle w:val="BodyText"/>
      </w:pPr>
    </w:p>
    <w:p>
      <w:pPr>
        <w:pStyle w:val="BodyText"/>
        <w:spacing w:before="83"/>
      </w:pPr>
    </w:p>
    <w:p>
      <w:pPr>
        <w:pStyle w:val="BodyText"/>
        <w:spacing w:line="360" w:lineRule="auto"/>
        <w:ind w:left="1341" w:right="1339"/>
        <w:jc w:val="both"/>
      </w:pPr>
      <w:r>
        <w:rPr/>
        <w:t>Desde octubre de 2022 hay una vinculación a la Mutua Asepeyo para la cobertura de los accidentes de trabajo. Esta entidad es una mutua colaboradora de la Seguridad Social cuya actividad prioritaria</w:t>
      </w:r>
      <w:r>
        <w:rPr>
          <w:spacing w:val="-1"/>
        </w:rPr>
        <w:t> </w:t>
      </w:r>
      <w:r>
        <w:rPr/>
        <w:t>se centra en</w:t>
      </w:r>
      <w:r>
        <w:rPr>
          <w:spacing w:val="-1"/>
        </w:rPr>
        <w:t> </w:t>
      </w:r>
      <w:r>
        <w:rPr/>
        <w:t>prestar asistencia</w:t>
      </w:r>
      <w:r>
        <w:rPr>
          <w:spacing w:val="-1"/>
        </w:rPr>
        <w:t> </w:t>
      </w:r>
      <w:r>
        <w:rPr/>
        <w:t>sanitaria y en la gestión de</w:t>
      </w:r>
      <w:r>
        <w:rPr>
          <w:spacing w:val="-1"/>
        </w:rPr>
        <w:t> </w:t>
      </w:r>
      <w:r>
        <w:rPr/>
        <w:t>sus prestaciones económicas</w:t>
      </w:r>
      <w:r>
        <w:rPr>
          <w:spacing w:val="18"/>
        </w:rPr>
        <w:t> </w:t>
      </w:r>
      <w:r>
        <w:rPr/>
        <w:t>en</w:t>
      </w:r>
      <w:r>
        <w:rPr>
          <w:spacing w:val="15"/>
        </w:rPr>
        <w:t> </w:t>
      </w:r>
      <w:r>
        <w:rPr/>
        <w:t>todo</w:t>
      </w:r>
      <w:r>
        <w:rPr>
          <w:spacing w:val="18"/>
        </w:rPr>
        <w:t> </w:t>
      </w:r>
      <w:r>
        <w:rPr/>
        <w:t>lo</w:t>
      </w:r>
      <w:r>
        <w:rPr>
          <w:spacing w:val="16"/>
        </w:rPr>
        <w:t> </w:t>
      </w:r>
      <w:r>
        <w:rPr/>
        <w:t>inherente</w:t>
      </w:r>
      <w:r>
        <w:rPr>
          <w:spacing w:val="17"/>
        </w:rPr>
        <w:t> </w:t>
      </w:r>
      <w:r>
        <w:rPr/>
        <w:t>al</w:t>
      </w:r>
      <w:r>
        <w:rPr>
          <w:spacing w:val="16"/>
        </w:rPr>
        <w:t> </w:t>
      </w:r>
      <w:r>
        <w:rPr/>
        <w:t>accidente</w:t>
      </w:r>
      <w:r>
        <w:rPr>
          <w:spacing w:val="19"/>
        </w:rPr>
        <w:t> </w:t>
      </w:r>
      <w:r>
        <w:rPr/>
        <w:t>de</w:t>
      </w:r>
      <w:r>
        <w:rPr>
          <w:spacing w:val="15"/>
        </w:rPr>
        <w:t> </w:t>
      </w:r>
      <w:r>
        <w:rPr/>
        <w:t>trabajo</w:t>
      </w:r>
      <w:r>
        <w:rPr>
          <w:spacing w:val="18"/>
        </w:rPr>
        <w:t> </w:t>
      </w:r>
      <w:r>
        <w:rPr/>
        <w:t>y/o</w:t>
      </w:r>
      <w:r>
        <w:rPr>
          <w:spacing w:val="16"/>
        </w:rPr>
        <w:t> </w:t>
      </w:r>
      <w:r>
        <w:rPr/>
        <w:t>enfermedades</w:t>
      </w:r>
      <w:r>
        <w:rPr>
          <w:spacing w:val="19"/>
        </w:rPr>
        <w:t> </w:t>
      </w:r>
      <w:r>
        <w:rPr/>
        <w:t>profesionales.</w:t>
      </w:r>
      <w:r>
        <w:rPr>
          <w:spacing w:val="14"/>
        </w:rPr>
        <w:t> </w:t>
      </w:r>
      <w:r>
        <w:rPr>
          <w:spacing w:val="-5"/>
        </w:rPr>
        <w:t>En</w:t>
      </w:r>
    </w:p>
    <w:p>
      <w:pPr>
        <w:pStyle w:val="BodyText"/>
        <w:ind w:left="4"/>
        <w:jc w:val="center"/>
      </w:pPr>
      <w:r>
        <w:rPr/>
        <w:t>Gran</w:t>
      </w:r>
      <w:r>
        <w:rPr>
          <w:spacing w:val="41"/>
        </w:rPr>
        <w:t> </w:t>
      </w:r>
      <w:r>
        <w:rPr/>
        <w:t>Canaria</w:t>
      </w:r>
      <w:r>
        <w:rPr>
          <w:spacing w:val="43"/>
        </w:rPr>
        <w:t> </w:t>
      </w:r>
      <w:r>
        <w:rPr/>
        <w:t>cuenta</w:t>
      </w:r>
      <w:r>
        <w:rPr>
          <w:spacing w:val="43"/>
        </w:rPr>
        <w:t> </w:t>
      </w:r>
      <w:r>
        <w:rPr/>
        <w:t>con</w:t>
      </w:r>
      <w:r>
        <w:rPr>
          <w:spacing w:val="46"/>
        </w:rPr>
        <w:t> </w:t>
      </w:r>
      <w:r>
        <w:rPr/>
        <w:t>dos</w:t>
      </w:r>
      <w:r>
        <w:rPr>
          <w:spacing w:val="45"/>
        </w:rPr>
        <w:t> </w:t>
      </w:r>
      <w:r>
        <w:rPr/>
        <w:t>centros</w:t>
      </w:r>
      <w:r>
        <w:rPr>
          <w:spacing w:val="45"/>
        </w:rPr>
        <w:t> </w:t>
      </w:r>
      <w:r>
        <w:rPr/>
        <w:t>asistenciales</w:t>
      </w:r>
      <w:r>
        <w:rPr>
          <w:spacing w:val="46"/>
        </w:rPr>
        <w:t> </w:t>
      </w:r>
      <w:r>
        <w:rPr/>
        <w:t>en</w:t>
      </w:r>
      <w:r>
        <w:rPr>
          <w:spacing w:val="43"/>
        </w:rPr>
        <w:t> </w:t>
      </w:r>
      <w:r>
        <w:rPr/>
        <w:t>la</w:t>
      </w:r>
      <w:r>
        <w:rPr>
          <w:spacing w:val="42"/>
        </w:rPr>
        <w:t> </w:t>
      </w:r>
      <w:r>
        <w:rPr/>
        <w:t>ciudad</w:t>
      </w:r>
      <w:r>
        <w:rPr>
          <w:spacing w:val="43"/>
        </w:rPr>
        <w:t> </w:t>
      </w:r>
      <w:r>
        <w:rPr/>
        <w:t>de</w:t>
      </w:r>
      <w:r>
        <w:rPr>
          <w:spacing w:val="42"/>
        </w:rPr>
        <w:t> </w:t>
      </w:r>
      <w:r>
        <w:rPr/>
        <w:t>Las</w:t>
      </w:r>
      <w:r>
        <w:rPr>
          <w:spacing w:val="45"/>
        </w:rPr>
        <w:t> </w:t>
      </w:r>
      <w:r>
        <w:rPr/>
        <w:t>Palmas</w:t>
      </w:r>
      <w:r>
        <w:rPr>
          <w:spacing w:val="45"/>
        </w:rPr>
        <w:t> </w:t>
      </w:r>
      <w:r>
        <w:rPr/>
        <w:t>de</w:t>
      </w:r>
      <w:r>
        <w:rPr>
          <w:spacing w:val="43"/>
        </w:rPr>
        <w:t> </w:t>
      </w:r>
      <w:r>
        <w:rPr>
          <w:spacing w:val="-4"/>
        </w:rPr>
        <w:t>Gran</w:t>
      </w:r>
    </w:p>
    <w:p>
      <w:pPr>
        <w:pStyle w:val="BodyText"/>
        <w:spacing w:line="360" w:lineRule="auto" w:before="115"/>
        <w:ind w:left="1341" w:right="1335"/>
        <w:jc w:val="both"/>
      </w:pPr>
      <w:r>
        <w:rPr/>
        <w:t>Canaria (uno en el puerto y el otro, su sede principal, en Juan XXIII), otro en Telde y otro en Maspalomas. Los trabajadores y trabajadoras acuden principalmente a su centro del Puerto. El centro sanitario que tienen concertado y a la que acuden, en caso de urgencia, es el Hospital San Roque.</w:t>
      </w:r>
    </w:p>
    <w:p>
      <w:pPr>
        <w:pStyle w:val="BodyText"/>
        <w:spacing w:after="0" w:line="360" w:lineRule="auto"/>
        <w:jc w:val="both"/>
        <w:sectPr>
          <w:pgSz w:w="11910" w:h="16840"/>
          <w:pgMar w:header="384" w:footer="1060" w:top="1200" w:bottom="1260" w:left="360" w:right="360"/>
        </w:sectPr>
      </w:pPr>
    </w:p>
    <w:p>
      <w:pPr>
        <w:pStyle w:val="BodyText"/>
        <w:spacing w:line="360" w:lineRule="auto" w:before="215"/>
        <w:ind w:left="1341" w:right="1339"/>
        <w:jc w:val="both"/>
      </w:pPr>
      <w:r>
        <w:rPr/>
        <w:t>Se considera importante también hacer referencia a la colaboración en el Comité de Seguridad y Salud, que es el órgano paritario y colegiado de participación destinado a la consulta regular</w:t>
      </w:r>
      <w:r>
        <w:rPr>
          <w:spacing w:val="80"/>
        </w:rPr>
        <w:t> </w:t>
      </w:r>
      <w:r>
        <w:rPr/>
        <w:t>y</w:t>
      </w:r>
      <w:r>
        <w:rPr>
          <w:spacing w:val="-4"/>
        </w:rPr>
        <w:t> </w:t>
      </w:r>
      <w:r>
        <w:rPr/>
        <w:t>periódica de las</w:t>
      </w:r>
      <w:r>
        <w:rPr>
          <w:spacing w:val="-2"/>
        </w:rPr>
        <w:t> </w:t>
      </w:r>
      <w:r>
        <w:rPr/>
        <w:t>actuaciones</w:t>
      </w:r>
      <w:r>
        <w:rPr>
          <w:spacing w:val="-1"/>
        </w:rPr>
        <w:t> </w:t>
      </w:r>
      <w:r>
        <w:rPr/>
        <w:t>de la</w:t>
      </w:r>
      <w:r>
        <w:rPr>
          <w:spacing w:val="-2"/>
        </w:rPr>
        <w:t> </w:t>
      </w:r>
      <w:r>
        <w:rPr/>
        <w:t>empresa</w:t>
      </w:r>
      <w:r>
        <w:rPr>
          <w:spacing w:val="-4"/>
        </w:rPr>
        <w:t> </w:t>
      </w:r>
      <w:r>
        <w:rPr/>
        <w:t>en</w:t>
      </w:r>
      <w:r>
        <w:rPr>
          <w:spacing w:val="-4"/>
        </w:rPr>
        <w:t> </w:t>
      </w:r>
      <w:r>
        <w:rPr/>
        <w:t>materia</w:t>
      </w:r>
      <w:r>
        <w:rPr>
          <w:spacing w:val="-3"/>
        </w:rPr>
        <w:t> </w:t>
      </w:r>
      <w:r>
        <w:rPr/>
        <w:t>de</w:t>
      </w:r>
      <w:r>
        <w:rPr>
          <w:spacing w:val="-2"/>
        </w:rPr>
        <w:t> </w:t>
      </w:r>
      <w:r>
        <w:rPr/>
        <w:t>Prevención de riesgos.</w:t>
      </w:r>
      <w:r>
        <w:rPr>
          <w:spacing w:val="-4"/>
        </w:rPr>
        <w:t> </w:t>
      </w:r>
      <w:r>
        <w:rPr/>
        <w:t>Cumpliendo la</w:t>
      </w:r>
      <w:r>
        <w:rPr>
          <w:spacing w:val="49"/>
        </w:rPr>
        <w:t> </w:t>
      </w:r>
      <w:r>
        <w:rPr/>
        <w:t>legislación</w:t>
      </w:r>
      <w:r>
        <w:rPr>
          <w:spacing w:val="52"/>
        </w:rPr>
        <w:t> </w:t>
      </w:r>
      <w:r>
        <w:rPr/>
        <w:t>vigente,</w:t>
      </w:r>
      <w:r>
        <w:rPr>
          <w:spacing w:val="53"/>
        </w:rPr>
        <w:t> </w:t>
      </w:r>
      <w:r>
        <w:rPr/>
        <w:t>y</w:t>
      </w:r>
      <w:r>
        <w:rPr>
          <w:spacing w:val="47"/>
        </w:rPr>
        <w:t> </w:t>
      </w:r>
      <w:r>
        <w:rPr/>
        <w:t>con</w:t>
      </w:r>
      <w:r>
        <w:rPr>
          <w:spacing w:val="50"/>
        </w:rPr>
        <w:t> </w:t>
      </w:r>
      <w:r>
        <w:rPr/>
        <w:t>periodicidad</w:t>
      </w:r>
      <w:r>
        <w:rPr>
          <w:spacing w:val="50"/>
        </w:rPr>
        <w:t> </w:t>
      </w:r>
      <w:r>
        <w:rPr/>
        <w:t>mínima</w:t>
      </w:r>
      <w:r>
        <w:rPr>
          <w:spacing w:val="49"/>
        </w:rPr>
        <w:t> </w:t>
      </w:r>
      <w:r>
        <w:rPr/>
        <w:t>trimestral,</w:t>
      </w:r>
      <w:r>
        <w:rPr>
          <w:spacing w:val="49"/>
        </w:rPr>
        <w:t> </w:t>
      </w:r>
      <w:r>
        <w:rPr/>
        <w:t>se</w:t>
      </w:r>
      <w:r>
        <w:rPr>
          <w:spacing w:val="49"/>
        </w:rPr>
        <w:t> </w:t>
      </w:r>
      <w:r>
        <w:rPr/>
        <w:t>realiza</w:t>
      </w:r>
      <w:r>
        <w:rPr>
          <w:spacing w:val="50"/>
        </w:rPr>
        <w:t> </w:t>
      </w:r>
      <w:r>
        <w:rPr/>
        <w:t>un</w:t>
      </w:r>
      <w:r>
        <w:rPr>
          <w:spacing w:val="50"/>
        </w:rPr>
        <w:t> </w:t>
      </w:r>
      <w:r>
        <w:rPr/>
        <w:t>seguimiento</w:t>
      </w:r>
      <w:r>
        <w:rPr>
          <w:spacing w:val="51"/>
        </w:rPr>
        <w:t> </w:t>
      </w:r>
      <w:r>
        <w:rPr>
          <w:spacing w:val="-5"/>
        </w:rPr>
        <w:t>de</w:t>
      </w:r>
    </w:p>
    <w:p>
      <w:pPr>
        <w:pStyle w:val="BodyText"/>
        <w:ind w:left="2"/>
        <w:jc w:val="center"/>
      </w:pPr>
      <w:r>
        <w:rPr/>
        <w:t>cualquier</w:t>
      </w:r>
      <w:r>
        <w:rPr>
          <w:spacing w:val="68"/>
        </w:rPr>
        <w:t> </w:t>
      </w:r>
      <w:r>
        <w:rPr/>
        <w:t>actividad</w:t>
      </w:r>
      <w:r>
        <w:rPr>
          <w:spacing w:val="67"/>
        </w:rPr>
        <w:t> </w:t>
      </w:r>
      <w:r>
        <w:rPr/>
        <w:t>que</w:t>
      </w:r>
      <w:r>
        <w:rPr>
          <w:spacing w:val="69"/>
        </w:rPr>
        <w:t> </w:t>
      </w:r>
      <w:r>
        <w:rPr/>
        <w:t>pueda</w:t>
      </w:r>
      <w:r>
        <w:rPr>
          <w:spacing w:val="70"/>
        </w:rPr>
        <w:t> </w:t>
      </w:r>
      <w:r>
        <w:rPr/>
        <w:t>estar</w:t>
      </w:r>
      <w:r>
        <w:rPr>
          <w:spacing w:val="69"/>
        </w:rPr>
        <w:t> </w:t>
      </w:r>
      <w:r>
        <w:rPr/>
        <w:t>relacionada</w:t>
      </w:r>
      <w:r>
        <w:rPr>
          <w:spacing w:val="68"/>
        </w:rPr>
        <w:t> </w:t>
      </w:r>
      <w:r>
        <w:rPr/>
        <w:t>con</w:t>
      </w:r>
      <w:r>
        <w:rPr>
          <w:spacing w:val="69"/>
        </w:rPr>
        <w:t> </w:t>
      </w:r>
      <w:r>
        <w:rPr/>
        <w:t>la</w:t>
      </w:r>
      <w:r>
        <w:rPr>
          <w:spacing w:val="71"/>
        </w:rPr>
        <w:t> </w:t>
      </w:r>
      <w:r>
        <w:rPr/>
        <w:t>Salud</w:t>
      </w:r>
      <w:r>
        <w:rPr>
          <w:spacing w:val="68"/>
        </w:rPr>
        <w:t> </w:t>
      </w:r>
      <w:r>
        <w:rPr/>
        <w:t>de</w:t>
      </w:r>
      <w:r>
        <w:rPr>
          <w:spacing w:val="70"/>
        </w:rPr>
        <w:t> </w:t>
      </w:r>
      <w:r>
        <w:rPr/>
        <w:t>los</w:t>
      </w:r>
      <w:r>
        <w:rPr>
          <w:spacing w:val="69"/>
        </w:rPr>
        <w:t> </w:t>
      </w:r>
      <w:r>
        <w:rPr/>
        <w:t>trabajadores,</w:t>
      </w:r>
      <w:r>
        <w:rPr>
          <w:spacing w:val="67"/>
        </w:rPr>
        <w:t> </w:t>
      </w:r>
      <w:r>
        <w:rPr>
          <w:spacing w:val="-5"/>
        </w:rPr>
        <w:t>con</w:t>
      </w:r>
    </w:p>
    <w:p>
      <w:pPr>
        <w:pStyle w:val="BodyText"/>
        <w:spacing w:before="118"/>
        <w:ind w:left="1341"/>
      </w:pPr>
      <w:r>
        <w:rPr/>
        <w:t>reuniones</w:t>
      </w:r>
      <w:r>
        <w:rPr>
          <w:spacing w:val="-3"/>
        </w:rPr>
        <w:t> </w:t>
      </w:r>
      <w:r>
        <w:rPr/>
        <w:t>ordinarias</w:t>
      </w:r>
      <w:r>
        <w:rPr>
          <w:spacing w:val="-2"/>
        </w:rPr>
        <w:t> </w:t>
      </w:r>
      <w:r>
        <w:rPr/>
        <w:t>o</w:t>
      </w:r>
      <w:r>
        <w:rPr>
          <w:spacing w:val="-8"/>
        </w:rPr>
        <w:t> </w:t>
      </w:r>
      <w:r>
        <w:rPr/>
        <w:t>extraordinarias</w:t>
      </w:r>
      <w:r>
        <w:rPr>
          <w:spacing w:val="-5"/>
        </w:rPr>
        <w:t> </w:t>
      </w:r>
      <w:r>
        <w:rPr/>
        <w:t>a</w:t>
      </w:r>
      <w:r>
        <w:rPr>
          <w:spacing w:val="-8"/>
        </w:rPr>
        <w:t> </w:t>
      </w:r>
      <w:r>
        <w:rPr/>
        <w:t>través</w:t>
      </w:r>
      <w:r>
        <w:rPr>
          <w:spacing w:val="-5"/>
        </w:rPr>
        <w:t> </w:t>
      </w:r>
      <w:r>
        <w:rPr/>
        <w:t>del</w:t>
      </w:r>
      <w:r>
        <w:rPr>
          <w:spacing w:val="-7"/>
        </w:rPr>
        <w:t> </w:t>
      </w:r>
      <w:r>
        <w:rPr/>
        <w:t>Comité</w:t>
      </w:r>
      <w:r>
        <w:rPr>
          <w:spacing w:val="-8"/>
        </w:rPr>
        <w:t> </w:t>
      </w:r>
      <w:r>
        <w:rPr/>
        <w:t>de</w:t>
      </w:r>
      <w:r>
        <w:rPr>
          <w:spacing w:val="-8"/>
        </w:rPr>
        <w:t> </w:t>
      </w:r>
      <w:r>
        <w:rPr/>
        <w:t>Seguridad</w:t>
      </w:r>
      <w:r>
        <w:rPr>
          <w:spacing w:val="-2"/>
        </w:rPr>
        <w:t> </w:t>
      </w:r>
      <w:r>
        <w:rPr/>
        <w:t>y</w:t>
      </w:r>
      <w:r>
        <w:rPr>
          <w:spacing w:val="-8"/>
        </w:rPr>
        <w:t> </w:t>
      </w:r>
      <w:r>
        <w:rPr>
          <w:spacing w:val="-2"/>
        </w:rPr>
        <w:t>Salud.</w:t>
      </w:r>
    </w:p>
    <w:p>
      <w:pPr>
        <w:pStyle w:val="BodyText"/>
        <w:spacing w:before="83"/>
      </w:pPr>
    </w:p>
    <w:p>
      <w:pPr>
        <w:pStyle w:val="BodyText"/>
        <w:ind w:left="3"/>
        <w:jc w:val="center"/>
      </w:pPr>
      <w:r>
        <w:rPr/>
        <w:t>Guaguas</w:t>
      </w:r>
      <w:r>
        <w:rPr>
          <w:spacing w:val="14"/>
        </w:rPr>
        <w:t> </w:t>
      </w:r>
      <w:r>
        <w:rPr/>
        <w:t>Municipales,</w:t>
      </w:r>
      <w:r>
        <w:rPr>
          <w:spacing w:val="13"/>
        </w:rPr>
        <w:t> </w:t>
      </w:r>
      <w:r>
        <w:rPr/>
        <w:t>S.A.</w:t>
      </w:r>
      <w:r>
        <w:rPr>
          <w:spacing w:val="17"/>
        </w:rPr>
        <w:t> </w:t>
      </w:r>
      <w:r>
        <w:rPr/>
        <w:t>está</w:t>
      </w:r>
      <w:r>
        <w:rPr>
          <w:spacing w:val="14"/>
        </w:rPr>
        <w:t> </w:t>
      </w:r>
      <w:r>
        <w:rPr/>
        <w:t>integrada</w:t>
      </w:r>
      <w:r>
        <w:rPr>
          <w:spacing w:val="14"/>
        </w:rPr>
        <w:t> </w:t>
      </w:r>
      <w:r>
        <w:rPr/>
        <w:t>por</w:t>
      </w:r>
      <w:r>
        <w:rPr>
          <w:spacing w:val="14"/>
        </w:rPr>
        <w:t> </w:t>
      </w:r>
      <w:r>
        <w:rPr/>
        <w:t>cuatro</w:t>
      </w:r>
      <w:r>
        <w:rPr>
          <w:spacing w:val="15"/>
        </w:rPr>
        <w:t> </w:t>
      </w:r>
      <w:r>
        <w:rPr/>
        <w:t>miembros</w:t>
      </w:r>
      <w:r>
        <w:rPr>
          <w:spacing w:val="14"/>
        </w:rPr>
        <w:t> </w:t>
      </w:r>
      <w:r>
        <w:rPr/>
        <w:t>de</w:t>
      </w:r>
      <w:r>
        <w:rPr>
          <w:spacing w:val="13"/>
        </w:rPr>
        <w:t> </w:t>
      </w:r>
      <w:r>
        <w:rPr/>
        <w:t>la</w:t>
      </w:r>
      <w:r>
        <w:rPr>
          <w:spacing w:val="11"/>
        </w:rPr>
        <w:t> </w:t>
      </w:r>
      <w:r>
        <w:rPr/>
        <w:t>representación</w:t>
      </w:r>
      <w:r>
        <w:rPr>
          <w:spacing w:val="15"/>
        </w:rPr>
        <w:t> </w:t>
      </w:r>
      <w:r>
        <w:rPr/>
        <w:t>legal</w:t>
      </w:r>
      <w:r>
        <w:rPr>
          <w:spacing w:val="13"/>
        </w:rPr>
        <w:t> </w:t>
      </w:r>
      <w:r>
        <w:rPr>
          <w:spacing w:val="-5"/>
        </w:rPr>
        <w:t>de</w:t>
      </w:r>
    </w:p>
    <w:p>
      <w:pPr>
        <w:pStyle w:val="BodyText"/>
        <w:spacing w:before="113"/>
        <w:jc w:val="center"/>
      </w:pPr>
      <w:r>
        <w:rPr/>
        <w:t>los</w:t>
      </w:r>
      <w:r>
        <w:rPr>
          <w:spacing w:val="44"/>
        </w:rPr>
        <w:t> </w:t>
      </w:r>
      <w:r>
        <w:rPr/>
        <w:t>trabajadores</w:t>
      </w:r>
      <w:r>
        <w:rPr>
          <w:spacing w:val="45"/>
        </w:rPr>
        <w:t> </w:t>
      </w:r>
      <w:r>
        <w:rPr/>
        <w:t>(todos</w:t>
      </w:r>
      <w:r>
        <w:rPr>
          <w:spacing w:val="45"/>
        </w:rPr>
        <w:t> </w:t>
      </w:r>
      <w:r>
        <w:rPr/>
        <w:t>del</w:t>
      </w:r>
      <w:r>
        <w:rPr>
          <w:spacing w:val="47"/>
        </w:rPr>
        <w:t> </w:t>
      </w:r>
      <w:r>
        <w:rPr/>
        <w:t>SUG</w:t>
      </w:r>
      <w:r>
        <w:rPr>
          <w:spacing w:val="44"/>
        </w:rPr>
        <w:t> </w:t>
      </w:r>
      <w:r>
        <w:rPr/>
        <w:t>en</w:t>
      </w:r>
      <w:r>
        <w:rPr>
          <w:spacing w:val="46"/>
        </w:rPr>
        <w:t> </w:t>
      </w:r>
      <w:r>
        <w:rPr/>
        <w:t>esta</w:t>
      </w:r>
      <w:r>
        <w:rPr>
          <w:spacing w:val="45"/>
        </w:rPr>
        <w:t> </w:t>
      </w:r>
      <w:r>
        <w:rPr/>
        <w:t>última</w:t>
      </w:r>
      <w:r>
        <w:rPr>
          <w:spacing w:val="42"/>
        </w:rPr>
        <w:t> </w:t>
      </w:r>
      <w:r>
        <w:rPr/>
        <w:t>anualidad)</w:t>
      </w:r>
      <w:r>
        <w:rPr>
          <w:spacing w:val="48"/>
        </w:rPr>
        <w:t> </w:t>
      </w:r>
      <w:r>
        <w:rPr/>
        <w:t>y</w:t>
      </w:r>
      <w:r>
        <w:rPr>
          <w:spacing w:val="39"/>
        </w:rPr>
        <w:t> </w:t>
      </w:r>
      <w:r>
        <w:rPr/>
        <w:t>otros</w:t>
      </w:r>
      <w:r>
        <w:rPr>
          <w:spacing w:val="45"/>
        </w:rPr>
        <w:t> </w:t>
      </w:r>
      <w:r>
        <w:rPr/>
        <w:t>cuatro</w:t>
      </w:r>
      <w:r>
        <w:rPr>
          <w:spacing w:val="45"/>
        </w:rPr>
        <w:t> </w:t>
      </w:r>
      <w:r>
        <w:rPr/>
        <w:t>por</w:t>
      </w:r>
      <w:r>
        <w:rPr>
          <w:spacing w:val="44"/>
        </w:rPr>
        <w:t> </w:t>
      </w:r>
      <w:r>
        <w:rPr/>
        <w:t>parte</w:t>
      </w:r>
      <w:r>
        <w:rPr>
          <w:spacing w:val="42"/>
        </w:rPr>
        <w:t> </w:t>
      </w:r>
      <w:r>
        <w:rPr/>
        <w:t>de</w:t>
      </w:r>
      <w:r>
        <w:rPr>
          <w:spacing w:val="46"/>
        </w:rPr>
        <w:t> </w:t>
      </w:r>
      <w:r>
        <w:rPr>
          <w:spacing w:val="-5"/>
        </w:rPr>
        <w:t>la</w:t>
      </w:r>
    </w:p>
    <w:p>
      <w:pPr>
        <w:pStyle w:val="BodyText"/>
        <w:spacing w:before="116"/>
        <w:ind w:left="5"/>
        <w:jc w:val="center"/>
      </w:pPr>
      <w:r>
        <w:rPr/>
        <w:t>empresa.</w:t>
      </w:r>
      <w:r>
        <w:rPr>
          <w:spacing w:val="66"/>
        </w:rPr>
        <w:t> </w:t>
      </w:r>
      <w:r>
        <w:rPr/>
        <w:t>Participa</w:t>
      </w:r>
      <w:r>
        <w:rPr>
          <w:spacing w:val="70"/>
        </w:rPr>
        <w:t> </w:t>
      </w:r>
      <w:r>
        <w:rPr/>
        <w:t>en</w:t>
      </w:r>
      <w:r>
        <w:rPr>
          <w:spacing w:val="66"/>
        </w:rPr>
        <w:t> </w:t>
      </w:r>
      <w:r>
        <w:rPr/>
        <w:t>la</w:t>
      </w:r>
      <w:r>
        <w:rPr>
          <w:spacing w:val="69"/>
        </w:rPr>
        <w:t> </w:t>
      </w:r>
      <w:r>
        <w:rPr/>
        <w:t>elaboración,</w:t>
      </w:r>
      <w:r>
        <w:rPr>
          <w:spacing w:val="67"/>
        </w:rPr>
        <w:t> </w:t>
      </w:r>
      <w:r>
        <w:rPr/>
        <w:t>puesta</w:t>
      </w:r>
      <w:r>
        <w:rPr>
          <w:spacing w:val="66"/>
        </w:rPr>
        <w:t> </w:t>
      </w:r>
      <w:r>
        <w:rPr/>
        <w:t>en</w:t>
      </w:r>
      <w:r>
        <w:rPr>
          <w:spacing w:val="69"/>
        </w:rPr>
        <w:t> </w:t>
      </w:r>
      <w:r>
        <w:rPr/>
        <w:t>práctica</w:t>
      </w:r>
      <w:r>
        <w:rPr>
          <w:spacing w:val="67"/>
        </w:rPr>
        <w:t> </w:t>
      </w:r>
      <w:r>
        <w:rPr/>
        <w:t>y</w:t>
      </w:r>
      <w:r>
        <w:rPr>
          <w:spacing w:val="63"/>
        </w:rPr>
        <w:t> </w:t>
      </w:r>
      <w:r>
        <w:rPr/>
        <w:t>evaluación</w:t>
      </w:r>
      <w:r>
        <w:rPr>
          <w:spacing w:val="69"/>
        </w:rPr>
        <w:t> </w:t>
      </w:r>
      <w:r>
        <w:rPr/>
        <w:t>de</w:t>
      </w:r>
      <w:r>
        <w:rPr>
          <w:spacing w:val="69"/>
        </w:rPr>
        <w:t> </w:t>
      </w:r>
      <w:r>
        <w:rPr/>
        <w:t>los</w:t>
      </w:r>
      <w:r>
        <w:rPr>
          <w:spacing w:val="69"/>
        </w:rPr>
        <w:t> </w:t>
      </w:r>
      <w:r>
        <w:rPr/>
        <w:t>planes</w:t>
      </w:r>
      <w:r>
        <w:rPr>
          <w:spacing w:val="70"/>
        </w:rPr>
        <w:t> </w:t>
      </w:r>
      <w:r>
        <w:rPr>
          <w:spacing w:val="-10"/>
        </w:rPr>
        <w:t>y</w:t>
      </w:r>
    </w:p>
    <w:p>
      <w:pPr>
        <w:pStyle w:val="BodyText"/>
        <w:spacing w:line="360" w:lineRule="auto" w:before="115"/>
        <w:ind w:left="1341" w:right="1333"/>
        <w:jc w:val="both"/>
      </w:pPr>
      <w:r>
        <w:rPr/>
        <w:t>programas de prevención de riesgos en la empresa, y promueven iniciativas sobre métodos y procedimientos para la efectiva prevención de los riesgos, proponiendo a la empresa la mejora de las condiciones o la corrección de las deficiencias existentes. Además, cuenta con representación de los trabajadores y conoce directamente la situación relativa a la prevención de riesgos en el centro de trabajo, realizando a tal efecto las visitas que estime oportunas; tienen acceso a todos los documentos e informes relativos a las condiciones de trabajo que sean necesarios para el cumplimiento de sus funciones, así como los procedentes de la actividad del servicio de prevención, en su caso. Entre sus funciones, analiza los daños producidos en la salud o en la integridad física de los trabajadores, al objeto de valorar sus causas y proponer las medidas preventivas oportunas. Asimismo, se incluye en sus funciones conocer e informar la memoria y programación anual de Servicios de Prevención.</w:t>
      </w:r>
    </w:p>
    <w:p>
      <w:pPr>
        <w:pStyle w:val="Heading3"/>
        <w:spacing w:line="362" w:lineRule="auto" w:before="197"/>
        <w:ind w:left="1341" w:right="1308"/>
      </w:pPr>
      <w:r>
        <w:rPr/>
        <w:t>En la especialidad preventiva de Seguridad</w:t>
      </w:r>
      <w:r>
        <w:rPr>
          <w:spacing w:val="26"/>
        </w:rPr>
        <w:t> </w:t>
      </w:r>
      <w:r>
        <w:rPr/>
        <w:t>en el Trabajo destacan por su importancia</w:t>
      </w:r>
      <w:r>
        <w:rPr>
          <w:spacing w:val="80"/>
        </w:rPr>
        <w:t> </w:t>
      </w:r>
      <w:r>
        <w:rPr/>
        <w:t>varias acciones llevadas a cabo a lo largo del 2025:</w:t>
      </w:r>
    </w:p>
    <w:p>
      <w:pPr>
        <w:pStyle w:val="ListParagraph"/>
        <w:numPr>
          <w:ilvl w:val="0"/>
          <w:numId w:val="40"/>
        </w:numPr>
        <w:tabs>
          <w:tab w:pos="1701" w:val="left" w:leader="none"/>
        </w:tabs>
        <w:spacing w:line="357" w:lineRule="auto" w:before="213" w:after="0"/>
        <w:ind w:left="1701" w:right="1337" w:hanging="360"/>
        <w:jc w:val="left"/>
        <w:rPr>
          <w:sz w:val="20"/>
        </w:rPr>
      </w:pPr>
      <w:r>
        <w:rPr>
          <w:sz w:val="20"/>
        </w:rPr>
        <w:t>Implantación</w:t>
      </w:r>
      <w:r>
        <w:rPr>
          <w:spacing w:val="36"/>
          <w:sz w:val="20"/>
        </w:rPr>
        <w:t> </w:t>
      </w:r>
      <w:r>
        <w:rPr>
          <w:sz w:val="20"/>
        </w:rPr>
        <w:t>definitiva</w:t>
      </w:r>
      <w:r>
        <w:rPr>
          <w:spacing w:val="35"/>
          <w:sz w:val="20"/>
        </w:rPr>
        <w:t> </w:t>
      </w:r>
      <w:r>
        <w:rPr>
          <w:sz w:val="20"/>
        </w:rPr>
        <w:t>del</w:t>
      </w:r>
      <w:r>
        <w:rPr>
          <w:spacing w:val="38"/>
          <w:sz w:val="20"/>
        </w:rPr>
        <w:t> </w:t>
      </w:r>
      <w:r>
        <w:rPr>
          <w:sz w:val="20"/>
        </w:rPr>
        <w:t>software</w:t>
      </w:r>
      <w:r>
        <w:rPr>
          <w:spacing w:val="35"/>
          <w:sz w:val="20"/>
        </w:rPr>
        <w:t> </w:t>
      </w:r>
      <w:r>
        <w:rPr>
          <w:sz w:val="20"/>
        </w:rPr>
        <w:t>Prevengos</w:t>
      </w:r>
      <w:r>
        <w:rPr>
          <w:spacing w:val="38"/>
          <w:sz w:val="20"/>
        </w:rPr>
        <w:t> </w:t>
      </w:r>
      <w:r>
        <w:rPr>
          <w:sz w:val="20"/>
        </w:rPr>
        <w:t>como</w:t>
      </w:r>
      <w:r>
        <w:rPr>
          <w:spacing w:val="36"/>
          <w:sz w:val="20"/>
        </w:rPr>
        <w:t> </w:t>
      </w:r>
      <w:r>
        <w:rPr>
          <w:sz w:val="20"/>
        </w:rPr>
        <w:t>herramienta</w:t>
      </w:r>
      <w:r>
        <w:rPr>
          <w:spacing w:val="36"/>
          <w:sz w:val="20"/>
        </w:rPr>
        <w:t> </w:t>
      </w:r>
      <w:r>
        <w:rPr>
          <w:sz w:val="20"/>
        </w:rPr>
        <w:t>para</w:t>
      </w:r>
      <w:r>
        <w:rPr>
          <w:spacing w:val="37"/>
          <w:sz w:val="20"/>
        </w:rPr>
        <w:t> </w:t>
      </w:r>
      <w:r>
        <w:rPr>
          <w:sz w:val="20"/>
        </w:rPr>
        <w:t>la</w:t>
      </w:r>
      <w:r>
        <w:rPr>
          <w:spacing w:val="35"/>
          <w:sz w:val="20"/>
        </w:rPr>
        <w:t> </w:t>
      </w:r>
      <w:r>
        <w:rPr>
          <w:sz w:val="20"/>
        </w:rPr>
        <w:t>realización</w:t>
      </w:r>
      <w:r>
        <w:rPr>
          <w:spacing w:val="36"/>
          <w:sz w:val="20"/>
        </w:rPr>
        <w:t> </w:t>
      </w:r>
      <w:r>
        <w:rPr>
          <w:sz w:val="20"/>
        </w:rPr>
        <w:t>de informes de evaluación de riesgos.</w:t>
      </w:r>
    </w:p>
    <w:p>
      <w:pPr>
        <w:pStyle w:val="BodyText"/>
        <w:spacing w:before="132"/>
      </w:pPr>
    </w:p>
    <w:p>
      <w:pPr>
        <w:pStyle w:val="ListParagraph"/>
        <w:numPr>
          <w:ilvl w:val="0"/>
          <w:numId w:val="40"/>
        </w:numPr>
        <w:tabs>
          <w:tab w:pos="1701" w:val="left" w:leader="none"/>
          <w:tab w:pos="1884" w:val="left" w:leader="none"/>
        </w:tabs>
        <w:spacing w:line="360" w:lineRule="auto" w:before="0" w:after="0"/>
        <w:ind w:left="1701" w:right="1337" w:hanging="360"/>
        <w:jc w:val="both"/>
        <w:rPr>
          <w:sz w:val="20"/>
        </w:rPr>
      </w:pPr>
      <w:r>
        <w:rPr>
          <w:sz w:val="20"/>
        </w:rPr>
        <mc:AlternateContent>
          <mc:Choice Requires="wps">
            <w:drawing>
              <wp:anchor distT="0" distB="0" distL="0" distR="0" allowOverlap="1" layoutInCell="1" locked="0" behindDoc="0" simplePos="0" relativeHeight="15814656">
                <wp:simplePos x="0" y="0"/>
                <wp:positionH relativeFrom="page">
                  <wp:posOffset>6966436</wp:posOffset>
                </wp:positionH>
                <wp:positionV relativeFrom="paragraph">
                  <wp:posOffset>-220260</wp:posOffset>
                </wp:positionV>
                <wp:extent cx="263525" cy="327596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343330pt;width:20.75pt;height:257.95pt;mso-position-horizontal-relative:page;mso-position-vertical-relative:paragraph;z-index:15814656" type="#_x0000_t202" id="docshape23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ab/>
        <w:t>Actualización</w:t>
      </w:r>
      <w:r>
        <w:rPr>
          <w:spacing w:val="-6"/>
          <w:sz w:val="20"/>
        </w:rPr>
        <w:t> </w:t>
      </w:r>
      <w:r>
        <w:rPr>
          <w:sz w:val="20"/>
        </w:rPr>
        <w:t>de</w:t>
      </w:r>
      <w:r>
        <w:rPr>
          <w:spacing w:val="-6"/>
          <w:sz w:val="20"/>
        </w:rPr>
        <w:t> </w:t>
      </w:r>
      <w:r>
        <w:rPr>
          <w:sz w:val="20"/>
        </w:rPr>
        <w:t>las</w:t>
      </w:r>
      <w:r>
        <w:rPr>
          <w:spacing w:val="-6"/>
          <w:sz w:val="20"/>
        </w:rPr>
        <w:t> </w:t>
      </w:r>
      <w:r>
        <w:rPr>
          <w:sz w:val="20"/>
        </w:rPr>
        <w:t>evaluaciones</w:t>
      </w:r>
      <w:r>
        <w:rPr>
          <w:spacing w:val="-4"/>
          <w:sz w:val="20"/>
        </w:rPr>
        <w:t> </w:t>
      </w:r>
      <w:r>
        <w:rPr>
          <w:sz w:val="20"/>
        </w:rPr>
        <w:t>de</w:t>
      </w:r>
      <w:r>
        <w:rPr>
          <w:spacing w:val="-7"/>
          <w:sz w:val="20"/>
        </w:rPr>
        <w:t> </w:t>
      </w:r>
      <w:r>
        <w:rPr>
          <w:sz w:val="20"/>
        </w:rPr>
        <w:t>riesgos</w:t>
      </w:r>
      <w:r>
        <w:rPr>
          <w:spacing w:val="-4"/>
          <w:sz w:val="20"/>
        </w:rPr>
        <w:t> </w:t>
      </w:r>
      <w:r>
        <w:rPr>
          <w:sz w:val="20"/>
        </w:rPr>
        <w:t>de</w:t>
      </w:r>
      <w:r>
        <w:rPr>
          <w:spacing w:val="-7"/>
          <w:sz w:val="20"/>
        </w:rPr>
        <w:t> </w:t>
      </w:r>
      <w:r>
        <w:rPr>
          <w:sz w:val="20"/>
        </w:rPr>
        <w:t>distintos</w:t>
      </w:r>
      <w:r>
        <w:rPr>
          <w:spacing w:val="-6"/>
          <w:sz w:val="20"/>
        </w:rPr>
        <w:t> </w:t>
      </w:r>
      <w:r>
        <w:rPr>
          <w:sz w:val="20"/>
        </w:rPr>
        <w:t>puestos</w:t>
      </w:r>
      <w:r>
        <w:rPr>
          <w:spacing w:val="-6"/>
          <w:sz w:val="20"/>
        </w:rPr>
        <w:t> </w:t>
      </w:r>
      <w:r>
        <w:rPr>
          <w:sz w:val="20"/>
        </w:rPr>
        <w:t>de</w:t>
      </w:r>
      <w:r>
        <w:rPr>
          <w:spacing w:val="-7"/>
          <w:sz w:val="20"/>
        </w:rPr>
        <w:t> </w:t>
      </w:r>
      <w:r>
        <w:rPr>
          <w:sz w:val="20"/>
        </w:rPr>
        <w:t>trabajo,</w:t>
      </w:r>
      <w:r>
        <w:rPr>
          <w:spacing w:val="40"/>
          <w:sz w:val="20"/>
        </w:rPr>
        <w:t> </w:t>
      </w:r>
      <w:r>
        <w:rPr>
          <w:sz w:val="20"/>
        </w:rPr>
        <w:t>apoyándose principalmente en el software de prevención de riesgos laborales Prevengos, destacando los informes correspondientes a: jefe/a de sección, oficial de administración-especialista, analista</w:t>
      </w:r>
      <w:r>
        <w:rPr>
          <w:spacing w:val="65"/>
          <w:sz w:val="20"/>
        </w:rPr>
        <w:t> </w:t>
      </w:r>
      <w:r>
        <w:rPr>
          <w:sz w:val="20"/>
        </w:rPr>
        <w:t>económico-financiero,</w:t>
      </w:r>
      <w:r>
        <w:rPr>
          <w:spacing w:val="66"/>
          <w:sz w:val="20"/>
        </w:rPr>
        <w:t> </w:t>
      </w:r>
      <w:r>
        <w:rPr>
          <w:sz w:val="20"/>
        </w:rPr>
        <w:t>técnico-a</w:t>
      </w:r>
      <w:r>
        <w:rPr>
          <w:spacing w:val="67"/>
          <w:sz w:val="20"/>
        </w:rPr>
        <w:t> </w:t>
      </w:r>
      <w:r>
        <w:rPr>
          <w:sz w:val="20"/>
        </w:rPr>
        <w:t>de</w:t>
      </w:r>
      <w:r>
        <w:rPr>
          <w:spacing w:val="66"/>
          <w:sz w:val="20"/>
        </w:rPr>
        <w:t> </w:t>
      </w:r>
      <w:r>
        <w:rPr>
          <w:sz w:val="20"/>
        </w:rPr>
        <w:t>contratación</w:t>
      </w:r>
      <w:r>
        <w:rPr>
          <w:spacing w:val="66"/>
          <w:sz w:val="20"/>
        </w:rPr>
        <w:t> </w:t>
      </w:r>
      <w:r>
        <w:rPr>
          <w:sz w:val="20"/>
        </w:rPr>
        <w:t>pública,</w:t>
      </w:r>
      <w:r>
        <w:rPr>
          <w:spacing w:val="66"/>
          <w:sz w:val="20"/>
        </w:rPr>
        <w:t> </w:t>
      </w:r>
      <w:r>
        <w:rPr>
          <w:sz w:val="20"/>
        </w:rPr>
        <w:t>técnico-a</w:t>
      </w:r>
      <w:r>
        <w:rPr>
          <w:spacing w:val="69"/>
          <w:sz w:val="20"/>
        </w:rPr>
        <w:t> </w:t>
      </w:r>
      <w:r>
        <w:rPr>
          <w:sz w:val="20"/>
        </w:rPr>
        <w:t>de</w:t>
      </w:r>
      <w:r>
        <w:rPr>
          <w:spacing w:val="67"/>
          <w:sz w:val="20"/>
        </w:rPr>
        <w:t> </w:t>
      </w:r>
      <w:r>
        <w:rPr>
          <w:spacing w:val="-2"/>
          <w:sz w:val="20"/>
        </w:rPr>
        <w:t>control</w:t>
      </w:r>
    </w:p>
    <w:p>
      <w:pPr>
        <w:pStyle w:val="BodyText"/>
        <w:spacing w:line="227" w:lineRule="exact"/>
        <w:ind w:left="365"/>
        <w:jc w:val="center"/>
      </w:pPr>
      <w:r>
        <w:rPr/>
        <w:t>interno</w:t>
      </w:r>
      <w:r>
        <w:rPr>
          <w:spacing w:val="54"/>
          <w:w w:val="150"/>
        </w:rPr>
        <w:t> </w:t>
      </w:r>
      <w:r>
        <w:rPr/>
        <w:t>y</w:t>
      </w:r>
      <w:r>
        <w:rPr>
          <w:spacing w:val="77"/>
        </w:rPr>
        <w:t> </w:t>
      </w:r>
      <w:r>
        <w:rPr/>
        <w:t>cumplimiento,</w:t>
      </w:r>
      <w:r>
        <w:rPr>
          <w:spacing w:val="55"/>
          <w:w w:val="150"/>
        </w:rPr>
        <w:t> </w:t>
      </w:r>
      <w:r>
        <w:rPr/>
        <w:t>mandos</w:t>
      </w:r>
      <w:r>
        <w:rPr>
          <w:spacing w:val="54"/>
          <w:w w:val="150"/>
        </w:rPr>
        <w:t> </w:t>
      </w:r>
      <w:r>
        <w:rPr/>
        <w:t>de</w:t>
      </w:r>
      <w:r>
        <w:rPr>
          <w:spacing w:val="52"/>
          <w:w w:val="150"/>
        </w:rPr>
        <w:t> </w:t>
      </w:r>
      <w:r>
        <w:rPr/>
        <w:t>administración,</w:t>
      </w:r>
      <w:r>
        <w:rPr>
          <w:spacing w:val="54"/>
          <w:w w:val="150"/>
        </w:rPr>
        <w:t> </w:t>
      </w:r>
      <w:r>
        <w:rPr/>
        <w:t>jefe</w:t>
      </w:r>
      <w:r>
        <w:rPr>
          <w:spacing w:val="53"/>
          <w:w w:val="150"/>
        </w:rPr>
        <w:t> </w:t>
      </w:r>
      <w:r>
        <w:rPr/>
        <w:t>de</w:t>
      </w:r>
      <w:r>
        <w:rPr>
          <w:spacing w:val="54"/>
          <w:w w:val="150"/>
        </w:rPr>
        <w:t> </w:t>
      </w:r>
      <w:r>
        <w:rPr/>
        <w:t>negociado,</w:t>
      </w:r>
      <w:r>
        <w:rPr>
          <w:spacing w:val="54"/>
          <w:w w:val="150"/>
        </w:rPr>
        <w:t> </w:t>
      </w:r>
      <w:r>
        <w:rPr/>
        <w:t>enfermero-</w:t>
      </w:r>
      <w:r>
        <w:rPr>
          <w:spacing w:val="-10"/>
        </w:rPr>
        <w:t>a</w:t>
      </w:r>
    </w:p>
    <w:p>
      <w:pPr>
        <w:pStyle w:val="BodyText"/>
        <w:spacing w:line="360" w:lineRule="auto" w:before="115"/>
        <w:ind w:left="1701" w:right="1334"/>
        <w:jc w:val="both"/>
      </w:pPr>
      <w:r>
        <w:rPr/>
        <w:t>especialista enfermería del trabajo (en prácticas), oficial de taller-almacenero, informador/a de eventos especiales, responsable de aprovisionamiento y logística y técnico-a de calidad y comercial.</w:t>
      </w:r>
    </w:p>
    <w:p>
      <w:pPr>
        <w:pStyle w:val="BodyText"/>
        <w:spacing w:before="130"/>
      </w:pPr>
    </w:p>
    <w:p>
      <w:pPr>
        <w:pStyle w:val="ListParagraph"/>
        <w:numPr>
          <w:ilvl w:val="0"/>
          <w:numId w:val="40"/>
        </w:numPr>
        <w:tabs>
          <w:tab w:pos="363" w:val="left" w:leader="none"/>
        </w:tabs>
        <w:spacing w:line="240" w:lineRule="auto" w:before="0" w:after="0"/>
        <w:ind w:left="363" w:right="0" w:hanging="360"/>
        <w:jc w:val="center"/>
        <w:rPr>
          <w:sz w:val="20"/>
        </w:rPr>
      </w:pPr>
      <w:r>
        <w:rPr>
          <w:sz w:val="20"/>
        </w:rPr>
        <w:t>Evaluación</w:t>
      </w:r>
      <w:r>
        <w:rPr>
          <w:spacing w:val="23"/>
          <w:sz w:val="20"/>
        </w:rPr>
        <w:t> </w:t>
      </w:r>
      <w:r>
        <w:rPr>
          <w:sz w:val="20"/>
        </w:rPr>
        <w:t>de</w:t>
      </w:r>
      <w:r>
        <w:rPr>
          <w:spacing w:val="24"/>
          <w:sz w:val="20"/>
        </w:rPr>
        <w:t> </w:t>
      </w:r>
      <w:r>
        <w:rPr>
          <w:sz w:val="20"/>
        </w:rPr>
        <w:t>nuevos</w:t>
      </w:r>
      <w:r>
        <w:rPr>
          <w:spacing w:val="23"/>
          <w:sz w:val="20"/>
        </w:rPr>
        <w:t> </w:t>
      </w:r>
      <w:r>
        <w:rPr>
          <w:sz w:val="20"/>
        </w:rPr>
        <w:t>equipos</w:t>
      </w:r>
      <w:r>
        <w:rPr>
          <w:spacing w:val="23"/>
          <w:sz w:val="20"/>
        </w:rPr>
        <w:t> </w:t>
      </w:r>
      <w:r>
        <w:rPr>
          <w:sz w:val="20"/>
        </w:rPr>
        <w:t>de</w:t>
      </w:r>
      <w:r>
        <w:rPr>
          <w:spacing w:val="20"/>
          <w:sz w:val="20"/>
        </w:rPr>
        <w:t> </w:t>
      </w:r>
      <w:r>
        <w:rPr>
          <w:sz w:val="20"/>
        </w:rPr>
        <w:t>trabajo</w:t>
      </w:r>
      <w:r>
        <w:rPr>
          <w:spacing w:val="21"/>
          <w:sz w:val="20"/>
        </w:rPr>
        <w:t> </w:t>
      </w:r>
      <w:r>
        <w:rPr>
          <w:sz w:val="20"/>
        </w:rPr>
        <w:t>para</w:t>
      </w:r>
      <w:r>
        <w:rPr>
          <w:spacing w:val="24"/>
          <w:sz w:val="20"/>
        </w:rPr>
        <w:t> </w:t>
      </w:r>
      <w:r>
        <w:rPr>
          <w:sz w:val="20"/>
        </w:rPr>
        <w:t>su</w:t>
      </w:r>
      <w:r>
        <w:rPr>
          <w:spacing w:val="20"/>
          <w:sz w:val="20"/>
        </w:rPr>
        <w:t> </w:t>
      </w:r>
      <w:r>
        <w:rPr>
          <w:sz w:val="20"/>
        </w:rPr>
        <w:t>uso</w:t>
      </w:r>
      <w:r>
        <w:rPr>
          <w:spacing w:val="21"/>
          <w:sz w:val="20"/>
        </w:rPr>
        <w:t> </w:t>
      </w:r>
      <w:r>
        <w:rPr>
          <w:sz w:val="20"/>
        </w:rPr>
        <w:t>principalmente</w:t>
      </w:r>
      <w:r>
        <w:rPr>
          <w:spacing w:val="22"/>
          <w:sz w:val="20"/>
        </w:rPr>
        <w:t> </w:t>
      </w:r>
      <w:r>
        <w:rPr>
          <w:sz w:val="20"/>
        </w:rPr>
        <w:t>por</w:t>
      </w:r>
      <w:r>
        <w:rPr>
          <w:spacing w:val="22"/>
          <w:sz w:val="20"/>
        </w:rPr>
        <w:t> </w:t>
      </w:r>
      <w:r>
        <w:rPr>
          <w:sz w:val="20"/>
        </w:rPr>
        <w:t>el</w:t>
      </w:r>
      <w:r>
        <w:rPr>
          <w:spacing w:val="21"/>
          <w:sz w:val="20"/>
        </w:rPr>
        <w:t> </w:t>
      </w:r>
      <w:r>
        <w:rPr>
          <w:sz w:val="20"/>
        </w:rPr>
        <w:t>personal</w:t>
      </w:r>
      <w:r>
        <w:rPr>
          <w:spacing w:val="21"/>
          <w:sz w:val="20"/>
        </w:rPr>
        <w:t> </w:t>
      </w:r>
      <w:r>
        <w:rPr>
          <w:spacing w:val="-5"/>
          <w:sz w:val="20"/>
        </w:rPr>
        <w:t>de</w:t>
      </w:r>
    </w:p>
    <w:p>
      <w:pPr>
        <w:pStyle w:val="ListParagraph"/>
        <w:spacing w:after="0" w:line="240" w:lineRule="auto"/>
        <w:jc w:val="center"/>
        <w:rPr>
          <w:sz w:val="20"/>
        </w:rPr>
        <w:sectPr>
          <w:pgSz w:w="11910" w:h="16840"/>
          <w:pgMar w:header="384" w:footer="1060" w:top="1200" w:bottom="1260" w:left="360" w:right="360"/>
        </w:sectPr>
      </w:pPr>
    </w:p>
    <w:p>
      <w:pPr>
        <w:pStyle w:val="BodyText"/>
        <w:spacing w:line="360" w:lineRule="auto" w:before="115"/>
        <w:ind w:left="1701"/>
        <w:jc w:val="both"/>
      </w:pPr>
      <w:r>
        <w:rPr/>
        <w:t>taller, destacando los informes correspondientes a: puente de lav 4HWP200255, depósito móvil de combustible Mobil Tank 960 y grúa Hunger BL2 CE.</w:t>
      </w:r>
    </w:p>
    <w:p>
      <w:pPr>
        <w:pStyle w:val="BodyText"/>
        <w:spacing w:line="357" w:lineRule="auto" w:before="115"/>
        <w:ind w:left="28" w:right="1338" w:firstLine="39"/>
      </w:pPr>
      <w:r>
        <w:rPr/>
        <w:br w:type="column"/>
      </w:r>
      <w:r>
        <w:rPr/>
        <w:t>do</w:t>
      </w:r>
      <w:r>
        <w:rPr>
          <w:spacing w:val="40"/>
        </w:rPr>
        <w:t> </w:t>
      </w:r>
      <w:r>
        <w:rPr/>
        <w:t>Istobal</w:t>
      </w:r>
      <w:r>
        <w:rPr>
          <w:spacing w:val="40"/>
        </w:rPr>
        <w:t> </w:t>
      </w:r>
      <w:r>
        <w:rPr/>
        <w:t>Mod. hidráulica</w:t>
      </w:r>
      <w:r>
        <w:rPr>
          <w:spacing w:val="31"/>
        </w:rPr>
        <w:t> </w:t>
      </w:r>
      <w:r>
        <w:rPr>
          <w:spacing w:val="-2"/>
        </w:rPr>
        <w:t>Ludwig</w:t>
      </w:r>
    </w:p>
    <w:p>
      <w:pPr>
        <w:pStyle w:val="BodyText"/>
        <w:spacing w:after="0" w:line="357" w:lineRule="auto"/>
        <w:sectPr>
          <w:type w:val="continuous"/>
          <w:pgSz w:w="11910" w:h="16840"/>
          <w:pgMar w:header="384" w:footer="1060" w:top="1700" w:bottom="1040" w:left="360" w:right="360"/>
          <w:cols w:num="2" w:equalWidth="0">
            <w:col w:w="8193" w:space="40"/>
            <w:col w:w="2957"/>
          </w:cols>
        </w:sectPr>
      </w:pPr>
    </w:p>
    <w:p>
      <w:pPr>
        <w:pStyle w:val="BodyText"/>
      </w:pPr>
    </w:p>
    <w:p>
      <w:pPr>
        <w:pStyle w:val="ListParagraph"/>
        <w:numPr>
          <w:ilvl w:val="0"/>
          <w:numId w:val="40"/>
        </w:numPr>
        <w:tabs>
          <w:tab w:pos="362" w:val="left" w:leader="none"/>
        </w:tabs>
        <w:spacing w:line="240" w:lineRule="auto" w:before="0" w:after="0"/>
        <w:ind w:left="362" w:right="0" w:hanging="359"/>
        <w:jc w:val="center"/>
        <w:rPr>
          <w:sz w:val="20"/>
        </w:rPr>
      </w:pPr>
      <w:r>
        <w:rPr>
          <w:sz w:val="20"/>
        </w:rPr>
        <w:t>Formación</w:t>
      </w:r>
      <w:r>
        <w:rPr>
          <w:spacing w:val="74"/>
          <w:sz w:val="20"/>
        </w:rPr>
        <w:t> </w:t>
      </w:r>
      <w:r>
        <w:rPr>
          <w:sz w:val="20"/>
        </w:rPr>
        <w:t>en</w:t>
      </w:r>
      <w:r>
        <w:rPr>
          <w:spacing w:val="74"/>
          <w:sz w:val="20"/>
        </w:rPr>
        <w:t> </w:t>
      </w:r>
      <w:r>
        <w:rPr>
          <w:sz w:val="20"/>
        </w:rPr>
        <w:t>riesgos</w:t>
      </w:r>
      <w:r>
        <w:rPr>
          <w:spacing w:val="54"/>
          <w:w w:val="150"/>
          <w:sz w:val="20"/>
        </w:rPr>
        <w:t> </w:t>
      </w:r>
      <w:r>
        <w:rPr>
          <w:sz w:val="20"/>
        </w:rPr>
        <w:t>laborales</w:t>
      </w:r>
      <w:r>
        <w:rPr>
          <w:spacing w:val="77"/>
          <w:sz w:val="20"/>
        </w:rPr>
        <w:t> </w:t>
      </w:r>
      <w:r>
        <w:rPr>
          <w:sz w:val="20"/>
        </w:rPr>
        <w:t>al</w:t>
      </w:r>
      <w:r>
        <w:rPr>
          <w:spacing w:val="75"/>
          <w:sz w:val="20"/>
        </w:rPr>
        <w:t> </w:t>
      </w:r>
      <w:r>
        <w:rPr>
          <w:sz w:val="20"/>
        </w:rPr>
        <w:t>personal</w:t>
      </w:r>
      <w:r>
        <w:rPr>
          <w:spacing w:val="75"/>
          <w:sz w:val="20"/>
        </w:rPr>
        <w:t> </w:t>
      </w:r>
      <w:r>
        <w:rPr>
          <w:sz w:val="20"/>
        </w:rPr>
        <w:t>de</w:t>
      </w:r>
      <w:r>
        <w:rPr>
          <w:spacing w:val="77"/>
          <w:sz w:val="20"/>
        </w:rPr>
        <w:t> </w:t>
      </w:r>
      <w:r>
        <w:rPr>
          <w:sz w:val="20"/>
        </w:rPr>
        <w:t>nueva</w:t>
      </w:r>
      <w:r>
        <w:rPr>
          <w:spacing w:val="78"/>
          <w:sz w:val="20"/>
        </w:rPr>
        <w:t> </w:t>
      </w:r>
      <w:r>
        <w:rPr>
          <w:sz w:val="20"/>
        </w:rPr>
        <w:t>contratación:</w:t>
      </w:r>
      <w:r>
        <w:rPr>
          <w:spacing w:val="75"/>
          <w:sz w:val="20"/>
        </w:rPr>
        <w:t> </w:t>
      </w:r>
      <w:r>
        <w:rPr>
          <w:sz w:val="20"/>
        </w:rPr>
        <w:t>conductores-</w:t>
      </w:r>
      <w:r>
        <w:rPr>
          <w:spacing w:val="-5"/>
          <w:sz w:val="20"/>
        </w:rPr>
        <w:t>as,</w:t>
      </w:r>
    </w:p>
    <w:p>
      <w:pPr>
        <w:pStyle w:val="BodyText"/>
        <w:spacing w:before="112"/>
        <w:ind w:left="361"/>
        <w:jc w:val="center"/>
      </w:pPr>
      <w:r>
        <w:rPr/>
        <w:t>electromecánicos,</w:t>
      </w:r>
      <w:r>
        <w:rPr>
          <w:spacing w:val="54"/>
          <w:w w:val="150"/>
        </w:rPr>
        <w:t> </w:t>
      </w:r>
      <w:r>
        <w:rPr/>
        <w:t>personal</w:t>
      </w:r>
      <w:r>
        <w:rPr>
          <w:spacing w:val="54"/>
          <w:w w:val="150"/>
        </w:rPr>
        <w:t> </w:t>
      </w:r>
      <w:r>
        <w:rPr/>
        <w:t>en</w:t>
      </w:r>
      <w:r>
        <w:rPr>
          <w:spacing w:val="55"/>
          <w:w w:val="150"/>
        </w:rPr>
        <w:t> </w:t>
      </w:r>
      <w:r>
        <w:rPr/>
        <w:t>prácticas</w:t>
      </w:r>
      <w:r>
        <w:rPr>
          <w:spacing w:val="56"/>
          <w:w w:val="150"/>
        </w:rPr>
        <w:t> </w:t>
      </w:r>
      <w:r>
        <w:rPr/>
        <w:t>(médicos-as,</w:t>
      </w:r>
      <w:r>
        <w:rPr>
          <w:spacing w:val="54"/>
          <w:w w:val="150"/>
        </w:rPr>
        <w:t> </w:t>
      </w:r>
      <w:r>
        <w:rPr/>
        <w:t>enfermeros-as,</w:t>
      </w:r>
      <w:r>
        <w:rPr>
          <w:spacing w:val="53"/>
          <w:w w:val="150"/>
        </w:rPr>
        <w:t> </w:t>
      </w:r>
      <w:r>
        <w:rPr/>
        <w:t>mecánicos-</w:t>
      </w:r>
      <w:r>
        <w:rPr>
          <w:spacing w:val="-4"/>
        </w:rPr>
        <w:t>as),</w:t>
      </w:r>
    </w:p>
    <w:p>
      <w:pPr>
        <w:pStyle w:val="BodyText"/>
        <w:spacing w:after="0"/>
        <w:jc w:val="center"/>
        <w:sectPr>
          <w:pgSz w:w="11910" w:h="16840"/>
          <w:pgMar w:header="384" w:footer="1060" w:top="1200" w:bottom="1260" w:left="360" w:right="360"/>
        </w:sectPr>
      </w:pPr>
    </w:p>
    <w:p>
      <w:pPr>
        <w:pStyle w:val="BodyText"/>
        <w:spacing w:line="360" w:lineRule="auto" w:before="116"/>
        <w:ind w:left="1701"/>
      </w:pPr>
      <w:r>
        <w:rPr/>
        <w:t>técnico-a</w:t>
      </w:r>
      <w:r>
        <w:rPr>
          <w:spacing w:val="40"/>
        </w:rPr>
        <w:t> </w:t>
      </w:r>
      <w:r>
        <w:rPr/>
        <w:t>de</w:t>
      </w:r>
      <w:r>
        <w:rPr>
          <w:spacing w:val="40"/>
        </w:rPr>
        <w:t> </w:t>
      </w:r>
      <w:r>
        <w:rPr/>
        <w:t>control</w:t>
      </w:r>
      <w:r>
        <w:rPr>
          <w:spacing w:val="40"/>
        </w:rPr>
        <w:t> </w:t>
      </w:r>
      <w:r>
        <w:rPr/>
        <w:t>interno</w:t>
      </w:r>
      <w:r>
        <w:rPr>
          <w:spacing w:val="40"/>
        </w:rPr>
        <w:t> </w:t>
      </w:r>
      <w:r>
        <w:rPr/>
        <w:t>y</w:t>
      </w:r>
      <w:r>
        <w:rPr>
          <w:spacing w:val="40"/>
        </w:rPr>
        <w:t> </w:t>
      </w:r>
      <w:r>
        <w:rPr/>
        <w:t>cumplimiento,</w:t>
      </w:r>
      <w:r>
        <w:rPr>
          <w:spacing w:val="40"/>
        </w:rPr>
        <w:t> </w:t>
      </w:r>
      <w:r>
        <w:rPr/>
        <w:t>técnico-a</w:t>
      </w:r>
      <w:r>
        <w:rPr>
          <w:spacing w:val="40"/>
        </w:rPr>
        <w:t> </w:t>
      </w:r>
      <w:r>
        <w:rPr/>
        <w:t>de</w:t>
      </w:r>
      <w:r>
        <w:rPr>
          <w:spacing w:val="40"/>
        </w:rPr>
        <w:t> </w:t>
      </w:r>
      <w:r>
        <w:rPr/>
        <w:t>contratación </w:t>
      </w:r>
      <w:r>
        <w:rPr>
          <w:spacing w:val="-2"/>
        </w:rPr>
        <w:t>económica.</w:t>
      </w:r>
    </w:p>
    <w:p>
      <w:pPr>
        <w:pStyle w:val="BodyText"/>
        <w:spacing w:before="116"/>
        <w:ind w:left="68"/>
      </w:pPr>
      <w:r>
        <w:rPr/>
        <w:br w:type="column"/>
      </w:r>
      <w:r>
        <w:rPr/>
        <w:t>pública,</w:t>
      </w:r>
      <w:r>
        <w:rPr>
          <w:spacing w:val="39"/>
        </w:rPr>
        <w:t> </w:t>
      </w:r>
      <w:r>
        <w:rPr>
          <w:spacing w:val="-2"/>
        </w:rPr>
        <w:t>analista</w:t>
      </w:r>
    </w:p>
    <w:p>
      <w:pPr>
        <w:pStyle w:val="BodyText"/>
        <w:spacing w:after="0"/>
        <w:sectPr>
          <w:type w:val="continuous"/>
          <w:pgSz w:w="11910" w:h="16840"/>
          <w:pgMar w:header="384" w:footer="1060" w:top="1700" w:bottom="1040" w:left="360" w:right="360"/>
          <w:cols w:num="2" w:equalWidth="0">
            <w:col w:w="8254" w:space="40"/>
            <w:col w:w="2896"/>
          </w:cols>
        </w:sectPr>
      </w:pPr>
    </w:p>
    <w:p>
      <w:pPr>
        <w:pStyle w:val="BodyText"/>
        <w:spacing w:before="128"/>
      </w:pPr>
    </w:p>
    <w:p>
      <w:pPr>
        <w:pStyle w:val="ListParagraph"/>
        <w:numPr>
          <w:ilvl w:val="0"/>
          <w:numId w:val="40"/>
        </w:numPr>
        <w:tabs>
          <w:tab w:pos="1701" w:val="left" w:leader="none"/>
          <w:tab w:pos="1884" w:val="left" w:leader="none"/>
        </w:tabs>
        <w:spacing w:line="360" w:lineRule="auto" w:before="1" w:after="0"/>
        <w:ind w:left="1701" w:right="1334" w:hanging="360"/>
        <w:jc w:val="both"/>
        <w:rPr>
          <w:sz w:val="20"/>
        </w:rPr>
      </w:pPr>
      <w:r>
        <w:rPr>
          <w:sz w:val="20"/>
        </w:rPr>
        <w:tab/>
        <w:t>Actualización de la formación en riesgos laborales afectando a la gran mayoría de </w:t>
      </w:r>
      <w:r>
        <w:rPr>
          <w:spacing w:val="-55"/>
          <w:sz w:val="20"/>
        </w:rPr>
        <w:t>los</w:t>
      </w:r>
      <w:r>
        <w:rPr>
          <w:sz w:val="20"/>
        </w:rPr>
        <w:t> puestos de trabajo: conductores, mandos de administración, mandos de movimiento, oficiales de taller, oficial administración-especialista y jefe-a de sección. Como novedad, este año se realizaron formaciones presenciales para los conductores realizando visitas prácticas a las instalaciones del centro de Arequipa, de cara a poder mostrar de una forma más explícita y amena, las fuentes de riesgos presentes en el centro de trabajo.</w:t>
      </w:r>
    </w:p>
    <w:p>
      <w:pPr>
        <w:pStyle w:val="BodyText"/>
        <w:spacing w:before="128"/>
      </w:pPr>
    </w:p>
    <w:p>
      <w:pPr>
        <w:pStyle w:val="ListParagraph"/>
        <w:numPr>
          <w:ilvl w:val="0"/>
          <w:numId w:val="40"/>
        </w:numPr>
        <w:tabs>
          <w:tab w:pos="1701" w:val="left" w:leader="none"/>
          <w:tab w:pos="1884" w:val="left" w:leader="none"/>
        </w:tabs>
        <w:spacing w:line="357" w:lineRule="auto" w:before="0" w:after="0"/>
        <w:ind w:left="1701" w:right="1337" w:hanging="360"/>
        <w:jc w:val="both"/>
        <w:rPr>
          <w:sz w:val="20"/>
        </w:rPr>
      </w:pPr>
      <w:r>
        <w:rPr>
          <w:sz w:val="20"/>
        </w:rPr>
        <w:tab/>
        <w:t>Formaciones</w:t>
      </w:r>
      <w:r>
        <w:rPr>
          <w:spacing w:val="-9"/>
          <w:sz w:val="20"/>
        </w:rPr>
        <w:t> </w:t>
      </w:r>
      <w:r>
        <w:rPr>
          <w:sz w:val="20"/>
        </w:rPr>
        <w:t>teórico-prácticas</w:t>
      </w:r>
      <w:r>
        <w:rPr>
          <w:spacing w:val="-9"/>
          <w:sz w:val="20"/>
        </w:rPr>
        <w:t> </w:t>
      </w:r>
      <w:r>
        <w:rPr>
          <w:sz w:val="20"/>
        </w:rPr>
        <w:t>para</w:t>
      </w:r>
      <w:r>
        <w:rPr>
          <w:spacing w:val="-10"/>
          <w:sz w:val="20"/>
        </w:rPr>
        <w:t> </w:t>
      </w:r>
      <w:r>
        <w:rPr>
          <w:sz w:val="20"/>
        </w:rPr>
        <w:t>la</w:t>
      </w:r>
      <w:r>
        <w:rPr>
          <w:spacing w:val="-9"/>
          <w:sz w:val="20"/>
        </w:rPr>
        <w:t> </w:t>
      </w:r>
      <w:r>
        <w:rPr>
          <w:sz w:val="20"/>
        </w:rPr>
        <w:t>realización</w:t>
      </w:r>
      <w:r>
        <w:rPr>
          <w:spacing w:val="-9"/>
          <w:sz w:val="20"/>
        </w:rPr>
        <w:t> </w:t>
      </w:r>
      <w:r>
        <w:rPr>
          <w:sz w:val="20"/>
        </w:rPr>
        <w:t>de</w:t>
      </w:r>
      <w:r>
        <w:rPr>
          <w:spacing w:val="-9"/>
          <w:sz w:val="20"/>
        </w:rPr>
        <w:t> </w:t>
      </w:r>
      <w:r>
        <w:rPr>
          <w:sz w:val="20"/>
        </w:rPr>
        <w:t>trabajos</w:t>
      </w:r>
      <w:r>
        <w:rPr>
          <w:spacing w:val="-9"/>
          <w:sz w:val="20"/>
        </w:rPr>
        <w:t> </w:t>
      </w:r>
      <w:r>
        <w:rPr>
          <w:sz w:val="20"/>
        </w:rPr>
        <w:t>en</w:t>
      </w:r>
      <w:r>
        <w:rPr>
          <w:spacing w:val="-9"/>
          <w:sz w:val="20"/>
        </w:rPr>
        <w:t> </w:t>
      </w:r>
      <w:r>
        <w:rPr>
          <w:sz w:val="20"/>
        </w:rPr>
        <w:t>altura,</w:t>
      </w:r>
      <w:r>
        <w:rPr>
          <w:spacing w:val="-7"/>
          <w:sz w:val="20"/>
        </w:rPr>
        <w:t> </w:t>
      </w:r>
      <w:r>
        <w:rPr>
          <w:sz w:val="20"/>
        </w:rPr>
        <w:t>tanto</w:t>
      </w:r>
      <w:r>
        <w:rPr>
          <w:spacing w:val="-10"/>
          <w:sz w:val="20"/>
        </w:rPr>
        <w:t> </w:t>
      </w:r>
      <w:r>
        <w:rPr>
          <w:sz w:val="20"/>
        </w:rPr>
        <w:t>en</w:t>
      </w:r>
      <w:r>
        <w:rPr>
          <w:spacing w:val="-7"/>
          <w:sz w:val="20"/>
        </w:rPr>
        <w:t> </w:t>
      </w:r>
      <w:r>
        <w:rPr>
          <w:sz w:val="20"/>
        </w:rPr>
        <w:t>los</w:t>
      </w:r>
      <w:r>
        <w:rPr>
          <w:spacing w:val="-9"/>
          <w:sz w:val="20"/>
        </w:rPr>
        <w:t> </w:t>
      </w:r>
      <w:r>
        <w:rPr>
          <w:sz w:val="20"/>
        </w:rPr>
        <w:t>techos de</w:t>
      </w:r>
      <w:r>
        <w:rPr>
          <w:spacing w:val="-1"/>
          <w:sz w:val="20"/>
        </w:rPr>
        <w:t> </w:t>
      </w:r>
      <w:r>
        <w:rPr>
          <w:sz w:val="20"/>
        </w:rPr>
        <w:t>las guaguas como</w:t>
      </w:r>
      <w:r>
        <w:rPr>
          <w:spacing w:val="-3"/>
          <w:sz w:val="20"/>
        </w:rPr>
        <w:t> </w:t>
      </w:r>
      <w:r>
        <w:rPr>
          <w:sz w:val="20"/>
        </w:rPr>
        <w:t>en la</w:t>
      </w:r>
      <w:r>
        <w:rPr>
          <w:spacing w:val="-3"/>
          <w:sz w:val="20"/>
        </w:rPr>
        <w:t> </w:t>
      </w:r>
      <w:r>
        <w:rPr>
          <w:sz w:val="20"/>
        </w:rPr>
        <w:t>cubierta</w:t>
      </w:r>
      <w:r>
        <w:rPr>
          <w:spacing w:val="-1"/>
          <w:sz w:val="20"/>
        </w:rPr>
        <w:t> </w:t>
      </w:r>
      <w:r>
        <w:rPr>
          <w:sz w:val="20"/>
        </w:rPr>
        <w:t>del</w:t>
      </w:r>
      <w:r>
        <w:rPr>
          <w:spacing w:val="-1"/>
          <w:sz w:val="20"/>
        </w:rPr>
        <w:t> </w:t>
      </w:r>
      <w:r>
        <w:rPr>
          <w:sz w:val="20"/>
        </w:rPr>
        <w:t>edificio,</w:t>
      </w:r>
      <w:r>
        <w:rPr>
          <w:spacing w:val="-1"/>
          <w:sz w:val="20"/>
        </w:rPr>
        <w:t> </w:t>
      </w:r>
      <w:r>
        <w:rPr>
          <w:sz w:val="20"/>
        </w:rPr>
        <w:t>ayudándose</w:t>
      </w:r>
      <w:r>
        <w:rPr>
          <w:spacing w:val="-3"/>
          <w:sz w:val="20"/>
        </w:rPr>
        <w:t> </w:t>
      </w:r>
      <w:r>
        <w:rPr>
          <w:sz w:val="20"/>
        </w:rPr>
        <w:t>de</w:t>
      </w:r>
      <w:r>
        <w:rPr>
          <w:spacing w:val="-3"/>
          <w:sz w:val="20"/>
        </w:rPr>
        <w:t> </w:t>
      </w:r>
      <w:r>
        <w:rPr>
          <w:sz w:val="20"/>
        </w:rPr>
        <w:t>líneas</w:t>
      </w:r>
      <w:r>
        <w:rPr>
          <w:spacing w:val="-2"/>
          <w:sz w:val="20"/>
        </w:rPr>
        <w:t> </w:t>
      </w:r>
      <w:r>
        <w:rPr>
          <w:sz w:val="20"/>
        </w:rPr>
        <w:t>de</w:t>
      </w:r>
      <w:r>
        <w:rPr>
          <w:spacing w:val="-1"/>
          <w:sz w:val="20"/>
        </w:rPr>
        <w:t> </w:t>
      </w:r>
      <w:r>
        <w:rPr>
          <w:sz w:val="20"/>
        </w:rPr>
        <w:t>vida</w:t>
      </w:r>
      <w:r>
        <w:rPr>
          <w:spacing w:val="-1"/>
          <w:sz w:val="20"/>
        </w:rPr>
        <w:t> </w:t>
      </w:r>
      <w:r>
        <w:rPr>
          <w:sz w:val="20"/>
        </w:rPr>
        <w:t>y</w:t>
      </w:r>
      <w:r>
        <w:rPr>
          <w:spacing w:val="-3"/>
          <w:sz w:val="20"/>
        </w:rPr>
        <w:t> </w:t>
      </w:r>
      <w:r>
        <w:rPr>
          <w:sz w:val="20"/>
        </w:rPr>
        <w:t>arneses</w:t>
      </w:r>
      <w:r>
        <w:rPr>
          <w:spacing w:val="-2"/>
          <w:sz w:val="20"/>
        </w:rPr>
        <w:t> </w:t>
      </w:r>
      <w:r>
        <w:rPr>
          <w:sz w:val="20"/>
        </w:rPr>
        <w:t>de </w:t>
      </w:r>
      <w:r>
        <w:rPr>
          <w:spacing w:val="-2"/>
          <w:sz w:val="20"/>
        </w:rPr>
        <w:t>seguridad.</w:t>
      </w:r>
    </w:p>
    <w:p>
      <w:pPr>
        <w:pStyle w:val="BodyText"/>
        <w:spacing w:before="133"/>
      </w:pPr>
    </w:p>
    <w:p>
      <w:pPr>
        <w:pStyle w:val="ListParagraph"/>
        <w:numPr>
          <w:ilvl w:val="0"/>
          <w:numId w:val="40"/>
        </w:numPr>
        <w:tabs>
          <w:tab w:pos="1701" w:val="left" w:leader="none"/>
          <w:tab w:pos="1884" w:val="left" w:leader="none"/>
        </w:tabs>
        <w:spacing w:line="360" w:lineRule="auto" w:before="0" w:after="0"/>
        <w:ind w:left="1701" w:right="1336" w:hanging="360"/>
        <w:jc w:val="both"/>
        <w:rPr>
          <w:sz w:val="20"/>
        </w:rPr>
      </w:pPr>
      <w:r>
        <w:rPr>
          <w:sz w:val="20"/>
        </w:rPr>
        <w:tab/>
        <w:t>Se</w:t>
      </w:r>
      <w:r>
        <w:rPr>
          <w:spacing w:val="-9"/>
          <w:sz w:val="20"/>
        </w:rPr>
        <w:t> </w:t>
      </w:r>
      <w:r>
        <w:rPr>
          <w:sz w:val="20"/>
        </w:rPr>
        <w:t>han</w:t>
      </w:r>
      <w:r>
        <w:rPr>
          <w:spacing w:val="-11"/>
          <w:sz w:val="20"/>
        </w:rPr>
        <w:t> </w:t>
      </w:r>
      <w:r>
        <w:rPr>
          <w:sz w:val="20"/>
        </w:rPr>
        <w:t>mantenido</w:t>
      </w:r>
      <w:r>
        <w:rPr>
          <w:spacing w:val="-11"/>
          <w:sz w:val="20"/>
        </w:rPr>
        <w:t> </w:t>
      </w:r>
      <w:r>
        <w:rPr>
          <w:sz w:val="20"/>
        </w:rPr>
        <w:t>las</w:t>
      </w:r>
      <w:r>
        <w:rPr>
          <w:spacing w:val="-8"/>
          <w:sz w:val="20"/>
        </w:rPr>
        <w:t> </w:t>
      </w:r>
      <w:r>
        <w:rPr>
          <w:sz w:val="20"/>
        </w:rPr>
        <w:t>formaciones</w:t>
      </w:r>
      <w:r>
        <w:rPr>
          <w:spacing w:val="-8"/>
          <w:sz w:val="20"/>
        </w:rPr>
        <w:t> </w:t>
      </w:r>
      <w:r>
        <w:rPr>
          <w:sz w:val="20"/>
        </w:rPr>
        <w:t>prácticas</w:t>
      </w:r>
      <w:r>
        <w:rPr>
          <w:spacing w:val="-8"/>
          <w:sz w:val="20"/>
        </w:rPr>
        <w:t> </w:t>
      </w:r>
      <w:r>
        <w:rPr>
          <w:sz w:val="20"/>
        </w:rPr>
        <w:t>tras</w:t>
      </w:r>
      <w:r>
        <w:rPr>
          <w:spacing w:val="-9"/>
          <w:sz w:val="20"/>
        </w:rPr>
        <w:t> </w:t>
      </w:r>
      <w:r>
        <w:rPr>
          <w:sz w:val="20"/>
        </w:rPr>
        <w:t>la</w:t>
      </w:r>
      <w:r>
        <w:rPr>
          <w:spacing w:val="-11"/>
          <w:sz w:val="20"/>
        </w:rPr>
        <w:t> </w:t>
      </w:r>
      <w:r>
        <w:rPr>
          <w:sz w:val="20"/>
        </w:rPr>
        <w:t>incorporación</w:t>
      </w:r>
      <w:r>
        <w:rPr>
          <w:spacing w:val="-9"/>
          <w:sz w:val="20"/>
        </w:rPr>
        <w:t> </w:t>
      </w:r>
      <w:r>
        <w:rPr>
          <w:sz w:val="20"/>
        </w:rPr>
        <w:t>de</w:t>
      </w:r>
      <w:r>
        <w:rPr>
          <w:spacing w:val="-9"/>
          <w:sz w:val="20"/>
        </w:rPr>
        <w:t> </w:t>
      </w:r>
      <w:r>
        <w:rPr>
          <w:sz w:val="20"/>
        </w:rPr>
        <w:t>conductores</w:t>
      </w:r>
      <w:r>
        <w:rPr>
          <w:spacing w:val="-9"/>
          <w:sz w:val="20"/>
        </w:rPr>
        <w:t> </w:t>
      </w:r>
      <w:r>
        <w:rPr>
          <w:sz w:val="20"/>
        </w:rPr>
        <w:t>después de un periodo de I.T. superior a 3 meses.</w:t>
      </w:r>
    </w:p>
    <w:p>
      <w:pPr>
        <w:pStyle w:val="BodyText"/>
        <w:spacing w:before="128"/>
      </w:pPr>
    </w:p>
    <w:p>
      <w:pPr>
        <w:pStyle w:val="ListParagraph"/>
        <w:numPr>
          <w:ilvl w:val="0"/>
          <w:numId w:val="40"/>
        </w:numPr>
        <w:tabs>
          <w:tab w:pos="1701" w:val="left" w:leader="none"/>
        </w:tabs>
        <w:spacing w:line="360" w:lineRule="auto" w:before="0" w:after="0"/>
        <w:ind w:left="1701" w:right="1340" w:hanging="360"/>
        <w:jc w:val="left"/>
        <w:rPr>
          <w:sz w:val="20"/>
        </w:rPr>
      </w:pPr>
      <w:r>
        <w:rPr>
          <w:sz w:val="20"/>
        </w:rPr>
        <w:t>Participación en la formación de formadores con el uso de los alcoholímetros en la llegada de las nuevas guaguas.</w:t>
      </w:r>
    </w:p>
    <w:p>
      <w:pPr>
        <w:pStyle w:val="BodyText"/>
        <w:spacing w:before="128"/>
      </w:pPr>
    </w:p>
    <w:p>
      <w:pPr>
        <w:pStyle w:val="ListParagraph"/>
        <w:numPr>
          <w:ilvl w:val="0"/>
          <w:numId w:val="40"/>
        </w:numPr>
        <w:tabs>
          <w:tab w:pos="1701" w:val="left" w:leader="none"/>
        </w:tabs>
        <w:spacing w:line="240" w:lineRule="auto" w:before="0" w:after="0"/>
        <w:ind w:left="1701" w:right="0" w:hanging="360"/>
        <w:jc w:val="left"/>
        <w:rPr>
          <w:sz w:val="20"/>
        </w:rPr>
      </w:pPr>
      <w:r>
        <w:rPr>
          <w:sz w:val="20"/>
        </w:rPr>
        <w:t>Investigación</w:t>
      </w:r>
      <w:r>
        <w:rPr>
          <w:spacing w:val="-6"/>
          <w:sz w:val="20"/>
        </w:rPr>
        <w:t> </w:t>
      </w:r>
      <w:r>
        <w:rPr>
          <w:sz w:val="20"/>
        </w:rPr>
        <w:t>de</w:t>
      </w:r>
      <w:r>
        <w:rPr>
          <w:spacing w:val="-5"/>
          <w:sz w:val="20"/>
        </w:rPr>
        <w:t> </w:t>
      </w:r>
      <w:r>
        <w:rPr>
          <w:sz w:val="20"/>
        </w:rPr>
        <w:t>accidentes</w:t>
      </w:r>
      <w:r>
        <w:rPr>
          <w:spacing w:val="-7"/>
          <w:sz w:val="20"/>
        </w:rPr>
        <w:t> </w:t>
      </w:r>
      <w:r>
        <w:rPr>
          <w:sz w:val="20"/>
        </w:rPr>
        <w:t>e</w:t>
      </w:r>
      <w:r>
        <w:rPr>
          <w:spacing w:val="-8"/>
          <w:sz w:val="20"/>
        </w:rPr>
        <w:t> </w:t>
      </w:r>
      <w:r>
        <w:rPr>
          <w:sz w:val="20"/>
        </w:rPr>
        <w:t>incidentes</w:t>
      </w:r>
      <w:r>
        <w:rPr>
          <w:spacing w:val="-7"/>
          <w:sz w:val="20"/>
        </w:rPr>
        <w:t> </w:t>
      </w:r>
      <w:r>
        <w:rPr>
          <w:sz w:val="20"/>
        </w:rPr>
        <w:t>de</w:t>
      </w:r>
      <w:r>
        <w:rPr>
          <w:spacing w:val="-5"/>
          <w:sz w:val="20"/>
        </w:rPr>
        <w:t> </w:t>
      </w:r>
      <w:r>
        <w:rPr>
          <w:sz w:val="20"/>
        </w:rPr>
        <w:t>la</w:t>
      </w:r>
      <w:r>
        <w:rPr>
          <w:spacing w:val="-5"/>
          <w:sz w:val="20"/>
        </w:rPr>
        <w:t> </w:t>
      </w:r>
      <w:r>
        <w:rPr>
          <w:spacing w:val="-2"/>
          <w:sz w:val="20"/>
        </w:rPr>
        <w:t>empresa.</w:t>
      </w:r>
    </w:p>
    <w:p>
      <w:pPr>
        <w:pStyle w:val="BodyText"/>
      </w:pPr>
    </w:p>
    <w:p>
      <w:pPr>
        <w:pStyle w:val="BodyText"/>
        <w:spacing w:before="12"/>
      </w:pPr>
    </w:p>
    <w:p>
      <w:pPr>
        <w:pStyle w:val="ListParagraph"/>
        <w:numPr>
          <w:ilvl w:val="0"/>
          <w:numId w:val="40"/>
        </w:numPr>
        <w:tabs>
          <w:tab w:pos="360" w:val="left" w:leader="none"/>
        </w:tabs>
        <w:spacing w:line="240" w:lineRule="auto" w:before="1" w:after="0"/>
        <w:ind w:left="360" w:right="0" w:hanging="360"/>
        <w:jc w:val="center"/>
        <w:rPr>
          <w:sz w:val="20"/>
        </w:rPr>
      </w:pPr>
      <w:r>
        <w:rPr>
          <w:sz w:val="20"/>
        </w:rPr>
        <w:t>Vinculado</w:t>
      </w:r>
      <w:r>
        <w:rPr>
          <w:spacing w:val="76"/>
          <w:sz w:val="20"/>
        </w:rPr>
        <w:t> </w:t>
      </w:r>
      <w:r>
        <w:rPr>
          <w:sz w:val="20"/>
        </w:rPr>
        <w:t>a</w:t>
      </w:r>
      <w:r>
        <w:rPr>
          <w:spacing w:val="75"/>
          <w:sz w:val="20"/>
        </w:rPr>
        <w:t> </w:t>
      </w:r>
      <w:r>
        <w:rPr>
          <w:sz w:val="20"/>
        </w:rPr>
        <w:t>la</w:t>
      </w:r>
      <w:r>
        <w:rPr>
          <w:spacing w:val="76"/>
          <w:sz w:val="20"/>
        </w:rPr>
        <w:t> </w:t>
      </w:r>
      <w:r>
        <w:rPr>
          <w:sz w:val="20"/>
        </w:rPr>
        <w:t>estrategia</w:t>
      </w:r>
      <w:r>
        <w:rPr>
          <w:spacing w:val="79"/>
          <w:sz w:val="20"/>
        </w:rPr>
        <w:t> </w:t>
      </w:r>
      <w:r>
        <w:rPr>
          <w:sz w:val="20"/>
        </w:rPr>
        <w:t>para</w:t>
      </w:r>
      <w:r>
        <w:rPr>
          <w:spacing w:val="76"/>
          <w:sz w:val="20"/>
        </w:rPr>
        <w:t> </w:t>
      </w:r>
      <w:r>
        <w:rPr>
          <w:sz w:val="20"/>
        </w:rPr>
        <w:t>reducir</w:t>
      </w:r>
      <w:r>
        <w:rPr>
          <w:spacing w:val="76"/>
          <w:sz w:val="20"/>
        </w:rPr>
        <w:t> </w:t>
      </w:r>
      <w:r>
        <w:rPr>
          <w:sz w:val="20"/>
        </w:rPr>
        <w:t>la</w:t>
      </w:r>
      <w:r>
        <w:rPr>
          <w:spacing w:val="75"/>
          <w:sz w:val="20"/>
        </w:rPr>
        <w:t> </w:t>
      </w:r>
      <w:r>
        <w:rPr>
          <w:sz w:val="20"/>
        </w:rPr>
        <w:t>siniestralidad</w:t>
      </w:r>
      <w:r>
        <w:rPr>
          <w:spacing w:val="78"/>
          <w:sz w:val="20"/>
        </w:rPr>
        <w:t> </w:t>
      </w:r>
      <w:r>
        <w:rPr>
          <w:sz w:val="20"/>
        </w:rPr>
        <w:t>laboral,</w:t>
      </w:r>
      <w:r>
        <w:rPr>
          <w:spacing w:val="74"/>
          <w:sz w:val="20"/>
        </w:rPr>
        <w:t> </w:t>
      </w:r>
      <w:r>
        <w:rPr>
          <w:sz w:val="20"/>
        </w:rPr>
        <w:t>se</w:t>
      </w:r>
      <w:r>
        <w:rPr>
          <w:spacing w:val="75"/>
          <w:sz w:val="20"/>
        </w:rPr>
        <w:t> </w:t>
      </w:r>
      <w:r>
        <w:rPr>
          <w:sz w:val="20"/>
        </w:rPr>
        <w:t>ha</w:t>
      </w:r>
      <w:r>
        <w:rPr>
          <w:spacing w:val="75"/>
          <w:sz w:val="20"/>
        </w:rPr>
        <w:t> </w:t>
      </w:r>
      <w:r>
        <w:rPr>
          <w:sz w:val="20"/>
        </w:rPr>
        <w:t>priorizado</w:t>
      </w:r>
      <w:r>
        <w:rPr>
          <w:spacing w:val="78"/>
          <w:sz w:val="20"/>
        </w:rPr>
        <w:t> </w:t>
      </w:r>
      <w:r>
        <w:rPr>
          <w:spacing w:val="-5"/>
          <w:sz w:val="20"/>
        </w:rPr>
        <w:t>la</w:t>
      </w:r>
    </w:p>
    <w:p>
      <w:pPr>
        <w:pStyle w:val="BodyText"/>
        <w:spacing w:line="360" w:lineRule="auto" w:before="114"/>
        <w:ind w:left="1701" w:right="1335"/>
        <w:jc w:val="both"/>
      </w:pPr>
      <w:r>
        <w:rPr/>
        <mc:AlternateContent>
          <mc:Choice Requires="wps">
            <w:drawing>
              <wp:anchor distT="0" distB="0" distL="0" distR="0" allowOverlap="1" layoutInCell="1" locked="0" behindDoc="0" simplePos="0" relativeHeight="15815168">
                <wp:simplePos x="0" y="0"/>
                <wp:positionH relativeFrom="page">
                  <wp:posOffset>6966436</wp:posOffset>
                </wp:positionH>
                <wp:positionV relativeFrom="paragraph">
                  <wp:posOffset>190569</wp:posOffset>
                </wp:positionV>
                <wp:extent cx="263525" cy="32759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5.005507pt;width:20.75pt;height:257.95pt;mso-position-horizontal-relative:page;mso-position-vertical-relative:paragraph;z-index:15815168" type="#_x0000_t202" id="docshape23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colaboración con las distintas Concejalías del Ayuntamiento, transmitiendo aquellas situaciones que, de forma</w:t>
      </w:r>
      <w:r>
        <w:rPr>
          <w:spacing w:val="-1"/>
        </w:rPr>
        <w:t> </w:t>
      </w:r>
      <w:r>
        <w:rPr/>
        <w:t>preventiva y/o</w:t>
      </w:r>
      <w:r>
        <w:rPr>
          <w:spacing w:val="-1"/>
        </w:rPr>
        <w:t> </w:t>
      </w:r>
      <w:r>
        <w:rPr/>
        <w:t>correctiva, afectarían positivamente a la</w:t>
      </w:r>
      <w:r>
        <w:rPr>
          <w:spacing w:val="-1"/>
        </w:rPr>
        <w:t> </w:t>
      </w:r>
      <w:r>
        <w:rPr/>
        <w:t>reducción de la siniestralidad, apoyándose en las declaraciones de accidente tramitadas por los trabajadores</w:t>
      </w:r>
      <w:r>
        <w:rPr>
          <w:spacing w:val="25"/>
        </w:rPr>
        <w:t> </w:t>
      </w:r>
      <w:r>
        <w:rPr/>
        <w:t>y</w:t>
      </w:r>
      <w:r>
        <w:rPr>
          <w:spacing w:val="21"/>
        </w:rPr>
        <w:t> </w:t>
      </w:r>
      <w:r>
        <w:rPr/>
        <w:t>trabajadoras,</w:t>
      </w:r>
      <w:r>
        <w:rPr>
          <w:spacing w:val="22"/>
        </w:rPr>
        <w:t> </w:t>
      </w:r>
      <w:r>
        <w:rPr/>
        <w:t>así</w:t>
      </w:r>
      <w:r>
        <w:rPr>
          <w:spacing w:val="22"/>
        </w:rPr>
        <w:t> </w:t>
      </w:r>
      <w:r>
        <w:rPr/>
        <w:t>como</w:t>
      </w:r>
      <w:r>
        <w:rPr>
          <w:spacing w:val="22"/>
        </w:rPr>
        <w:t> </w:t>
      </w:r>
      <w:r>
        <w:rPr/>
        <w:t>en</w:t>
      </w:r>
      <w:r>
        <w:rPr>
          <w:spacing w:val="22"/>
        </w:rPr>
        <w:t> </w:t>
      </w:r>
      <w:r>
        <w:rPr/>
        <w:t>las</w:t>
      </w:r>
      <w:r>
        <w:rPr>
          <w:spacing w:val="24"/>
        </w:rPr>
        <w:t> </w:t>
      </w:r>
      <w:r>
        <w:rPr/>
        <w:t>incidencias</w:t>
      </w:r>
      <w:r>
        <w:rPr>
          <w:spacing w:val="24"/>
        </w:rPr>
        <w:t> </w:t>
      </w:r>
      <w:r>
        <w:rPr/>
        <w:t>que</w:t>
      </w:r>
      <w:r>
        <w:rPr>
          <w:spacing w:val="24"/>
        </w:rPr>
        <w:t> </w:t>
      </w:r>
      <w:r>
        <w:rPr/>
        <w:t>llegan</w:t>
      </w:r>
      <w:r>
        <w:rPr>
          <w:spacing w:val="23"/>
        </w:rPr>
        <w:t> </w:t>
      </w:r>
      <w:r>
        <w:rPr/>
        <w:t>al</w:t>
      </w:r>
      <w:r>
        <w:rPr>
          <w:spacing w:val="23"/>
        </w:rPr>
        <w:t> </w:t>
      </w:r>
      <w:r>
        <w:rPr/>
        <w:t>Departamento</w:t>
      </w:r>
      <w:r>
        <w:rPr>
          <w:spacing w:val="23"/>
        </w:rPr>
        <w:t> </w:t>
      </w:r>
      <w:r>
        <w:rPr>
          <w:spacing w:val="-5"/>
        </w:rPr>
        <w:t>de</w:t>
      </w:r>
    </w:p>
    <w:p>
      <w:pPr>
        <w:pStyle w:val="BodyText"/>
        <w:ind w:left="1701"/>
      </w:pPr>
      <w:r>
        <w:rPr/>
        <w:t>P.R.L.</w:t>
      </w:r>
      <w:r>
        <w:rPr>
          <w:spacing w:val="43"/>
        </w:rPr>
        <w:t> </w:t>
      </w:r>
      <w:r>
        <w:rPr/>
        <w:t>y</w:t>
      </w:r>
      <w:r>
        <w:rPr>
          <w:spacing w:val="40"/>
        </w:rPr>
        <w:t> </w:t>
      </w:r>
      <w:r>
        <w:rPr/>
        <w:t>Seguros,</w:t>
      </w:r>
      <w:r>
        <w:rPr>
          <w:spacing w:val="44"/>
        </w:rPr>
        <w:t> </w:t>
      </w:r>
      <w:r>
        <w:rPr/>
        <w:t>informando</w:t>
      </w:r>
      <w:r>
        <w:rPr>
          <w:spacing w:val="40"/>
        </w:rPr>
        <w:t> </w:t>
      </w:r>
      <w:r>
        <w:rPr/>
        <w:t>de</w:t>
      </w:r>
      <w:r>
        <w:rPr>
          <w:spacing w:val="41"/>
        </w:rPr>
        <w:t> </w:t>
      </w:r>
      <w:r>
        <w:rPr/>
        <w:t>situaciones</w:t>
      </w:r>
      <w:r>
        <w:rPr>
          <w:spacing w:val="44"/>
        </w:rPr>
        <w:t> </w:t>
      </w:r>
      <w:r>
        <w:rPr/>
        <w:t>a</w:t>
      </w:r>
      <w:r>
        <w:rPr>
          <w:spacing w:val="41"/>
        </w:rPr>
        <w:t> </w:t>
      </w:r>
      <w:r>
        <w:rPr/>
        <w:t>corregir</w:t>
      </w:r>
      <w:r>
        <w:rPr>
          <w:spacing w:val="45"/>
        </w:rPr>
        <w:t> </w:t>
      </w:r>
      <w:r>
        <w:rPr/>
        <w:t>y</w:t>
      </w:r>
      <w:r>
        <w:rPr>
          <w:spacing w:val="38"/>
        </w:rPr>
        <w:t> </w:t>
      </w:r>
      <w:r>
        <w:rPr/>
        <w:t>también</w:t>
      </w:r>
      <w:r>
        <w:rPr>
          <w:spacing w:val="44"/>
        </w:rPr>
        <w:t> </w:t>
      </w:r>
      <w:r>
        <w:rPr/>
        <w:t>de</w:t>
      </w:r>
      <w:r>
        <w:rPr>
          <w:spacing w:val="41"/>
        </w:rPr>
        <w:t> </w:t>
      </w:r>
      <w:r>
        <w:rPr/>
        <w:t>estudios</w:t>
      </w:r>
      <w:r>
        <w:rPr>
          <w:spacing w:val="42"/>
        </w:rPr>
        <w:t> </w:t>
      </w:r>
      <w:r>
        <w:rPr>
          <w:spacing w:val="-2"/>
        </w:rPr>
        <w:t>propios</w:t>
      </w:r>
    </w:p>
    <w:p>
      <w:pPr>
        <w:pStyle w:val="BodyText"/>
        <w:spacing w:line="360" w:lineRule="auto" w:before="114"/>
        <w:ind w:left="1701" w:right="1308"/>
      </w:pPr>
      <w:r>
        <w:rPr/>
        <w:t>elaborados</w:t>
      </w:r>
      <w:r>
        <w:rPr>
          <w:spacing w:val="32"/>
        </w:rPr>
        <w:t> </w:t>
      </w:r>
      <w:r>
        <w:rPr/>
        <w:t>desde</w:t>
      </w:r>
      <w:r>
        <w:rPr>
          <w:spacing w:val="31"/>
        </w:rPr>
        <w:t> </w:t>
      </w:r>
      <w:r>
        <w:rPr/>
        <w:t>el</w:t>
      </w:r>
      <w:r>
        <w:rPr>
          <w:spacing w:val="30"/>
        </w:rPr>
        <w:t> </w:t>
      </w:r>
      <w:r>
        <w:rPr/>
        <w:t>Dpto.</w:t>
      </w:r>
      <w:r>
        <w:rPr>
          <w:spacing w:val="33"/>
        </w:rPr>
        <w:t> </w:t>
      </w:r>
      <w:r>
        <w:rPr/>
        <w:t>de</w:t>
      </w:r>
      <w:r>
        <w:rPr>
          <w:spacing w:val="32"/>
        </w:rPr>
        <w:t> </w:t>
      </w:r>
      <w:r>
        <w:rPr/>
        <w:t>forma</w:t>
      </w:r>
      <w:r>
        <w:rPr>
          <w:spacing w:val="32"/>
        </w:rPr>
        <w:t> </w:t>
      </w:r>
      <w:r>
        <w:rPr/>
        <w:t>interna,</w:t>
      </w:r>
      <w:r>
        <w:rPr>
          <w:spacing w:val="32"/>
        </w:rPr>
        <w:t> </w:t>
      </w:r>
      <w:r>
        <w:rPr/>
        <w:t>en</w:t>
      </w:r>
      <w:r>
        <w:rPr>
          <w:spacing w:val="33"/>
        </w:rPr>
        <w:t> </w:t>
      </w:r>
      <w:r>
        <w:rPr/>
        <w:t>zonas</w:t>
      </w:r>
      <w:r>
        <w:rPr>
          <w:spacing w:val="33"/>
        </w:rPr>
        <w:t> </w:t>
      </w:r>
      <w:r>
        <w:rPr/>
        <w:t>que</w:t>
      </w:r>
      <w:r>
        <w:rPr>
          <w:spacing w:val="32"/>
        </w:rPr>
        <w:t> </w:t>
      </w:r>
      <w:r>
        <w:rPr/>
        <w:t>puedan</w:t>
      </w:r>
      <w:r>
        <w:rPr>
          <w:spacing w:val="32"/>
        </w:rPr>
        <w:t> </w:t>
      </w:r>
      <w:r>
        <w:rPr/>
        <w:t>generar</w:t>
      </w:r>
      <w:r>
        <w:rPr>
          <w:spacing w:val="31"/>
        </w:rPr>
        <w:t> </w:t>
      </w:r>
      <w:r>
        <w:rPr/>
        <w:t>incidencias. Estas</w:t>
      </w:r>
      <w:r>
        <w:rPr>
          <w:spacing w:val="28"/>
        </w:rPr>
        <w:t> </w:t>
      </w:r>
      <w:r>
        <w:rPr/>
        <w:t>actuaciones</w:t>
      </w:r>
      <w:r>
        <w:rPr>
          <w:spacing w:val="27"/>
        </w:rPr>
        <w:t> </w:t>
      </w:r>
      <w:r>
        <w:rPr/>
        <w:t>han</w:t>
      </w:r>
      <w:r>
        <w:rPr>
          <w:spacing w:val="26"/>
        </w:rPr>
        <w:t> </w:t>
      </w:r>
      <w:r>
        <w:rPr/>
        <w:t>venido</w:t>
      </w:r>
      <w:r>
        <w:rPr>
          <w:spacing w:val="25"/>
        </w:rPr>
        <w:t> </w:t>
      </w:r>
      <w:r>
        <w:rPr/>
        <w:t>acompañadas</w:t>
      </w:r>
      <w:r>
        <w:rPr>
          <w:spacing w:val="29"/>
        </w:rPr>
        <w:t> </w:t>
      </w:r>
      <w:r>
        <w:rPr/>
        <w:t>en</w:t>
      </w:r>
      <w:r>
        <w:rPr>
          <w:spacing w:val="27"/>
        </w:rPr>
        <w:t> </w:t>
      </w:r>
      <w:r>
        <w:rPr/>
        <w:t>distintas</w:t>
      </w:r>
      <w:r>
        <w:rPr>
          <w:spacing w:val="26"/>
        </w:rPr>
        <w:t> </w:t>
      </w:r>
      <w:r>
        <w:rPr/>
        <w:t>ocasiones</w:t>
      </w:r>
      <w:r>
        <w:rPr>
          <w:spacing w:val="29"/>
        </w:rPr>
        <w:t> </w:t>
      </w:r>
      <w:r>
        <w:rPr/>
        <w:t>de</w:t>
      </w:r>
      <w:r>
        <w:rPr>
          <w:spacing w:val="27"/>
        </w:rPr>
        <w:t> </w:t>
      </w:r>
      <w:r>
        <w:rPr/>
        <w:t>reuniones</w:t>
      </w:r>
      <w:r>
        <w:rPr>
          <w:spacing w:val="26"/>
        </w:rPr>
        <w:t> </w:t>
      </w:r>
      <w:r>
        <w:rPr/>
        <w:t>in-</w:t>
      </w:r>
      <w:r>
        <w:rPr>
          <w:spacing w:val="-4"/>
        </w:rPr>
        <w:t>situ</w:t>
      </w:r>
    </w:p>
    <w:p>
      <w:pPr>
        <w:pStyle w:val="BodyText"/>
        <w:spacing w:before="1"/>
        <w:ind w:left="361"/>
        <w:jc w:val="center"/>
      </w:pPr>
      <w:r>
        <w:rPr/>
        <w:t>con</w:t>
      </w:r>
      <w:r>
        <w:rPr>
          <w:spacing w:val="68"/>
          <w:w w:val="150"/>
        </w:rPr>
        <w:t> </w:t>
      </w:r>
      <w:r>
        <w:rPr/>
        <w:t>los</w:t>
      </w:r>
      <w:r>
        <w:rPr>
          <w:spacing w:val="70"/>
          <w:w w:val="150"/>
        </w:rPr>
        <w:t> </w:t>
      </w:r>
      <w:r>
        <w:rPr/>
        <w:t>responsables</w:t>
      </w:r>
      <w:r>
        <w:rPr>
          <w:spacing w:val="75"/>
          <w:w w:val="150"/>
        </w:rPr>
        <w:t> </w:t>
      </w:r>
      <w:r>
        <w:rPr/>
        <w:t>municipales</w:t>
      </w:r>
      <w:r>
        <w:rPr>
          <w:spacing w:val="74"/>
          <w:w w:val="150"/>
        </w:rPr>
        <w:t> </w:t>
      </w:r>
      <w:r>
        <w:rPr/>
        <w:t>y</w:t>
      </w:r>
      <w:r>
        <w:rPr>
          <w:spacing w:val="62"/>
          <w:w w:val="150"/>
        </w:rPr>
        <w:t> </w:t>
      </w:r>
      <w:r>
        <w:rPr/>
        <w:t>finalmente</w:t>
      </w:r>
      <w:r>
        <w:rPr>
          <w:spacing w:val="70"/>
          <w:w w:val="150"/>
        </w:rPr>
        <w:t> </w:t>
      </w:r>
      <w:r>
        <w:rPr/>
        <w:t>visitas</w:t>
      </w:r>
      <w:r>
        <w:rPr>
          <w:spacing w:val="72"/>
          <w:w w:val="150"/>
        </w:rPr>
        <w:t> </w:t>
      </w:r>
      <w:r>
        <w:rPr/>
        <w:t>para</w:t>
      </w:r>
      <w:r>
        <w:rPr>
          <w:spacing w:val="68"/>
          <w:w w:val="150"/>
        </w:rPr>
        <w:t> </w:t>
      </w:r>
      <w:r>
        <w:rPr/>
        <w:t>verificar</w:t>
      </w:r>
      <w:r>
        <w:rPr>
          <w:spacing w:val="72"/>
          <w:w w:val="150"/>
        </w:rPr>
        <w:t> </w:t>
      </w:r>
      <w:r>
        <w:rPr/>
        <w:t>las</w:t>
      </w:r>
      <w:r>
        <w:rPr>
          <w:spacing w:val="70"/>
          <w:w w:val="150"/>
        </w:rPr>
        <w:t> </w:t>
      </w:r>
      <w:r>
        <w:rPr>
          <w:spacing w:val="-2"/>
        </w:rPr>
        <w:t>acciones</w:t>
      </w:r>
    </w:p>
    <w:p>
      <w:pPr>
        <w:pStyle w:val="BodyText"/>
        <w:spacing w:before="113"/>
        <w:ind w:left="1701"/>
      </w:pPr>
      <w:r>
        <w:rPr/>
        <w:t>acometidas</w:t>
      </w:r>
      <w:r>
        <w:rPr>
          <w:spacing w:val="-1"/>
        </w:rPr>
        <w:t> </w:t>
      </w:r>
      <w:r>
        <w:rPr/>
        <w:t>y</w:t>
      </w:r>
      <w:r>
        <w:rPr>
          <w:spacing w:val="-10"/>
        </w:rPr>
        <w:t> </w:t>
      </w:r>
      <w:r>
        <w:rPr/>
        <w:t>su</w:t>
      </w:r>
      <w:r>
        <w:rPr>
          <w:spacing w:val="-7"/>
        </w:rPr>
        <w:t> </w:t>
      </w:r>
      <w:r>
        <w:rPr>
          <w:spacing w:val="-2"/>
        </w:rPr>
        <w:t>repercusión.</w:t>
      </w:r>
    </w:p>
    <w:p>
      <w:pPr>
        <w:pStyle w:val="BodyText"/>
      </w:pPr>
    </w:p>
    <w:p>
      <w:pPr>
        <w:pStyle w:val="BodyText"/>
        <w:spacing w:before="16"/>
      </w:pPr>
    </w:p>
    <w:p>
      <w:pPr>
        <w:pStyle w:val="ListParagraph"/>
        <w:numPr>
          <w:ilvl w:val="0"/>
          <w:numId w:val="40"/>
        </w:numPr>
        <w:tabs>
          <w:tab w:pos="1701" w:val="left" w:leader="none"/>
          <w:tab w:pos="1884" w:val="left" w:leader="none"/>
        </w:tabs>
        <w:spacing w:line="357" w:lineRule="auto" w:before="0" w:after="0"/>
        <w:ind w:left="1701" w:right="1337" w:hanging="360"/>
        <w:jc w:val="both"/>
        <w:rPr>
          <w:sz w:val="20"/>
        </w:rPr>
      </w:pPr>
      <w:r>
        <w:rPr>
          <w:sz w:val="20"/>
        </w:rPr>
        <w:tab/>
        <w:t>Se ha continuado gestionando la coordinación inter-empresarial a través del </w:t>
      </w:r>
      <w:r>
        <w:rPr>
          <w:sz w:val="20"/>
        </w:rPr>
        <w:t>software Prevengos, formando a los vigilantes de seguridad en el manejo del mismo, para poder validar el acceso de personal y maquinaria al centro de Arequipa.</w:t>
      </w:r>
    </w:p>
    <w:p>
      <w:pPr>
        <w:pStyle w:val="ListParagraph"/>
        <w:spacing w:after="0" w:line="357" w:lineRule="auto"/>
        <w:jc w:val="both"/>
        <w:rPr>
          <w:sz w:val="20"/>
        </w:rPr>
        <w:sectPr>
          <w:type w:val="continuous"/>
          <w:pgSz w:w="11910" w:h="16840"/>
          <w:pgMar w:header="384" w:footer="1060" w:top="1700" w:bottom="1040" w:left="360" w:right="360"/>
        </w:sectPr>
      </w:pPr>
    </w:p>
    <w:p>
      <w:pPr>
        <w:pStyle w:val="BodyText"/>
      </w:pPr>
    </w:p>
    <w:p>
      <w:pPr>
        <w:pStyle w:val="ListParagraph"/>
        <w:numPr>
          <w:ilvl w:val="0"/>
          <w:numId w:val="40"/>
        </w:numPr>
        <w:tabs>
          <w:tab w:pos="1701" w:val="left" w:leader="none"/>
        </w:tabs>
        <w:spacing w:line="357" w:lineRule="auto" w:before="0" w:after="0"/>
        <w:ind w:left="1701" w:right="1337" w:hanging="360"/>
        <w:jc w:val="left"/>
        <w:rPr>
          <w:sz w:val="20"/>
        </w:rPr>
      </w:pPr>
      <w:r>
        <w:rPr>
          <w:sz w:val="20"/>
        </w:rPr>
        <w:t>Especial</w:t>
      </w:r>
      <w:r>
        <w:rPr>
          <w:spacing w:val="76"/>
          <w:sz w:val="20"/>
        </w:rPr>
        <w:t> </w:t>
      </w:r>
      <w:r>
        <w:rPr>
          <w:sz w:val="20"/>
        </w:rPr>
        <w:t>relevancia</w:t>
      </w:r>
      <w:r>
        <w:rPr>
          <w:spacing w:val="77"/>
          <w:sz w:val="20"/>
        </w:rPr>
        <w:t> </w:t>
      </w:r>
      <w:r>
        <w:rPr>
          <w:sz w:val="20"/>
        </w:rPr>
        <w:t>para</w:t>
      </w:r>
      <w:r>
        <w:rPr>
          <w:spacing w:val="79"/>
          <w:sz w:val="20"/>
        </w:rPr>
        <w:t> </w:t>
      </w:r>
      <w:r>
        <w:rPr>
          <w:sz w:val="20"/>
        </w:rPr>
        <w:t>la</w:t>
      </w:r>
      <w:r>
        <w:rPr>
          <w:spacing w:val="77"/>
          <w:sz w:val="20"/>
        </w:rPr>
        <w:t> </w:t>
      </w:r>
      <w:r>
        <w:rPr>
          <w:sz w:val="20"/>
        </w:rPr>
        <w:t>actualización</w:t>
      </w:r>
      <w:r>
        <w:rPr>
          <w:spacing w:val="78"/>
          <w:sz w:val="20"/>
        </w:rPr>
        <w:t> </w:t>
      </w:r>
      <w:r>
        <w:rPr>
          <w:sz w:val="20"/>
        </w:rPr>
        <w:t>del</w:t>
      </w:r>
      <w:r>
        <w:rPr>
          <w:spacing w:val="75"/>
          <w:sz w:val="20"/>
        </w:rPr>
        <w:t> </w:t>
      </w:r>
      <w:r>
        <w:rPr>
          <w:sz w:val="20"/>
        </w:rPr>
        <w:t>Plan</w:t>
      </w:r>
      <w:r>
        <w:rPr>
          <w:spacing w:val="77"/>
          <w:sz w:val="20"/>
        </w:rPr>
        <w:t> </w:t>
      </w:r>
      <w:r>
        <w:rPr>
          <w:sz w:val="20"/>
        </w:rPr>
        <w:t>de</w:t>
      </w:r>
      <w:r>
        <w:rPr>
          <w:spacing w:val="78"/>
          <w:sz w:val="20"/>
        </w:rPr>
        <w:t> </w:t>
      </w:r>
      <w:r>
        <w:rPr>
          <w:sz w:val="20"/>
        </w:rPr>
        <w:t>Autoprotección</w:t>
      </w:r>
      <w:r>
        <w:rPr>
          <w:spacing w:val="77"/>
          <w:sz w:val="20"/>
        </w:rPr>
        <w:t> </w:t>
      </w:r>
      <w:r>
        <w:rPr>
          <w:sz w:val="20"/>
        </w:rPr>
        <w:t>del</w:t>
      </w:r>
      <w:r>
        <w:rPr>
          <w:spacing w:val="80"/>
          <w:sz w:val="20"/>
        </w:rPr>
        <w:t> </w:t>
      </w:r>
      <w:r>
        <w:rPr>
          <w:sz w:val="20"/>
        </w:rPr>
        <w:t>centro</w:t>
      </w:r>
      <w:r>
        <w:rPr>
          <w:spacing w:val="77"/>
          <w:sz w:val="20"/>
        </w:rPr>
        <w:t> </w:t>
      </w:r>
      <w:r>
        <w:rPr>
          <w:sz w:val="20"/>
        </w:rPr>
        <w:t>de Arequipa,</w:t>
      </w:r>
      <w:r>
        <w:rPr>
          <w:spacing w:val="36"/>
          <w:sz w:val="20"/>
        </w:rPr>
        <w:t> </w:t>
      </w:r>
      <w:r>
        <w:rPr>
          <w:sz w:val="20"/>
        </w:rPr>
        <w:t>conforme</w:t>
      </w:r>
      <w:r>
        <w:rPr>
          <w:spacing w:val="35"/>
          <w:sz w:val="20"/>
        </w:rPr>
        <w:t> </w:t>
      </w:r>
      <w:r>
        <w:rPr>
          <w:sz w:val="20"/>
        </w:rPr>
        <w:t>normativa,</w:t>
      </w:r>
      <w:r>
        <w:rPr>
          <w:spacing w:val="35"/>
          <w:sz w:val="20"/>
        </w:rPr>
        <w:t> </w:t>
      </w:r>
      <w:r>
        <w:rPr>
          <w:sz w:val="20"/>
        </w:rPr>
        <w:t>encontrándose</w:t>
      </w:r>
      <w:r>
        <w:rPr>
          <w:spacing w:val="34"/>
          <w:sz w:val="20"/>
        </w:rPr>
        <w:t> </w:t>
      </w:r>
      <w:r>
        <w:rPr>
          <w:sz w:val="20"/>
        </w:rPr>
        <w:t>en</w:t>
      </w:r>
      <w:r>
        <w:rPr>
          <w:spacing w:val="34"/>
          <w:sz w:val="20"/>
        </w:rPr>
        <w:t> </w:t>
      </w:r>
      <w:r>
        <w:rPr>
          <w:sz w:val="20"/>
        </w:rPr>
        <w:t>fase</w:t>
      </w:r>
      <w:r>
        <w:rPr>
          <w:spacing w:val="34"/>
          <w:sz w:val="20"/>
        </w:rPr>
        <w:t> </w:t>
      </w:r>
      <w:r>
        <w:rPr>
          <w:sz w:val="20"/>
        </w:rPr>
        <w:t>de</w:t>
      </w:r>
      <w:r>
        <w:rPr>
          <w:spacing w:val="35"/>
          <w:sz w:val="20"/>
        </w:rPr>
        <w:t> </w:t>
      </w:r>
      <w:r>
        <w:rPr>
          <w:sz w:val="20"/>
        </w:rPr>
        <w:t>registro</w:t>
      </w:r>
      <w:r>
        <w:rPr>
          <w:spacing w:val="34"/>
          <w:sz w:val="20"/>
        </w:rPr>
        <w:t> </w:t>
      </w:r>
      <w:r>
        <w:rPr>
          <w:sz w:val="20"/>
        </w:rPr>
        <w:t>en</w:t>
      </w:r>
      <w:r>
        <w:rPr>
          <w:spacing w:val="34"/>
          <w:sz w:val="20"/>
        </w:rPr>
        <w:t> </w:t>
      </w:r>
      <w:r>
        <w:rPr>
          <w:sz w:val="20"/>
        </w:rPr>
        <w:t>el</w:t>
      </w:r>
      <w:r>
        <w:rPr>
          <w:spacing w:val="35"/>
          <w:sz w:val="20"/>
        </w:rPr>
        <w:t> </w:t>
      </w:r>
      <w:r>
        <w:rPr>
          <w:sz w:val="20"/>
        </w:rPr>
        <w:t>momento</w:t>
      </w:r>
      <w:r>
        <w:rPr>
          <w:spacing w:val="35"/>
          <w:sz w:val="20"/>
        </w:rPr>
        <w:t> </w:t>
      </w:r>
      <w:r>
        <w:rPr>
          <w:sz w:val="20"/>
        </w:rPr>
        <w:t>de</w:t>
      </w:r>
      <w:r>
        <w:rPr>
          <w:spacing w:val="34"/>
          <w:sz w:val="20"/>
        </w:rPr>
        <w:t> </w:t>
      </w:r>
      <w:r>
        <w:rPr>
          <w:sz w:val="20"/>
        </w:rPr>
        <w:t>la</w:t>
      </w:r>
    </w:p>
    <w:p>
      <w:pPr>
        <w:pStyle w:val="BodyText"/>
        <w:spacing w:before="2"/>
        <w:ind w:left="361"/>
        <w:jc w:val="center"/>
      </w:pPr>
      <w:r>
        <w:rPr/>
        <w:t>publicación</w:t>
      </w:r>
      <w:r>
        <w:rPr>
          <w:spacing w:val="47"/>
        </w:rPr>
        <w:t> </w:t>
      </w:r>
      <w:r>
        <w:rPr/>
        <w:t>de</w:t>
      </w:r>
      <w:r>
        <w:rPr>
          <w:spacing w:val="50"/>
        </w:rPr>
        <w:t> </w:t>
      </w:r>
      <w:r>
        <w:rPr/>
        <w:t>este</w:t>
      </w:r>
      <w:r>
        <w:rPr>
          <w:spacing w:val="48"/>
        </w:rPr>
        <w:t> </w:t>
      </w:r>
      <w:r>
        <w:rPr/>
        <w:t>documento.</w:t>
      </w:r>
      <w:r>
        <w:rPr>
          <w:spacing w:val="46"/>
        </w:rPr>
        <w:t> </w:t>
      </w:r>
      <w:r>
        <w:rPr/>
        <w:t>Vinculado</w:t>
      </w:r>
      <w:r>
        <w:rPr>
          <w:spacing w:val="48"/>
        </w:rPr>
        <w:t> </w:t>
      </w:r>
      <w:r>
        <w:rPr/>
        <w:t>a</w:t>
      </w:r>
      <w:r>
        <w:rPr>
          <w:spacing w:val="47"/>
        </w:rPr>
        <w:t> </w:t>
      </w:r>
      <w:r>
        <w:rPr/>
        <w:t>este</w:t>
      </w:r>
      <w:r>
        <w:rPr>
          <w:spacing w:val="50"/>
        </w:rPr>
        <w:t> </w:t>
      </w:r>
      <w:r>
        <w:rPr/>
        <w:t>informe</w:t>
      </w:r>
      <w:r>
        <w:rPr>
          <w:spacing w:val="48"/>
        </w:rPr>
        <w:t> </w:t>
      </w:r>
      <w:r>
        <w:rPr/>
        <w:t>también</w:t>
      </w:r>
      <w:r>
        <w:rPr>
          <w:spacing w:val="47"/>
        </w:rPr>
        <w:t> </w:t>
      </w:r>
      <w:r>
        <w:rPr/>
        <w:t>se</w:t>
      </w:r>
      <w:r>
        <w:rPr>
          <w:spacing w:val="47"/>
        </w:rPr>
        <w:t> </w:t>
      </w:r>
      <w:r>
        <w:rPr/>
        <w:t>llevó</w:t>
      </w:r>
      <w:r>
        <w:rPr>
          <w:spacing w:val="49"/>
        </w:rPr>
        <w:t> </w:t>
      </w:r>
      <w:r>
        <w:rPr/>
        <w:t>a</w:t>
      </w:r>
      <w:r>
        <w:rPr>
          <w:spacing w:val="47"/>
        </w:rPr>
        <w:t> </w:t>
      </w:r>
      <w:r>
        <w:rPr/>
        <w:t>cabo</w:t>
      </w:r>
      <w:r>
        <w:rPr>
          <w:spacing w:val="47"/>
        </w:rPr>
        <w:t> </w:t>
      </w:r>
      <w:r>
        <w:rPr>
          <w:spacing w:val="-5"/>
        </w:rPr>
        <w:t>el</w:t>
      </w:r>
    </w:p>
    <w:p>
      <w:pPr>
        <w:pStyle w:val="BodyText"/>
        <w:spacing w:line="360" w:lineRule="auto" w:before="116"/>
        <w:ind w:left="1701" w:right="1388"/>
      </w:pPr>
      <w:r>
        <w:rPr/>
        <w:t>correspondiente simulacro de emergencia, en este caso de derrame e incendio, ayudando</w:t>
      </w:r>
      <w:r>
        <w:rPr>
          <w:spacing w:val="40"/>
        </w:rPr>
        <w:t> </w:t>
      </w:r>
      <w:r>
        <w:rPr/>
        <w:t>a establecer rutinas de actuación seguras en este tipo de situaciones.</w:t>
      </w:r>
    </w:p>
    <w:p>
      <w:pPr>
        <w:pStyle w:val="BodyText"/>
        <w:spacing w:line="362" w:lineRule="auto" w:before="198"/>
        <w:ind w:left="1341" w:right="1336"/>
        <w:jc w:val="both"/>
      </w:pPr>
      <w:r>
        <w:rPr/>
        <w:t>Fuera del ámbito de la seguridad en el trabajo, vinculado a la esfera psicosocial, se actualizó el “Protocolo de prevención y actuación frente al acoso laboral, sexual y por razón de género”, realizando distintas sesiones informativas para aclarar dudas sobre el mismo y cómo poder activarlo en caso de necesidad.</w:t>
      </w:r>
    </w:p>
    <w:p>
      <w:pPr>
        <w:pStyle w:val="Heading3"/>
        <w:spacing w:line="360" w:lineRule="auto" w:before="190"/>
        <w:ind w:left="1341" w:right="1336"/>
        <w:jc w:val="both"/>
      </w:pPr>
      <w:r>
        <w:rPr/>
        <w:t>Por parte del Servicio de Prevención Ajeno de Quirón Prevención, responsable de las disciplinas de Higiene Industrial, Ergonomía y Psicosociología Aplicada, las actividades más relevantes han sido:</w:t>
      </w:r>
    </w:p>
    <w:p>
      <w:pPr>
        <w:pStyle w:val="ListParagraph"/>
        <w:numPr>
          <w:ilvl w:val="0"/>
          <w:numId w:val="40"/>
        </w:numPr>
        <w:tabs>
          <w:tab w:pos="1884" w:val="left" w:leader="none"/>
        </w:tabs>
        <w:spacing w:line="240" w:lineRule="auto" w:before="216" w:after="0"/>
        <w:ind w:left="1884" w:right="0" w:hanging="543"/>
        <w:jc w:val="both"/>
        <w:rPr>
          <w:sz w:val="20"/>
        </w:rPr>
      </w:pPr>
      <w:r>
        <w:rPr>
          <w:sz w:val="20"/>
        </w:rPr>
        <w:t>Evaluación</w:t>
      </w:r>
      <w:r>
        <w:rPr>
          <w:spacing w:val="-7"/>
          <w:sz w:val="20"/>
        </w:rPr>
        <w:t> </w:t>
      </w:r>
      <w:r>
        <w:rPr>
          <w:sz w:val="20"/>
        </w:rPr>
        <w:t>específica</w:t>
      </w:r>
      <w:r>
        <w:rPr>
          <w:spacing w:val="-6"/>
          <w:sz w:val="20"/>
        </w:rPr>
        <w:t> </w:t>
      </w:r>
      <w:r>
        <w:rPr>
          <w:sz w:val="20"/>
        </w:rPr>
        <w:t>de</w:t>
      </w:r>
      <w:r>
        <w:rPr>
          <w:spacing w:val="-4"/>
          <w:sz w:val="20"/>
        </w:rPr>
        <w:t> </w:t>
      </w:r>
      <w:r>
        <w:rPr>
          <w:sz w:val="20"/>
        </w:rPr>
        <w:t>ruido</w:t>
      </w:r>
      <w:r>
        <w:rPr>
          <w:spacing w:val="-5"/>
          <w:sz w:val="20"/>
        </w:rPr>
        <w:t> </w:t>
      </w:r>
      <w:r>
        <w:rPr>
          <w:sz w:val="20"/>
        </w:rPr>
        <w:t>dentro</w:t>
      </w:r>
      <w:r>
        <w:rPr>
          <w:spacing w:val="-7"/>
          <w:sz w:val="20"/>
        </w:rPr>
        <w:t> </w:t>
      </w:r>
      <w:r>
        <w:rPr>
          <w:sz w:val="20"/>
        </w:rPr>
        <w:t>de</w:t>
      </w:r>
      <w:r>
        <w:rPr>
          <w:spacing w:val="-8"/>
          <w:sz w:val="20"/>
        </w:rPr>
        <w:t> </w:t>
      </w:r>
      <w:r>
        <w:rPr>
          <w:sz w:val="20"/>
        </w:rPr>
        <w:t>las</w:t>
      </w:r>
      <w:r>
        <w:rPr>
          <w:spacing w:val="-5"/>
          <w:sz w:val="20"/>
        </w:rPr>
        <w:t> </w:t>
      </w:r>
      <w:r>
        <w:rPr>
          <w:sz w:val="20"/>
        </w:rPr>
        <w:t>instalaciones</w:t>
      </w:r>
      <w:r>
        <w:rPr>
          <w:spacing w:val="-5"/>
          <w:sz w:val="20"/>
        </w:rPr>
        <w:t> </w:t>
      </w:r>
      <w:r>
        <w:rPr>
          <w:sz w:val="20"/>
        </w:rPr>
        <w:t>del</w:t>
      </w:r>
      <w:r>
        <w:rPr>
          <w:spacing w:val="-8"/>
          <w:sz w:val="20"/>
        </w:rPr>
        <w:t> </w:t>
      </w:r>
      <w:r>
        <w:rPr>
          <w:spacing w:val="-2"/>
          <w:sz w:val="20"/>
        </w:rPr>
        <w:t>taller.</w:t>
      </w:r>
    </w:p>
    <w:p>
      <w:pPr>
        <w:pStyle w:val="ListParagraph"/>
        <w:numPr>
          <w:ilvl w:val="0"/>
          <w:numId w:val="40"/>
        </w:numPr>
        <w:tabs>
          <w:tab w:pos="360" w:val="left" w:leader="none"/>
        </w:tabs>
        <w:spacing w:line="240" w:lineRule="auto" w:before="129" w:after="0"/>
        <w:ind w:left="360" w:right="0" w:hanging="360"/>
        <w:jc w:val="center"/>
        <w:rPr>
          <w:sz w:val="20"/>
        </w:rPr>
      </w:pPr>
      <w:r>
        <w:rPr>
          <w:sz w:val="20"/>
        </w:rPr>
        <w:t>Evaluaciones</w:t>
      </w:r>
      <w:r>
        <w:rPr>
          <w:spacing w:val="36"/>
          <w:sz w:val="20"/>
        </w:rPr>
        <w:t> </w:t>
      </w:r>
      <w:r>
        <w:rPr>
          <w:sz w:val="20"/>
        </w:rPr>
        <w:t>periódicas</w:t>
      </w:r>
      <w:r>
        <w:rPr>
          <w:spacing w:val="43"/>
          <w:sz w:val="20"/>
        </w:rPr>
        <w:t> </w:t>
      </w:r>
      <w:r>
        <w:rPr>
          <w:sz w:val="20"/>
        </w:rPr>
        <w:t>de</w:t>
      </w:r>
      <w:r>
        <w:rPr>
          <w:spacing w:val="37"/>
          <w:sz w:val="20"/>
        </w:rPr>
        <w:t> </w:t>
      </w:r>
      <w:r>
        <w:rPr>
          <w:sz w:val="20"/>
        </w:rPr>
        <w:t>contaminantes</w:t>
      </w:r>
      <w:r>
        <w:rPr>
          <w:spacing w:val="40"/>
          <w:sz w:val="20"/>
        </w:rPr>
        <w:t> </w:t>
      </w:r>
      <w:r>
        <w:rPr>
          <w:sz w:val="20"/>
        </w:rPr>
        <w:t>químicos</w:t>
      </w:r>
      <w:r>
        <w:rPr>
          <w:spacing w:val="39"/>
          <w:sz w:val="20"/>
        </w:rPr>
        <w:t> </w:t>
      </w:r>
      <w:r>
        <w:rPr>
          <w:sz w:val="20"/>
        </w:rPr>
        <w:t>provenientes</w:t>
      </w:r>
      <w:r>
        <w:rPr>
          <w:spacing w:val="37"/>
          <w:sz w:val="20"/>
        </w:rPr>
        <w:t> </w:t>
      </w:r>
      <w:r>
        <w:rPr>
          <w:sz w:val="20"/>
        </w:rPr>
        <w:t>de</w:t>
      </w:r>
      <w:r>
        <w:rPr>
          <w:spacing w:val="37"/>
          <w:sz w:val="20"/>
        </w:rPr>
        <w:t> </w:t>
      </w:r>
      <w:r>
        <w:rPr>
          <w:sz w:val="20"/>
        </w:rPr>
        <w:t>los</w:t>
      </w:r>
      <w:r>
        <w:rPr>
          <w:spacing w:val="37"/>
          <w:sz w:val="20"/>
        </w:rPr>
        <w:t> </w:t>
      </w:r>
      <w:r>
        <w:rPr>
          <w:sz w:val="20"/>
        </w:rPr>
        <w:t>humos</w:t>
      </w:r>
      <w:r>
        <w:rPr>
          <w:spacing w:val="37"/>
          <w:sz w:val="20"/>
        </w:rPr>
        <w:t> </w:t>
      </w:r>
      <w:r>
        <w:rPr>
          <w:sz w:val="20"/>
        </w:rPr>
        <w:t>de</w:t>
      </w:r>
      <w:r>
        <w:rPr>
          <w:spacing w:val="38"/>
          <w:sz w:val="20"/>
        </w:rPr>
        <w:t> </w:t>
      </w:r>
      <w:r>
        <w:rPr>
          <w:spacing w:val="-5"/>
          <w:sz w:val="20"/>
        </w:rPr>
        <w:t>los</w:t>
      </w:r>
    </w:p>
    <w:p>
      <w:pPr>
        <w:pStyle w:val="BodyText"/>
        <w:spacing w:line="360" w:lineRule="auto" w:before="112"/>
        <w:ind w:left="1701" w:right="1337"/>
        <w:jc w:val="both"/>
      </w:pPr>
      <w:r>
        <w:rPr/>
        <w:t>motores diesel en taller para detectar la presencia de agentes cancerígenos, siendo hasta la fecha los resultados negativos (ausencia de agentes).</w:t>
      </w:r>
    </w:p>
    <w:p>
      <w:pPr>
        <w:pStyle w:val="ListParagraph"/>
        <w:numPr>
          <w:ilvl w:val="0"/>
          <w:numId w:val="40"/>
        </w:numPr>
        <w:tabs>
          <w:tab w:pos="1701" w:val="left" w:leader="none"/>
          <w:tab w:pos="1884" w:val="left" w:leader="none"/>
        </w:tabs>
        <w:spacing w:line="360" w:lineRule="auto" w:before="14" w:after="0"/>
        <w:ind w:left="1701" w:right="1336" w:hanging="360"/>
        <w:jc w:val="both"/>
        <w:rPr>
          <w:sz w:val="20"/>
        </w:rPr>
      </w:pPr>
      <w:r>
        <w:rPr>
          <w:sz w:val="20"/>
        </w:rPr>
        <w:tab/>
        <w:t>Destacan las mediciones de gas radón que se han comenzado a llevar a cabo en </w:t>
      </w:r>
      <w:r>
        <w:rPr>
          <w:spacing w:val="-59"/>
          <w:sz w:val="20"/>
        </w:rPr>
        <w:t>las</w:t>
      </w:r>
      <w:r>
        <w:rPr>
          <w:sz w:val="20"/>
        </w:rPr>
        <w:t> instalaciones ubicadas en plantas bajas y bajo rasante, consecuencia de la instrucción 47 del Consejo de Seguridad Nuclear, vinculada a la obligación de las mediciones de gas radón en centros de trabajo ubicados en zonas de riesgo.</w:t>
      </w:r>
    </w:p>
    <w:p>
      <w:pPr>
        <w:pStyle w:val="ListParagraph"/>
        <w:numPr>
          <w:ilvl w:val="0"/>
          <w:numId w:val="40"/>
        </w:numPr>
        <w:tabs>
          <w:tab w:pos="1701" w:val="left" w:leader="none"/>
          <w:tab w:pos="1884" w:val="left" w:leader="none"/>
        </w:tabs>
        <w:spacing w:line="357" w:lineRule="auto" w:before="13" w:after="0"/>
        <w:ind w:left="1701" w:right="1336" w:hanging="360"/>
        <w:jc w:val="both"/>
        <w:rPr>
          <w:sz w:val="20"/>
        </w:rPr>
      </w:pPr>
      <w:r>
        <w:rPr>
          <w:sz w:val="20"/>
        </w:rPr>
        <w:tab/>
        <w:t>Nueva</w:t>
      </w:r>
      <w:r>
        <w:rPr>
          <w:spacing w:val="-14"/>
          <w:sz w:val="20"/>
        </w:rPr>
        <w:t> </w:t>
      </w:r>
      <w:r>
        <w:rPr>
          <w:sz w:val="20"/>
        </w:rPr>
        <w:t>evaluación</w:t>
      </w:r>
      <w:r>
        <w:rPr>
          <w:spacing w:val="-14"/>
          <w:sz w:val="20"/>
        </w:rPr>
        <w:t> </w:t>
      </w:r>
      <w:r>
        <w:rPr>
          <w:sz w:val="20"/>
        </w:rPr>
        <w:t>psicosocial</w:t>
      </w:r>
      <w:r>
        <w:rPr>
          <w:spacing w:val="-14"/>
          <w:sz w:val="20"/>
        </w:rPr>
        <w:t> </w:t>
      </w:r>
      <w:r>
        <w:rPr>
          <w:sz w:val="20"/>
        </w:rPr>
        <w:t>del</w:t>
      </w:r>
      <w:r>
        <w:rPr>
          <w:spacing w:val="-14"/>
          <w:sz w:val="20"/>
        </w:rPr>
        <w:t> </w:t>
      </w:r>
      <w:r>
        <w:rPr>
          <w:sz w:val="20"/>
        </w:rPr>
        <w:t>personal</w:t>
      </w:r>
      <w:r>
        <w:rPr>
          <w:spacing w:val="-14"/>
          <w:sz w:val="20"/>
        </w:rPr>
        <w:t> </w:t>
      </w:r>
      <w:r>
        <w:rPr>
          <w:sz w:val="20"/>
        </w:rPr>
        <w:t>de</w:t>
      </w:r>
      <w:r>
        <w:rPr>
          <w:spacing w:val="-14"/>
          <w:sz w:val="20"/>
        </w:rPr>
        <w:t> </w:t>
      </w:r>
      <w:r>
        <w:rPr>
          <w:sz w:val="20"/>
        </w:rPr>
        <w:t>taller,</w:t>
      </w:r>
      <w:r>
        <w:rPr>
          <w:spacing w:val="-12"/>
          <w:sz w:val="20"/>
        </w:rPr>
        <w:t> </w:t>
      </w:r>
      <w:r>
        <w:rPr>
          <w:sz w:val="20"/>
        </w:rPr>
        <w:t>debido</w:t>
      </w:r>
      <w:r>
        <w:rPr>
          <w:spacing w:val="-14"/>
          <w:sz w:val="20"/>
        </w:rPr>
        <w:t> </w:t>
      </w:r>
      <w:r>
        <w:rPr>
          <w:sz w:val="20"/>
        </w:rPr>
        <w:t>a</w:t>
      </w:r>
      <w:r>
        <w:rPr>
          <w:spacing w:val="-13"/>
          <w:sz w:val="20"/>
        </w:rPr>
        <w:t> </w:t>
      </w:r>
      <w:r>
        <w:rPr>
          <w:sz w:val="20"/>
        </w:rPr>
        <w:t>la</w:t>
      </w:r>
      <w:r>
        <w:rPr>
          <w:spacing w:val="-14"/>
          <w:sz w:val="20"/>
        </w:rPr>
        <w:t> </w:t>
      </w:r>
      <w:r>
        <w:rPr>
          <w:sz w:val="20"/>
        </w:rPr>
        <w:t>baja</w:t>
      </w:r>
      <w:r>
        <w:rPr>
          <w:spacing w:val="-14"/>
          <w:sz w:val="20"/>
        </w:rPr>
        <w:t> </w:t>
      </w:r>
      <w:r>
        <w:rPr>
          <w:sz w:val="20"/>
        </w:rPr>
        <w:t>participación</w:t>
      </w:r>
      <w:r>
        <w:rPr>
          <w:spacing w:val="-14"/>
          <w:sz w:val="20"/>
        </w:rPr>
        <w:t> </w:t>
      </w:r>
      <w:r>
        <w:rPr>
          <w:sz w:val="20"/>
        </w:rPr>
        <w:t>existente en el primer estudio realizado en noviembre-diciembre de 2024.</w:t>
      </w:r>
    </w:p>
    <w:p>
      <w:pPr>
        <w:pStyle w:val="ListParagraph"/>
        <w:numPr>
          <w:ilvl w:val="0"/>
          <w:numId w:val="40"/>
        </w:numPr>
        <w:tabs>
          <w:tab w:pos="363" w:val="left" w:leader="none"/>
        </w:tabs>
        <w:spacing w:line="240" w:lineRule="auto" w:before="17" w:after="0"/>
        <w:ind w:left="363" w:right="0" w:hanging="360"/>
        <w:jc w:val="center"/>
        <w:rPr>
          <w:sz w:val="20"/>
        </w:rPr>
      </w:pPr>
      <w:r>
        <w:rPr>
          <w:sz w:val="20"/>
        </w:rPr>
        <w:t>Evaluación</w:t>
      </w:r>
      <w:r>
        <w:rPr>
          <w:spacing w:val="38"/>
          <w:sz w:val="20"/>
        </w:rPr>
        <w:t> </w:t>
      </w:r>
      <w:r>
        <w:rPr>
          <w:sz w:val="20"/>
        </w:rPr>
        <w:t>ergonómica</w:t>
      </w:r>
      <w:r>
        <w:rPr>
          <w:spacing w:val="36"/>
          <w:sz w:val="20"/>
        </w:rPr>
        <w:t> </w:t>
      </w:r>
      <w:r>
        <w:rPr>
          <w:sz w:val="20"/>
        </w:rPr>
        <w:t>del</w:t>
      </w:r>
      <w:r>
        <w:rPr>
          <w:spacing w:val="34"/>
          <w:sz w:val="20"/>
        </w:rPr>
        <w:t> </w:t>
      </w:r>
      <w:r>
        <w:rPr>
          <w:sz w:val="20"/>
        </w:rPr>
        <w:t>puesto</w:t>
      </w:r>
      <w:r>
        <w:rPr>
          <w:spacing w:val="38"/>
          <w:sz w:val="20"/>
        </w:rPr>
        <w:t> </w:t>
      </w:r>
      <w:r>
        <w:rPr>
          <w:sz w:val="20"/>
        </w:rPr>
        <w:t>de</w:t>
      </w:r>
      <w:r>
        <w:rPr>
          <w:spacing w:val="37"/>
          <w:sz w:val="20"/>
        </w:rPr>
        <w:t> </w:t>
      </w:r>
      <w:r>
        <w:rPr>
          <w:sz w:val="20"/>
        </w:rPr>
        <w:t>conducción</w:t>
      </w:r>
      <w:r>
        <w:rPr>
          <w:spacing w:val="37"/>
          <w:sz w:val="20"/>
        </w:rPr>
        <w:t> </w:t>
      </w:r>
      <w:r>
        <w:rPr>
          <w:sz w:val="20"/>
        </w:rPr>
        <w:t>en</w:t>
      </w:r>
      <w:r>
        <w:rPr>
          <w:spacing w:val="36"/>
          <w:sz w:val="20"/>
        </w:rPr>
        <w:t> </w:t>
      </w:r>
      <w:r>
        <w:rPr>
          <w:sz w:val="20"/>
        </w:rPr>
        <w:t>nuevos</w:t>
      </w:r>
      <w:r>
        <w:rPr>
          <w:spacing w:val="38"/>
          <w:sz w:val="20"/>
        </w:rPr>
        <w:t> </w:t>
      </w:r>
      <w:r>
        <w:rPr>
          <w:sz w:val="20"/>
        </w:rPr>
        <w:t>vehículos</w:t>
      </w:r>
      <w:r>
        <w:rPr>
          <w:spacing w:val="40"/>
          <w:sz w:val="20"/>
        </w:rPr>
        <w:t> </w:t>
      </w:r>
      <w:r>
        <w:rPr>
          <w:sz w:val="20"/>
        </w:rPr>
        <w:t>de</w:t>
      </w:r>
      <w:r>
        <w:rPr>
          <w:spacing w:val="37"/>
          <w:sz w:val="20"/>
        </w:rPr>
        <w:t> </w:t>
      </w:r>
      <w:r>
        <w:rPr>
          <w:sz w:val="20"/>
        </w:rPr>
        <w:t>la</w:t>
      </w:r>
      <w:r>
        <w:rPr>
          <w:spacing w:val="37"/>
          <w:sz w:val="20"/>
        </w:rPr>
        <w:t> </w:t>
      </w:r>
      <w:r>
        <w:rPr>
          <w:spacing w:val="-2"/>
          <w:sz w:val="20"/>
        </w:rPr>
        <w:t>empresa:</w:t>
      </w:r>
    </w:p>
    <w:p>
      <w:pPr>
        <w:pStyle w:val="BodyText"/>
        <w:spacing w:before="115"/>
        <w:ind w:left="1701"/>
      </w:pPr>
      <w:r>
        <w:rPr/>
        <w:t>IVECO</w:t>
      </w:r>
      <w:r>
        <w:rPr>
          <w:spacing w:val="-7"/>
        </w:rPr>
        <w:t> </w:t>
      </w:r>
      <w:r>
        <w:rPr/>
        <w:t>mod.</w:t>
      </w:r>
      <w:r>
        <w:rPr>
          <w:spacing w:val="-6"/>
        </w:rPr>
        <w:t> </w:t>
      </w:r>
      <w:r>
        <w:rPr/>
        <w:t>GXELEC</w:t>
      </w:r>
      <w:r>
        <w:rPr>
          <w:spacing w:val="-4"/>
        </w:rPr>
        <w:t> </w:t>
      </w:r>
      <w:r>
        <w:rPr/>
        <w:t>M</w:t>
      </w:r>
      <w:r>
        <w:rPr>
          <w:spacing w:val="-3"/>
        </w:rPr>
        <w:t> </w:t>
      </w:r>
      <w:r>
        <w:rPr/>
        <w:t>13C</w:t>
      </w:r>
      <w:r>
        <w:rPr>
          <w:spacing w:val="-5"/>
        </w:rPr>
        <w:t> </w:t>
      </w:r>
      <w:r>
        <w:rPr>
          <w:spacing w:val="-4"/>
        </w:rPr>
        <w:t>EWAY.</w:t>
      </w:r>
    </w:p>
    <w:p>
      <w:pPr>
        <w:pStyle w:val="BodyText"/>
        <w:spacing w:before="82"/>
      </w:pPr>
    </w:p>
    <w:p>
      <w:pPr>
        <w:spacing w:before="0"/>
        <w:ind w:left="2" w:right="0" w:firstLine="0"/>
        <w:jc w:val="center"/>
        <w:rPr>
          <w:sz w:val="20"/>
        </w:rPr>
      </w:pPr>
      <w:r>
        <w:rPr>
          <w:sz w:val="20"/>
        </w:rPr>
        <mc:AlternateContent>
          <mc:Choice Requires="wps">
            <w:drawing>
              <wp:anchor distT="0" distB="0" distL="0" distR="0" allowOverlap="1" layoutInCell="1" locked="0" behindDoc="0" simplePos="0" relativeHeight="15815680">
                <wp:simplePos x="0" y="0"/>
                <wp:positionH relativeFrom="page">
                  <wp:posOffset>6966436</wp:posOffset>
                </wp:positionH>
                <wp:positionV relativeFrom="paragraph">
                  <wp:posOffset>-160624</wp:posOffset>
                </wp:positionV>
                <wp:extent cx="263525" cy="327596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2.647627pt;width:20.75pt;height:257.95pt;mso-position-horizontal-relative:page;mso-position-vertical-relative:paragraph;z-index:15815680" type="#_x0000_t202" id="docshape23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b/>
          <w:sz w:val="20"/>
        </w:rPr>
        <w:t>Vinculado</w:t>
      </w:r>
      <w:r>
        <w:rPr>
          <w:b/>
          <w:spacing w:val="65"/>
          <w:sz w:val="20"/>
        </w:rPr>
        <w:t> </w:t>
      </w:r>
      <w:r>
        <w:rPr>
          <w:b/>
          <w:sz w:val="20"/>
        </w:rPr>
        <w:t>a</w:t>
      </w:r>
      <w:r>
        <w:rPr>
          <w:b/>
          <w:spacing w:val="64"/>
          <w:sz w:val="20"/>
        </w:rPr>
        <w:t> </w:t>
      </w:r>
      <w:r>
        <w:rPr>
          <w:b/>
          <w:sz w:val="20"/>
        </w:rPr>
        <w:t>la</w:t>
      </w:r>
      <w:r>
        <w:rPr>
          <w:b/>
          <w:spacing w:val="64"/>
          <w:sz w:val="20"/>
        </w:rPr>
        <w:t> </w:t>
      </w:r>
      <w:r>
        <w:rPr>
          <w:b/>
          <w:sz w:val="20"/>
        </w:rPr>
        <w:t>disciplina</w:t>
      </w:r>
      <w:r>
        <w:rPr>
          <w:b/>
          <w:spacing w:val="64"/>
          <w:sz w:val="20"/>
        </w:rPr>
        <w:t> </w:t>
      </w:r>
      <w:r>
        <w:rPr>
          <w:b/>
          <w:sz w:val="20"/>
        </w:rPr>
        <w:t>de</w:t>
      </w:r>
      <w:r>
        <w:rPr>
          <w:b/>
          <w:spacing w:val="64"/>
          <w:sz w:val="20"/>
        </w:rPr>
        <w:t> </w:t>
      </w:r>
      <w:r>
        <w:rPr>
          <w:b/>
          <w:sz w:val="20"/>
        </w:rPr>
        <w:t>Medicina</w:t>
      </w:r>
      <w:r>
        <w:rPr>
          <w:b/>
          <w:spacing w:val="63"/>
          <w:sz w:val="20"/>
        </w:rPr>
        <w:t> </w:t>
      </w:r>
      <w:r>
        <w:rPr>
          <w:b/>
          <w:sz w:val="20"/>
        </w:rPr>
        <w:t>del</w:t>
      </w:r>
      <w:r>
        <w:rPr>
          <w:b/>
          <w:spacing w:val="64"/>
          <w:sz w:val="20"/>
        </w:rPr>
        <w:t> </w:t>
      </w:r>
      <w:r>
        <w:rPr>
          <w:b/>
          <w:sz w:val="20"/>
        </w:rPr>
        <w:t>Trabajo</w:t>
      </w:r>
      <w:r>
        <w:rPr>
          <w:b/>
          <w:spacing w:val="64"/>
          <w:sz w:val="20"/>
        </w:rPr>
        <w:t> </w:t>
      </w:r>
      <w:r>
        <w:rPr>
          <w:sz w:val="20"/>
        </w:rPr>
        <w:t>se</w:t>
      </w:r>
      <w:r>
        <w:rPr>
          <w:spacing w:val="65"/>
          <w:sz w:val="20"/>
        </w:rPr>
        <w:t> </w:t>
      </w:r>
      <w:r>
        <w:rPr>
          <w:sz w:val="20"/>
        </w:rPr>
        <w:t>garantiza</w:t>
      </w:r>
      <w:r>
        <w:rPr>
          <w:spacing w:val="65"/>
          <w:sz w:val="20"/>
        </w:rPr>
        <w:t> </w:t>
      </w:r>
      <w:r>
        <w:rPr>
          <w:sz w:val="20"/>
        </w:rPr>
        <w:t>a</w:t>
      </w:r>
      <w:r>
        <w:rPr>
          <w:spacing w:val="65"/>
          <w:sz w:val="20"/>
        </w:rPr>
        <w:t> </w:t>
      </w:r>
      <w:r>
        <w:rPr>
          <w:sz w:val="20"/>
        </w:rPr>
        <w:t>los</w:t>
      </w:r>
      <w:r>
        <w:rPr>
          <w:spacing w:val="63"/>
          <w:sz w:val="20"/>
        </w:rPr>
        <w:t> </w:t>
      </w:r>
      <w:r>
        <w:rPr>
          <w:sz w:val="20"/>
        </w:rPr>
        <w:t>trabajadores</w:t>
      </w:r>
      <w:r>
        <w:rPr>
          <w:spacing w:val="66"/>
          <w:sz w:val="20"/>
        </w:rPr>
        <w:t> </w:t>
      </w:r>
      <w:r>
        <w:rPr>
          <w:spacing w:val="-10"/>
          <w:sz w:val="20"/>
        </w:rPr>
        <w:t>y</w:t>
      </w:r>
    </w:p>
    <w:p>
      <w:pPr>
        <w:pStyle w:val="BodyText"/>
        <w:spacing w:line="360" w:lineRule="auto" w:before="116"/>
        <w:ind w:left="1341" w:right="1334"/>
        <w:jc w:val="both"/>
      </w:pPr>
      <w:r>
        <w:rPr/>
        <w:t>trabajadoras la vigilancia periódica de su estado de salud, en función de los riesgos inherentes al trabajo, procedimiento que es un derecho y un deber conforme al artículo 42 del Convenio Colectivo de empresa. Además, previo informe de los representantes de los trabajadores, en</w:t>
      </w:r>
      <w:r>
        <w:rPr>
          <w:spacing w:val="40"/>
        </w:rPr>
        <w:t> </w:t>
      </w:r>
      <w:r>
        <w:rPr/>
        <w:t>los supuestos en los que la realización de los reconocimientos es imprescindible para evaluar los efectos de las condiciones de trabajo</w:t>
      </w:r>
      <w:r>
        <w:rPr>
          <w:spacing w:val="-2"/>
        </w:rPr>
        <w:t> </w:t>
      </w:r>
      <w:r>
        <w:rPr/>
        <w:t>sobre la salud de los trabajadores o</w:t>
      </w:r>
      <w:r>
        <w:rPr>
          <w:spacing w:val="-2"/>
        </w:rPr>
        <w:t> </w:t>
      </w:r>
      <w:r>
        <w:rPr/>
        <w:t>para</w:t>
      </w:r>
      <w:r>
        <w:rPr>
          <w:spacing w:val="-2"/>
        </w:rPr>
        <w:t> </w:t>
      </w:r>
      <w:r>
        <w:rPr/>
        <w:t>verificar si el estado de salud del trabajador puede constituir un peligro para el mismo, para los demás trabajadores o para otras personas relacionadas con la empresa o</w:t>
      </w:r>
      <w:r>
        <w:rPr>
          <w:spacing w:val="-1"/>
        </w:rPr>
        <w:t> </w:t>
      </w:r>
      <w:r>
        <w:rPr/>
        <w:t>cuando así esté establecido en una disposición legal en relación con la protección de riesgos específicos y actividades de especial peligrosidad. En este 2025 se ha realizado Reconocimiento médico el 100% de la plantilla.</w:t>
      </w:r>
      <w:r>
        <w:rPr>
          <w:spacing w:val="17"/>
        </w:rPr>
        <w:t> </w:t>
      </w:r>
      <w:r>
        <w:rPr/>
        <w:t>Únicamente</w:t>
      </w:r>
      <w:r>
        <w:rPr>
          <w:spacing w:val="15"/>
        </w:rPr>
        <w:t> </w:t>
      </w:r>
      <w:r>
        <w:rPr/>
        <w:t>han</w:t>
      </w:r>
      <w:r>
        <w:rPr>
          <w:spacing w:val="19"/>
        </w:rPr>
        <w:t> </w:t>
      </w:r>
      <w:r>
        <w:rPr/>
        <w:t>quedado</w:t>
      </w:r>
      <w:r>
        <w:rPr>
          <w:spacing w:val="15"/>
        </w:rPr>
        <w:t> </w:t>
      </w:r>
      <w:r>
        <w:rPr/>
        <w:t>fuera</w:t>
      </w:r>
      <w:r>
        <w:rPr>
          <w:spacing w:val="15"/>
        </w:rPr>
        <w:t> </w:t>
      </w:r>
      <w:r>
        <w:rPr/>
        <w:t>de</w:t>
      </w:r>
      <w:r>
        <w:rPr>
          <w:spacing w:val="16"/>
        </w:rPr>
        <w:t> </w:t>
      </w:r>
      <w:r>
        <w:rPr/>
        <w:t>esta</w:t>
      </w:r>
      <w:r>
        <w:rPr>
          <w:spacing w:val="15"/>
        </w:rPr>
        <w:t> </w:t>
      </w:r>
      <w:r>
        <w:rPr/>
        <w:t>cifra</w:t>
      </w:r>
      <w:r>
        <w:rPr>
          <w:spacing w:val="15"/>
        </w:rPr>
        <w:t> </w:t>
      </w:r>
      <w:r>
        <w:rPr/>
        <w:t>los</w:t>
      </w:r>
      <w:r>
        <w:rPr>
          <w:spacing w:val="18"/>
        </w:rPr>
        <w:t> </w:t>
      </w:r>
      <w:r>
        <w:rPr/>
        <w:t>trabajadores</w:t>
      </w:r>
      <w:r>
        <w:rPr>
          <w:spacing w:val="20"/>
        </w:rPr>
        <w:t> </w:t>
      </w:r>
      <w:r>
        <w:rPr/>
        <w:t>y</w:t>
      </w:r>
      <w:r>
        <w:rPr>
          <w:spacing w:val="14"/>
        </w:rPr>
        <w:t> </w:t>
      </w:r>
      <w:r>
        <w:rPr/>
        <w:t>trabajadoras</w:t>
      </w:r>
      <w:r>
        <w:rPr>
          <w:spacing w:val="17"/>
        </w:rPr>
        <w:t> </w:t>
      </w:r>
      <w:r>
        <w:rPr/>
        <w:t>que</w:t>
      </w:r>
      <w:r>
        <w:rPr>
          <w:spacing w:val="15"/>
        </w:rPr>
        <w:t> </w:t>
      </w:r>
      <w:r>
        <w:rPr>
          <w:spacing w:val="-5"/>
        </w:rPr>
        <w:t>no</w:t>
      </w:r>
    </w:p>
    <w:p>
      <w:pPr>
        <w:pStyle w:val="BodyText"/>
        <w:spacing w:line="360" w:lineRule="auto" w:before="2"/>
        <w:ind w:left="1341" w:right="1308"/>
      </w:pPr>
      <w:r>
        <w:rPr/>
        <w:t>hayan</w:t>
      </w:r>
      <w:r>
        <w:rPr>
          <w:spacing w:val="73"/>
        </w:rPr>
        <w:t> </w:t>
      </w:r>
      <w:r>
        <w:rPr/>
        <w:t>podido</w:t>
      </w:r>
      <w:r>
        <w:rPr>
          <w:spacing w:val="74"/>
        </w:rPr>
        <w:t> </w:t>
      </w:r>
      <w:r>
        <w:rPr/>
        <w:t>asistir</w:t>
      </w:r>
      <w:r>
        <w:rPr>
          <w:spacing w:val="73"/>
        </w:rPr>
        <w:t> </w:t>
      </w:r>
      <w:r>
        <w:rPr/>
        <w:t>a</w:t>
      </w:r>
      <w:r>
        <w:rPr>
          <w:spacing w:val="74"/>
        </w:rPr>
        <w:t> </w:t>
      </w:r>
      <w:r>
        <w:rPr/>
        <w:t>su</w:t>
      </w:r>
      <w:r>
        <w:rPr>
          <w:spacing w:val="74"/>
        </w:rPr>
        <w:t> </w:t>
      </w:r>
      <w:r>
        <w:rPr/>
        <w:t>Revisión</w:t>
      </w:r>
      <w:r>
        <w:rPr>
          <w:spacing w:val="74"/>
        </w:rPr>
        <w:t> </w:t>
      </w:r>
      <w:r>
        <w:rPr/>
        <w:t>Médica</w:t>
      </w:r>
      <w:r>
        <w:rPr>
          <w:spacing w:val="72"/>
        </w:rPr>
        <w:t> </w:t>
      </w:r>
      <w:r>
        <w:rPr/>
        <w:t>al</w:t>
      </w:r>
      <w:r>
        <w:rPr>
          <w:spacing w:val="72"/>
        </w:rPr>
        <w:t> </w:t>
      </w:r>
      <w:r>
        <w:rPr/>
        <w:t>encontrarse</w:t>
      </w:r>
      <w:r>
        <w:rPr>
          <w:spacing w:val="72"/>
        </w:rPr>
        <w:t> </w:t>
      </w:r>
      <w:r>
        <w:rPr/>
        <w:t>en</w:t>
      </w:r>
      <w:r>
        <w:rPr>
          <w:spacing w:val="72"/>
        </w:rPr>
        <w:t> </w:t>
      </w:r>
      <w:r>
        <w:rPr/>
        <w:t>situación</w:t>
      </w:r>
      <w:r>
        <w:rPr>
          <w:spacing w:val="73"/>
        </w:rPr>
        <w:t> </w:t>
      </w:r>
      <w:r>
        <w:rPr/>
        <w:t>de</w:t>
      </w:r>
      <w:r>
        <w:rPr>
          <w:spacing w:val="74"/>
        </w:rPr>
        <w:t> </w:t>
      </w:r>
      <w:r>
        <w:rPr/>
        <w:t>Incapacidad </w:t>
      </w:r>
      <w:r>
        <w:rPr>
          <w:spacing w:val="-2"/>
        </w:rPr>
        <w:t>Temporal.</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40"/>
        <w:jc w:val="both"/>
      </w:pPr>
      <w:r>
        <w:rPr/>
        <w:t>Las medidas de vigilancia de la salud de los trabajadores y</w:t>
      </w:r>
      <w:r>
        <w:rPr>
          <w:spacing w:val="-1"/>
        </w:rPr>
        <w:t> </w:t>
      </w:r>
      <w:r>
        <w:rPr/>
        <w:t>trabajadoras se han llevado a cabo respetando el derecho a la intimidad y</w:t>
      </w:r>
      <w:r>
        <w:rPr>
          <w:spacing w:val="-1"/>
        </w:rPr>
        <w:t> </w:t>
      </w:r>
      <w:r>
        <w:rPr/>
        <w:t>a la dignidad del</w:t>
      </w:r>
      <w:r>
        <w:rPr>
          <w:spacing w:val="-1"/>
        </w:rPr>
        <w:t> </w:t>
      </w:r>
      <w:r>
        <w:rPr/>
        <w:t>trabajador y</w:t>
      </w:r>
      <w:r>
        <w:rPr>
          <w:spacing w:val="-1"/>
        </w:rPr>
        <w:t> </w:t>
      </w:r>
      <w:r>
        <w:rPr/>
        <w:t>la confidencialidad de toda la información.</w:t>
      </w:r>
    </w:p>
    <w:p>
      <w:pPr>
        <w:pStyle w:val="BodyText"/>
        <w:spacing w:line="362" w:lineRule="auto" w:before="199"/>
        <w:ind w:left="1341" w:right="1334"/>
        <w:jc w:val="both"/>
      </w:pPr>
      <w:r>
        <w:rPr/>
        <w:t>Se dispone además de los procedimientos necesarios para el cumplimiento del compromiso como empresa a prevenir los daños y</w:t>
      </w:r>
      <w:r>
        <w:rPr>
          <w:spacing w:val="-1"/>
        </w:rPr>
        <w:t> </w:t>
      </w:r>
      <w:r>
        <w:rPr/>
        <w:t>deterioro de la salud eliminando o reduciendo al máximo los riesgos de las actividades desempeñadas por los trabajadores. Para esto, a lo largo del 2025 se ha contado</w:t>
      </w:r>
      <w:r>
        <w:rPr>
          <w:spacing w:val="40"/>
        </w:rPr>
        <w:t> </w:t>
      </w:r>
      <w:r>
        <w:rPr/>
        <w:t>con:</w:t>
      </w:r>
    </w:p>
    <w:p>
      <w:pPr>
        <w:pStyle w:val="BodyText"/>
        <w:spacing w:before="188"/>
      </w:pPr>
    </w:p>
    <w:p>
      <w:pPr>
        <w:pStyle w:val="ListParagraph"/>
        <w:numPr>
          <w:ilvl w:val="0"/>
          <w:numId w:val="41"/>
        </w:numPr>
        <w:tabs>
          <w:tab w:pos="2059" w:val="left" w:leader="none"/>
        </w:tabs>
        <w:spacing w:line="240" w:lineRule="auto" w:before="0" w:after="0"/>
        <w:ind w:left="2059" w:right="0" w:hanging="358"/>
        <w:jc w:val="left"/>
        <w:rPr>
          <w:sz w:val="20"/>
        </w:rPr>
      </w:pPr>
      <w:r>
        <w:rPr>
          <w:sz w:val="20"/>
        </w:rPr>
        <w:t>Disponibilidad</w:t>
      </w:r>
      <w:r>
        <w:rPr>
          <w:spacing w:val="33"/>
          <w:sz w:val="20"/>
        </w:rPr>
        <w:t> </w:t>
      </w:r>
      <w:r>
        <w:rPr>
          <w:sz w:val="20"/>
        </w:rPr>
        <w:t>de</w:t>
      </w:r>
      <w:r>
        <w:rPr>
          <w:spacing w:val="37"/>
          <w:sz w:val="20"/>
        </w:rPr>
        <w:t> </w:t>
      </w:r>
      <w:r>
        <w:rPr>
          <w:sz w:val="20"/>
        </w:rPr>
        <w:t>un</w:t>
      </w:r>
      <w:r>
        <w:rPr>
          <w:spacing w:val="38"/>
          <w:sz w:val="20"/>
        </w:rPr>
        <w:t> </w:t>
      </w:r>
      <w:r>
        <w:rPr>
          <w:sz w:val="20"/>
        </w:rPr>
        <w:t>Servicio</w:t>
      </w:r>
      <w:r>
        <w:rPr>
          <w:spacing w:val="33"/>
          <w:sz w:val="20"/>
        </w:rPr>
        <w:t> </w:t>
      </w:r>
      <w:r>
        <w:rPr>
          <w:sz w:val="20"/>
        </w:rPr>
        <w:t>Médico</w:t>
      </w:r>
      <w:r>
        <w:rPr>
          <w:spacing w:val="33"/>
          <w:sz w:val="20"/>
        </w:rPr>
        <w:t> </w:t>
      </w:r>
      <w:r>
        <w:rPr>
          <w:sz w:val="20"/>
        </w:rPr>
        <w:t>dotado</w:t>
      </w:r>
      <w:r>
        <w:rPr>
          <w:spacing w:val="36"/>
          <w:sz w:val="20"/>
        </w:rPr>
        <w:t> </w:t>
      </w:r>
      <w:r>
        <w:rPr>
          <w:sz w:val="20"/>
        </w:rPr>
        <w:t>de</w:t>
      </w:r>
      <w:r>
        <w:rPr>
          <w:spacing w:val="35"/>
          <w:sz w:val="20"/>
        </w:rPr>
        <w:t> </w:t>
      </w:r>
      <w:r>
        <w:rPr>
          <w:sz w:val="20"/>
        </w:rPr>
        <w:t>medicación</w:t>
      </w:r>
      <w:r>
        <w:rPr>
          <w:spacing w:val="34"/>
          <w:sz w:val="20"/>
        </w:rPr>
        <w:t> </w:t>
      </w:r>
      <w:r>
        <w:rPr>
          <w:sz w:val="20"/>
        </w:rPr>
        <w:t>suficiente</w:t>
      </w:r>
      <w:r>
        <w:rPr>
          <w:spacing w:val="34"/>
          <w:sz w:val="20"/>
        </w:rPr>
        <w:t> </w:t>
      </w:r>
      <w:r>
        <w:rPr>
          <w:sz w:val="20"/>
        </w:rPr>
        <w:t>para</w:t>
      </w:r>
      <w:r>
        <w:rPr>
          <w:spacing w:val="36"/>
          <w:sz w:val="20"/>
        </w:rPr>
        <w:t> </w:t>
      </w:r>
      <w:r>
        <w:rPr>
          <w:sz w:val="20"/>
        </w:rPr>
        <w:t>el</w:t>
      </w:r>
      <w:r>
        <w:rPr>
          <w:spacing w:val="36"/>
          <w:sz w:val="20"/>
        </w:rPr>
        <w:t> </w:t>
      </w:r>
      <w:r>
        <w:rPr>
          <w:spacing w:val="-2"/>
          <w:sz w:val="20"/>
        </w:rPr>
        <w:t>nivel</w:t>
      </w:r>
    </w:p>
    <w:p>
      <w:pPr>
        <w:pStyle w:val="BodyText"/>
        <w:spacing w:before="116"/>
        <w:ind w:left="2061"/>
      </w:pPr>
      <w:r>
        <w:rPr/>
        <w:t>asistencial</w:t>
      </w:r>
      <w:r>
        <w:rPr>
          <w:spacing w:val="-8"/>
        </w:rPr>
        <w:t> </w:t>
      </w:r>
      <w:r>
        <w:rPr/>
        <w:t>requerido</w:t>
      </w:r>
      <w:r>
        <w:rPr>
          <w:spacing w:val="1"/>
        </w:rPr>
        <w:t> </w:t>
      </w:r>
      <w:r>
        <w:rPr/>
        <w:t>y</w:t>
      </w:r>
      <w:r>
        <w:rPr>
          <w:spacing w:val="-10"/>
        </w:rPr>
        <w:t> </w:t>
      </w:r>
      <w:r>
        <w:rPr/>
        <w:t>con</w:t>
      </w:r>
      <w:r>
        <w:rPr>
          <w:spacing w:val="-5"/>
        </w:rPr>
        <w:t> </w:t>
      </w:r>
      <w:r>
        <w:rPr/>
        <w:t>material</w:t>
      </w:r>
      <w:r>
        <w:rPr>
          <w:spacing w:val="-7"/>
        </w:rPr>
        <w:t> </w:t>
      </w:r>
      <w:r>
        <w:rPr/>
        <w:t>para</w:t>
      </w:r>
      <w:r>
        <w:rPr>
          <w:spacing w:val="-4"/>
        </w:rPr>
        <w:t> </w:t>
      </w:r>
      <w:r>
        <w:rPr/>
        <w:t>curas</w:t>
      </w:r>
      <w:r>
        <w:rPr>
          <w:spacing w:val="-6"/>
        </w:rPr>
        <w:t> </w:t>
      </w:r>
      <w:r>
        <w:rPr/>
        <w:t>en</w:t>
      </w:r>
      <w:r>
        <w:rPr>
          <w:spacing w:val="-3"/>
        </w:rPr>
        <w:t> </w:t>
      </w:r>
      <w:r>
        <w:rPr/>
        <w:t>el</w:t>
      </w:r>
      <w:r>
        <w:rPr>
          <w:spacing w:val="-4"/>
        </w:rPr>
        <w:t> </w:t>
      </w:r>
      <w:r>
        <w:rPr/>
        <w:t>lugar</w:t>
      </w:r>
      <w:r>
        <w:rPr>
          <w:spacing w:val="-4"/>
        </w:rPr>
        <w:t> </w:t>
      </w:r>
      <w:r>
        <w:rPr/>
        <w:t>de</w:t>
      </w:r>
      <w:r>
        <w:rPr>
          <w:spacing w:val="-4"/>
        </w:rPr>
        <w:t> </w:t>
      </w:r>
      <w:r>
        <w:rPr>
          <w:spacing w:val="-2"/>
        </w:rPr>
        <w:t>trabajo.</w:t>
      </w:r>
    </w:p>
    <w:p>
      <w:pPr>
        <w:pStyle w:val="BodyText"/>
        <w:spacing w:before="228"/>
      </w:pPr>
    </w:p>
    <w:p>
      <w:pPr>
        <w:pStyle w:val="ListParagraph"/>
        <w:numPr>
          <w:ilvl w:val="0"/>
          <w:numId w:val="41"/>
        </w:numPr>
        <w:tabs>
          <w:tab w:pos="2059" w:val="left" w:leader="none"/>
        </w:tabs>
        <w:spacing w:line="240" w:lineRule="auto" w:before="1" w:after="0"/>
        <w:ind w:left="2059" w:right="0" w:hanging="358"/>
        <w:jc w:val="both"/>
        <w:rPr>
          <w:sz w:val="20"/>
        </w:rPr>
      </w:pPr>
      <w:r>
        <w:rPr>
          <w:sz w:val="20"/>
        </w:rPr>
        <w:t>Procedimientos</w:t>
      </w:r>
      <w:r>
        <w:rPr>
          <w:spacing w:val="-10"/>
          <w:sz w:val="20"/>
        </w:rPr>
        <w:t> </w:t>
      </w:r>
      <w:r>
        <w:rPr>
          <w:sz w:val="20"/>
        </w:rPr>
        <w:t>de</w:t>
      </w:r>
      <w:r>
        <w:rPr>
          <w:spacing w:val="-7"/>
          <w:sz w:val="20"/>
        </w:rPr>
        <w:t> </w:t>
      </w:r>
      <w:r>
        <w:rPr>
          <w:sz w:val="20"/>
        </w:rPr>
        <w:t>actuación</w:t>
      </w:r>
      <w:r>
        <w:rPr>
          <w:spacing w:val="-11"/>
          <w:sz w:val="20"/>
        </w:rPr>
        <w:t> </w:t>
      </w:r>
      <w:r>
        <w:rPr>
          <w:spacing w:val="-4"/>
          <w:sz w:val="20"/>
        </w:rPr>
        <w:t>ante:</w:t>
      </w:r>
    </w:p>
    <w:p>
      <w:pPr>
        <w:pStyle w:val="ListParagraph"/>
        <w:numPr>
          <w:ilvl w:val="1"/>
          <w:numId w:val="41"/>
        </w:numPr>
        <w:tabs>
          <w:tab w:pos="2779" w:val="left" w:leader="none"/>
          <w:tab w:pos="2781" w:val="left" w:leader="none"/>
        </w:tabs>
        <w:spacing w:line="360" w:lineRule="auto" w:before="115" w:after="0"/>
        <w:ind w:left="2781" w:right="1335" w:hanging="360"/>
        <w:jc w:val="both"/>
        <w:rPr>
          <w:sz w:val="20"/>
        </w:rPr>
      </w:pPr>
      <w:r>
        <w:rPr>
          <w:sz w:val="20"/>
        </w:rPr>
        <w:t>Condiciones de Trabajo Especial. Evaluación específica del trabajador/a y del puesto de trabajo para modificar temporalmente si es posible las condiciones del puesto para facilitar su incorporación activa.</w:t>
      </w:r>
    </w:p>
    <w:p>
      <w:pPr>
        <w:pStyle w:val="ListParagraph"/>
        <w:numPr>
          <w:ilvl w:val="1"/>
          <w:numId w:val="41"/>
        </w:numPr>
        <w:tabs>
          <w:tab w:pos="2779" w:val="left" w:leader="none"/>
          <w:tab w:pos="4177" w:val="left" w:leader="none"/>
          <w:tab w:pos="5704" w:val="left" w:leader="none"/>
          <w:tab w:pos="6844" w:val="left" w:leader="none"/>
          <w:tab w:pos="8036" w:val="left" w:leader="none"/>
          <w:tab w:pos="9153" w:val="left" w:leader="none"/>
          <w:tab w:pos="9592" w:val="left" w:leader="none"/>
        </w:tabs>
        <w:spacing w:line="240" w:lineRule="auto" w:before="0" w:after="0"/>
        <w:ind w:left="2779" w:right="0" w:hanging="358"/>
        <w:jc w:val="left"/>
        <w:rPr>
          <w:sz w:val="20"/>
        </w:rPr>
      </w:pPr>
      <w:r>
        <w:rPr>
          <w:spacing w:val="-2"/>
          <w:sz w:val="20"/>
        </w:rPr>
        <w:t>Trabajadores</w:t>
      </w:r>
      <w:r>
        <w:rPr>
          <w:sz w:val="20"/>
        </w:rPr>
        <w:tab/>
      </w:r>
      <w:r>
        <w:rPr>
          <w:spacing w:val="-2"/>
          <w:sz w:val="20"/>
        </w:rPr>
        <w:t>Especialmente</w:t>
      </w:r>
      <w:r>
        <w:rPr>
          <w:sz w:val="20"/>
        </w:rPr>
        <w:tab/>
      </w:r>
      <w:r>
        <w:rPr>
          <w:spacing w:val="-2"/>
          <w:sz w:val="20"/>
        </w:rPr>
        <w:t>Sensibles.</w:t>
      </w:r>
      <w:r>
        <w:rPr>
          <w:sz w:val="20"/>
        </w:rPr>
        <w:tab/>
      </w:r>
      <w:r>
        <w:rPr>
          <w:spacing w:val="-2"/>
          <w:sz w:val="20"/>
        </w:rPr>
        <w:t>Evaluación</w:t>
      </w:r>
      <w:r>
        <w:rPr>
          <w:sz w:val="20"/>
        </w:rPr>
        <w:tab/>
      </w:r>
      <w:r>
        <w:rPr>
          <w:spacing w:val="-2"/>
          <w:sz w:val="20"/>
        </w:rPr>
        <w:t>específica</w:t>
      </w:r>
      <w:r>
        <w:rPr>
          <w:sz w:val="20"/>
        </w:rPr>
        <w:tab/>
      </w:r>
      <w:r>
        <w:rPr>
          <w:spacing w:val="-5"/>
          <w:sz w:val="20"/>
        </w:rPr>
        <w:t>de</w:t>
      </w:r>
      <w:r>
        <w:rPr>
          <w:sz w:val="20"/>
        </w:rPr>
        <w:tab/>
      </w:r>
      <w:r>
        <w:rPr>
          <w:spacing w:val="-5"/>
          <w:sz w:val="20"/>
        </w:rPr>
        <w:t>las</w:t>
      </w:r>
    </w:p>
    <w:p>
      <w:pPr>
        <w:pStyle w:val="BodyText"/>
        <w:spacing w:before="115"/>
        <w:ind w:left="2781"/>
      </w:pPr>
      <w:r>
        <w:rPr/>
        <w:t>características</w:t>
      </w:r>
      <w:r>
        <w:rPr>
          <w:spacing w:val="66"/>
          <w:w w:val="150"/>
        </w:rPr>
        <w:t> </w:t>
      </w:r>
      <w:r>
        <w:rPr/>
        <w:t>personales</w:t>
      </w:r>
      <w:r>
        <w:rPr>
          <w:spacing w:val="69"/>
          <w:w w:val="150"/>
        </w:rPr>
        <w:t> </w:t>
      </w:r>
      <w:r>
        <w:rPr/>
        <w:t>o</w:t>
      </w:r>
      <w:r>
        <w:rPr>
          <w:spacing w:val="67"/>
          <w:w w:val="150"/>
        </w:rPr>
        <w:t> </w:t>
      </w:r>
      <w:r>
        <w:rPr/>
        <w:t>estado</w:t>
      </w:r>
      <w:r>
        <w:rPr>
          <w:spacing w:val="65"/>
          <w:w w:val="150"/>
        </w:rPr>
        <w:t> </w:t>
      </w:r>
      <w:r>
        <w:rPr/>
        <w:t>biológico</w:t>
      </w:r>
      <w:r>
        <w:rPr>
          <w:spacing w:val="66"/>
          <w:w w:val="150"/>
        </w:rPr>
        <w:t> </w:t>
      </w:r>
      <w:r>
        <w:rPr/>
        <w:t>conocido</w:t>
      </w:r>
      <w:r>
        <w:rPr>
          <w:spacing w:val="66"/>
          <w:w w:val="150"/>
        </w:rPr>
        <w:t> </w:t>
      </w:r>
      <w:r>
        <w:rPr/>
        <w:t>del</w:t>
      </w:r>
      <w:r>
        <w:rPr>
          <w:spacing w:val="67"/>
          <w:w w:val="150"/>
        </w:rPr>
        <w:t> </w:t>
      </w:r>
      <w:r>
        <w:rPr>
          <w:spacing w:val="-2"/>
        </w:rPr>
        <w:t>trabajador/a,</w:t>
      </w:r>
    </w:p>
    <w:p>
      <w:pPr>
        <w:pStyle w:val="BodyText"/>
        <w:spacing w:line="357" w:lineRule="auto" w:before="116"/>
        <w:ind w:left="2781" w:right="1308"/>
      </w:pPr>
      <w:r>
        <w:rPr/>
        <w:t>incluidos aquellos que tengan reconocida la situación de discapacidad física,</w:t>
      </w:r>
      <w:r>
        <w:rPr>
          <w:spacing w:val="40"/>
        </w:rPr>
        <w:t> </w:t>
      </w:r>
      <w:r>
        <w:rPr/>
        <w:t>psíquica o sensorial, para adoptar las medidas preventivas necesarias.</w:t>
      </w:r>
    </w:p>
    <w:p>
      <w:pPr>
        <w:pStyle w:val="ListParagraph"/>
        <w:numPr>
          <w:ilvl w:val="1"/>
          <w:numId w:val="41"/>
        </w:numPr>
        <w:tabs>
          <w:tab w:pos="2781" w:val="left" w:leader="none"/>
        </w:tabs>
        <w:spacing w:line="240" w:lineRule="auto" w:before="3" w:after="0"/>
        <w:ind w:left="2781" w:right="0" w:hanging="360"/>
        <w:jc w:val="left"/>
        <w:rPr>
          <w:sz w:val="20"/>
        </w:rPr>
      </w:pPr>
      <w:r>
        <w:rPr>
          <w:sz w:val="20"/>
        </w:rPr>
        <w:t>Sospecha</w:t>
      </w:r>
      <w:r>
        <w:rPr>
          <w:spacing w:val="32"/>
          <w:sz w:val="20"/>
        </w:rPr>
        <w:t> </w:t>
      </w:r>
      <w:r>
        <w:rPr>
          <w:sz w:val="20"/>
        </w:rPr>
        <w:t>de</w:t>
      </w:r>
      <w:r>
        <w:rPr>
          <w:spacing w:val="37"/>
          <w:sz w:val="20"/>
        </w:rPr>
        <w:t> </w:t>
      </w:r>
      <w:r>
        <w:rPr>
          <w:sz w:val="20"/>
        </w:rPr>
        <w:t>Enfermedad</w:t>
      </w:r>
      <w:r>
        <w:rPr>
          <w:spacing w:val="33"/>
          <w:sz w:val="20"/>
        </w:rPr>
        <w:t> </w:t>
      </w:r>
      <w:r>
        <w:rPr>
          <w:sz w:val="20"/>
        </w:rPr>
        <w:t>Profesional.</w:t>
      </w:r>
      <w:r>
        <w:rPr>
          <w:spacing w:val="34"/>
          <w:sz w:val="20"/>
        </w:rPr>
        <w:t> </w:t>
      </w:r>
      <w:r>
        <w:rPr>
          <w:sz w:val="20"/>
        </w:rPr>
        <w:t>En</w:t>
      </w:r>
      <w:r>
        <w:rPr>
          <w:spacing w:val="33"/>
          <w:sz w:val="20"/>
        </w:rPr>
        <w:t> </w:t>
      </w:r>
      <w:r>
        <w:rPr>
          <w:sz w:val="20"/>
        </w:rPr>
        <w:t>caso</w:t>
      </w:r>
      <w:r>
        <w:rPr>
          <w:spacing w:val="35"/>
          <w:sz w:val="20"/>
        </w:rPr>
        <w:t> </w:t>
      </w:r>
      <w:r>
        <w:rPr>
          <w:sz w:val="20"/>
        </w:rPr>
        <w:t>de</w:t>
      </w:r>
      <w:r>
        <w:rPr>
          <w:spacing w:val="36"/>
          <w:sz w:val="20"/>
        </w:rPr>
        <w:t> </w:t>
      </w:r>
      <w:r>
        <w:rPr>
          <w:sz w:val="20"/>
        </w:rPr>
        <w:t>sospecha</w:t>
      </w:r>
      <w:r>
        <w:rPr>
          <w:spacing w:val="35"/>
          <w:sz w:val="20"/>
        </w:rPr>
        <w:t> </w:t>
      </w:r>
      <w:r>
        <w:rPr>
          <w:sz w:val="20"/>
        </w:rPr>
        <w:t>el</w:t>
      </w:r>
      <w:r>
        <w:rPr>
          <w:spacing w:val="34"/>
          <w:sz w:val="20"/>
        </w:rPr>
        <w:t> </w:t>
      </w:r>
      <w:r>
        <w:rPr>
          <w:sz w:val="20"/>
        </w:rPr>
        <w:t>Servicio</w:t>
      </w:r>
      <w:r>
        <w:rPr>
          <w:spacing w:val="34"/>
          <w:sz w:val="20"/>
        </w:rPr>
        <w:t> </w:t>
      </w:r>
      <w:r>
        <w:rPr>
          <w:spacing w:val="-5"/>
          <w:sz w:val="20"/>
        </w:rPr>
        <w:t>de</w:t>
      </w:r>
    </w:p>
    <w:p>
      <w:pPr>
        <w:pStyle w:val="ListParagraph"/>
        <w:spacing w:after="0" w:line="240" w:lineRule="auto"/>
        <w:jc w:val="left"/>
        <w:rPr>
          <w:sz w:val="20"/>
        </w:rPr>
        <w:sectPr>
          <w:pgSz w:w="11910" w:h="16840"/>
          <w:pgMar w:header="384" w:footer="1060" w:top="1200" w:bottom="1260" w:left="360" w:right="360"/>
        </w:sectPr>
      </w:pPr>
    </w:p>
    <w:p>
      <w:pPr>
        <w:pStyle w:val="BodyText"/>
        <w:spacing w:before="116"/>
        <w:jc w:val="right"/>
      </w:pPr>
      <w:r>
        <w:rPr>
          <w:spacing w:val="-2"/>
        </w:rPr>
        <w:t>Prevención</w:t>
      </w:r>
    </w:p>
    <w:p>
      <w:pPr>
        <w:pStyle w:val="BodyText"/>
        <w:spacing w:before="116"/>
        <w:ind w:left="99"/>
      </w:pPr>
      <w:r>
        <w:rPr/>
        <w:br w:type="column"/>
      </w:r>
      <w:r>
        <w:rPr/>
        <w:t>abre</w:t>
      </w:r>
      <w:r>
        <w:rPr>
          <w:spacing w:val="74"/>
        </w:rPr>
        <w:t> </w:t>
      </w:r>
      <w:r>
        <w:rPr/>
        <w:t>expediente</w:t>
      </w:r>
      <w:r>
        <w:rPr>
          <w:spacing w:val="74"/>
        </w:rPr>
        <w:t> </w:t>
      </w:r>
      <w:r>
        <w:rPr/>
        <w:t>para</w:t>
      </w:r>
      <w:r>
        <w:rPr>
          <w:spacing w:val="73"/>
        </w:rPr>
        <w:t> </w:t>
      </w:r>
      <w:r>
        <w:rPr/>
        <w:t>su</w:t>
      </w:r>
      <w:r>
        <w:rPr>
          <w:spacing w:val="74"/>
        </w:rPr>
        <w:t> </w:t>
      </w:r>
      <w:r>
        <w:rPr/>
        <w:t>respectivo</w:t>
      </w:r>
      <w:r>
        <w:rPr>
          <w:spacing w:val="73"/>
        </w:rPr>
        <w:t> </w:t>
      </w:r>
      <w:r>
        <w:rPr>
          <w:spacing w:val="-2"/>
        </w:rPr>
        <w:t>estudio</w:t>
      </w:r>
    </w:p>
    <w:p>
      <w:pPr>
        <w:pStyle w:val="BodyText"/>
        <w:spacing w:before="116"/>
        <w:ind w:left="96"/>
      </w:pPr>
      <w:r>
        <w:rPr/>
        <w:br w:type="column"/>
      </w:r>
      <w:r>
        <w:rPr/>
        <w:t>en</w:t>
      </w:r>
      <w:r>
        <w:rPr>
          <w:spacing w:val="76"/>
        </w:rPr>
        <w:t> </w:t>
      </w:r>
      <w:r>
        <w:rPr/>
        <w:t>la</w:t>
      </w:r>
      <w:r>
        <w:rPr>
          <w:spacing w:val="76"/>
        </w:rPr>
        <w:t> </w:t>
      </w:r>
      <w:r>
        <w:rPr/>
        <w:t>Mutua</w:t>
      </w:r>
      <w:r>
        <w:rPr>
          <w:spacing w:val="76"/>
        </w:rPr>
        <w:t> </w:t>
      </w:r>
      <w:r>
        <w:rPr>
          <w:spacing w:val="-7"/>
        </w:rPr>
        <w:t>de</w:t>
      </w:r>
    </w:p>
    <w:p>
      <w:pPr>
        <w:pStyle w:val="BodyText"/>
        <w:spacing w:after="0"/>
        <w:sectPr>
          <w:type w:val="continuous"/>
          <w:pgSz w:w="11910" w:h="16840"/>
          <w:pgMar w:header="384" w:footer="1060" w:top="1700" w:bottom="1040" w:left="360" w:right="360"/>
          <w:cols w:num="3" w:equalWidth="0">
            <w:col w:w="3781" w:space="40"/>
            <w:col w:w="4326" w:space="39"/>
            <w:col w:w="3004"/>
          </w:cols>
        </w:sectPr>
      </w:pPr>
    </w:p>
    <w:p>
      <w:pPr>
        <w:pStyle w:val="BodyText"/>
        <w:spacing w:before="116"/>
        <w:ind w:left="2781"/>
      </w:pPr>
      <w:r>
        <w:rPr/>
        <w:t>Accidentes</w:t>
      </w:r>
      <w:r>
        <w:rPr>
          <w:spacing w:val="-7"/>
        </w:rPr>
        <w:t> </w:t>
      </w:r>
      <w:r>
        <w:rPr/>
        <w:t>de</w:t>
      </w:r>
      <w:r>
        <w:rPr>
          <w:spacing w:val="-8"/>
        </w:rPr>
        <w:t> </w:t>
      </w:r>
      <w:r>
        <w:rPr/>
        <w:t>Trabajo</w:t>
      </w:r>
      <w:r>
        <w:rPr>
          <w:spacing w:val="-9"/>
        </w:rPr>
        <w:t> </w:t>
      </w:r>
      <w:r>
        <w:rPr/>
        <w:t>(Mutua</w:t>
      </w:r>
      <w:r>
        <w:rPr>
          <w:spacing w:val="-9"/>
        </w:rPr>
        <w:t> </w:t>
      </w:r>
      <w:r>
        <w:rPr>
          <w:spacing w:val="-2"/>
        </w:rPr>
        <w:t>Asepeyo).</w:t>
      </w:r>
    </w:p>
    <w:p>
      <w:pPr>
        <w:pStyle w:val="BodyText"/>
        <w:spacing w:before="228"/>
      </w:pPr>
    </w:p>
    <w:p>
      <w:pPr>
        <w:pStyle w:val="ListParagraph"/>
        <w:numPr>
          <w:ilvl w:val="0"/>
          <w:numId w:val="41"/>
        </w:numPr>
        <w:tabs>
          <w:tab w:pos="2059" w:val="left" w:leader="none"/>
        </w:tabs>
        <w:spacing w:line="240" w:lineRule="auto" w:before="0" w:after="0"/>
        <w:ind w:left="2059" w:right="0" w:hanging="358"/>
        <w:jc w:val="left"/>
        <w:rPr>
          <w:sz w:val="20"/>
        </w:rPr>
      </w:pPr>
      <w:r>
        <w:rPr>
          <w:sz w:val="20"/>
        </w:rPr>
        <w:t>Canales</w:t>
      </w:r>
      <w:r>
        <w:rPr>
          <w:spacing w:val="48"/>
          <w:sz w:val="20"/>
        </w:rPr>
        <w:t> </w:t>
      </w:r>
      <w:r>
        <w:rPr>
          <w:sz w:val="20"/>
        </w:rPr>
        <w:t>de</w:t>
      </w:r>
      <w:r>
        <w:rPr>
          <w:spacing w:val="46"/>
          <w:sz w:val="20"/>
        </w:rPr>
        <w:t> </w:t>
      </w:r>
      <w:r>
        <w:rPr>
          <w:sz w:val="20"/>
        </w:rPr>
        <w:t>comunicación</w:t>
      </w:r>
      <w:r>
        <w:rPr>
          <w:spacing w:val="48"/>
          <w:sz w:val="20"/>
        </w:rPr>
        <w:t> </w:t>
      </w:r>
      <w:r>
        <w:rPr>
          <w:sz w:val="20"/>
        </w:rPr>
        <w:t>con</w:t>
      </w:r>
      <w:r>
        <w:rPr>
          <w:spacing w:val="46"/>
          <w:sz w:val="20"/>
        </w:rPr>
        <w:t> </w:t>
      </w:r>
      <w:r>
        <w:rPr>
          <w:sz w:val="20"/>
        </w:rPr>
        <w:t>Mutua</w:t>
      </w:r>
      <w:r>
        <w:rPr>
          <w:spacing w:val="48"/>
          <w:sz w:val="20"/>
        </w:rPr>
        <w:t> </w:t>
      </w:r>
      <w:r>
        <w:rPr>
          <w:sz w:val="20"/>
        </w:rPr>
        <w:t>de</w:t>
      </w:r>
      <w:r>
        <w:rPr>
          <w:spacing w:val="49"/>
          <w:sz w:val="20"/>
        </w:rPr>
        <w:t> </w:t>
      </w:r>
      <w:r>
        <w:rPr>
          <w:sz w:val="20"/>
        </w:rPr>
        <w:t>Accidentes</w:t>
      </w:r>
      <w:r>
        <w:rPr>
          <w:spacing w:val="48"/>
          <w:sz w:val="20"/>
        </w:rPr>
        <w:t> </w:t>
      </w:r>
      <w:r>
        <w:rPr>
          <w:sz w:val="20"/>
        </w:rPr>
        <w:t>de</w:t>
      </w:r>
      <w:r>
        <w:rPr>
          <w:spacing w:val="49"/>
          <w:sz w:val="20"/>
        </w:rPr>
        <w:t> </w:t>
      </w:r>
      <w:r>
        <w:rPr>
          <w:sz w:val="20"/>
        </w:rPr>
        <w:t>Trabajo</w:t>
      </w:r>
      <w:r>
        <w:rPr>
          <w:spacing w:val="46"/>
          <w:sz w:val="20"/>
        </w:rPr>
        <w:t> </w:t>
      </w:r>
      <w:r>
        <w:rPr>
          <w:sz w:val="20"/>
        </w:rPr>
        <w:t>(Mutua</w:t>
      </w:r>
      <w:r>
        <w:rPr>
          <w:spacing w:val="50"/>
          <w:sz w:val="20"/>
        </w:rPr>
        <w:t> </w:t>
      </w:r>
      <w:r>
        <w:rPr>
          <w:spacing w:val="-2"/>
          <w:sz w:val="20"/>
        </w:rPr>
        <w:t>Asepeyo),</w:t>
      </w:r>
    </w:p>
    <w:p>
      <w:pPr>
        <w:pStyle w:val="BodyText"/>
        <w:spacing w:before="116"/>
        <w:ind w:left="2061"/>
      </w:pPr>
      <w:r>
        <w:rPr/>
        <w:t>Servicio</w:t>
      </w:r>
      <w:r>
        <w:rPr>
          <w:spacing w:val="-7"/>
        </w:rPr>
        <w:t> </w:t>
      </w:r>
      <w:r>
        <w:rPr/>
        <w:t>Canario</w:t>
      </w:r>
      <w:r>
        <w:rPr>
          <w:spacing w:val="-6"/>
        </w:rPr>
        <w:t> </w:t>
      </w:r>
      <w:r>
        <w:rPr/>
        <w:t>de</w:t>
      </w:r>
      <w:r>
        <w:rPr>
          <w:spacing w:val="-5"/>
        </w:rPr>
        <w:t> </w:t>
      </w:r>
      <w:r>
        <w:rPr/>
        <w:t>Salud</w:t>
      </w:r>
      <w:r>
        <w:rPr>
          <w:spacing w:val="-8"/>
        </w:rPr>
        <w:t> </w:t>
      </w:r>
      <w:r>
        <w:rPr/>
        <w:t>(SCS)</w:t>
      </w:r>
      <w:r>
        <w:rPr>
          <w:spacing w:val="-2"/>
        </w:rPr>
        <w:t> </w:t>
      </w:r>
      <w:r>
        <w:rPr/>
        <w:t>y</w:t>
      </w:r>
      <w:r>
        <w:rPr>
          <w:spacing w:val="-9"/>
        </w:rPr>
        <w:t> </w:t>
      </w:r>
      <w:r>
        <w:rPr/>
        <w:t>Servicio</w:t>
      </w:r>
      <w:r>
        <w:rPr>
          <w:spacing w:val="-8"/>
        </w:rPr>
        <w:t> </w:t>
      </w:r>
      <w:r>
        <w:rPr/>
        <w:t>de</w:t>
      </w:r>
      <w:r>
        <w:rPr>
          <w:spacing w:val="-7"/>
        </w:rPr>
        <w:t> </w:t>
      </w:r>
      <w:r>
        <w:rPr/>
        <w:t>Prevención</w:t>
      </w:r>
      <w:r>
        <w:rPr>
          <w:spacing w:val="-6"/>
        </w:rPr>
        <w:t> </w:t>
      </w:r>
      <w:r>
        <w:rPr/>
        <w:t>Ajeno</w:t>
      </w:r>
      <w:r>
        <w:rPr>
          <w:spacing w:val="-7"/>
        </w:rPr>
        <w:t> </w:t>
      </w:r>
      <w:r>
        <w:rPr/>
        <w:t>(Quirón</w:t>
      </w:r>
      <w:r>
        <w:rPr>
          <w:spacing w:val="-6"/>
        </w:rPr>
        <w:t> </w:t>
      </w:r>
      <w:r>
        <w:rPr>
          <w:spacing w:val="-2"/>
        </w:rPr>
        <w:t>Prevención).</w:t>
      </w:r>
    </w:p>
    <w:p>
      <w:pPr>
        <w:pStyle w:val="BodyText"/>
        <w:spacing w:before="229"/>
      </w:pPr>
    </w:p>
    <w:p>
      <w:pPr>
        <w:pStyle w:val="ListParagraph"/>
        <w:numPr>
          <w:ilvl w:val="0"/>
          <w:numId w:val="41"/>
        </w:numPr>
        <w:tabs>
          <w:tab w:pos="2059" w:val="left" w:leader="none"/>
        </w:tabs>
        <w:spacing w:line="240" w:lineRule="auto" w:before="0" w:after="0"/>
        <w:ind w:left="2059" w:right="0" w:hanging="358"/>
        <w:jc w:val="both"/>
        <w:rPr>
          <w:sz w:val="20"/>
        </w:rPr>
      </w:pPr>
      <w:r>
        <w:rPr>
          <w:sz w:val="20"/>
        </w:rPr>
        <mc:AlternateContent>
          <mc:Choice Requires="wps">
            <w:drawing>
              <wp:anchor distT="0" distB="0" distL="0" distR="0" allowOverlap="1" layoutInCell="1" locked="0" behindDoc="0" simplePos="0" relativeHeight="15816192">
                <wp:simplePos x="0" y="0"/>
                <wp:positionH relativeFrom="page">
                  <wp:posOffset>6966436</wp:posOffset>
                </wp:positionH>
                <wp:positionV relativeFrom="paragraph">
                  <wp:posOffset>-218895</wp:posOffset>
                </wp:positionV>
                <wp:extent cx="263525" cy="327596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235868pt;width:20.75pt;height:257.95pt;mso-position-horizontal-relative:page;mso-position-vertical-relative:paragraph;z-index:15816192" type="#_x0000_t202" id="docshape23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Contratación</w:t>
      </w:r>
      <w:r>
        <w:rPr>
          <w:spacing w:val="-10"/>
          <w:sz w:val="20"/>
        </w:rPr>
        <w:t> </w:t>
      </w:r>
      <w:r>
        <w:rPr>
          <w:sz w:val="20"/>
        </w:rPr>
        <w:t>de</w:t>
      </w:r>
      <w:r>
        <w:rPr>
          <w:spacing w:val="-7"/>
          <w:sz w:val="20"/>
        </w:rPr>
        <w:t> </w:t>
      </w:r>
      <w:r>
        <w:rPr>
          <w:sz w:val="20"/>
        </w:rPr>
        <w:t>servicios</w:t>
      </w:r>
      <w:r>
        <w:rPr>
          <w:spacing w:val="-6"/>
          <w:sz w:val="20"/>
        </w:rPr>
        <w:t> </w:t>
      </w:r>
      <w:r>
        <w:rPr>
          <w:sz w:val="20"/>
        </w:rPr>
        <w:t>externos</w:t>
      </w:r>
      <w:r>
        <w:rPr>
          <w:spacing w:val="-8"/>
          <w:sz w:val="20"/>
        </w:rPr>
        <w:t> </w:t>
      </w:r>
      <w:r>
        <w:rPr>
          <w:spacing w:val="-4"/>
          <w:sz w:val="20"/>
        </w:rPr>
        <w:t>para:</w:t>
      </w:r>
    </w:p>
    <w:p>
      <w:pPr>
        <w:pStyle w:val="ListParagraph"/>
        <w:numPr>
          <w:ilvl w:val="1"/>
          <w:numId w:val="41"/>
        </w:numPr>
        <w:tabs>
          <w:tab w:pos="2779" w:val="left" w:leader="none"/>
          <w:tab w:pos="2781" w:val="left" w:leader="none"/>
        </w:tabs>
        <w:spacing w:line="360" w:lineRule="auto" w:before="116" w:after="0"/>
        <w:ind w:left="2781" w:right="1336" w:hanging="360"/>
        <w:jc w:val="both"/>
        <w:rPr>
          <w:sz w:val="20"/>
        </w:rPr>
      </w:pPr>
      <w:r>
        <w:rPr>
          <w:sz w:val="20"/>
        </w:rPr>
        <w:t>La</w:t>
      </w:r>
      <w:r>
        <w:rPr>
          <w:spacing w:val="-2"/>
          <w:sz w:val="20"/>
        </w:rPr>
        <w:t> </w:t>
      </w:r>
      <w:r>
        <w:rPr>
          <w:sz w:val="20"/>
        </w:rPr>
        <w:t>realización</w:t>
      </w:r>
      <w:r>
        <w:rPr>
          <w:spacing w:val="-2"/>
          <w:sz w:val="20"/>
        </w:rPr>
        <w:t> </w:t>
      </w:r>
      <w:r>
        <w:rPr>
          <w:sz w:val="20"/>
        </w:rPr>
        <w:t>de actividades de</w:t>
      </w:r>
      <w:r>
        <w:rPr>
          <w:spacing w:val="-2"/>
          <w:sz w:val="20"/>
        </w:rPr>
        <w:t> </w:t>
      </w:r>
      <w:r>
        <w:rPr>
          <w:sz w:val="20"/>
        </w:rPr>
        <w:t>higiene, ergonomía y</w:t>
      </w:r>
      <w:r>
        <w:rPr>
          <w:spacing w:val="-6"/>
          <w:sz w:val="20"/>
        </w:rPr>
        <w:t> </w:t>
      </w:r>
      <w:r>
        <w:rPr>
          <w:sz w:val="20"/>
        </w:rPr>
        <w:t>psicosociología</w:t>
      </w:r>
      <w:r>
        <w:rPr>
          <w:spacing w:val="-4"/>
          <w:sz w:val="20"/>
        </w:rPr>
        <w:t> </w:t>
      </w:r>
      <w:r>
        <w:rPr>
          <w:sz w:val="20"/>
        </w:rPr>
        <w:t>aplicada, así como informes puntuales que requieran de un especial conocimiento o capacitación profesional para su elaboración.</w:t>
      </w:r>
    </w:p>
    <w:p>
      <w:pPr>
        <w:pStyle w:val="ListParagraph"/>
        <w:numPr>
          <w:ilvl w:val="1"/>
          <w:numId w:val="41"/>
        </w:numPr>
        <w:tabs>
          <w:tab w:pos="2779" w:val="left" w:leader="none"/>
          <w:tab w:pos="2781" w:val="left" w:leader="none"/>
        </w:tabs>
        <w:spacing w:line="360" w:lineRule="auto" w:before="0" w:after="0"/>
        <w:ind w:left="2781" w:right="1336" w:hanging="360"/>
        <w:jc w:val="both"/>
        <w:rPr>
          <w:sz w:val="20"/>
        </w:rPr>
      </w:pPr>
      <w:r>
        <w:rPr>
          <w:sz w:val="20"/>
        </w:rPr>
        <w:t>Apoyo</w:t>
      </w:r>
      <w:r>
        <w:rPr>
          <w:spacing w:val="-3"/>
          <w:sz w:val="20"/>
        </w:rPr>
        <w:t> </w:t>
      </w:r>
      <w:r>
        <w:rPr>
          <w:sz w:val="20"/>
        </w:rPr>
        <w:t>a</w:t>
      </w:r>
      <w:r>
        <w:rPr>
          <w:spacing w:val="-1"/>
          <w:sz w:val="20"/>
        </w:rPr>
        <w:t> </w:t>
      </w:r>
      <w:r>
        <w:rPr>
          <w:sz w:val="20"/>
        </w:rPr>
        <w:t>la</w:t>
      </w:r>
      <w:r>
        <w:rPr>
          <w:spacing w:val="-3"/>
          <w:sz w:val="20"/>
        </w:rPr>
        <w:t> </w:t>
      </w:r>
      <w:r>
        <w:rPr>
          <w:sz w:val="20"/>
        </w:rPr>
        <w:t>Salud</w:t>
      </w:r>
      <w:r>
        <w:rPr>
          <w:spacing w:val="-5"/>
          <w:sz w:val="20"/>
        </w:rPr>
        <w:t> </w:t>
      </w:r>
      <w:r>
        <w:rPr>
          <w:sz w:val="20"/>
        </w:rPr>
        <w:t>Laboral</w:t>
      </w:r>
      <w:r>
        <w:rPr>
          <w:spacing w:val="-4"/>
          <w:sz w:val="20"/>
        </w:rPr>
        <w:t> </w:t>
      </w:r>
      <w:r>
        <w:rPr>
          <w:sz w:val="20"/>
        </w:rPr>
        <w:t>a</w:t>
      </w:r>
      <w:r>
        <w:rPr>
          <w:spacing w:val="-3"/>
          <w:sz w:val="20"/>
        </w:rPr>
        <w:t> </w:t>
      </w:r>
      <w:r>
        <w:rPr>
          <w:sz w:val="20"/>
        </w:rPr>
        <w:t>través</w:t>
      </w:r>
      <w:r>
        <w:rPr>
          <w:spacing w:val="-3"/>
          <w:sz w:val="20"/>
        </w:rPr>
        <w:t> </w:t>
      </w:r>
      <w:r>
        <w:rPr>
          <w:sz w:val="20"/>
        </w:rPr>
        <w:t>de</w:t>
      </w:r>
      <w:r>
        <w:rPr>
          <w:spacing w:val="-3"/>
          <w:sz w:val="20"/>
        </w:rPr>
        <w:t> </w:t>
      </w:r>
      <w:r>
        <w:rPr>
          <w:sz w:val="20"/>
        </w:rPr>
        <w:t>la</w:t>
      </w:r>
      <w:r>
        <w:rPr>
          <w:spacing w:val="-3"/>
          <w:sz w:val="20"/>
        </w:rPr>
        <w:t> </w:t>
      </w:r>
      <w:r>
        <w:rPr>
          <w:sz w:val="20"/>
        </w:rPr>
        <w:t>realización</w:t>
      </w:r>
      <w:r>
        <w:rPr>
          <w:spacing w:val="-3"/>
          <w:sz w:val="20"/>
        </w:rPr>
        <w:t> </w:t>
      </w:r>
      <w:r>
        <w:rPr>
          <w:sz w:val="20"/>
        </w:rPr>
        <w:t>de</w:t>
      </w:r>
      <w:r>
        <w:rPr>
          <w:spacing w:val="-1"/>
          <w:sz w:val="20"/>
        </w:rPr>
        <w:t> </w:t>
      </w:r>
      <w:r>
        <w:rPr>
          <w:sz w:val="20"/>
        </w:rPr>
        <w:t>análisis</w:t>
      </w:r>
      <w:r>
        <w:rPr>
          <w:spacing w:val="-2"/>
          <w:sz w:val="20"/>
        </w:rPr>
        <w:t> </w:t>
      </w:r>
      <w:r>
        <w:rPr>
          <w:sz w:val="20"/>
        </w:rPr>
        <w:t>clínicos,</w:t>
      </w:r>
      <w:r>
        <w:rPr>
          <w:spacing w:val="-1"/>
          <w:sz w:val="20"/>
        </w:rPr>
        <w:t> </w:t>
      </w:r>
      <w:r>
        <w:rPr>
          <w:sz w:val="20"/>
        </w:rPr>
        <w:t>pruebas diagnósticas de</w:t>
      </w:r>
      <w:r>
        <w:rPr>
          <w:spacing w:val="-3"/>
          <w:sz w:val="20"/>
        </w:rPr>
        <w:t> </w:t>
      </w:r>
      <w:r>
        <w:rPr>
          <w:sz w:val="20"/>
        </w:rPr>
        <w:t>imagen y</w:t>
      </w:r>
      <w:r>
        <w:rPr>
          <w:spacing w:val="-7"/>
          <w:sz w:val="20"/>
        </w:rPr>
        <w:t> </w:t>
      </w:r>
      <w:r>
        <w:rPr>
          <w:sz w:val="20"/>
        </w:rPr>
        <w:t>consultas</w:t>
      </w:r>
      <w:r>
        <w:rPr>
          <w:spacing w:val="-1"/>
          <w:sz w:val="20"/>
        </w:rPr>
        <w:t> </w:t>
      </w:r>
      <w:r>
        <w:rPr>
          <w:sz w:val="20"/>
        </w:rPr>
        <w:t>médicas especializadas (Hospital</w:t>
      </w:r>
      <w:r>
        <w:rPr>
          <w:spacing w:val="-1"/>
          <w:sz w:val="20"/>
        </w:rPr>
        <w:t> </w:t>
      </w:r>
      <w:r>
        <w:rPr>
          <w:sz w:val="20"/>
        </w:rPr>
        <w:t>Perpetuo </w:t>
      </w:r>
      <w:r>
        <w:rPr>
          <w:spacing w:val="-2"/>
          <w:sz w:val="20"/>
        </w:rPr>
        <w:t>Socorro).</w:t>
      </w:r>
    </w:p>
    <w:p>
      <w:pPr>
        <w:pStyle w:val="BodyText"/>
        <w:spacing w:before="114"/>
      </w:pPr>
    </w:p>
    <w:p>
      <w:pPr>
        <w:pStyle w:val="ListParagraph"/>
        <w:numPr>
          <w:ilvl w:val="0"/>
          <w:numId w:val="41"/>
        </w:numPr>
        <w:tabs>
          <w:tab w:pos="2059" w:val="left" w:leader="none"/>
          <w:tab w:pos="2061" w:val="left" w:leader="none"/>
        </w:tabs>
        <w:spacing w:line="360" w:lineRule="auto" w:before="0" w:after="0"/>
        <w:ind w:left="2061" w:right="1334" w:hanging="360"/>
        <w:jc w:val="left"/>
        <w:rPr>
          <w:sz w:val="20"/>
        </w:rPr>
      </w:pPr>
      <w:r>
        <w:rPr>
          <w:sz w:val="20"/>
        </w:rPr>
        <w:t>Como</w:t>
      </w:r>
      <w:r>
        <w:rPr>
          <w:spacing w:val="37"/>
          <w:sz w:val="20"/>
        </w:rPr>
        <w:t> </w:t>
      </w:r>
      <w:r>
        <w:rPr>
          <w:sz w:val="20"/>
        </w:rPr>
        <w:t>ya</w:t>
      </w:r>
      <w:r>
        <w:rPr>
          <w:spacing w:val="34"/>
          <w:sz w:val="20"/>
        </w:rPr>
        <w:t> </w:t>
      </w:r>
      <w:r>
        <w:rPr>
          <w:sz w:val="20"/>
        </w:rPr>
        <w:t>se</w:t>
      </w:r>
      <w:r>
        <w:rPr>
          <w:spacing w:val="37"/>
          <w:sz w:val="20"/>
        </w:rPr>
        <w:t> </w:t>
      </w:r>
      <w:r>
        <w:rPr>
          <w:sz w:val="20"/>
        </w:rPr>
        <w:t>ha</w:t>
      </w:r>
      <w:r>
        <w:rPr>
          <w:spacing w:val="37"/>
          <w:sz w:val="20"/>
        </w:rPr>
        <w:t> </w:t>
      </w:r>
      <w:r>
        <w:rPr>
          <w:sz w:val="20"/>
        </w:rPr>
        <w:t>adelantado,</w:t>
      </w:r>
      <w:r>
        <w:rPr>
          <w:spacing w:val="35"/>
          <w:sz w:val="20"/>
        </w:rPr>
        <w:t> </w:t>
      </w:r>
      <w:r>
        <w:rPr>
          <w:sz w:val="20"/>
        </w:rPr>
        <w:t>se</w:t>
      </w:r>
      <w:r>
        <w:rPr>
          <w:spacing w:val="34"/>
          <w:sz w:val="20"/>
        </w:rPr>
        <w:t> </w:t>
      </w:r>
      <w:r>
        <w:rPr>
          <w:sz w:val="20"/>
        </w:rPr>
        <w:t>han</w:t>
      </w:r>
      <w:r>
        <w:rPr>
          <w:spacing w:val="34"/>
          <w:sz w:val="20"/>
        </w:rPr>
        <w:t> </w:t>
      </w:r>
      <w:r>
        <w:rPr>
          <w:sz w:val="20"/>
        </w:rPr>
        <w:t>establecido</w:t>
      </w:r>
      <w:r>
        <w:rPr>
          <w:spacing w:val="37"/>
          <w:sz w:val="20"/>
        </w:rPr>
        <w:t> </w:t>
      </w:r>
      <w:r>
        <w:rPr>
          <w:sz w:val="20"/>
        </w:rPr>
        <w:t>programas</w:t>
      </w:r>
      <w:r>
        <w:rPr>
          <w:spacing w:val="37"/>
          <w:sz w:val="20"/>
        </w:rPr>
        <w:t> </w:t>
      </w:r>
      <w:r>
        <w:rPr>
          <w:sz w:val="20"/>
        </w:rPr>
        <w:t>para</w:t>
      </w:r>
      <w:r>
        <w:rPr>
          <w:spacing w:val="35"/>
          <w:sz w:val="20"/>
        </w:rPr>
        <w:t> </w:t>
      </w:r>
      <w:r>
        <w:rPr>
          <w:sz w:val="20"/>
        </w:rPr>
        <w:t>fomentar</w:t>
      </w:r>
      <w:r>
        <w:rPr>
          <w:spacing w:val="36"/>
          <w:sz w:val="20"/>
        </w:rPr>
        <w:t> </w:t>
      </w:r>
      <w:r>
        <w:rPr>
          <w:sz w:val="20"/>
        </w:rPr>
        <w:t>de</w:t>
      </w:r>
      <w:r>
        <w:rPr>
          <w:spacing w:val="35"/>
          <w:sz w:val="20"/>
        </w:rPr>
        <w:t> </w:t>
      </w:r>
      <w:r>
        <w:rPr>
          <w:sz w:val="20"/>
        </w:rPr>
        <w:t>forma activa la vida saludable a través del programa Guaguas es Saludable:</w:t>
      </w:r>
    </w:p>
    <w:p>
      <w:pPr>
        <w:pStyle w:val="ListParagraph"/>
        <w:numPr>
          <w:ilvl w:val="1"/>
          <w:numId w:val="41"/>
        </w:numPr>
        <w:tabs>
          <w:tab w:pos="2779" w:val="left" w:leader="none"/>
        </w:tabs>
        <w:spacing w:line="240" w:lineRule="auto" w:before="1" w:after="0"/>
        <w:ind w:left="2779" w:right="0" w:hanging="358"/>
        <w:jc w:val="left"/>
        <w:rPr>
          <w:sz w:val="20"/>
        </w:rPr>
      </w:pPr>
      <w:r>
        <w:rPr>
          <w:sz w:val="20"/>
        </w:rPr>
        <w:t>Recomendaciones</w:t>
      </w:r>
      <w:r>
        <w:rPr>
          <w:spacing w:val="-6"/>
          <w:sz w:val="20"/>
        </w:rPr>
        <w:t> </w:t>
      </w:r>
      <w:r>
        <w:rPr>
          <w:sz w:val="20"/>
        </w:rPr>
        <w:t>individualizadas</w:t>
      </w:r>
      <w:r>
        <w:rPr>
          <w:spacing w:val="-6"/>
          <w:sz w:val="20"/>
        </w:rPr>
        <w:t> </w:t>
      </w:r>
      <w:r>
        <w:rPr>
          <w:sz w:val="20"/>
        </w:rPr>
        <w:t>resultantes</w:t>
      </w:r>
      <w:r>
        <w:rPr>
          <w:spacing w:val="-6"/>
          <w:sz w:val="20"/>
        </w:rPr>
        <w:t> </w:t>
      </w:r>
      <w:r>
        <w:rPr>
          <w:sz w:val="20"/>
        </w:rPr>
        <w:t>de</w:t>
      </w:r>
      <w:r>
        <w:rPr>
          <w:spacing w:val="-7"/>
          <w:sz w:val="20"/>
        </w:rPr>
        <w:t> </w:t>
      </w:r>
      <w:r>
        <w:rPr>
          <w:sz w:val="20"/>
        </w:rPr>
        <w:t>la</w:t>
      </w:r>
      <w:r>
        <w:rPr>
          <w:spacing w:val="-10"/>
          <w:sz w:val="20"/>
        </w:rPr>
        <w:t> </w:t>
      </w:r>
      <w:r>
        <w:rPr>
          <w:sz w:val="20"/>
        </w:rPr>
        <w:t>información</w:t>
      </w:r>
      <w:r>
        <w:rPr>
          <w:spacing w:val="-9"/>
          <w:sz w:val="20"/>
        </w:rPr>
        <w:t> </w:t>
      </w:r>
      <w:r>
        <w:rPr>
          <w:sz w:val="20"/>
        </w:rPr>
        <w:t>obtenida</w:t>
      </w:r>
      <w:r>
        <w:rPr>
          <w:spacing w:val="-9"/>
          <w:sz w:val="20"/>
        </w:rPr>
        <w:t> </w:t>
      </w:r>
      <w:r>
        <w:rPr>
          <w:sz w:val="20"/>
        </w:rPr>
        <w:t>en</w:t>
      </w:r>
      <w:r>
        <w:rPr>
          <w:spacing w:val="-9"/>
          <w:sz w:val="20"/>
        </w:rPr>
        <w:t> </w:t>
      </w:r>
      <w:r>
        <w:rPr>
          <w:spacing w:val="-5"/>
          <w:sz w:val="20"/>
        </w:rPr>
        <w:t>la</w:t>
      </w:r>
    </w:p>
    <w:p>
      <w:pPr>
        <w:pStyle w:val="BodyText"/>
        <w:spacing w:before="114"/>
        <w:ind w:left="2781"/>
      </w:pPr>
      <w:r>
        <w:rPr/>
        <w:t>entrevista</w:t>
      </w:r>
      <w:r>
        <w:rPr>
          <w:spacing w:val="60"/>
        </w:rPr>
        <w:t> </w:t>
      </w:r>
      <w:r>
        <w:rPr/>
        <w:t>estructurada</w:t>
      </w:r>
      <w:r>
        <w:rPr>
          <w:spacing w:val="60"/>
        </w:rPr>
        <w:t> </w:t>
      </w:r>
      <w:r>
        <w:rPr/>
        <w:t>en</w:t>
      </w:r>
      <w:r>
        <w:rPr>
          <w:spacing w:val="64"/>
        </w:rPr>
        <w:t> </w:t>
      </w:r>
      <w:r>
        <w:rPr/>
        <w:t>el</w:t>
      </w:r>
      <w:r>
        <w:rPr>
          <w:spacing w:val="59"/>
        </w:rPr>
        <w:t> </w:t>
      </w:r>
      <w:r>
        <w:rPr/>
        <w:t>procedimiento</w:t>
      </w:r>
      <w:r>
        <w:rPr>
          <w:spacing w:val="62"/>
        </w:rPr>
        <w:t> </w:t>
      </w:r>
      <w:r>
        <w:rPr/>
        <w:t>de</w:t>
      </w:r>
      <w:r>
        <w:rPr>
          <w:spacing w:val="61"/>
        </w:rPr>
        <w:t> </w:t>
      </w:r>
      <w:r>
        <w:rPr/>
        <w:t>vigilancia</w:t>
      </w:r>
      <w:r>
        <w:rPr>
          <w:spacing w:val="60"/>
        </w:rPr>
        <w:t> </w:t>
      </w:r>
      <w:r>
        <w:rPr/>
        <w:t>de</w:t>
      </w:r>
      <w:r>
        <w:rPr>
          <w:spacing w:val="61"/>
        </w:rPr>
        <w:t> </w:t>
      </w:r>
      <w:r>
        <w:rPr/>
        <w:t>la</w:t>
      </w:r>
      <w:r>
        <w:rPr>
          <w:spacing w:val="61"/>
        </w:rPr>
        <w:t> </w:t>
      </w:r>
      <w:r>
        <w:rPr/>
        <w:t>salud,</w:t>
      </w:r>
      <w:r>
        <w:rPr>
          <w:spacing w:val="63"/>
        </w:rPr>
        <w:t> </w:t>
      </w:r>
      <w:r>
        <w:rPr>
          <w:spacing w:val="-5"/>
        </w:rPr>
        <w:t>los</w:t>
      </w:r>
    </w:p>
    <w:p>
      <w:pPr>
        <w:pStyle w:val="BodyText"/>
        <w:spacing w:before="115"/>
        <w:ind w:left="35"/>
        <w:jc w:val="center"/>
      </w:pPr>
      <w:r>
        <w:rPr/>
        <w:t>análisis</w:t>
      </w:r>
      <w:r>
        <w:rPr>
          <w:spacing w:val="-7"/>
        </w:rPr>
        <w:t> </w:t>
      </w:r>
      <w:r>
        <w:rPr/>
        <w:t>rutinarios</w:t>
      </w:r>
      <w:r>
        <w:rPr>
          <w:spacing w:val="-8"/>
        </w:rPr>
        <w:t> </w:t>
      </w:r>
      <w:r>
        <w:rPr/>
        <w:t>practicados</w:t>
      </w:r>
      <w:r>
        <w:rPr>
          <w:spacing w:val="-7"/>
        </w:rPr>
        <w:t> </w:t>
      </w:r>
      <w:r>
        <w:rPr/>
        <w:t>y</w:t>
      </w:r>
      <w:r>
        <w:rPr>
          <w:spacing w:val="-7"/>
        </w:rPr>
        <w:t> </w:t>
      </w:r>
      <w:r>
        <w:rPr/>
        <w:t>los</w:t>
      </w:r>
      <w:r>
        <w:rPr>
          <w:spacing w:val="-7"/>
        </w:rPr>
        <w:t> </w:t>
      </w:r>
      <w:r>
        <w:rPr/>
        <w:t>hallazgos</w:t>
      </w:r>
      <w:r>
        <w:rPr>
          <w:spacing w:val="-7"/>
        </w:rPr>
        <w:t> </w:t>
      </w:r>
      <w:r>
        <w:rPr/>
        <w:t>del</w:t>
      </w:r>
      <w:r>
        <w:rPr>
          <w:spacing w:val="-5"/>
        </w:rPr>
        <w:t> </w:t>
      </w:r>
      <w:r>
        <w:rPr/>
        <w:t>examen</w:t>
      </w:r>
      <w:r>
        <w:rPr>
          <w:spacing w:val="-9"/>
        </w:rPr>
        <w:t> </w:t>
      </w:r>
      <w:r>
        <w:rPr>
          <w:spacing w:val="-2"/>
        </w:rPr>
        <w:t>físico.</w:t>
      </w:r>
    </w:p>
    <w:p>
      <w:pPr>
        <w:pStyle w:val="BodyText"/>
        <w:spacing w:after="0"/>
        <w:jc w:val="center"/>
        <w:sectPr>
          <w:type w:val="continuous"/>
          <w:pgSz w:w="11910" w:h="16840"/>
          <w:pgMar w:header="384" w:footer="1060" w:top="1700" w:bottom="1040" w:left="360" w:right="360"/>
        </w:sectPr>
      </w:pPr>
    </w:p>
    <w:p>
      <w:pPr>
        <w:pStyle w:val="ListParagraph"/>
        <w:numPr>
          <w:ilvl w:val="1"/>
          <w:numId w:val="41"/>
        </w:numPr>
        <w:tabs>
          <w:tab w:pos="2779" w:val="left" w:leader="none"/>
          <w:tab w:pos="2781" w:val="left" w:leader="none"/>
        </w:tabs>
        <w:spacing w:line="360" w:lineRule="auto" w:before="215" w:after="0"/>
        <w:ind w:left="2781" w:right="1336" w:hanging="360"/>
        <w:jc w:val="left"/>
        <w:rPr>
          <w:sz w:val="20"/>
        </w:rPr>
      </w:pPr>
      <w:r>
        <w:rPr>
          <w:sz w:val="20"/>
        </w:rPr>
        <w:t>Recomendaciones</w:t>
      </w:r>
      <w:r>
        <w:rPr>
          <w:spacing w:val="38"/>
          <w:sz w:val="20"/>
        </w:rPr>
        <w:t> </w:t>
      </w:r>
      <w:r>
        <w:rPr>
          <w:sz w:val="20"/>
        </w:rPr>
        <w:t>a</w:t>
      </w:r>
      <w:r>
        <w:rPr>
          <w:spacing w:val="40"/>
          <w:sz w:val="20"/>
        </w:rPr>
        <w:t> </w:t>
      </w:r>
      <w:r>
        <w:rPr>
          <w:sz w:val="20"/>
        </w:rPr>
        <w:t>nivel</w:t>
      </w:r>
      <w:r>
        <w:rPr>
          <w:spacing w:val="38"/>
          <w:sz w:val="20"/>
        </w:rPr>
        <w:t> </w:t>
      </w:r>
      <w:r>
        <w:rPr>
          <w:sz w:val="20"/>
        </w:rPr>
        <w:t>general</w:t>
      </w:r>
      <w:r>
        <w:rPr>
          <w:spacing w:val="38"/>
          <w:sz w:val="20"/>
        </w:rPr>
        <w:t> </w:t>
      </w:r>
      <w:r>
        <w:rPr>
          <w:sz w:val="20"/>
        </w:rPr>
        <w:t>a</w:t>
      </w:r>
      <w:r>
        <w:rPr>
          <w:spacing w:val="39"/>
          <w:sz w:val="20"/>
        </w:rPr>
        <w:t> </w:t>
      </w:r>
      <w:r>
        <w:rPr>
          <w:sz w:val="20"/>
        </w:rPr>
        <w:t>través</w:t>
      </w:r>
      <w:r>
        <w:rPr>
          <w:spacing w:val="38"/>
          <w:sz w:val="20"/>
        </w:rPr>
        <w:t> </w:t>
      </w:r>
      <w:r>
        <w:rPr>
          <w:sz w:val="20"/>
        </w:rPr>
        <w:t>de</w:t>
      </w:r>
      <w:r>
        <w:rPr>
          <w:spacing w:val="35"/>
          <w:sz w:val="20"/>
        </w:rPr>
        <w:t> </w:t>
      </w:r>
      <w:r>
        <w:rPr>
          <w:sz w:val="20"/>
        </w:rPr>
        <w:t>NOTAS</w:t>
      </w:r>
      <w:r>
        <w:rPr>
          <w:spacing w:val="39"/>
          <w:sz w:val="20"/>
        </w:rPr>
        <w:t> </w:t>
      </w:r>
      <w:r>
        <w:rPr>
          <w:sz w:val="20"/>
        </w:rPr>
        <w:t>INFORMATIVAS</w:t>
      </w:r>
      <w:r>
        <w:rPr>
          <w:spacing w:val="36"/>
          <w:sz w:val="20"/>
        </w:rPr>
        <w:t> </w:t>
      </w:r>
      <w:r>
        <w:rPr>
          <w:sz w:val="20"/>
        </w:rPr>
        <w:t>DE PREVENCÓN (N.I.P.).</w:t>
      </w:r>
    </w:p>
    <w:p>
      <w:pPr>
        <w:pStyle w:val="BodyText"/>
        <w:spacing w:before="115"/>
      </w:pPr>
    </w:p>
    <w:p>
      <w:pPr>
        <w:pStyle w:val="ListParagraph"/>
        <w:numPr>
          <w:ilvl w:val="0"/>
          <w:numId w:val="41"/>
        </w:numPr>
        <w:tabs>
          <w:tab w:pos="2059" w:val="left" w:leader="none"/>
          <w:tab w:pos="2061" w:val="left" w:leader="none"/>
        </w:tabs>
        <w:spacing w:line="360" w:lineRule="auto" w:before="0" w:after="0"/>
        <w:ind w:left="2061" w:right="1338" w:hanging="360"/>
        <w:jc w:val="both"/>
        <w:rPr>
          <w:sz w:val="20"/>
        </w:rPr>
      </w:pPr>
      <w:r>
        <w:rPr>
          <w:sz w:val="20"/>
        </w:rPr>
        <w:t>Realización de campañas para implementar una mejora en la salud de todos los </w:t>
      </w:r>
      <w:r>
        <w:rPr>
          <w:spacing w:val="-2"/>
          <w:sz w:val="20"/>
        </w:rPr>
        <w:t>trabajadores.</w:t>
      </w:r>
    </w:p>
    <w:p>
      <w:pPr>
        <w:pStyle w:val="ListParagraph"/>
        <w:numPr>
          <w:ilvl w:val="1"/>
          <w:numId w:val="41"/>
        </w:numPr>
        <w:tabs>
          <w:tab w:pos="2779" w:val="left" w:leader="none"/>
          <w:tab w:pos="2781" w:val="left" w:leader="none"/>
        </w:tabs>
        <w:spacing w:line="357" w:lineRule="auto" w:before="1" w:after="0"/>
        <w:ind w:left="2781" w:right="1337" w:hanging="360"/>
        <w:jc w:val="both"/>
        <w:rPr>
          <w:sz w:val="20"/>
        </w:rPr>
      </w:pPr>
      <w:r>
        <w:rPr>
          <w:sz w:val="20"/>
        </w:rPr>
        <w:t>Campaña para la detección precoz del Cáncer de Colon, realizando la prueba de sangre oculta en heces de manera bienal</w:t>
      </w:r>
    </w:p>
    <w:p>
      <w:pPr>
        <w:pStyle w:val="ListParagraph"/>
        <w:numPr>
          <w:ilvl w:val="1"/>
          <w:numId w:val="41"/>
        </w:numPr>
        <w:tabs>
          <w:tab w:pos="2779" w:val="left" w:leader="none"/>
          <w:tab w:pos="2781" w:val="left" w:leader="none"/>
        </w:tabs>
        <w:spacing w:line="360" w:lineRule="auto" w:before="3" w:after="0"/>
        <w:ind w:left="2781" w:right="1339" w:hanging="360"/>
        <w:jc w:val="both"/>
        <w:rPr>
          <w:sz w:val="20"/>
        </w:rPr>
      </w:pPr>
      <w:r>
        <w:rPr>
          <w:sz w:val="20"/>
        </w:rPr>
        <w:t>Control precoz del Cáncer de Próstata realizando la medición del PSA de manera anual a todos los mayores de 50 años o con antecedentes familiares</w:t>
      </w:r>
      <w:r>
        <w:rPr>
          <w:spacing w:val="40"/>
          <w:sz w:val="20"/>
        </w:rPr>
        <w:t> </w:t>
      </w:r>
      <w:r>
        <w:rPr>
          <w:sz w:val="20"/>
        </w:rPr>
        <w:t>de este tipo de cáncer en familiares de primer grado. Derivación al urólogo a criterio médico.</w:t>
      </w:r>
    </w:p>
    <w:p>
      <w:pPr>
        <w:pStyle w:val="ListParagraph"/>
        <w:numPr>
          <w:ilvl w:val="1"/>
          <w:numId w:val="41"/>
        </w:numPr>
        <w:tabs>
          <w:tab w:pos="2781" w:val="left" w:leader="none"/>
        </w:tabs>
        <w:spacing w:line="240" w:lineRule="auto" w:before="1" w:after="0"/>
        <w:ind w:left="2781" w:right="0" w:hanging="360"/>
        <w:jc w:val="left"/>
        <w:rPr>
          <w:sz w:val="20"/>
        </w:rPr>
      </w:pPr>
      <w:r>
        <w:rPr>
          <w:sz w:val="20"/>
        </w:rPr>
        <w:t>Gestión</w:t>
      </w:r>
      <w:r>
        <w:rPr>
          <w:spacing w:val="70"/>
          <w:sz w:val="20"/>
        </w:rPr>
        <w:t> </w:t>
      </w:r>
      <w:r>
        <w:rPr>
          <w:sz w:val="20"/>
        </w:rPr>
        <w:t>de</w:t>
      </w:r>
      <w:r>
        <w:rPr>
          <w:spacing w:val="74"/>
          <w:sz w:val="20"/>
        </w:rPr>
        <w:t> </w:t>
      </w:r>
      <w:r>
        <w:rPr>
          <w:sz w:val="20"/>
        </w:rPr>
        <w:t>los</w:t>
      </w:r>
      <w:r>
        <w:rPr>
          <w:spacing w:val="72"/>
          <w:sz w:val="20"/>
        </w:rPr>
        <w:t> </w:t>
      </w:r>
      <w:r>
        <w:rPr>
          <w:sz w:val="20"/>
        </w:rPr>
        <w:t>Reconocimientos</w:t>
      </w:r>
      <w:r>
        <w:rPr>
          <w:spacing w:val="72"/>
          <w:sz w:val="20"/>
        </w:rPr>
        <w:t> </w:t>
      </w:r>
      <w:r>
        <w:rPr>
          <w:sz w:val="20"/>
        </w:rPr>
        <w:t>específicos</w:t>
      </w:r>
      <w:r>
        <w:rPr>
          <w:spacing w:val="72"/>
          <w:sz w:val="20"/>
        </w:rPr>
        <w:t> </w:t>
      </w:r>
      <w:r>
        <w:rPr>
          <w:sz w:val="20"/>
        </w:rPr>
        <w:t>al</w:t>
      </w:r>
      <w:r>
        <w:rPr>
          <w:spacing w:val="70"/>
          <w:sz w:val="20"/>
        </w:rPr>
        <w:t> </w:t>
      </w:r>
      <w:r>
        <w:rPr>
          <w:sz w:val="20"/>
        </w:rPr>
        <w:t>riesgo</w:t>
      </w:r>
      <w:r>
        <w:rPr>
          <w:spacing w:val="70"/>
          <w:sz w:val="20"/>
        </w:rPr>
        <w:t> </w:t>
      </w:r>
      <w:r>
        <w:rPr>
          <w:sz w:val="20"/>
        </w:rPr>
        <w:t>de</w:t>
      </w:r>
      <w:r>
        <w:rPr>
          <w:spacing w:val="74"/>
          <w:sz w:val="20"/>
        </w:rPr>
        <w:t> </w:t>
      </w:r>
      <w:r>
        <w:rPr>
          <w:sz w:val="20"/>
        </w:rPr>
        <w:t>Amianto</w:t>
      </w:r>
      <w:r>
        <w:rPr>
          <w:spacing w:val="72"/>
          <w:sz w:val="20"/>
        </w:rPr>
        <w:t> </w:t>
      </w:r>
      <w:r>
        <w:rPr>
          <w:sz w:val="20"/>
        </w:rPr>
        <w:t>a</w:t>
      </w:r>
      <w:r>
        <w:rPr>
          <w:spacing w:val="71"/>
          <w:sz w:val="20"/>
        </w:rPr>
        <w:t> </w:t>
      </w:r>
      <w:r>
        <w:rPr>
          <w:spacing w:val="-5"/>
          <w:sz w:val="20"/>
        </w:rPr>
        <w:t>los</w:t>
      </w:r>
    </w:p>
    <w:p>
      <w:pPr>
        <w:pStyle w:val="BodyText"/>
        <w:spacing w:line="360" w:lineRule="auto" w:before="115"/>
        <w:ind w:left="2781" w:right="1337"/>
        <w:jc w:val="both"/>
      </w:pPr>
      <w:r>
        <w:rPr/>
        <w:t>compañeros de taller que estuvieron expuestos a dicho agente en su día. Se deriva si procede al Neumólogo y se realizan las pruebas de imagen establecidas en el protocolo del Ministerio de Sanidad.</w:t>
      </w:r>
    </w:p>
    <w:p>
      <w:pPr>
        <w:pStyle w:val="ListParagraph"/>
        <w:numPr>
          <w:ilvl w:val="1"/>
          <w:numId w:val="41"/>
        </w:numPr>
        <w:tabs>
          <w:tab w:pos="2779" w:val="left" w:leader="none"/>
          <w:tab w:pos="2781" w:val="left" w:leader="none"/>
        </w:tabs>
        <w:spacing w:line="360" w:lineRule="auto" w:before="0" w:after="0"/>
        <w:ind w:left="2781" w:right="1339" w:hanging="360"/>
        <w:jc w:val="both"/>
        <w:rPr>
          <w:sz w:val="20"/>
        </w:rPr>
      </w:pPr>
      <w:r>
        <w:rPr>
          <w:sz w:val="20"/>
        </w:rPr>
        <w:t>Evaluación individualizada del riesgo cardiovascular a todos los compañeros mediante procedimientos clínicos y analíticos.</w:t>
      </w:r>
    </w:p>
    <w:p>
      <w:pPr>
        <w:pStyle w:val="ListParagraph"/>
        <w:numPr>
          <w:ilvl w:val="1"/>
          <w:numId w:val="41"/>
        </w:numPr>
        <w:tabs>
          <w:tab w:pos="2779" w:val="left" w:leader="none"/>
        </w:tabs>
        <w:spacing w:line="229" w:lineRule="exact" w:before="0" w:after="0"/>
        <w:ind w:left="2779" w:right="0" w:hanging="358"/>
        <w:jc w:val="left"/>
        <w:rPr>
          <w:sz w:val="20"/>
        </w:rPr>
      </w:pPr>
      <w:r>
        <w:rPr>
          <w:sz w:val="20"/>
        </w:rPr>
        <w:t>Realización</w:t>
      </w:r>
      <w:r>
        <w:rPr>
          <w:spacing w:val="44"/>
          <w:sz w:val="20"/>
        </w:rPr>
        <w:t> </w:t>
      </w:r>
      <w:r>
        <w:rPr>
          <w:sz w:val="20"/>
        </w:rPr>
        <w:t>de</w:t>
      </w:r>
      <w:r>
        <w:rPr>
          <w:spacing w:val="45"/>
          <w:sz w:val="20"/>
        </w:rPr>
        <w:t> </w:t>
      </w:r>
      <w:r>
        <w:rPr>
          <w:sz w:val="20"/>
        </w:rPr>
        <w:t>Reconocimiento</w:t>
      </w:r>
      <w:r>
        <w:rPr>
          <w:spacing w:val="43"/>
          <w:sz w:val="20"/>
        </w:rPr>
        <w:t> </w:t>
      </w:r>
      <w:r>
        <w:rPr>
          <w:sz w:val="20"/>
        </w:rPr>
        <w:t>Ginecológico</w:t>
      </w:r>
      <w:r>
        <w:rPr>
          <w:spacing w:val="44"/>
          <w:sz w:val="20"/>
        </w:rPr>
        <w:t> </w:t>
      </w:r>
      <w:r>
        <w:rPr>
          <w:sz w:val="20"/>
        </w:rPr>
        <w:t>de</w:t>
      </w:r>
      <w:r>
        <w:rPr>
          <w:spacing w:val="47"/>
          <w:sz w:val="20"/>
        </w:rPr>
        <w:t> </w:t>
      </w:r>
      <w:r>
        <w:rPr>
          <w:sz w:val="20"/>
        </w:rPr>
        <w:t>manera</w:t>
      </w:r>
      <w:r>
        <w:rPr>
          <w:spacing w:val="44"/>
          <w:sz w:val="20"/>
        </w:rPr>
        <w:t> </w:t>
      </w:r>
      <w:r>
        <w:rPr>
          <w:sz w:val="20"/>
        </w:rPr>
        <w:t>anual</w:t>
      </w:r>
      <w:r>
        <w:rPr>
          <w:spacing w:val="45"/>
          <w:sz w:val="20"/>
        </w:rPr>
        <w:t> </w:t>
      </w:r>
      <w:r>
        <w:rPr>
          <w:sz w:val="20"/>
        </w:rPr>
        <w:t>a</w:t>
      </w:r>
      <w:r>
        <w:rPr>
          <w:spacing w:val="44"/>
          <w:sz w:val="20"/>
        </w:rPr>
        <w:t> </w:t>
      </w:r>
      <w:r>
        <w:rPr>
          <w:sz w:val="20"/>
        </w:rPr>
        <w:t>todas</w:t>
      </w:r>
      <w:r>
        <w:rPr>
          <w:spacing w:val="45"/>
          <w:sz w:val="20"/>
        </w:rPr>
        <w:t> </w:t>
      </w:r>
      <w:r>
        <w:rPr>
          <w:spacing w:val="-5"/>
          <w:sz w:val="20"/>
        </w:rPr>
        <w:t>las</w:t>
      </w:r>
    </w:p>
    <w:p>
      <w:pPr>
        <w:pStyle w:val="BodyText"/>
        <w:spacing w:before="115"/>
        <w:ind w:left="2781"/>
      </w:pPr>
      <w:r>
        <w:rPr/>
        <w:t>compañeras</w:t>
      </w:r>
      <w:r>
        <w:rPr>
          <w:spacing w:val="-5"/>
        </w:rPr>
        <w:t> </w:t>
      </w:r>
      <w:r>
        <w:rPr/>
        <w:t>de</w:t>
      </w:r>
      <w:r>
        <w:rPr>
          <w:spacing w:val="-7"/>
        </w:rPr>
        <w:t> </w:t>
      </w:r>
      <w:r>
        <w:rPr/>
        <w:t>plantillas</w:t>
      </w:r>
      <w:r>
        <w:rPr>
          <w:spacing w:val="-7"/>
        </w:rPr>
        <w:t> </w:t>
      </w:r>
      <w:r>
        <w:rPr/>
        <w:t>que</w:t>
      </w:r>
      <w:r>
        <w:rPr>
          <w:spacing w:val="-7"/>
        </w:rPr>
        <w:t> </w:t>
      </w:r>
      <w:r>
        <w:rPr/>
        <w:t>lo</w:t>
      </w:r>
      <w:r>
        <w:rPr>
          <w:spacing w:val="-8"/>
        </w:rPr>
        <w:t> </w:t>
      </w:r>
      <w:r>
        <w:rPr>
          <w:spacing w:val="-2"/>
        </w:rPr>
        <w:t>solicitan.</w:t>
      </w:r>
    </w:p>
    <w:p>
      <w:pPr>
        <w:pStyle w:val="BodyText"/>
        <w:spacing w:after="0"/>
        <w:sectPr>
          <w:pgSz w:w="11910" w:h="16840"/>
          <w:pgMar w:header="384" w:footer="1060" w:top="1200" w:bottom="1260" w:left="360" w:right="360"/>
        </w:sectPr>
      </w:pPr>
    </w:p>
    <w:p>
      <w:pPr>
        <w:pStyle w:val="ListParagraph"/>
        <w:numPr>
          <w:ilvl w:val="1"/>
          <w:numId w:val="41"/>
        </w:numPr>
        <w:tabs>
          <w:tab w:pos="2781" w:val="left" w:leader="none"/>
        </w:tabs>
        <w:spacing w:line="360" w:lineRule="auto" w:before="116" w:after="0"/>
        <w:ind w:left="2781" w:right="0" w:hanging="360"/>
        <w:jc w:val="left"/>
        <w:rPr>
          <w:sz w:val="20"/>
        </w:rPr>
      </w:pPr>
      <w:r>
        <w:rPr>
          <w:spacing w:val="-2"/>
          <w:sz w:val="20"/>
        </w:rPr>
        <w:t>Realizando audiometría,</w:t>
      </w:r>
    </w:p>
    <w:p>
      <w:pPr>
        <w:pStyle w:val="BodyText"/>
        <w:spacing w:line="360" w:lineRule="auto" w:before="116"/>
        <w:ind w:left="73" w:right="1338" w:hanging="58"/>
      </w:pPr>
      <w:r>
        <w:rPr/>
        <w:br w:type="column"/>
      </w:r>
      <w:r>
        <w:rPr/>
        <w:t>a</w:t>
      </w:r>
      <w:r>
        <w:rPr>
          <w:spacing w:val="80"/>
        </w:rPr>
        <w:t> </w:t>
      </w:r>
      <w:r>
        <w:rPr/>
        <w:t>todos</w:t>
      </w:r>
      <w:r>
        <w:rPr>
          <w:spacing w:val="80"/>
        </w:rPr>
        <w:t> </w:t>
      </w:r>
      <w:r>
        <w:rPr/>
        <w:t>los</w:t>
      </w:r>
      <w:r>
        <w:rPr>
          <w:spacing w:val="80"/>
        </w:rPr>
        <w:t> </w:t>
      </w:r>
      <w:r>
        <w:rPr/>
        <w:t>trabajadores</w:t>
      </w:r>
      <w:r>
        <w:rPr>
          <w:spacing w:val="80"/>
        </w:rPr>
        <w:t> </w:t>
      </w:r>
      <w:r>
        <w:rPr/>
        <w:t>electrocardiograma,</w:t>
      </w:r>
      <w:r>
        <w:rPr>
          <w:spacing w:val="80"/>
        </w:rPr>
        <w:t> </w:t>
      </w:r>
      <w:r>
        <w:rPr/>
        <w:t>control</w:t>
      </w:r>
      <w:r>
        <w:rPr>
          <w:spacing w:val="80"/>
        </w:rPr>
        <w:t> </w:t>
      </w:r>
      <w:r>
        <w:rPr/>
        <w:t>visión, espirometría</w:t>
      </w:r>
      <w:r>
        <w:rPr>
          <w:spacing w:val="-9"/>
        </w:rPr>
        <w:t> </w:t>
      </w:r>
      <w:r>
        <w:rPr/>
        <w:t>(a</w:t>
      </w:r>
      <w:r>
        <w:rPr>
          <w:spacing w:val="-8"/>
        </w:rPr>
        <w:t> </w:t>
      </w:r>
      <w:r>
        <w:rPr/>
        <w:t>los</w:t>
      </w:r>
      <w:r>
        <w:rPr>
          <w:spacing w:val="-7"/>
        </w:rPr>
        <w:t> </w:t>
      </w:r>
      <w:r>
        <w:rPr/>
        <w:t>trabajadores</w:t>
      </w:r>
      <w:r>
        <w:rPr>
          <w:spacing w:val="-6"/>
        </w:rPr>
        <w:t> </w:t>
      </w:r>
      <w:r>
        <w:rPr/>
        <w:t>de</w:t>
      </w:r>
      <w:r>
        <w:rPr>
          <w:spacing w:val="-7"/>
        </w:rPr>
        <w:t> </w:t>
      </w:r>
      <w:r>
        <w:rPr/>
        <w:t>taller),</w:t>
      </w:r>
      <w:r>
        <w:rPr>
          <w:spacing w:val="-9"/>
        </w:rPr>
        <w:t> </w:t>
      </w:r>
      <w:r>
        <w:rPr/>
        <w:t>radiografías</w:t>
      </w:r>
      <w:r>
        <w:rPr>
          <w:spacing w:val="-5"/>
        </w:rPr>
        <w:t> </w:t>
      </w:r>
      <w:r>
        <w:rPr/>
        <w:t>de</w:t>
      </w:r>
      <w:r>
        <w:rPr>
          <w:spacing w:val="-5"/>
        </w:rPr>
        <w:t> </w:t>
      </w:r>
      <w:r>
        <w:rPr/>
        <w:t>tórax</w:t>
      </w:r>
      <w:r>
        <w:rPr>
          <w:spacing w:val="-6"/>
        </w:rPr>
        <w:t> </w:t>
      </w:r>
      <w:r>
        <w:rPr>
          <w:spacing w:val="-5"/>
        </w:rPr>
        <w:t>(a</w:t>
      </w:r>
    </w:p>
    <w:p>
      <w:pPr>
        <w:pStyle w:val="BodyText"/>
        <w:spacing w:after="0" w:line="360" w:lineRule="auto"/>
        <w:sectPr>
          <w:type w:val="continuous"/>
          <w:pgSz w:w="11910" w:h="16840"/>
          <w:pgMar w:header="384" w:footer="1060" w:top="1700" w:bottom="1040" w:left="360" w:right="360"/>
          <w:cols w:num="2" w:equalWidth="0">
            <w:col w:w="3892" w:space="40"/>
            <w:col w:w="7258"/>
          </w:cols>
        </w:sectPr>
      </w:pPr>
    </w:p>
    <w:p>
      <w:pPr>
        <w:pStyle w:val="BodyText"/>
        <w:spacing w:line="229" w:lineRule="exact"/>
        <w:ind w:left="2781"/>
      </w:pPr>
      <w:r>
        <w:rPr/>
        <w:t>los</w:t>
      </w:r>
      <w:r>
        <w:rPr>
          <w:spacing w:val="-7"/>
        </w:rPr>
        <w:t> </w:t>
      </w:r>
      <w:r>
        <w:rPr/>
        <w:t>trabjadores</w:t>
      </w:r>
      <w:r>
        <w:rPr>
          <w:spacing w:val="-4"/>
        </w:rPr>
        <w:t> </w:t>
      </w:r>
      <w:r>
        <w:rPr/>
        <w:t>de</w:t>
      </w:r>
      <w:r>
        <w:rPr>
          <w:spacing w:val="-5"/>
        </w:rPr>
        <w:t> </w:t>
      </w:r>
      <w:r>
        <w:rPr/>
        <w:t>taller)</w:t>
      </w:r>
      <w:r>
        <w:rPr>
          <w:spacing w:val="-6"/>
        </w:rPr>
        <w:t> </w:t>
      </w:r>
      <w:r>
        <w:rPr>
          <w:spacing w:val="-2"/>
        </w:rPr>
        <w:t>anualmente.</w:t>
      </w:r>
    </w:p>
    <w:p>
      <w:pPr>
        <w:pStyle w:val="ListParagraph"/>
        <w:numPr>
          <w:ilvl w:val="1"/>
          <w:numId w:val="41"/>
        </w:numPr>
        <w:tabs>
          <w:tab w:pos="2779" w:val="left" w:leader="none"/>
          <w:tab w:pos="2781" w:val="left" w:leader="none"/>
        </w:tabs>
        <w:spacing w:line="360" w:lineRule="auto" w:before="115" w:after="0"/>
        <w:ind w:left="2781" w:right="1339" w:hanging="360"/>
        <w:jc w:val="left"/>
        <w:rPr>
          <w:sz w:val="20"/>
        </w:rPr>
      </w:pPr>
      <w:r>
        <w:rPr>
          <w:sz w:val="20"/>
        </w:rPr>
        <w:t>Evaluación</w:t>
      </w:r>
      <w:r>
        <w:rPr>
          <w:spacing w:val="80"/>
          <w:sz w:val="20"/>
        </w:rPr>
        <w:t> </w:t>
      </w:r>
      <w:r>
        <w:rPr>
          <w:sz w:val="20"/>
        </w:rPr>
        <w:t>individualizada</w:t>
      </w:r>
      <w:r>
        <w:rPr>
          <w:spacing w:val="80"/>
          <w:sz w:val="20"/>
        </w:rPr>
        <w:t> </w:t>
      </w:r>
      <w:r>
        <w:rPr>
          <w:sz w:val="20"/>
        </w:rPr>
        <w:t>de</w:t>
      </w:r>
      <w:r>
        <w:rPr>
          <w:spacing w:val="80"/>
          <w:sz w:val="20"/>
        </w:rPr>
        <w:t> </w:t>
      </w:r>
      <w:r>
        <w:rPr>
          <w:sz w:val="20"/>
        </w:rPr>
        <w:t>los</w:t>
      </w:r>
      <w:r>
        <w:rPr>
          <w:spacing w:val="80"/>
          <w:sz w:val="20"/>
        </w:rPr>
        <w:t> </w:t>
      </w:r>
      <w:r>
        <w:rPr>
          <w:sz w:val="20"/>
        </w:rPr>
        <w:t>posibles</w:t>
      </w:r>
      <w:r>
        <w:rPr>
          <w:spacing w:val="80"/>
          <w:sz w:val="20"/>
        </w:rPr>
        <w:t> </w:t>
      </w:r>
      <w:r>
        <w:rPr>
          <w:sz w:val="20"/>
        </w:rPr>
        <w:t>déficit</w:t>
      </w:r>
      <w:r>
        <w:rPr>
          <w:spacing w:val="80"/>
          <w:sz w:val="20"/>
        </w:rPr>
        <w:t> </w:t>
      </w:r>
      <w:r>
        <w:rPr>
          <w:sz w:val="20"/>
        </w:rPr>
        <w:t>de</w:t>
      </w:r>
      <w:r>
        <w:rPr>
          <w:spacing w:val="80"/>
          <w:sz w:val="20"/>
        </w:rPr>
        <w:t> </w:t>
      </w:r>
      <w:r>
        <w:rPr>
          <w:sz w:val="20"/>
        </w:rPr>
        <w:t>hierro</w:t>
      </w:r>
      <w:r>
        <w:rPr>
          <w:spacing w:val="80"/>
          <w:sz w:val="20"/>
        </w:rPr>
        <w:t> </w:t>
      </w:r>
      <w:r>
        <w:rPr>
          <w:sz w:val="20"/>
        </w:rPr>
        <w:t>a</w:t>
      </w:r>
      <w:r>
        <w:rPr>
          <w:spacing w:val="80"/>
          <w:sz w:val="20"/>
        </w:rPr>
        <w:t> </w:t>
      </w:r>
      <w:r>
        <w:rPr>
          <w:sz w:val="20"/>
        </w:rPr>
        <w:t>todas</w:t>
      </w:r>
      <w:r>
        <w:rPr>
          <w:spacing w:val="80"/>
          <w:sz w:val="20"/>
        </w:rPr>
        <w:t> </w:t>
      </w:r>
      <w:r>
        <w:rPr>
          <w:sz w:val="20"/>
        </w:rPr>
        <w:t>las </w:t>
      </w:r>
      <w:r>
        <w:rPr>
          <w:spacing w:val="-2"/>
          <w:sz w:val="20"/>
        </w:rPr>
        <w:t>trabajadoras.</w:t>
      </w:r>
    </w:p>
    <w:p>
      <w:pPr>
        <w:pStyle w:val="ListParagraph"/>
        <w:numPr>
          <w:ilvl w:val="1"/>
          <w:numId w:val="41"/>
        </w:numPr>
        <w:tabs>
          <w:tab w:pos="2779" w:val="left" w:leader="none"/>
        </w:tabs>
        <w:spacing w:line="240" w:lineRule="auto" w:before="2" w:after="0"/>
        <w:ind w:left="2779" w:right="0" w:hanging="358"/>
        <w:jc w:val="left"/>
        <w:rPr>
          <w:sz w:val="20"/>
        </w:rPr>
      </w:pPr>
      <w:r>
        <w:rPr>
          <w:sz w:val="20"/>
        </w:rPr>
        <w:t>Evaluación</w:t>
      </w:r>
      <w:r>
        <w:rPr>
          <w:spacing w:val="-7"/>
          <w:sz w:val="20"/>
        </w:rPr>
        <w:t> </w:t>
      </w:r>
      <w:r>
        <w:rPr>
          <w:sz w:val="20"/>
        </w:rPr>
        <w:t>del</w:t>
      </w:r>
      <w:r>
        <w:rPr>
          <w:spacing w:val="-4"/>
          <w:sz w:val="20"/>
        </w:rPr>
        <w:t> </w:t>
      </w:r>
      <w:r>
        <w:rPr>
          <w:sz w:val="20"/>
        </w:rPr>
        <w:t>perfil</w:t>
      </w:r>
      <w:r>
        <w:rPr>
          <w:spacing w:val="-6"/>
          <w:sz w:val="20"/>
        </w:rPr>
        <w:t> </w:t>
      </w:r>
      <w:r>
        <w:rPr>
          <w:sz w:val="20"/>
        </w:rPr>
        <w:t>tiroideo</w:t>
      </w:r>
      <w:r>
        <w:rPr>
          <w:spacing w:val="-8"/>
          <w:sz w:val="20"/>
        </w:rPr>
        <w:t> </w:t>
      </w:r>
      <w:r>
        <w:rPr>
          <w:sz w:val="20"/>
        </w:rPr>
        <w:t>a</w:t>
      </w:r>
      <w:r>
        <w:rPr>
          <w:spacing w:val="-4"/>
          <w:sz w:val="20"/>
        </w:rPr>
        <w:t> </w:t>
      </w:r>
      <w:r>
        <w:rPr>
          <w:sz w:val="20"/>
        </w:rPr>
        <w:t>las</w:t>
      </w:r>
      <w:r>
        <w:rPr>
          <w:spacing w:val="-6"/>
          <w:sz w:val="20"/>
        </w:rPr>
        <w:t> </w:t>
      </w:r>
      <w:r>
        <w:rPr>
          <w:sz w:val="20"/>
        </w:rPr>
        <w:t>mujeres</w:t>
      </w:r>
      <w:r>
        <w:rPr>
          <w:spacing w:val="-6"/>
          <w:sz w:val="20"/>
        </w:rPr>
        <w:t> </w:t>
      </w:r>
      <w:r>
        <w:rPr>
          <w:sz w:val="20"/>
        </w:rPr>
        <w:t>según</w:t>
      </w:r>
      <w:r>
        <w:rPr>
          <w:spacing w:val="-7"/>
          <w:sz w:val="20"/>
        </w:rPr>
        <w:t> </w:t>
      </w:r>
      <w:r>
        <w:rPr>
          <w:sz w:val="20"/>
        </w:rPr>
        <w:t>criterio</w:t>
      </w:r>
      <w:r>
        <w:rPr>
          <w:spacing w:val="-6"/>
          <w:sz w:val="20"/>
        </w:rPr>
        <w:t> </w:t>
      </w:r>
      <w:r>
        <w:rPr>
          <w:spacing w:val="-2"/>
          <w:sz w:val="20"/>
        </w:rPr>
        <w:t>médico.</w:t>
      </w:r>
    </w:p>
    <w:p>
      <w:pPr>
        <w:pStyle w:val="ListParagraph"/>
        <w:numPr>
          <w:ilvl w:val="1"/>
          <w:numId w:val="41"/>
        </w:numPr>
        <w:tabs>
          <w:tab w:pos="2781" w:val="left" w:leader="none"/>
        </w:tabs>
        <w:spacing w:line="362" w:lineRule="auto" w:before="113" w:after="0"/>
        <w:ind w:left="2781" w:right="1338" w:hanging="360"/>
        <w:jc w:val="left"/>
        <w:rPr>
          <w:sz w:val="20"/>
        </w:rPr>
      </w:pPr>
      <w:r>
        <w:rPr>
          <w:sz w:val="20"/>
        </w:rPr>
        <mc:AlternateContent>
          <mc:Choice Requires="wps">
            <w:drawing>
              <wp:anchor distT="0" distB="0" distL="0" distR="0" allowOverlap="1" layoutInCell="1" locked="0" behindDoc="0" simplePos="0" relativeHeight="15816704">
                <wp:simplePos x="0" y="0"/>
                <wp:positionH relativeFrom="page">
                  <wp:posOffset>6966436</wp:posOffset>
                </wp:positionH>
                <wp:positionV relativeFrom="paragraph">
                  <wp:posOffset>250539</wp:posOffset>
                </wp:positionV>
                <wp:extent cx="263525" cy="327596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9.727558pt;width:20.75pt;height:257.95pt;mso-position-horizontal-relative:page;mso-position-vertical-relative:paragraph;z-index:15816704" type="#_x0000_t202" id="docshape24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Salud Mental. Concierto de psicología con Hospital Perpetuo Socorro y con el Gabinete Psicológico de Terapia Breve</w:t>
      </w:r>
    </w:p>
    <w:p>
      <w:pPr>
        <w:pStyle w:val="ListParagraph"/>
        <w:numPr>
          <w:ilvl w:val="0"/>
          <w:numId w:val="41"/>
        </w:numPr>
        <w:tabs>
          <w:tab w:pos="2048" w:val="left" w:leader="none"/>
        </w:tabs>
        <w:spacing w:line="240" w:lineRule="auto" w:before="196" w:after="0"/>
        <w:ind w:left="2048" w:right="0" w:hanging="707"/>
        <w:jc w:val="left"/>
        <w:rPr>
          <w:sz w:val="20"/>
        </w:rPr>
      </w:pPr>
      <w:r>
        <w:rPr>
          <w:sz w:val="20"/>
        </w:rPr>
        <w:t>Procedimientos</w:t>
      </w:r>
      <w:r>
        <w:rPr>
          <w:spacing w:val="-7"/>
          <w:sz w:val="20"/>
        </w:rPr>
        <w:t> </w:t>
      </w:r>
      <w:r>
        <w:rPr>
          <w:sz w:val="20"/>
        </w:rPr>
        <w:t>de</w:t>
      </w:r>
      <w:r>
        <w:rPr>
          <w:spacing w:val="-5"/>
          <w:sz w:val="20"/>
        </w:rPr>
        <w:t> </w:t>
      </w:r>
      <w:r>
        <w:rPr>
          <w:sz w:val="20"/>
        </w:rPr>
        <w:t>evaluación</w:t>
      </w:r>
      <w:r>
        <w:rPr>
          <w:spacing w:val="-9"/>
          <w:sz w:val="20"/>
        </w:rPr>
        <w:t> </w:t>
      </w:r>
      <w:r>
        <w:rPr>
          <w:sz w:val="20"/>
        </w:rPr>
        <w:t>de</w:t>
      </w:r>
      <w:r>
        <w:rPr>
          <w:spacing w:val="-9"/>
          <w:sz w:val="20"/>
        </w:rPr>
        <w:t> </w:t>
      </w:r>
      <w:r>
        <w:rPr>
          <w:sz w:val="20"/>
        </w:rPr>
        <w:t>riesgos</w:t>
      </w:r>
      <w:r>
        <w:rPr>
          <w:spacing w:val="-6"/>
          <w:sz w:val="20"/>
        </w:rPr>
        <w:t> </w:t>
      </w:r>
      <w:r>
        <w:rPr>
          <w:spacing w:val="-5"/>
          <w:sz w:val="20"/>
        </w:rPr>
        <w:t>de:</w:t>
      </w:r>
    </w:p>
    <w:p>
      <w:pPr>
        <w:pStyle w:val="ListParagraph"/>
        <w:numPr>
          <w:ilvl w:val="1"/>
          <w:numId w:val="41"/>
        </w:numPr>
        <w:tabs>
          <w:tab w:pos="2779" w:val="left" w:leader="none"/>
        </w:tabs>
        <w:spacing w:line="240" w:lineRule="auto" w:before="115" w:after="0"/>
        <w:ind w:left="2779" w:right="0" w:hanging="358"/>
        <w:jc w:val="left"/>
        <w:rPr>
          <w:sz w:val="20"/>
        </w:rPr>
      </w:pPr>
      <w:r>
        <w:rPr>
          <w:sz w:val="20"/>
        </w:rPr>
        <w:t>Puestos</w:t>
      </w:r>
      <w:r>
        <w:rPr>
          <w:spacing w:val="-2"/>
          <w:sz w:val="20"/>
        </w:rPr>
        <w:t> </w:t>
      </w:r>
      <w:r>
        <w:rPr>
          <w:sz w:val="20"/>
        </w:rPr>
        <w:t>de</w:t>
      </w:r>
      <w:r>
        <w:rPr>
          <w:spacing w:val="-7"/>
          <w:sz w:val="20"/>
        </w:rPr>
        <w:t> </w:t>
      </w:r>
      <w:r>
        <w:rPr>
          <w:sz w:val="20"/>
        </w:rPr>
        <w:t>trabajo</w:t>
      </w:r>
      <w:r>
        <w:rPr>
          <w:spacing w:val="-6"/>
          <w:sz w:val="20"/>
        </w:rPr>
        <w:t> </w:t>
      </w:r>
      <w:r>
        <w:rPr>
          <w:sz w:val="20"/>
        </w:rPr>
        <w:t>(5</w:t>
      </w:r>
      <w:r>
        <w:rPr>
          <w:spacing w:val="-6"/>
          <w:sz w:val="20"/>
        </w:rPr>
        <w:t> </w:t>
      </w:r>
      <w:r>
        <w:rPr>
          <w:spacing w:val="-2"/>
          <w:sz w:val="20"/>
        </w:rPr>
        <w:t>años).</w:t>
      </w:r>
    </w:p>
    <w:p>
      <w:pPr>
        <w:pStyle w:val="ListParagraph"/>
        <w:numPr>
          <w:ilvl w:val="1"/>
          <w:numId w:val="41"/>
        </w:numPr>
        <w:tabs>
          <w:tab w:pos="2779" w:val="left" w:leader="none"/>
        </w:tabs>
        <w:spacing w:line="240" w:lineRule="auto" w:before="116" w:after="0"/>
        <w:ind w:left="2779" w:right="0" w:hanging="358"/>
        <w:jc w:val="left"/>
        <w:rPr>
          <w:sz w:val="20"/>
        </w:rPr>
      </w:pPr>
      <w:r>
        <w:rPr>
          <w:sz w:val="20"/>
        </w:rPr>
        <w:t>Lugares</w:t>
      </w:r>
      <w:r>
        <w:rPr>
          <w:spacing w:val="-2"/>
          <w:sz w:val="20"/>
        </w:rPr>
        <w:t> </w:t>
      </w:r>
      <w:r>
        <w:rPr>
          <w:sz w:val="20"/>
        </w:rPr>
        <w:t>y</w:t>
      </w:r>
      <w:r>
        <w:rPr>
          <w:spacing w:val="-9"/>
          <w:sz w:val="20"/>
        </w:rPr>
        <w:t> </w:t>
      </w:r>
      <w:r>
        <w:rPr>
          <w:sz w:val="20"/>
        </w:rPr>
        <w:t>equipo</w:t>
      </w:r>
      <w:r>
        <w:rPr>
          <w:spacing w:val="-5"/>
          <w:sz w:val="20"/>
        </w:rPr>
        <w:t> </w:t>
      </w:r>
      <w:r>
        <w:rPr>
          <w:sz w:val="20"/>
        </w:rPr>
        <w:t>de</w:t>
      </w:r>
      <w:r>
        <w:rPr>
          <w:spacing w:val="-3"/>
          <w:sz w:val="20"/>
        </w:rPr>
        <w:t> </w:t>
      </w:r>
      <w:r>
        <w:rPr>
          <w:sz w:val="20"/>
        </w:rPr>
        <w:t>trabajo</w:t>
      </w:r>
      <w:r>
        <w:rPr>
          <w:spacing w:val="-5"/>
          <w:sz w:val="20"/>
        </w:rPr>
        <w:t> </w:t>
      </w:r>
      <w:r>
        <w:rPr>
          <w:sz w:val="20"/>
        </w:rPr>
        <w:t>(5</w:t>
      </w:r>
      <w:r>
        <w:rPr>
          <w:spacing w:val="-7"/>
          <w:sz w:val="20"/>
        </w:rPr>
        <w:t> </w:t>
      </w:r>
      <w:r>
        <w:rPr>
          <w:spacing w:val="-2"/>
          <w:sz w:val="20"/>
        </w:rPr>
        <w:t>años).</w:t>
      </w:r>
    </w:p>
    <w:p>
      <w:pPr>
        <w:pStyle w:val="ListParagraph"/>
        <w:numPr>
          <w:ilvl w:val="1"/>
          <w:numId w:val="41"/>
        </w:numPr>
        <w:tabs>
          <w:tab w:pos="2781" w:val="left" w:leader="none"/>
        </w:tabs>
        <w:spacing w:line="240" w:lineRule="auto" w:before="116" w:after="0"/>
        <w:ind w:left="2781" w:right="0" w:hanging="360"/>
        <w:jc w:val="left"/>
        <w:rPr>
          <w:sz w:val="20"/>
        </w:rPr>
      </w:pPr>
      <w:r>
        <w:rPr>
          <w:sz w:val="20"/>
        </w:rPr>
        <w:t>Evaluación</w:t>
      </w:r>
      <w:r>
        <w:rPr>
          <w:spacing w:val="-7"/>
          <w:sz w:val="20"/>
        </w:rPr>
        <w:t> </w:t>
      </w:r>
      <w:r>
        <w:rPr>
          <w:sz w:val="20"/>
        </w:rPr>
        <w:t>de</w:t>
      </w:r>
      <w:r>
        <w:rPr>
          <w:spacing w:val="-7"/>
          <w:sz w:val="20"/>
        </w:rPr>
        <w:t> </w:t>
      </w:r>
      <w:r>
        <w:rPr>
          <w:sz w:val="20"/>
        </w:rPr>
        <w:t>riesgos</w:t>
      </w:r>
      <w:r>
        <w:rPr>
          <w:spacing w:val="-4"/>
          <w:sz w:val="20"/>
        </w:rPr>
        <w:t> </w:t>
      </w:r>
      <w:r>
        <w:rPr>
          <w:spacing w:val="-2"/>
          <w:sz w:val="20"/>
        </w:rPr>
        <w:t>psicosociales.</w:t>
      </w:r>
    </w:p>
    <w:p>
      <w:pPr>
        <w:pStyle w:val="BodyText"/>
        <w:spacing w:before="84"/>
      </w:pPr>
    </w:p>
    <w:p>
      <w:pPr>
        <w:pStyle w:val="BodyText"/>
        <w:ind w:left="1341"/>
      </w:pPr>
      <w:r>
        <w:rPr/>
        <w:t>(GR</w:t>
      </w:r>
      <w:r>
        <w:rPr>
          <w:spacing w:val="-8"/>
        </w:rPr>
        <w:t> </w:t>
      </w:r>
      <w:r>
        <w:rPr/>
        <w:t>403-2)</w:t>
      </w:r>
      <w:r>
        <w:rPr>
          <w:spacing w:val="-4"/>
        </w:rPr>
        <w:t> </w:t>
      </w:r>
      <w:r>
        <w:rPr/>
        <w:t>Accidentes</w:t>
      </w:r>
      <w:r>
        <w:rPr>
          <w:spacing w:val="-5"/>
        </w:rPr>
        <w:t> </w:t>
      </w:r>
      <w:r>
        <w:rPr/>
        <w:t>de</w:t>
      </w:r>
      <w:r>
        <w:rPr>
          <w:spacing w:val="-5"/>
        </w:rPr>
        <w:t> </w:t>
      </w:r>
      <w:r>
        <w:rPr/>
        <w:t>trabajo.</w:t>
      </w:r>
      <w:r>
        <w:rPr>
          <w:spacing w:val="-6"/>
        </w:rPr>
        <w:t> </w:t>
      </w:r>
      <w:r>
        <w:rPr/>
        <w:t>SETENTA</w:t>
      </w:r>
      <w:r>
        <w:rPr>
          <w:spacing w:val="-6"/>
        </w:rPr>
        <w:t> </w:t>
      </w:r>
      <w:r>
        <w:rPr/>
        <w:t>Y</w:t>
      </w:r>
      <w:r>
        <w:rPr>
          <w:spacing w:val="-10"/>
        </w:rPr>
        <w:t> </w:t>
      </w:r>
      <w:r>
        <w:rPr/>
        <w:t>CUATRO</w:t>
      </w:r>
      <w:r>
        <w:rPr>
          <w:spacing w:val="-8"/>
        </w:rPr>
        <w:t> </w:t>
      </w:r>
      <w:r>
        <w:rPr>
          <w:spacing w:val="-4"/>
        </w:rPr>
        <w:t>(74)</w:t>
      </w:r>
    </w:p>
    <w:p>
      <w:pPr>
        <w:pStyle w:val="BodyText"/>
        <w:spacing w:before="85"/>
      </w:pPr>
    </w:p>
    <w:p>
      <w:pPr>
        <w:pStyle w:val="BodyText"/>
        <w:ind w:left="1341"/>
      </w:pPr>
      <w:r>
        <w:rPr/>
        <w:t>En</w:t>
      </w:r>
      <w:r>
        <w:rPr>
          <w:spacing w:val="-4"/>
        </w:rPr>
        <w:t> </w:t>
      </w:r>
      <w:r>
        <w:rPr/>
        <w:t>el</w:t>
      </w:r>
      <w:r>
        <w:rPr>
          <w:spacing w:val="-5"/>
        </w:rPr>
        <w:t> </w:t>
      </w:r>
      <w:r>
        <w:rPr/>
        <w:t>año</w:t>
      </w:r>
      <w:r>
        <w:rPr>
          <w:spacing w:val="-1"/>
        </w:rPr>
        <w:t> </w:t>
      </w:r>
      <w:r>
        <w:rPr>
          <w:spacing w:val="-2"/>
        </w:rPr>
        <w:t>2025:</w:t>
      </w:r>
    </w:p>
    <w:p>
      <w:pPr>
        <w:pStyle w:val="BodyText"/>
        <w:spacing w:before="6"/>
      </w:pPr>
    </w:p>
    <w:tbl>
      <w:tblPr>
        <w:tblW w:w="0" w:type="auto"/>
        <w:jc w:val="left"/>
        <w:tblInd w:w="2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6"/>
        <w:gridCol w:w="1107"/>
        <w:gridCol w:w="917"/>
        <w:gridCol w:w="883"/>
      </w:tblGrid>
      <w:tr>
        <w:trPr>
          <w:trHeight w:val="453" w:hRule="atLeast"/>
        </w:trPr>
        <w:tc>
          <w:tcPr>
            <w:tcW w:w="3106" w:type="dxa"/>
            <w:shd w:val="clear" w:color="auto" w:fill="D9D9D9"/>
          </w:tcPr>
          <w:p>
            <w:pPr>
              <w:pStyle w:val="TableParagraph"/>
              <w:spacing w:before="107"/>
              <w:ind w:left="10"/>
              <w:jc w:val="center"/>
              <w:rPr>
                <w:b/>
                <w:sz w:val="20"/>
              </w:rPr>
            </w:pPr>
            <w:r>
              <w:rPr>
                <w:b/>
                <w:spacing w:val="-4"/>
                <w:sz w:val="20"/>
              </w:rPr>
              <w:t>TIPO</w:t>
            </w:r>
          </w:p>
        </w:tc>
        <w:tc>
          <w:tcPr>
            <w:tcW w:w="1107" w:type="dxa"/>
            <w:shd w:val="clear" w:color="auto" w:fill="D9D9D9"/>
          </w:tcPr>
          <w:p>
            <w:pPr>
              <w:pStyle w:val="TableParagraph"/>
              <w:spacing w:before="107"/>
              <w:ind w:left="6"/>
              <w:jc w:val="center"/>
              <w:rPr>
                <w:b/>
                <w:sz w:val="20"/>
              </w:rPr>
            </w:pPr>
            <w:r>
              <w:rPr>
                <w:b/>
                <w:spacing w:val="-2"/>
                <w:sz w:val="20"/>
              </w:rPr>
              <w:t>HOMBRE</w:t>
            </w:r>
          </w:p>
        </w:tc>
        <w:tc>
          <w:tcPr>
            <w:tcW w:w="917" w:type="dxa"/>
            <w:shd w:val="clear" w:color="auto" w:fill="D9D9D9"/>
          </w:tcPr>
          <w:p>
            <w:pPr>
              <w:pStyle w:val="TableParagraph"/>
              <w:spacing w:before="107"/>
              <w:ind w:left="11" w:right="5"/>
              <w:jc w:val="center"/>
              <w:rPr>
                <w:b/>
                <w:sz w:val="20"/>
              </w:rPr>
            </w:pPr>
            <w:r>
              <w:rPr>
                <w:b/>
                <w:spacing w:val="-2"/>
                <w:sz w:val="20"/>
              </w:rPr>
              <w:t>MUJER</w:t>
            </w:r>
          </w:p>
        </w:tc>
        <w:tc>
          <w:tcPr>
            <w:tcW w:w="883" w:type="dxa"/>
            <w:shd w:val="clear" w:color="auto" w:fill="D9D9D9"/>
          </w:tcPr>
          <w:p>
            <w:pPr>
              <w:pStyle w:val="TableParagraph"/>
              <w:spacing w:before="107"/>
              <w:ind w:left="14" w:right="11"/>
              <w:jc w:val="center"/>
              <w:rPr>
                <w:b/>
                <w:sz w:val="20"/>
              </w:rPr>
            </w:pPr>
            <w:r>
              <w:rPr>
                <w:b/>
                <w:spacing w:val="-2"/>
                <w:sz w:val="20"/>
              </w:rPr>
              <w:t>TOTAL</w:t>
            </w:r>
          </w:p>
        </w:tc>
      </w:tr>
      <w:tr>
        <w:trPr>
          <w:trHeight w:val="455" w:hRule="atLeast"/>
        </w:trPr>
        <w:tc>
          <w:tcPr>
            <w:tcW w:w="3106" w:type="dxa"/>
          </w:tcPr>
          <w:p>
            <w:pPr>
              <w:pStyle w:val="TableParagraph"/>
              <w:spacing w:before="107"/>
              <w:ind w:left="10" w:right="7"/>
              <w:jc w:val="center"/>
              <w:rPr>
                <w:b/>
                <w:sz w:val="20"/>
              </w:rPr>
            </w:pPr>
            <w:r>
              <w:rPr>
                <w:b/>
                <w:sz w:val="20"/>
              </w:rPr>
              <w:t>CON</w:t>
            </w:r>
            <w:r>
              <w:rPr>
                <w:b/>
                <w:spacing w:val="-3"/>
                <w:sz w:val="20"/>
              </w:rPr>
              <w:t> </w:t>
            </w:r>
            <w:r>
              <w:rPr>
                <w:b/>
                <w:sz w:val="20"/>
              </w:rPr>
              <w:t>BAJA</w:t>
            </w:r>
            <w:r>
              <w:rPr>
                <w:b/>
                <w:spacing w:val="-9"/>
                <w:sz w:val="20"/>
              </w:rPr>
              <w:t> </w:t>
            </w:r>
            <w:r>
              <w:rPr>
                <w:b/>
                <w:sz w:val="20"/>
              </w:rPr>
              <w:t>(incluido</w:t>
            </w:r>
            <w:r>
              <w:rPr>
                <w:b/>
                <w:spacing w:val="-5"/>
                <w:sz w:val="20"/>
              </w:rPr>
              <w:t> </w:t>
            </w:r>
            <w:r>
              <w:rPr>
                <w:b/>
                <w:sz w:val="20"/>
              </w:rPr>
              <w:t>in</w:t>
            </w:r>
            <w:r>
              <w:rPr>
                <w:b/>
                <w:spacing w:val="-4"/>
                <w:sz w:val="20"/>
              </w:rPr>
              <w:t> </w:t>
            </w:r>
            <w:r>
              <w:rPr>
                <w:b/>
                <w:spacing w:val="-2"/>
                <w:sz w:val="20"/>
              </w:rPr>
              <w:t>itinere)</w:t>
            </w:r>
          </w:p>
        </w:tc>
        <w:tc>
          <w:tcPr>
            <w:tcW w:w="1107" w:type="dxa"/>
          </w:tcPr>
          <w:p>
            <w:pPr>
              <w:pStyle w:val="TableParagraph"/>
              <w:spacing w:before="107"/>
              <w:ind w:left="6" w:right="6"/>
              <w:jc w:val="center"/>
              <w:rPr>
                <w:b/>
                <w:sz w:val="20"/>
              </w:rPr>
            </w:pPr>
            <w:r>
              <w:rPr>
                <w:b/>
                <w:spacing w:val="-5"/>
                <w:sz w:val="20"/>
              </w:rPr>
              <w:t>49</w:t>
            </w:r>
          </w:p>
        </w:tc>
        <w:tc>
          <w:tcPr>
            <w:tcW w:w="917" w:type="dxa"/>
          </w:tcPr>
          <w:p>
            <w:pPr>
              <w:pStyle w:val="TableParagraph"/>
              <w:spacing w:before="107"/>
              <w:ind w:left="11" w:right="5"/>
              <w:jc w:val="center"/>
              <w:rPr>
                <w:b/>
                <w:sz w:val="20"/>
              </w:rPr>
            </w:pPr>
            <w:r>
              <w:rPr>
                <w:b/>
                <w:spacing w:val="-10"/>
                <w:sz w:val="20"/>
              </w:rPr>
              <w:t>5</w:t>
            </w:r>
          </w:p>
        </w:tc>
        <w:tc>
          <w:tcPr>
            <w:tcW w:w="883" w:type="dxa"/>
          </w:tcPr>
          <w:p>
            <w:pPr>
              <w:pStyle w:val="TableParagraph"/>
              <w:spacing w:before="107"/>
              <w:ind w:left="14" w:right="12"/>
              <w:jc w:val="center"/>
              <w:rPr>
                <w:b/>
                <w:sz w:val="20"/>
              </w:rPr>
            </w:pPr>
            <w:r>
              <w:rPr>
                <w:b/>
                <w:spacing w:val="-5"/>
                <w:sz w:val="20"/>
              </w:rPr>
              <w:t>54</w:t>
            </w:r>
          </w:p>
        </w:tc>
      </w:tr>
      <w:tr>
        <w:trPr>
          <w:trHeight w:val="453" w:hRule="atLeast"/>
        </w:trPr>
        <w:tc>
          <w:tcPr>
            <w:tcW w:w="3106" w:type="dxa"/>
          </w:tcPr>
          <w:p>
            <w:pPr>
              <w:pStyle w:val="TableParagraph"/>
              <w:spacing w:before="105"/>
              <w:ind w:left="10" w:right="7"/>
              <w:jc w:val="center"/>
              <w:rPr>
                <w:b/>
                <w:sz w:val="20"/>
              </w:rPr>
            </w:pPr>
            <w:r>
              <w:rPr>
                <w:b/>
                <w:sz w:val="20"/>
              </w:rPr>
              <w:t>SIN</w:t>
            </w:r>
            <w:r>
              <w:rPr>
                <w:b/>
                <w:spacing w:val="-5"/>
                <w:sz w:val="20"/>
              </w:rPr>
              <w:t> </w:t>
            </w:r>
            <w:r>
              <w:rPr>
                <w:b/>
                <w:sz w:val="20"/>
              </w:rPr>
              <w:t>BAJA</w:t>
            </w:r>
            <w:r>
              <w:rPr>
                <w:b/>
                <w:spacing w:val="-8"/>
                <w:sz w:val="20"/>
              </w:rPr>
              <w:t> </w:t>
            </w:r>
            <w:r>
              <w:rPr>
                <w:b/>
                <w:sz w:val="20"/>
              </w:rPr>
              <w:t>(incluido</w:t>
            </w:r>
            <w:r>
              <w:rPr>
                <w:b/>
                <w:spacing w:val="-4"/>
                <w:sz w:val="20"/>
              </w:rPr>
              <w:t> </w:t>
            </w:r>
            <w:r>
              <w:rPr>
                <w:b/>
                <w:sz w:val="20"/>
              </w:rPr>
              <w:t>in</w:t>
            </w:r>
            <w:r>
              <w:rPr>
                <w:b/>
                <w:spacing w:val="-3"/>
                <w:sz w:val="20"/>
              </w:rPr>
              <w:t> </w:t>
            </w:r>
            <w:r>
              <w:rPr>
                <w:b/>
                <w:spacing w:val="-2"/>
                <w:sz w:val="20"/>
              </w:rPr>
              <w:t>itinere)</w:t>
            </w:r>
          </w:p>
        </w:tc>
        <w:tc>
          <w:tcPr>
            <w:tcW w:w="1107" w:type="dxa"/>
          </w:tcPr>
          <w:p>
            <w:pPr>
              <w:pStyle w:val="TableParagraph"/>
              <w:spacing w:before="105"/>
              <w:ind w:left="6" w:right="6"/>
              <w:jc w:val="center"/>
              <w:rPr>
                <w:b/>
                <w:sz w:val="20"/>
              </w:rPr>
            </w:pPr>
            <w:r>
              <w:rPr>
                <w:b/>
                <w:spacing w:val="-5"/>
                <w:sz w:val="20"/>
              </w:rPr>
              <w:t>18</w:t>
            </w:r>
          </w:p>
        </w:tc>
        <w:tc>
          <w:tcPr>
            <w:tcW w:w="917" w:type="dxa"/>
          </w:tcPr>
          <w:p>
            <w:pPr>
              <w:pStyle w:val="TableParagraph"/>
              <w:spacing w:before="105"/>
              <w:ind w:left="11" w:right="4"/>
              <w:jc w:val="center"/>
              <w:rPr>
                <w:b/>
                <w:sz w:val="20"/>
              </w:rPr>
            </w:pPr>
            <w:r>
              <w:rPr>
                <w:b/>
                <w:spacing w:val="-10"/>
                <w:sz w:val="20"/>
              </w:rPr>
              <w:t>2</w:t>
            </w:r>
          </w:p>
        </w:tc>
        <w:tc>
          <w:tcPr>
            <w:tcW w:w="883" w:type="dxa"/>
          </w:tcPr>
          <w:p>
            <w:pPr>
              <w:pStyle w:val="TableParagraph"/>
              <w:spacing w:before="105"/>
              <w:ind w:left="14" w:right="12"/>
              <w:jc w:val="center"/>
              <w:rPr>
                <w:b/>
                <w:sz w:val="20"/>
              </w:rPr>
            </w:pPr>
            <w:r>
              <w:rPr>
                <w:b/>
                <w:spacing w:val="-5"/>
                <w:sz w:val="20"/>
              </w:rPr>
              <w:t>20</w:t>
            </w:r>
          </w:p>
        </w:tc>
      </w:tr>
      <w:tr>
        <w:trPr>
          <w:trHeight w:val="453" w:hRule="atLeast"/>
        </w:trPr>
        <w:tc>
          <w:tcPr>
            <w:tcW w:w="3106" w:type="dxa"/>
          </w:tcPr>
          <w:p>
            <w:pPr>
              <w:pStyle w:val="TableParagraph"/>
              <w:spacing w:before="107"/>
              <w:ind w:left="10" w:right="7"/>
              <w:jc w:val="center"/>
              <w:rPr>
                <w:b/>
                <w:sz w:val="20"/>
              </w:rPr>
            </w:pPr>
            <w:r>
              <w:rPr>
                <w:b/>
                <w:spacing w:val="-2"/>
                <w:sz w:val="20"/>
              </w:rPr>
              <w:t>TOTAL</w:t>
            </w:r>
          </w:p>
        </w:tc>
        <w:tc>
          <w:tcPr>
            <w:tcW w:w="1107" w:type="dxa"/>
          </w:tcPr>
          <w:p>
            <w:pPr>
              <w:pStyle w:val="TableParagraph"/>
              <w:spacing w:before="107"/>
              <w:ind w:left="6" w:right="6"/>
              <w:jc w:val="center"/>
              <w:rPr>
                <w:b/>
                <w:sz w:val="20"/>
              </w:rPr>
            </w:pPr>
            <w:r>
              <w:rPr>
                <w:b/>
                <w:spacing w:val="-5"/>
                <w:sz w:val="20"/>
              </w:rPr>
              <w:t>67</w:t>
            </w:r>
          </w:p>
        </w:tc>
        <w:tc>
          <w:tcPr>
            <w:tcW w:w="917" w:type="dxa"/>
          </w:tcPr>
          <w:p>
            <w:pPr>
              <w:pStyle w:val="TableParagraph"/>
              <w:spacing w:before="107"/>
              <w:ind w:left="11" w:right="5"/>
              <w:jc w:val="center"/>
              <w:rPr>
                <w:b/>
                <w:sz w:val="20"/>
              </w:rPr>
            </w:pPr>
            <w:r>
              <w:rPr>
                <w:b/>
                <w:spacing w:val="-10"/>
                <w:sz w:val="20"/>
              </w:rPr>
              <w:t>7</w:t>
            </w:r>
          </w:p>
        </w:tc>
        <w:tc>
          <w:tcPr>
            <w:tcW w:w="883" w:type="dxa"/>
          </w:tcPr>
          <w:p>
            <w:pPr>
              <w:pStyle w:val="TableParagraph"/>
              <w:spacing w:before="107"/>
              <w:ind w:left="14" w:right="12"/>
              <w:jc w:val="center"/>
              <w:rPr>
                <w:b/>
                <w:sz w:val="20"/>
              </w:rPr>
            </w:pPr>
            <w:r>
              <w:rPr>
                <w:b/>
                <w:spacing w:val="-5"/>
                <w:sz w:val="20"/>
              </w:rPr>
              <w:t>74</w:t>
            </w:r>
          </w:p>
        </w:tc>
      </w:tr>
    </w:tbl>
    <w:p>
      <w:pPr>
        <w:pStyle w:val="TableParagraph"/>
        <w:spacing w:after="0"/>
        <w:jc w:val="center"/>
        <w:rPr>
          <w:b/>
          <w:sz w:val="20"/>
        </w:rPr>
        <w:sectPr>
          <w:type w:val="continuous"/>
          <w:pgSz w:w="11910" w:h="16840"/>
          <w:pgMar w:header="384" w:footer="1060" w:top="1700" w:bottom="1040" w:left="360" w:right="360"/>
        </w:sectPr>
      </w:pPr>
    </w:p>
    <w:p>
      <w:pPr>
        <w:pStyle w:val="BodyText"/>
        <w:spacing w:before="218"/>
        <w:ind w:left="1341"/>
        <w:jc w:val="both"/>
      </w:pPr>
      <w:r>
        <w:rPr/>
        <mc:AlternateContent>
          <mc:Choice Requires="wps">
            <w:drawing>
              <wp:anchor distT="0" distB="0" distL="0" distR="0" allowOverlap="1" layoutInCell="1" locked="0" behindDoc="1" simplePos="0" relativeHeight="476786688">
                <wp:simplePos x="0" y="0"/>
                <wp:positionH relativeFrom="page">
                  <wp:posOffset>5403087</wp:posOffset>
                </wp:positionH>
                <wp:positionV relativeFrom="paragraph">
                  <wp:posOffset>563662</wp:posOffset>
                </wp:positionV>
                <wp:extent cx="91440" cy="14160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91440" cy="141605"/>
                        </a:xfrm>
                        <a:prstGeom prst="rect">
                          <a:avLst/>
                        </a:prstGeom>
                      </wps:spPr>
                      <wps:txbx>
                        <w:txbxContent>
                          <w:p>
                            <w:pPr>
                              <w:spacing w:line="223" w:lineRule="exact" w:before="0"/>
                              <w:ind w:left="0" w:right="0" w:firstLine="0"/>
                              <w:jc w:val="left"/>
                              <w:rPr>
                                <w:b/>
                                <w:sz w:val="20"/>
                              </w:rPr>
                            </w:pPr>
                            <w:r>
                              <w:rPr>
                                <w:b/>
                                <w:spacing w:val="-12"/>
                                <w:sz w:val="20"/>
                              </w:rPr>
                              <w:t>A</w:t>
                            </w:r>
                          </w:p>
                        </w:txbxContent>
                      </wps:txbx>
                      <wps:bodyPr wrap="square" lIns="0" tIns="0" rIns="0" bIns="0" rtlCol="0">
                        <a:noAutofit/>
                      </wps:bodyPr>
                    </wps:wsp>
                  </a:graphicData>
                </a:graphic>
              </wp:anchor>
            </w:drawing>
          </mc:Choice>
          <mc:Fallback>
            <w:pict>
              <v:shape style="position:absolute;margin-left:425.439941pt;margin-top:44.382858pt;width:7.2pt;height:11.15pt;mso-position-horizontal-relative:page;mso-position-vertical-relative:paragraph;z-index:-26529792" type="#_x0000_t202" id="docshape241" filled="false" stroked="false">
                <v:textbox inset="0,0,0,0">
                  <w:txbxContent>
                    <w:p>
                      <w:pPr>
                        <w:spacing w:line="223" w:lineRule="exact" w:before="0"/>
                        <w:ind w:left="0" w:right="0" w:firstLine="0"/>
                        <w:jc w:val="left"/>
                        <w:rPr>
                          <w:b/>
                          <w:sz w:val="20"/>
                        </w:rPr>
                      </w:pPr>
                      <w:r>
                        <w:rPr>
                          <w:b/>
                          <w:spacing w:val="-12"/>
                          <w:sz w:val="20"/>
                        </w:rPr>
                        <w:t>A</w:t>
                      </w:r>
                    </w:p>
                  </w:txbxContent>
                </v:textbox>
                <w10:wrap type="none"/>
              </v:shape>
            </w:pict>
          </mc:Fallback>
        </mc:AlternateContent>
      </w:r>
      <w:r>
        <w:rPr/>
        <w:t>En</w:t>
      </w:r>
      <w:r>
        <w:rPr>
          <w:spacing w:val="-4"/>
        </w:rPr>
        <w:t> </w:t>
      </w:r>
      <w:r>
        <w:rPr/>
        <w:t>el</w:t>
      </w:r>
      <w:r>
        <w:rPr>
          <w:spacing w:val="-5"/>
        </w:rPr>
        <w:t> </w:t>
      </w:r>
      <w:r>
        <w:rPr/>
        <w:t>año</w:t>
      </w:r>
      <w:r>
        <w:rPr>
          <w:spacing w:val="-1"/>
        </w:rPr>
        <w:t> </w:t>
      </w:r>
      <w:r>
        <w:rPr>
          <w:spacing w:val="-2"/>
        </w:rPr>
        <w:t>2024:</w:t>
      </w:r>
    </w:p>
    <w:p>
      <w:pPr>
        <w:pStyle w:val="BodyText"/>
        <w:spacing w:before="85"/>
      </w:pPr>
    </w:p>
    <w:tbl>
      <w:tblPr>
        <w:tblW w:w="0" w:type="auto"/>
        <w:jc w:val="left"/>
        <w:tblInd w:w="2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2"/>
        <w:gridCol w:w="1104"/>
        <w:gridCol w:w="917"/>
        <w:gridCol w:w="883"/>
      </w:tblGrid>
      <w:tr>
        <w:trPr>
          <w:trHeight w:val="453" w:hRule="atLeast"/>
        </w:trPr>
        <w:tc>
          <w:tcPr>
            <w:tcW w:w="2942" w:type="dxa"/>
            <w:shd w:val="clear" w:color="auto" w:fill="D9D9D9"/>
          </w:tcPr>
          <w:p>
            <w:pPr>
              <w:pStyle w:val="TableParagraph"/>
              <w:spacing w:before="107"/>
              <w:ind w:left="6"/>
              <w:jc w:val="center"/>
              <w:rPr>
                <w:b/>
                <w:sz w:val="20"/>
              </w:rPr>
            </w:pPr>
            <w:r>
              <w:rPr>
                <w:b/>
                <w:spacing w:val="-4"/>
                <w:sz w:val="20"/>
              </w:rPr>
              <w:t>TIPO</w:t>
            </w:r>
          </w:p>
        </w:tc>
        <w:tc>
          <w:tcPr>
            <w:tcW w:w="1104" w:type="dxa"/>
            <w:shd w:val="clear" w:color="auto" w:fill="D9D9D9"/>
          </w:tcPr>
          <w:p>
            <w:pPr>
              <w:pStyle w:val="TableParagraph"/>
              <w:spacing w:before="107"/>
              <w:ind w:left="10" w:right="4"/>
              <w:jc w:val="center"/>
              <w:rPr>
                <w:b/>
                <w:sz w:val="20"/>
              </w:rPr>
            </w:pPr>
            <w:r>
              <w:rPr>
                <w:b/>
                <w:spacing w:val="-2"/>
                <w:sz w:val="20"/>
              </w:rPr>
              <w:t>HOMBRE</w:t>
            </w:r>
          </w:p>
        </w:tc>
        <w:tc>
          <w:tcPr>
            <w:tcW w:w="917" w:type="dxa"/>
            <w:shd w:val="clear" w:color="auto" w:fill="D9D9D9"/>
          </w:tcPr>
          <w:p>
            <w:pPr>
              <w:pStyle w:val="TableParagraph"/>
              <w:spacing w:before="107"/>
              <w:ind w:left="11" w:right="2"/>
              <w:jc w:val="center"/>
              <w:rPr>
                <w:b/>
                <w:sz w:val="20"/>
              </w:rPr>
            </w:pPr>
            <w:r>
              <w:rPr>
                <w:b/>
                <w:spacing w:val="-2"/>
                <w:sz w:val="20"/>
              </w:rPr>
              <w:t>MUJER</w:t>
            </w:r>
          </w:p>
        </w:tc>
        <w:tc>
          <w:tcPr>
            <w:tcW w:w="883" w:type="dxa"/>
            <w:shd w:val="clear" w:color="auto" w:fill="D9D9D9"/>
          </w:tcPr>
          <w:p>
            <w:pPr>
              <w:pStyle w:val="TableParagraph"/>
              <w:spacing w:before="107"/>
              <w:ind w:left="14" w:right="8"/>
              <w:jc w:val="center"/>
              <w:rPr>
                <w:b/>
                <w:sz w:val="20"/>
              </w:rPr>
            </w:pPr>
            <w:r>
              <w:rPr>
                <w:b/>
                <w:sz w:val="20"/>
              </w:rPr>
              <w:t>TOT</w:t>
            </w:r>
            <w:r>
              <w:rPr>
                <w:b/>
                <w:spacing w:val="54"/>
                <w:w w:val="150"/>
                <w:sz w:val="20"/>
              </w:rPr>
              <w:t> </w:t>
            </w:r>
            <w:r>
              <w:rPr>
                <w:b/>
                <w:spacing w:val="-10"/>
                <w:sz w:val="20"/>
              </w:rPr>
              <w:t>L</w:t>
            </w:r>
          </w:p>
        </w:tc>
      </w:tr>
      <w:tr>
        <w:trPr>
          <w:trHeight w:val="455" w:hRule="atLeast"/>
        </w:trPr>
        <w:tc>
          <w:tcPr>
            <w:tcW w:w="2942" w:type="dxa"/>
          </w:tcPr>
          <w:p>
            <w:pPr>
              <w:pStyle w:val="TableParagraph"/>
              <w:spacing w:before="107"/>
              <w:ind w:left="6" w:right="5"/>
              <w:jc w:val="center"/>
              <w:rPr>
                <w:sz w:val="20"/>
              </w:rPr>
            </w:pPr>
            <w:r>
              <w:rPr>
                <w:b/>
                <w:sz w:val="20"/>
              </w:rPr>
              <w:t>CON</w:t>
            </w:r>
            <w:r>
              <w:rPr>
                <w:b/>
                <w:spacing w:val="-4"/>
                <w:sz w:val="20"/>
              </w:rPr>
              <w:t> </w:t>
            </w:r>
            <w:r>
              <w:rPr>
                <w:b/>
                <w:sz w:val="20"/>
              </w:rPr>
              <w:t>BAJA</w:t>
            </w:r>
            <w:r>
              <w:rPr>
                <w:b/>
                <w:spacing w:val="-9"/>
                <w:sz w:val="20"/>
              </w:rPr>
              <w:t> </w:t>
            </w:r>
            <w:r>
              <w:rPr>
                <w:sz w:val="20"/>
              </w:rPr>
              <w:t>(incluido</w:t>
            </w:r>
            <w:r>
              <w:rPr>
                <w:spacing w:val="-6"/>
                <w:sz w:val="20"/>
              </w:rPr>
              <w:t> </w:t>
            </w:r>
            <w:r>
              <w:rPr>
                <w:sz w:val="20"/>
              </w:rPr>
              <w:t>in</w:t>
            </w:r>
            <w:r>
              <w:rPr>
                <w:spacing w:val="-5"/>
                <w:sz w:val="20"/>
              </w:rPr>
              <w:t> </w:t>
            </w:r>
            <w:r>
              <w:rPr>
                <w:spacing w:val="-2"/>
                <w:sz w:val="20"/>
              </w:rPr>
              <w:t>itinere)</w:t>
            </w:r>
          </w:p>
        </w:tc>
        <w:tc>
          <w:tcPr>
            <w:tcW w:w="1104" w:type="dxa"/>
          </w:tcPr>
          <w:p>
            <w:pPr>
              <w:pStyle w:val="TableParagraph"/>
              <w:spacing w:before="107"/>
              <w:ind w:left="10" w:right="10"/>
              <w:jc w:val="center"/>
              <w:rPr>
                <w:b/>
                <w:sz w:val="20"/>
              </w:rPr>
            </w:pPr>
            <w:r>
              <w:rPr>
                <w:b/>
                <w:spacing w:val="-5"/>
                <w:sz w:val="20"/>
              </w:rPr>
              <w:t>45</w:t>
            </w:r>
          </w:p>
        </w:tc>
        <w:tc>
          <w:tcPr>
            <w:tcW w:w="917" w:type="dxa"/>
          </w:tcPr>
          <w:p>
            <w:pPr>
              <w:pStyle w:val="TableParagraph"/>
              <w:spacing w:before="107"/>
              <w:ind w:left="11" w:right="2"/>
              <w:jc w:val="center"/>
              <w:rPr>
                <w:b/>
                <w:sz w:val="20"/>
              </w:rPr>
            </w:pPr>
            <w:r>
              <w:rPr>
                <w:b/>
                <w:spacing w:val="-10"/>
                <w:sz w:val="20"/>
              </w:rPr>
              <w:t>3</w:t>
            </w:r>
          </w:p>
        </w:tc>
        <w:tc>
          <w:tcPr>
            <w:tcW w:w="883" w:type="dxa"/>
          </w:tcPr>
          <w:p>
            <w:pPr>
              <w:pStyle w:val="TableParagraph"/>
              <w:spacing w:before="107"/>
              <w:ind w:left="14" w:right="8"/>
              <w:jc w:val="center"/>
              <w:rPr>
                <w:b/>
                <w:sz w:val="20"/>
              </w:rPr>
            </w:pPr>
            <w:r>
              <w:rPr>
                <w:b/>
                <w:spacing w:val="-5"/>
                <w:sz w:val="20"/>
              </w:rPr>
              <w:t>48</w:t>
            </w:r>
          </w:p>
        </w:tc>
      </w:tr>
      <w:tr>
        <w:trPr>
          <w:trHeight w:val="453" w:hRule="atLeast"/>
        </w:trPr>
        <w:tc>
          <w:tcPr>
            <w:tcW w:w="2942" w:type="dxa"/>
          </w:tcPr>
          <w:p>
            <w:pPr>
              <w:pStyle w:val="TableParagraph"/>
              <w:spacing w:before="105"/>
              <w:ind w:left="6" w:right="5"/>
              <w:jc w:val="center"/>
              <w:rPr>
                <w:sz w:val="20"/>
              </w:rPr>
            </w:pPr>
            <w:r>
              <w:rPr>
                <w:b/>
                <w:sz w:val="20"/>
              </w:rPr>
              <w:t>SIN</w:t>
            </w:r>
            <w:r>
              <w:rPr>
                <w:b/>
                <w:spacing w:val="-5"/>
                <w:sz w:val="20"/>
              </w:rPr>
              <w:t> </w:t>
            </w:r>
            <w:r>
              <w:rPr>
                <w:b/>
                <w:sz w:val="20"/>
              </w:rPr>
              <w:t>BAJA</w:t>
            </w:r>
            <w:r>
              <w:rPr>
                <w:b/>
                <w:spacing w:val="-7"/>
                <w:sz w:val="20"/>
              </w:rPr>
              <w:t> </w:t>
            </w:r>
            <w:r>
              <w:rPr>
                <w:sz w:val="20"/>
              </w:rPr>
              <w:t>(incluido</w:t>
            </w:r>
            <w:r>
              <w:rPr>
                <w:spacing w:val="-5"/>
                <w:sz w:val="20"/>
              </w:rPr>
              <w:t> </w:t>
            </w:r>
            <w:r>
              <w:rPr>
                <w:sz w:val="20"/>
              </w:rPr>
              <w:t>in</w:t>
            </w:r>
            <w:r>
              <w:rPr>
                <w:spacing w:val="-5"/>
                <w:sz w:val="20"/>
              </w:rPr>
              <w:t> </w:t>
            </w:r>
            <w:r>
              <w:rPr>
                <w:spacing w:val="-2"/>
                <w:sz w:val="20"/>
              </w:rPr>
              <w:t>itinere)</w:t>
            </w:r>
          </w:p>
        </w:tc>
        <w:tc>
          <w:tcPr>
            <w:tcW w:w="1104" w:type="dxa"/>
          </w:tcPr>
          <w:p>
            <w:pPr>
              <w:pStyle w:val="TableParagraph"/>
              <w:spacing w:before="105"/>
              <w:ind w:left="10" w:right="10"/>
              <w:jc w:val="center"/>
              <w:rPr>
                <w:b/>
                <w:sz w:val="20"/>
              </w:rPr>
            </w:pPr>
            <w:r>
              <w:rPr>
                <w:b/>
                <w:spacing w:val="-5"/>
                <w:sz w:val="20"/>
              </w:rPr>
              <w:t>37</w:t>
            </w:r>
          </w:p>
        </w:tc>
        <w:tc>
          <w:tcPr>
            <w:tcW w:w="917" w:type="dxa"/>
          </w:tcPr>
          <w:p>
            <w:pPr>
              <w:pStyle w:val="TableParagraph"/>
              <w:spacing w:before="105"/>
              <w:ind w:left="11" w:right="2"/>
              <w:jc w:val="center"/>
              <w:rPr>
                <w:b/>
                <w:sz w:val="20"/>
              </w:rPr>
            </w:pPr>
            <w:r>
              <w:rPr>
                <w:b/>
                <w:spacing w:val="-10"/>
                <w:sz w:val="20"/>
              </w:rPr>
              <w:t>1</w:t>
            </w:r>
          </w:p>
        </w:tc>
        <w:tc>
          <w:tcPr>
            <w:tcW w:w="883" w:type="dxa"/>
          </w:tcPr>
          <w:p>
            <w:pPr>
              <w:pStyle w:val="TableParagraph"/>
              <w:spacing w:before="105"/>
              <w:ind w:left="14" w:right="8"/>
              <w:jc w:val="center"/>
              <w:rPr>
                <w:b/>
                <w:sz w:val="20"/>
              </w:rPr>
            </w:pPr>
            <w:r>
              <w:rPr>
                <w:b/>
                <w:spacing w:val="-5"/>
                <w:sz w:val="20"/>
              </w:rPr>
              <w:t>38</w:t>
            </w:r>
          </w:p>
        </w:tc>
      </w:tr>
      <w:tr>
        <w:trPr>
          <w:trHeight w:val="453" w:hRule="atLeast"/>
        </w:trPr>
        <w:tc>
          <w:tcPr>
            <w:tcW w:w="2942" w:type="dxa"/>
          </w:tcPr>
          <w:p>
            <w:pPr>
              <w:pStyle w:val="TableParagraph"/>
              <w:spacing w:before="107"/>
              <w:ind w:left="6" w:right="6"/>
              <w:jc w:val="center"/>
              <w:rPr>
                <w:b/>
                <w:sz w:val="20"/>
              </w:rPr>
            </w:pPr>
            <w:r>
              <w:rPr>
                <w:b/>
                <w:spacing w:val="-2"/>
                <w:sz w:val="20"/>
              </w:rPr>
              <w:t>TOTAL</w:t>
            </w:r>
          </w:p>
        </w:tc>
        <w:tc>
          <w:tcPr>
            <w:tcW w:w="1104" w:type="dxa"/>
          </w:tcPr>
          <w:p>
            <w:pPr>
              <w:pStyle w:val="TableParagraph"/>
              <w:spacing w:before="107"/>
              <w:ind w:left="10" w:right="8"/>
              <w:jc w:val="center"/>
              <w:rPr>
                <w:b/>
                <w:sz w:val="20"/>
              </w:rPr>
            </w:pPr>
            <w:r>
              <w:rPr>
                <w:b/>
                <w:spacing w:val="-5"/>
                <w:sz w:val="20"/>
              </w:rPr>
              <w:t>82</w:t>
            </w:r>
          </w:p>
        </w:tc>
        <w:tc>
          <w:tcPr>
            <w:tcW w:w="917" w:type="dxa"/>
          </w:tcPr>
          <w:p>
            <w:pPr>
              <w:pStyle w:val="TableParagraph"/>
              <w:spacing w:before="107"/>
              <w:ind w:left="11"/>
              <w:jc w:val="center"/>
              <w:rPr>
                <w:b/>
                <w:sz w:val="20"/>
              </w:rPr>
            </w:pPr>
            <w:r>
              <w:rPr>
                <w:b/>
                <w:spacing w:val="-10"/>
                <w:sz w:val="20"/>
              </w:rPr>
              <w:t>4</w:t>
            </w:r>
          </w:p>
        </w:tc>
        <w:tc>
          <w:tcPr>
            <w:tcW w:w="883" w:type="dxa"/>
          </w:tcPr>
          <w:p>
            <w:pPr>
              <w:pStyle w:val="TableParagraph"/>
              <w:spacing w:before="107"/>
              <w:ind w:left="14" w:right="8"/>
              <w:jc w:val="center"/>
              <w:rPr>
                <w:b/>
                <w:sz w:val="20"/>
              </w:rPr>
            </w:pPr>
            <w:r>
              <w:rPr>
                <w:b/>
                <w:spacing w:val="-5"/>
                <w:sz w:val="20"/>
              </w:rPr>
              <w:t>86</w:t>
            </w:r>
          </w:p>
        </w:tc>
      </w:tr>
    </w:tbl>
    <w:p>
      <w:pPr>
        <w:pStyle w:val="BodyText"/>
      </w:pPr>
    </w:p>
    <w:p>
      <w:pPr>
        <w:pStyle w:val="BodyText"/>
      </w:pPr>
    </w:p>
    <w:p>
      <w:pPr>
        <w:pStyle w:val="BodyText"/>
        <w:spacing w:before="4"/>
      </w:pPr>
    </w:p>
    <w:p>
      <w:pPr>
        <w:pStyle w:val="BodyText"/>
        <w:spacing w:line="360" w:lineRule="auto"/>
        <w:ind w:left="1341" w:right="1337"/>
        <w:jc w:val="both"/>
      </w:pPr>
      <w:r>
        <w:rPr/>
        <w:t>En el año 2025 el número de accidente de trabajo con baja ha sido de 54 (6 más que en el año anterior), siendo uno de ellos considerado como grave debido a un infarto. La gran mayoría de los accidentes han estado asociados a golpes o trastornos musculo-esqueléticos asociados a accidentes de tráfico, manteniéndose la tendencia de otros años. El número de accidentes sin baja ha sido de 20, produciéndose una disminución muy importante con respecto a los 38 del año pasado.</w:t>
      </w:r>
    </w:p>
    <w:p>
      <w:pPr>
        <w:pStyle w:val="BodyText"/>
        <w:spacing w:line="362" w:lineRule="auto" w:before="198"/>
        <w:ind w:left="1341" w:right="1334"/>
        <w:jc w:val="both"/>
      </w:pPr>
      <w:r>
        <w:rPr/>
        <mc:AlternateContent>
          <mc:Choice Requires="wps">
            <w:drawing>
              <wp:anchor distT="0" distB="0" distL="0" distR="0" allowOverlap="1" layoutInCell="1" locked="0" behindDoc="1" simplePos="0" relativeHeight="476785664">
                <wp:simplePos x="0" y="0"/>
                <wp:positionH relativeFrom="page">
                  <wp:posOffset>2684839</wp:posOffset>
                </wp:positionH>
                <wp:positionV relativeFrom="paragraph">
                  <wp:posOffset>973257</wp:posOffset>
                </wp:positionV>
                <wp:extent cx="84455" cy="14160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84455" cy="141605"/>
                        </a:xfrm>
                        <a:prstGeom prst="rect">
                          <a:avLst/>
                        </a:prstGeom>
                      </wps:spPr>
                      <wps:txbx>
                        <w:txbxContent>
                          <w:p>
                            <w:pPr>
                              <w:spacing w:line="223" w:lineRule="exact" w:before="0"/>
                              <w:ind w:left="0" w:right="0" w:firstLine="0"/>
                              <w:jc w:val="left"/>
                              <w:rPr>
                                <w:b/>
                                <w:sz w:val="20"/>
                              </w:rPr>
                            </w:pPr>
                            <w:r>
                              <w:rPr>
                                <w:b/>
                                <w:spacing w:val="-12"/>
                                <w:sz w:val="20"/>
                              </w:rPr>
                              <w:t>P</w:t>
                            </w:r>
                          </w:p>
                        </w:txbxContent>
                      </wps:txbx>
                      <wps:bodyPr wrap="square" lIns="0" tIns="0" rIns="0" bIns="0" rtlCol="0">
                        <a:noAutofit/>
                      </wps:bodyPr>
                    </wps:wsp>
                  </a:graphicData>
                </a:graphic>
              </wp:anchor>
            </w:drawing>
          </mc:Choice>
          <mc:Fallback>
            <w:pict>
              <v:shape style="position:absolute;margin-left:211.404709pt;margin-top:76.634468pt;width:6.65pt;height:11.15pt;mso-position-horizontal-relative:page;mso-position-vertical-relative:paragraph;z-index:-26530816" type="#_x0000_t202" id="docshape242" filled="false" stroked="false">
                <v:textbox inset="0,0,0,0">
                  <w:txbxContent>
                    <w:p>
                      <w:pPr>
                        <w:spacing w:line="223" w:lineRule="exact" w:before="0"/>
                        <w:ind w:left="0" w:right="0" w:firstLine="0"/>
                        <w:jc w:val="left"/>
                        <w:rPr>
                          <w:b/>
                          <w:sz w:val="20"/>
                        </w:rPr>
                      </w:pPr>
                      <w:r>
                        <w:rPr>
                          <w:b/>
                          <w:spacing w:val="-12"/>
                          <w:sz w:val="20"/>
                        </w:rPr>
                        <w:t>P</w:t>
                      </w:r>
                    </w:p>
                  </w:txbxContent>
                </v:textbox>
                <w10:wrap type="none"/>
              </v:shape>
            </w:pict>
          </mc:Fallback>
        </mc:AlternateContent>
      </w:r>
      <w:r>
        <w:rPr>
          <w:b/>
        </w:rPr>
        <w:t>TASA DE FRECUENCIA ACUMULADA (TFA). </w:t>
      </w:r>
      <w:r>
        <w:rPr/>
        <w:t>Índice de frecuencia (nº accidentes en jornada de trabajo con baja, por cada millón de horas trabajadas por los trabajadores afiliados con la contingencia AT cubierta):</w:t>
      </w:r>
    </w:p>
    <w:p>
      <w:pPr>
        <w:pStyle w:val="BodyText"/>
        <w:spacing w:before="1"/>
        <w:rPr>
          <w:sz w:val="17"/>
        </w:rPr>
      </w:pPr>
    </w:p>
    <w:tbl>
      <w:tblPr>
        <w:tblW w:w="0" w:type="auto"/>
        <w:jc w:val="left"/>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6"/>
        <w:gridCol w:w="1104"/>
        <w:gridCol w:w="919"/>
        <w:gridCol w:w="1317"/>
      </w:tblGrid>
      <w:tr>
        <w:trPr>
          <w:trHeight w:val="397" w:hRule="atLeast"/>
        </w:trPr>
        <w:tc>
          <w:tcPr>
            <w:tcW w:w="4056" w:type="dxa"/>
            <w:shd w:val="clear" w:color="auto" w:fill="D9D9D9"/>
          </w:tcPr>
          <w:p>
            <w:pPr>
              <w:pStyle w:val="TableParagraph"/>
              <w:spacing w:before="78"/>
              <w:ind w:left="8"/>
              <w:jc w:val="center"/>
              <w:rPr>
                <w:b/>
                <w:sz w:val="20"/>
              </w:rPr>
            </w:pPr>
            <w:r>
              <w:rPr>
                <w:b/>
                <w:sz w:val="20"/>
              </w:rPr>
              <w:t>TI</w:t>
            </w:r>
            <w:r>
              <w:rPr>
                <w:b/>
                <w:spacing w:val="78"/>
                <w:sz w:val="20"/>
              </w:rPr>
              <w:t> </w:t>
            </w:r>
            <w:r>
              <w:rPr>
                <w:b/>
                <w:spacing w:val="-10"/>
                <w:sz w:val="20"/>
              </w:rPr>
              <w:t>O</w:t>
            </w:r>
          </w:p>
        </w:tc>
        <w:tc>
          <w:tcPr>
            <w:tcW w:w="1104" w:type="dxa"/>
            <w:shd w:val="clear" w:color="auto" w:fill="D9D9D9"/>
          </w:tcPr>
          <w:p>
            <w:pPr>
              <w:pStyle w:val="TableParagraph"/>
              <w:spacing w:before="78"/>
              <w:ind w:left="10"/>
              <w:jc w:val="center"/>
              <w:rPr>
                <w:b/>
                <w:sz w:val="20"/>
              </w:rPr>
            </w:pPr>
            <w:r>
              <w:rPr>
                <w:b/>
                <w:spacing w:val="-2"/>
                <w:sz w:val="20"/>
              </w:rPr>
              <w:t>HOMBRE</w:t>
            </w:r>
          </w:p>
        </w:tc>
        <w:tc>
          <w:tcPr>
            <w:tcW w:w="919" w:type="dxa"/>
            <w:shd w:val="clear" w:color="auto" w:fill="D9D9D9"/>
          </w:tcPr>
          <w:p>
            <w:pPr>
              <w:pStyle w:val="TableParagraph"/>
              <w:spacing w:before="78"/>
              <w:ind w:left="12" w:right="6"/>
              <w:jc w:val="center"/>
              <w:rPr>
                <w:b/>
                <w:sz w:val="20"/>
              </w:rPr>
            </w:pPr>
            <w:r>
              <w:rPr>
                <w:b/>
                <w:spacing w:val="-2"/>
                <w:sz w:val="20"/>
              </w:rPr>
              <w:t>MUJER</w:t>
            </w:r>
          </w:p>
        </w:tc>
        <w:tc>
          <w:tcPr>
            <w:tcW w:w="1317" w:type="dxa"/>
            <w:shd w:val="clear" w:color="auto" w:fill="D9D9D9"/>
          </w:tcPr>
          <w:p>
            <w:pPr>
              <w:pStyle w:val="TableParagraph"/>
              <w:spacing w:before="78"/>
              <w:ind w:left="6" w:right="2"/>
              <w:jc w:val="center"/>
              <w:rPr>
                <w:b/>
                <w:sz w:val="20"/>
              </w:rPr>
            </w:pPr>
            <w:r>
              <w:rPr>
                <w:b/>
                <w:spacing w:val="-2"/>
                <w:sz w:val="20"/>
              </w:rPr>
              <w:t>TOTAL</w:t>
            </w:r>
          </w:p>
        </w:tc>
      </w:tr>
      <w:tr>
        <w:trPr>
          <w:trHeight w:val="395" w:hRule="atLeast"/>
        </w:trPr>
        <w:tc>
          <w:tcPr>
            <w:tcW w:w="4056" w:type="dxa"/>
          </w:tcPr>
          <w:p>
            <w:pPr>
              <w:pStyle w:val="TableParagraph"/>
              <w:spacing w:before="78"/>
              <w:ind w:left="107"/>
              <w:rPr>
                <w:b/>
                <w:sz w:val="20"/>
              </w:rPr>
            </w:pPr>
            <w:r>
              <w:rPr>
                <w:b/>
                <w:sz w:val="20"/>
              </w:rPr>
              <w:t>TFA</w:t>
            </w:r>
            <w:r>
              <w:rPr>
                <w:b/>
                <w:spacing w:val="-5"/>
                <w:sz w:val="20"/>
              </w:rPr>
              <w:t> </w:t>
            </w:r>
            <w:r>
              <w:rPr>
                <w:b/>
                <w:spacing w:val="-4"/>
                <w:sz w:val="20"/>
              </w:rPr>
              <w:t>2025</w:t>
            </w:r>
          </w:p>
        </w:tc>
        <w:tc>
          <w:tcPr>
            <w:tcW w:w="1104" w:type="dxa"/>
          </w:tcPr>
          <w:p>
            <w:pPr>
              <w:pStyle w:val="TableParagraph"/>
              <w:spacing w:before="78"/>
              <w:ind w:left="10" w:right="5"/>
              <w:jc w:val="center"/>
              <w:rPr>
                <w:b/>
                <w:sz w:val="20"/>
              </w:rPr>
            </w:pPr>
            <w:r>
              <w:rPr>
                <w:b/>
                <w:spacing w:val="-2"/>
                <w:sz w:val="20"/>
              </w:rPr>
              <w:t>42,41</w:t>
            </w:r>
          </w:p>
        </w:tc>
        <w:tc>
          <w:tcPr>
            <w:tcW w:w="919" w:type="dxa"/>
          </w:tcPr>
          <w:p>
            <w:pPr>
              <w:pStyle w:val="TableParagraph"/>
              <w:spacing w:before="78"/>
              <w:ind w:left="12" w:right="8"/>
              <w:jc w:val="center"/>
              <w:rPr>
                <w:b/>
                <w:sz w:val="20"/>
              </w:rPr>
            </w:pPr>
            <w:r>
              <w:rPr>
                <w:b/>
                <w:spacing w:val="-4"/>
                <w:sz w:val="20"/>
              </w:rPr>
              <w:t>4,32</w:t>
            </w:r>
          </w:p>
        </w:tc>
        <w:tc>
          <w:tcPr>
            <w:tcW w:w="1317" w:type="dxa"/>
          </w:tcPr>
          <w:p>
            <w:pPr>
              <w:pStyle w:val="TableParagraph"/>
              <w:spacing w:before="78"/>
              <w:ind w:left="6" w:right="2"/>
              <w:jc w:val="center"/>
              <w:rPr>
                <w:b/>
                <w:sz w:val="20"/>
              </w:rPr>
            </w:pPr>
            <w:r>
              <w:rPr>
                <w:b/>
                <w:spacing w:val="-2"/>
                <w:sz w:val="20"/>
              </w:rPr>
              <w:t>46,73</w:t>
            </w:r>
          </w:p>
        </w:tc>
      </w:tr>
      <w:tr>
        <w:trPr>
          <w:trHeight w:val="398" w:hRule="atLeast"/>
        </w:trPr>
        <w:tc>
          <w:tcPr>
            <w:tcW w:w="4056" w:type="dxa"/>
          </w:tcPr>
          <w:p>
            <w:pPr>
              <w:pStyle w:val="TableParagraph"/>
              <w:spacing w:before="78"/>
              <w:ind w:left="107"/>
              <w:rPr>
                <w:b/>
                <w:sz w:val="20"/>
              </w:rPr>
            </w:pPr>
            <w:r>
              <w:rPr>
                <w:b/>
                <w:sz w:val="20"/>
              </w:rPr>
              <w:t>TFA</w:t>
            </w:r>
            <w:r>
              <w:rPr>
                <w:b/>
                <w:spacing w:val="-5"/>
                <w:sz w:val="20"/>
              </w:rPr>
              <w:t> </w:t>
            </w:r>
            <w:r>
              <w:rPr>
                <w:b/>
                <w:spacing w:val="-4"/>
                <w:sz w:val="20"/>
              </w:rPr>
              <w:t>2024</w:t>
            </w:r>
          </w:p>
        </w:tc>
        <w:tc>
          <w:tcPr>
            <w:tcW w:w="1104" w:type="dxa"/>
          </w:tcPr>
          <w:p>
            <w:pPr>
              <w:pStyle w:val="TableParagraph"/>
              <w:spacing w:before="78"/>
              <w:ind w:left="10" w:right="5"/>
              <w:jc w:val="center"/>
              <w:rPr>
                <w:b/>
                <w:sz w:val="20"/>
              </w:rPr>
            </w:pPr>
            <w:r>
              <w:rPr>
                <w:b/>
                <w:spacing w:val="-2"/>
                <w:sz w:val="20"/>
              </w:rPr>
              <w:t>27,90</w:t>
            </w:r>
          </w:p>
        </w:tc>
        <w:tc>
          <w:tcPr>
            <w:tcW w:w="919" w:type="dxa"/>
          </w:tcPr>
          <w:p>
            <w:pPr>
              <w:pStyle w:val="TableParagraph"/>
              <w:spacing w:before="78"/>
              <w:ind w:left="12" w:right="8"/>
              <w:jc w:val="center"/>
              <w:rPr>
                <w:b/>
                <w:sz w:val="20"/>
              </w:rPr>
            </w:pPr>
            <w:r>
              <w:rPr>
                <w:b/>
                <w:spacing w:val="-4"/>
                <w:sz w:val="20"/>
              </w:rPr>
              <w:t>2,60</w:t>
            </w:r>
          </w:p>
        </w:tc>
        <w:tc>
          <w:tcPr>
            <w:tcW w:w="1317" w:type="dxa"/>
          </w:tcPr>
          <w:p>
            <w:pPr>
              <w:pStyle w:val="TableParagraph"/>
              <w:spacing w:before="78"/>
              <w:ind w:left="6" w:right="2"/>
              <w:jc w:val="center"/>
              <w:rPr>
                <w:b/>
                <w:sz w:val="20"/>
              </w:rPr>
            </w:pPr>
            <w:r>
              <w:rPr>
                <w:b/>
                <w:spacing w:val="-2"/>
                <w:sz w:val="20"/>
              </w:rPr>
              <w:t>30,50</w:t>
            </w:r>
          </w:p>
        </w:tc>
      </w:tr>
    </w:tbl>
    <w:p>
      <w:pPr>
        <w:pStyle w:val="BodyText"/>
      </w:pPr>
    </w:p>
    <w:p>
      <w:pPr>
        <w:pStyle w:val="BodyText"/>
        <w:spacing w:before="4"/>
      </w:pPr>
    </w:p>
    <w:p>
      <w:pPr>
        <w:pStyle w:val="BodyText"/>
        <w:spacing w:line="360" w:lineRule="auto"/>
        <w:ind w:left="1341" w:right="1339"/>
        <w:jc w:val="both"/>
      </w:pPr>
      <w:r>
        <w:rPr/>
        <mc:AlternateContent>
          <mc:Choice Requires="wps">
            <w:drawing>
              <wp:anchor distT="0" distB="0" distL="0" distR="0" allowOverlap="1" layoutInCell="1" locked="0" behindDoc="0" simplePos="0" relativeHeight="15818752">
                <wp:simplePos x="0" y="0"/>
                <wp:positionH relativeFrom="page">
                  <wp:posOffset>6966436</wp:posOffset>
                </wp:positionH>
                <wp:positionV relativeFrom="paragraph">
                  <wp:posOffset>379918</wp:posOffset>
                </wp:positionV>
                <wp:extent cx="263525" cy="327596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9.914814pt;width:20.75pt;height:257.95pt;mso-position-horizontal-relative:page;mso-position-vertical-relative:paragraph;z-index:15818752" type="#_x0000_t202" id="docshape24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 términos generales, analizando el año 2025 se ha producido un incremento significativo en la tasa de frecuencia.</w:t>
      </w:r>
    </w:p>
    <w:p>
      <w:pPr>
        <w:pStyle w:val="BodyText"/>
        <w:spacing w:line="362" w:lineRule="auto" w:before="198"/>
        <w:ind w:left="1341" w:right="1334"/>
        <w:jc w:val="both"/>
      </w:pPr>
      <w:r>
        <w:rPr/>
        <w:t>Este</w:t>
      </w:r>
      <w:r>
        <w:rPr>
          <w:spacing w:val="-2"/>
        </w:rPr>
        <w:t> </w:t>
      </w:r>
      <w:r>
        <w:rPr/>
        <w:t>aumento</w:t>
      </w:r>
      <w:r>
        <w:rPr>
          <w:spacing w:val="-2"/>
        </w:rPr>
        <w:t> </w:t>
      </w:r>
      <w:r>
        <w:rPr/>
        <w:t>en los valores se</w:t>
      </w:r>
      <w:r>
        <w:rPr>
          <w:spacing w:val="-2"/>
        </w:rPr>
        <w:t> </w:t>
      </w:r>
      <w:r>
        <w:rPr/>
        <w:t>ha visto influido por la fuente</w:t>
      </w:r>
      <w:r>
        <w:rPr>
          <w:spacing w:val="-2"/>
        </w:rPr>
        <w:t> </w:t>
      </w:r>
      <w:r>
        <w:rPr/>
        <w:t>de</w:t>
      </w:r>
      <w:r>
        <w:rPr>
          <w:spacing w:val="-2"/>
        </w:rPr>
        <w:t> </w:t>
      </w:r>
      <w:r>
        <w:rPr/>
        <w:t>datos en los que se ha basado el estudio, pasando de unos valores teóricos de horas trabajadas empleados en años anteriores, a unos cálculos con horas reales trabajadas. El cálculo de horas reales servirá de fuente de datos en años venideros.</w:t>
      </w:r>
    </w:p>
    <w:p>
      <w:pPr>
        <w:spacing w:before="190"/>
        <w:ind w:left="0" w:right="0" w:firstLine="0"/>
        <w:jc w:val="center"/>
        <w:rPr>
          <w:sz w:val="20"/>
        </w:rPr>
      </w:pPr>
      <w:r>
        <w:rPr>
          <w:b/>
          <w:sz w:val="20"/>
        </w:rPr>
        <w:t>ÍNDICE</w:t>
      </w:r>
      <w:r>
        <w:rPr>
          <w:b/>
          <w:spacing w:val="-6"/>
          <w:sz w:val="20"/>
        </w:rPr>
        <w:t> </w:t>
      </w:r>
      <w:r>
        <w:rPr>
          <w:b/>
          <w:sz w:val="20"/>
        </w:rPr>
        <w:t>DE</w:t>
      </w:r>
      <w:r>
        <w:rPr>
          <w:b/>
          <w:spacing w:val="-7"/>
          <w:sz w:val="20"/>
        </w:rPr>
        <w:t> </w:t>
      </w:r>
      <w:r>
        <w:rPr>
          <w:b/>
          <w:sz w:val="20"/>
        </w:rPr>
        <w:t>GRAVEDAD</w:t>
      </w:r>
      <w:r>
        <w:rPr>
          <w:b/>
          <w:spacing w:val="-3"/>
          <w:sz w:val="20"/>
        </w:rPr>
        <w:t> </w:t>
      </w:r>
      <w:r>
        <w:rPr>
          <w:b/>
          <w:sz w:val="20"/>
        </w:rPr>
        <w:t>(IG).</w:t>
      </w:r>
      <w:r>
        <w:rPr>
          <w:b/>
          <w:spacing w:val="-6"/>
          <w:sz w:val="20"/>
        </w:rPr>
        <w:t> </w:t>
      </w:r>
      <w:r>
        <w:rPr>
          <w:sz w:val="20"/>
        </w:rPr>
        <w:t>Nº</w:t>
      </w:r>
      <w:r>
        <w:rPr>
          <w:spacing w:val="-7"/>
          <w:sz w:val="20"/>
        </w:rPr>
        <w:t> </w:t>
      </w:r>
      <w:r>
        <w:rPr>
          <w:sz w:val="20"/>
        </w:rPr>
        <w:t>de</w:t>
      </w:r>
      <w:r>
        <w:rPr>
          <w:spacing w:val="-7"/>
          <w:sz w:val="20"/>
        </w:rPr>
        <w:t> </w:t>
      </w:r>
      <w:r>
        <w:rPr>
          <w:sz w:val="20"/>
        </w:rPr>
        <w:t>días</w:t>
      </w:r>
      <w:r>
        <w:rPr>
          <w:spacing w:val="-5"/>
          <w:sz w:val="20"/>
        </w:rPr>
        <w:t> </w:t>
      </w:r>
      <w:r>
        <w:rPr>
          <w:sz w:val="20"/>
        </w:rPr>
        <w:t>no</w:t>
      </w:r>
      <w:r>
        <w:rPr>
          <w:spacing w:val="-3"/>
          <w:sz w:val="20"/>
        </w:rPr>
        <w:t> </w:t>
      </w:r>
      <w:r>
        <w:rPr>
          <w:sz w:val="20"/>
        </w:rPr>
        <w:t>trabajados</w:t>
      </w:r>
      <w:r>
        <w:rPr>
          <w:spacing w:val="-7"/>
          <w:sz w:val="20"/>
        </w:rPr>
        <w:t> </w:t>
      </w:r>
      <w:r>
        <w:rPr>
          <w:sz w:val="20"/>
        </w:rPr>
        <w:t>por</w:t>
      </w:r>
      <w:r>
        <w:rPr>
          <w:spacing w:val="-6"/>
          <w:sz w:val="20"/>
        </w:rPr>
        <w:t> </w:t>
      </w:r>
      <w:r>
        <w:rPr>
          <w:sz w:val="20"/>
        </w:rPr>
        <w:t>accidente</w:t>
      </w:r>
      <w:r>
        <w:rPr>
          <w:spacing w:val="-4"/>
          <w:sz w:val="20"/>
        </w:rPr>
        <w:t> </w:t>
      </w:r>
      <w:r>
        <w:rPr>
          <w:sz w:val="20"/>
        </w:rPr>
        <w:t>en</w:t>
      </w:r>
      <w:r>
        <w:rPr>
          <w:spacing w:val="-4"/>
          <w:sz w:val="20"/>
        </w:rPr>
        <w:t> </w:t>
      </w:r>
      <w:r>
        <w:rPr>
          <w:sz w:val="20"/>
        </w:rPr>
        <w:t>jornada</w:t>
      </w:r>
      <w:r>
        <w:rPr>
          <w:spacing w:val="-5"/>
          <w:sz w:val="20"/>
        </w:rPr>
        <w:t> </w:t>
      </w:r>
      <w:r>
        <w:rPr>
          <w:sz w:val="20"/>
        </w:rPr>
        <w:t>de</w:t>
      </w:r>
      <w:r>
        <w:rPr>
          <w:spacing w:val="-7"/>
          <w:sz w:val="20"/>
        </w:rPr>
        <w:t> </w:t>
      </w:r>
      <w:r>
        <w:rPr>
          <w:sz w:val="20"/>
        </w:rPr>
        <w:t>trabajo</w:t>
      </w:r>
      <w:r>
        <w:rPr>
          <w:spacing w:val="-6"/>
          <w:sz w:val="20"/>
        </w:rPr>
        <w:t> </w:t>
      </w:r>
      <w:r>
        <w:rPr>
          <w:spacing w:val="-5"/>
          <w:sz w:val="20"/>
        </w:rPr>
        <w:t>con</w:t>
      </w:r>
    </w:p>
    <w:p>
      <w:pPr>
        <w:spacing w:after="0"/>
        <w:jc w:val="center"/>
        <w:rPr>
          <w:sz w:val="20"/>
        </w:rPr>
        <w:sectPr>
          <w:pgSz w:w="11910" w:h="16840"/>
          <w:pgMar w:header="384" w:footer="1060" w:top="1200" w:bottom="1260" w:left="360" w:right="360"/>
        </w:sectPr>
      </w:pPr>
    </w:p>
    <w:p>
      <w:pPr>
        <w:pStyle w:val="BodyText"/>
        <w:spacing w:line="362" w:lineRule="auto" w:before="116"/>
        <w:ind w:left="1341"/>
      </w:pPr>
      <w:r>
        <w:rPr/>
        <mc:AlternateContent>
          <mc:Choice Requires="wps">
            <w:drawing>
              <wp:anchor distT="0" distB="0" distL="0" distR="0" allowOverlap="1" layoutInCell="1" locked="0" behindDoc="1" simplePos="0" relativeHeight="476786176">
                <wp:simplePos x="0" y="0"/>
                <wp:positionH relativeFrom="page">
                  <wp:posOffset>2684839</wp:posOffset>
                </wp:positionH>
                <wp:positionV relativeFrom="paragraph">
                  <wp:posOffset>664903</wp:posOffset>
                </wp:positionV>
                <wp:extent cx="84455" cy="14160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84455" cy="141605"/>
                        </a:xfrm>
                        <a:prstGeom prst="rect">
                          <a:avLst/>
                        </a:prstGeom>
                      </wps:spPr>
                      <wps:txbx>
                        <w:txbxContent>
                          <w:p>
                            <w:pPr>
                              <w:spacing w:line="223" w:lineRule="exact" w:before="0"/>
                              <w:ind w:left="0" w:right="0" w:firstLine="0"/>
                              <w:jc w:val="left"/>
                              <w:rPr>
                                <w:b/>
                                <w:sz w:val="20"/>
                              </w:rPr>
                            </w:pPr>
                            <w:r>
                              <w:rPr>
                                <w:b/>
                                <w:spacing w:val="-12"/>
                                <w:sz w:val="20"/>
                              </w:rPr>
                              <w:t>P</w:t>
                            </w:r>
                          </w:p>
                        </w:txbxContent>
                      </wps:txbx>
                      <wps:bodyPr wrap="square" lIns="0" tIns="0" rIns="0" bIns="0" rtlCol="0">
                        <a:noAutofit/>
                      </wps:bodyPr>
                    </wps:wsp>
                  </a:graphicData>
                </a:graphic>
              </wp:anchor>
            </w:drawing>
          </mc:Choice>
          <mc:Fallback>
            <w:pict>
              <v:shape style="position:absolute;margin-left:211.404709pt;margin-top:52.354603pt;width:6.65pt;height:11.15pt;mso-position-horizontal-relative:page;mso-position-vertical-relative:paragraph;z-index:-26530304" type="#_x0000_t202" id="docshape244" filled="false" stroked="false">
                <v:textbox inset="0,0,0,0">
                  <w:txbxContent>
                    <w:p>
                      <w:pPr>
                        <w:spacing w:line="223" w:lineRule="exact" w:before="0"/>
                        <w:ind w:left="0" w:right="0" w:firstLine="0"/>
                        <w:jc w:val="left"/>
                        <w:rPr>
                          <w:b/>
                          <w:sz w:val="20"/>
                        </w:rPr>
                      </w:pPr>
                      <w:r>
                        <w:rPr>
                          <w:b/>
                          <w:spacing w:val="-12"/>
                          <w:sz w:val="20"/>
                        </w:rPr>
                        <w:t>P</w:t>
                      </w:r>
                    </w:p>
                  </w:txbxContent>
                </v:textbox>
                <w10:wrap type="none"/>
              </v:shape>
            </w:pict>
          </mc:Fallback>
        </mc:AlternateContent>
      </w:r>
      <w:r>
        <w:rPr/>
        <w:t>baja,</w:t>
      </w:r>
      <w:r>
        <w:rPr>
          <w:spacing w:val="40"/>
        </w:rPr>
        <w:t> </w:t>
      </w:r>
      <w:r>
        <w:rPr/>
        <w:t>por</w:t>
      </w:r>
      <w:r>
        <w:rPr>
          <w:spacing w:val="40"/>
        </w:rPr>
        <w:t> </w:t>
      </w:r>
      <w:r>
        <w:rPr/>
        <w:t>cada</w:t>
      </w:r>
      <w:r>
        <w:rPr>
          <w:spacing w:val="40"/>
        </w:rPr>
        <w:t> </w:t>
      </w:r>
      <w:r>
        <w:rPr/>
        <w:t>mil</w:t>
      </w:r>
      <w:r>
        <w:rPr>
          <w:spacing w:val="40"/>
        </w:rPr>
        <w:t> </w:t>
      </w:r>
      <w:r>
        <w:rPr/>
        <w:t>horas</w:t>
      </w:r>
      <w:r>
        <w:rPr>
          <w:spacing w:val="40"/>
        </w:rPr>
        <w:t> </w:t>
      </w:r>
      <w:r>
        <w:rPr/>
        <w:t>trabajadas</w:t>
      </w:r>
      <w:r>
        <w:rPr>
          <w:spacing w:val="40"/>
        </w:rPr>
        <w:t> </w:t>
      </w:r>
      <w:r>
        <w:rPr/>
        <w:t>por</w:t>
      </w:r>
      <w:r>
        <w:rPr>
          <w:spacing w:val="40"/>
        </w:rPr>
        <w:t> </w:t>
      </w:r>
      <w:r>
        <w:rPr/>
        <w:t>los</w:t>
      </w:r>
      <w:r>
        <w:rPr>
          <w:spacing w:val="40"/>
        </w:rPr>
        <w:t> </w:t>
      </w:r>
      <w:r>
        <w:rPr/>
        <w:t>trabajadores</w:t>
      </w:r>
      <w:r>
        <w:rPr>
          <w:spacing w:val="40"/>
        </w:rPr>
        <w:t> </w:t>
      </w:r>
      <w:r>
        <w:rPr/>
        <w:t>afiliados</w:t>
      </w:r>
      <w:r>
        <w:rPr>
          <w:spacing w:val="40"/>
        </w:rPr>
        <w:t> </w:t>
      </w:r>
      <w:r>
        <w:rPr/>
        <w:t>con</w:t>
      </w:r>
      <w:r>
        <w:rPr>
          <w:spacing w:val="40"/>
        </w:rPr>
        <w:t> </w:t>
      </w:r>
      <w:r>
        <w:rPr/>
        <w:t>la cubierta y por media de horas anuales trabajadas:</w:t>
      </w:r>
    </w:p>
    <w:p>
      <w:pPr>
        <w:pStyle w:val="BodyText"/>
        <w:spacing w:before="116"/>
        <w:ind w:left="68"/>
      </w:pPr>
      <w:r>
        <w:rPr/>
        <w:br w:type="column"/>
      </w:r>
      <w:r>
        <w:rPr/>
        <w:t>contingencia</w:t>
      </w:r>
      <w:r>
        <w:rPr>
          <w:spacing w:val="41"/>
        </w:rPr>
        <w:t> </w:t>
      </w:r>
      <w:r>
        <w:rPr>
          <w:spacing w:val="-5"/>
        </w:rPr>
        <w:t>AT</w:t>
      </w:r>
    </w:p>
    <w:p>
      <w:pPr>
        <w:pStyle w:val="BodyText"/>
        <w:spacing w:after="0"/>
        <w:sectPr>
          <w:type w:val="continuous"/>
          <w:pgSz w:w="11910" w:h="16840"/>
          <w:pgMar w:header="384" w:footer="1060" w:top="1700" w:bottom="1040" w:left="360" w:right="360"/>
          <w:cols w:num="2" w:equalWidth="0">
            <w:col w:w="8252" w:space="40"/>
            <w:col w:w="2898"/>
          </w:cols>
        </w:sectPr>
      </w:pPr>
    </w:p>
    <w:p>
      <w:pPr>
        <w:pStyle w:val="BodyText"/>
        <w:spacing w:before="3"/>
        <w:rPr>
          <w:sz w:val="17"/>
        </w:rPr>
      </w:pPr>
    </w:p>
    <w:tbl>
      <w:tblPr>
        <w:tblW w:w="0" w:type="auto"/>
        <w:jc w:val="left"/>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6"/>
        <w:gridCol w:w="1104"/>
        <w:gridCol w:w="919"/>
        <w:gridCol w:w="1317"/>
      </w:tblGrid>
      <w:tr>
        <w:trPr>
          <w:trHeight w:val="397" w:hRule="atLeast"/>
        </w:trPr>
        <w:tc>
          <w:tcPr>
            <w:tcW w:w="4056" w:type="dxa"/>
            <w:shd w:val="clear" w:color="auto" w:fill="D9D9D9"/>
          </w:tcPr>
          <w:p>
            <w:pPr>
              <w:pStyle w:val="TableParagraph"/>
              <w:spacing w:before="21"/>
              <w:ind w:left="8"/>
              <w:jc w:val="center"/>
              <w:rPr>
                <w:b/>
                <w:sz w:val="20"/>
              </w:rPr>
            </w:pPr>
            <w:r>
              <w:rPr>
                <w:b/>
                <w:sz w:val="20"/>
              </w:rPr>
              <w:t>TI</w:t>
            </w:r>
            <w:r>
              <w:rPr>
                <w:b/>
                <w:spacing w:val="78"/>
                <w:sz w:val="20"/>
              </w:rPr>
              <w:t> </w:t>
            </w:r>
            <w:r>
              <w:rPr>
                <w:b/>
                <w:spacing w:val="-10"/>
                <w:sz w:val="20"/>
              </w:rPr>
              <w:t>O</w:t>
            </w:r>
          </w:p>
        </w:tc>
        <w:tc>
          <w:tcPr>
            <w:tcW w:w="1104" w:type="dxa"/>
            <w:shd w:val="clear" w:color="auto" w:fill="D9D9D9"/>
          </w:tcPr>
          <w:p>
            <w:pPr>
              <w:pStyle w:val="TableParagraph"/>
              <w:spacing w:before="21"/>
              <w:ind w:left="10"/>
              <w:jc w:val="center"/>
              <w:rPr>
                <w:b/>
                <w:sz w:val="20"/>
              </w:rPr>
            </w:pPr>
            <w:r>
              <w:rPr>
                <w:b/>
                <w:spacing w:val="-2"/>
                <w:sz w:val="20"/>
              </w:rPr>
              <w:t>HOMBRE</w:t>
            </w:r>
          </w:p>
        </w:tc>
        <w:tc>
          <w:tcPr>
            <w:tcW w:w="919" w:type="dxa"/>
            <w:shd w:val="clear" w:color="auto" w:fill="D9D9D9"/>
          </w:tcPr>
          <w:p>
            <w:pPr>
              <w:pStyle w:val="TableParagraph"/>
              <w:spacing w:before="21"/>
              <w:ind w:left="12" w:right="6"/>
              <w:jc w:val="center"/>
              <w:rPr>
                <w:b/>
                <w:sz w:val="20"/>
              </w:rPr>
            </w:pPr>
            <w:r>
              <w:rPr>
                <w:b/>
                <w:spacing w:val="-2"/>
                <w:sz w:val="20"/>
              </w:rPr>
              <w:t>MUJER</w:t>
            </w:r>
          </w:p>
        </w:tc>
        <w:tc>
          <w:tcPr>
            <w:tcW w:w="1317" w:type="dxa"/>
            <w:shd w:val="clear" w:color="auto" w:fill="D9D9D9"/>
          </w:tcPr>
          <w:p>
            <w:pPr>
              <w:pStyle w:val="TableParagraph"/>
              <w:spacing w:before="21"/>
              <w:ind w:left="6" w:right="2"/>
              <w:jc w:val="center"/>
              <w:rPr>
                <w:b/>
                <w:sz w:val="20"/>
              </w:rPr>
            </w:pPr>
            <w:r>
              <w:rPr>
                <w:b/>
                <w:spacing w:val="-2"/>
                <w:sz w:val="20"/>
              </w:rPr>
              <w:t>TOTAL</w:t>
            </w:r>
          </w:p>
        </w:tc>
      </w:tr>
      <w:tr>
        <w:trPr>
          <w:trHeight w:val="395" w:hRule="atLeast"/>
        </w:trPr>
        <w:tc>
          <w:tcPr>
            <w:tcW w:w="4056" w:type="dxa"/>
          </w:tcPr>
          <w:p>
            <w:pPr>
              <w:pStyle w:val="TableParagraph"/>
              <w:spacing w:before="21"/>
              <w:ind w:left="107"/>
              <w:rPr>
                <w:b/>
                <w:sz w:val="20"/>
              </w:rPr>
            </w:pPr>
            <w:r>
              <w:rPr>
                <w:b/>
                <w:sz w:val="20"/>
              </w:rPr>
              <w:t>IG</w:t>
            </w:r>
            <w:r>
              <w:rPr>
                <w:b/>
                <w:spacing w:val="-4"/>
                <w:sz w:val="20"/>
              </w:rPr>
              <w:t> 2025</w:t>
            </w:r>
          </w:p>
        </w:tc>
        <w:tc>
          <w:tcPr>
            <w:tcW w:w="1104" w:type="dxa"/>
          </w:tcPr>
          <w:p>
            <w:pPr>
              <w:pStyle w:val="TableParagraph"/>
              <w:spacing w:before="21"/>
              <w:ind w:left="10" w:right="3"/>
              <w:jc w:val="center"/>
              <w:rPr>
                <w:b/>
                <w:sz w:val="20"/>
              </w:rPr>
            </w:pPr>
            <w:r>
              <w:rPr>
                <w:b/>
                <w:spacing w:val="-4"/>
                <w:sz w:val="20"/>
              </w:rPr>
              <w:t>1,64</w:t>
            </w:r>
          </w:p>
        </w:tc>
        <w:tc>
          <w:tcPr>
            <w:tcW w:w="919" w:type="dxa"/>
          </w:tcPr>
          <w:p>
            <w:pPr>
              <w:pStyle w:val="TableParagraph"/>
              <w:spacing w:before="21"/>
              <w:ind w:left="12" w:right="7"/>
              <w:jc w:val="center"/>
              <w:rPr>
                <w:b/>
                <w:sz w:val="20"/>
              </w:rPr>
            </w:pPr>
            <w:r>
              <w:rPr>
                <w:b/>
                <w:spacing w:val="-4"/>
                <w:sz w:val="20"/>
              </w:rPr>
              <w:t>0,23</w:t>
            </w:r>
          </w:p>
        </w:tc>
        <w:tc>
          <w:tcPr>
            <w:tcW w:w="1317" w:type="dxa"/>
          </w:tcPr>
          <w:p>
            <w:pPr>
              <w:pStyle w:val="TableParagraph"/>
              <w:spacing w:before="21"/>
              <w:ind w:left="6" w:right="1"/>
              <w:jc w:val="center"/>
              <w:rPr>
                <w:b/>
                <w:sz w:val="20"/>
              </w:rPr>
            </w:pPr>
            <w:r>
              <w:rPr>
                <w:b/>
                <w:spacing w:val="-4"/>
                <w:sz w:val="20"/>
              </w:rPr>
              <w:t>1,86</w:t>
            </w:r>
          </w:p>
        </w:tc>
      </w:tr>
      <w:tr>
        <w:trPr>
          <w:trHeight w:val="398" w:hRule="atLeast"/>
        </w:trPr>
        <w:tc>
          <w:tcPr>
            <w:tcW w:w="4056" w:type="dxa"/>
          </w:tcPr>
          <w:p>
            <w:pPr>
              <w:pStyle w:val="TableParagraph"/>
              <w:spacing w:before="21"/>
              <w:ind w:left="107"/>
              <w:rPr>
                <w:b/>
                <w:sz w:val="20"/>
              </w:rPr>
            </w:pPr>
            <w:r>
              <w:rPr>
                <w:b/>
                <w:sz w:val="20"/>
              </w:rPr>
              <w:t>IG</w:t>
            </w:r>
            <w:r>
              <w:rPr>
                <w:b/>
                <w:spacing w:val="-4"/>
                <w:sz w:val="20"/>
              </w:rPr>
              <w:t> 2024</w:t>
            </w:r>
          </w:p>
        </w:tc>
        <w:tc>
          <w:tcPr>
            <w:tcW w:w="1104" w:type="dxa"/>
          </w:tcPr>
          <w:p>
            <w:pPr>
              <w:pStyle w:val="TableParagraph"/>
              <w:spacing w:before="21"/>
              <w:ind w:left="10" w:right="3"/>
              <w:jc w:val="center"/>
              <w:rPr>
                <w:b/>
                <w:sz w:val="20"/>
              </w:rPr>
            </w:pPr>
            <w:r>
              <w:rPr>
                <w:b/>
                <w:spacing w:val="-4"/>
                <w:sz w:val="20"/>
              </w:rPr>
              <w:t>0,78</w:t>
            </w:r>
          </w:p>
        </w:tc>
        <w:tc>
          <w:tcPr>
            <w:tcW w:w="919" w:type="dxa"/>
          </w:tcPr>
          <w:p>
            <w:pPr>
              <w:pStyle w:val="TableParagraph"/>
              <w:spacing w:before="21"/>
              <w:ind w:left="12" w:right="7"/>
              <w:jc w:val="center"/>
              <w:rPr>
                <w:b/>
                <w:sz w:val="20"/>
              </w:rPr>
            </w:pPr>
            <w:r>
              <w:rPr>
                <w:b/>
                <w:spacing w:val="-4"/>
                <w:sz w:val="20"/>
              </w:rPr>
              <w:t>0,13</w:t>
            </w:r>
          </w:p>
        </w:tc>
        <w:tc>
          <w:tcPr>
            <w:tcW w:w="1317" w:type="dxa"/>
          </w:tcPr>
          <w:p>
            <w:pPr>
              <w:pStyle w:val="TableParagraph"/>
              <w:spacing w:before="21"/>
              <w:ind w:left="6" w:right="1"/>
              <w:jc w:val="center"/>
              <w:rPr>
                <w:b/>
                <w:sz w:val="20"/>
              </w:rPr>
            </w:pPr>
            <w:r>
              <w:rPr>
                <w:b/>
                <w:spacing w:val="-4"/>
                <w:sz w:val="20"/>
              </w:rPr>
              <w:t>0,91</w:t>
            </w:r>
          </w:p>
        </w:tc>
      </w:tr>
    </w:tbl>
    <w:p>
      <w:pPr>
        <w:pStyle w:val="TableParagraph"/>
        <w:spacing w:after="0"/>
        <w:jc w:val="center"/>
        <w:rPr>
          <w:b/>
          <w:sz w:val="20"/>
        </w:rPr>
        <w:sectPr>
          <w:type w:val="continuous"/>
          <w:pgSz w:w="11910" w:h="16840"/>
          <w:pgMar w:header="384" w:footer="1060" w:top="1700" w:bottom="1040" w:left="360" w:right="360"/>
        </w:sectPr>
      </w:pPr>
    </w:p>
    <w:p>
      <w:pPr>
        <w:pStyle w:val="BodyText"/>
        <w:spacing w:before="218"/>
        <w:ind w:left="1341"/>
      </w:pPr>
      <w:r>
        <w:rPr/>
        <w:t>En</w:t>
      </w:r>
      <w:r>
        <w:rPr>
          <w:spacing w:val="-7"/>
        </w:rPr>
        <w:t> </w:t>
      </w:r>
      <w:r>
        <w:rPr/>
        <w:t>términos</w:t>
      </w:r>
      <w:r>
        <w:rPr>
          <w:spacing w:val="-5"/>
        </w:rPr>
        <w:t> </w:t>
      </w:r>
      <w:r>
        <w:rPr/>
        <w:t>generales</w:t>
      </w:r>
      <w:r>
        <w:rPr>
          <w:spacing w:val="-2"/>
        </w:rPr>
        <w:t> </w:t>
      </w:r>
      <w:r>
        <w:rPr/>
        <w:t>los</w:t>
      </w:r>
      <w:r>
        <w:rPr>
          <w:spacing w:val="-1"/>
        </w:rPr>
        <w:t> </w:t>
      </w:r>
      <w:r>
        <w:rPr/>
        <w:t>valores</w:t>
      </w:r>
      <w:r>
        <w:rPr>
          <w:spacing w:val="-4"/>
        </w:rPr>
        <w:t> </w:t>
      </w:r>
      <w:r>
        <w:rPr/>
        <w:t>se</w:t>
      </w:r>
      <w:r>
        <w:rPr>
          <w:spacing w:val="-8"/>
        </w:rPr>
        <w:t> </w:t>
      </w:r>
      <w:r>
        <w:rPr/>
        <w:t>han</w:t>
      </w:r>
      <w:r>
        <w:rPr>
          <w:spacing w:val="-7"/>
        </w:rPr>
        <w:t> </w:t>
      </w:r>
      <w:r>
        <w:rPr/>
        <w:t>mantenido</w:t>
      </w:r>
      <w:r>
        <w:rPr>
          <w:spacing w:val="-5"/>
        </w:rPr>
        <w:t> </w:t>
      </w:r>
      <w:r>
        <w:rPr/>
        <w:t>con</w:t>
      </w:r>
      <w:r>
        <w:rPr>
          <w:spacing w:val="-6"/>
        </w:rPr>
        <w:t> </w:t>
      </w:r>
      <w:r>
        <w:rPr/>
        <w:t>respecto</w:t>
      </w:r>
      <w:r>
        <w:rPr>
          <w:spacing w:val="-3"/>
        </w:rPr>
        <w:t> </w:t>
      </w:r>
      <w:r>
        <w:rPr/>
        <w:t>al</w:t>
      </w:r>
      <w:r>
        <w:rPr>
          <w:spacing w:val="-8"/>
        </w:rPr>
        <w:t> </w:t>
      </w:r>
      <w:r>
        <w:rPr/>
        <w:t>curso</w:t>
      </w:r>
      <w:r>
        <w:rPr>
          <w:spacing w:val="-7"/>
        </w:rPr>
        <w:t> </w:t>
      </w:r>
      <w:r>
        <w:rPr>
          <w:spacing w:val="-2"/>
        </w:rPr>
        <w:t>anterior.</w:t>
      </w:r>
    </w:p>
    <w:p>
      <w:pPr>
        <w:pStyle w:val="BodyText"/>
        <w:spacing w:before="82"/>
      </w:pPr>
    </w:p>
    <w:p>
      <w:pPr>
        <w:pStyle w:val="BodyText"/>
        <w:ind w:left="1341"/>
      </w:pPr>
      <w:r>
        <w:rPr>
          <w:b/>
        </w:rPr>
        <w:t>TIEP</w:t>
      </w:r>
      <w:r>
        <w:rPr>
          <w:b/>
          <w:spacing w:val="-9"/>
        </w:rPr>
        <w:t> </w:t>
      </w:r>
      <w:r>
        <w:rPr/>
        <w:t>(Tasa</w:t>
      </w:r>
      <w:r>
        <w:rPr>
          <w:spacing w:val="-8"/>
        </w:rPr>
        <w:t> </w:t>
      </w:r>
      <w:r>
        <w:rPr/>
        <w:t>incidencia</w:t>
      </w:r>
      <w:r>
        <w:rPr>
          <w:spacing w:val="-5"/>
        </w:rPr>
        <w:t> </w:t>
      </w:r>
      <w:r>
        <w:rPr/>
        <w:t>enfermedades</w:t>
      </w:r>
      <w:r>
        <w:rPr>
          <w:spacing w:val="-5"/>
        </w:rPr>
        <w:t> </w:t>
      </w:r>
      <w:r>
        <w:rPr/>
        <w:t>profesionales):</w:t>
      </w:r>
      <w:r>
        <w:rPr>
          <w:spacing w:val="-8"/>
        </w:rPr>
        <w:t> </w:t>
      </w:r>
      <w:r>
        <w:rPr/>
        <w:t>0</w:t>
      </w:r>
      <w:r>
        <w:rPr>
          <w:spacing w:val="-4"/>
        </w:rPr>
        <w:t> </w:t>
      </w:r>
      <w:r>
        <w:rPr/>
        <w:t>casos</w:t>
      </w:r>
      <w:r>
        <w:rPr>
          <w:spacing w:val="-7"/>
        </w:rPr>
        <w:t> </w:t>
      </w:r>
      <w:r>
        <w:rPr/>
        <w:t>detectados</w:t>
      </w:r>
      <w:r>
        <w:rPr>
          <w:spacing w:val="-5"/>
        </w:rPr>
        <w:t> </w:t>
      </w:r>
      <w:r>
        <w:rPr/>
        <w:t>en</w:t>
      </w:r>
      <w:r>
        <w:rPr>
          <w:spacing w:val="-9"/>
        </w:rPr>
        <w:t> </w:t>
      </w:r>
      <w:r>
        <w:rPr/>
        <w:t>el</w:t>
      </w:r>
      <w:r>
        <w:rPr>
          <w:spacing w:val="-9"/>
        </w:rPr>
        <w:t> </w:t>
      </w:r>
      <w:r>
        <w:rPr>
          <w:spacing w:val="-4"/>
        </w:rPr>
        <w:t>2024</w:t>
      </w:r>
    </w:p>
    <w:p>
      <w:pPr>
        <w:pStyle w:val="BodyText"/>
        <w:spacing w:before="85"/>
      </w:pPr>
    </w:p>
    <w:p>
      <w:pPr>
        <w:pStyle w:val="BodyText"/>
        <w:ind w:left="1341"/>
      </w:pPr>
      <w:r>
        <w:rPr>
          <w:b/>
        </w:rPr>
        <w:t>TDP</w:t>
      </w:r>
      <w:r>
        <w:rPr>
          <w:b/>
          <w:spacing w:val="-8"/>
        </w:rPr>
        <w:t> </w:t>
      </w:r>
      <w:r>
        <w:rPr/>
        <w:t>(Tasa</w:t>
      </w:r>
      <w:r>
        <w:rPr>
          <w:spacing w:val="-8"/>
        </w:rPr>
        <w:t> </w:t>
      </w:r>
      <w:r>
        <w:rPr/>
        <w:t>de</w:t>
      </w:r>
      <w:r>
        <w:rPr>
          <w:spacing w:val="-7"/>
        </w:rPr>
        <w:t> </w:t>
      </w:r>
      <w:r>
        <w:rPr/>
        <w:t>días</w:t>
      </w:r>
      <w:r>
        <w:rPr>
          <w:spacing w:val="-6"/>
        </w:rPr>
        <w:t> </w:t>
      </w:r>
      <w:r>
        <w:rPr/>
        <w:t>perdidos</w:t>
      </w:r>
      <w:r>
        <w:rPr>
          <w:spacing w:val="-4"/>
        </w:rPr>
        <w:t> </w:t>
      </w:r>
      <w:r>
        <w:rPr/>
        <w:t>por</w:t>
      </w:r>
      <w:r>
        <w:rPr>
          <w:spacing w:val="-5"/>
        </w:rPr>
        <w:t> </w:t>
      </w:r>
      <w:r>
        <w:rPr/>
        <w:t>Accidentes</w:t>
      </w:r>
      <w:r>
        <w:rPr>
          <w:spacing w:val="-2"/>
        </w:rPr>
        <w:t> </w:t>
      </w:r>
      <w:r>
        <w:rPr/>
        <w:t>de</w:t>
      </w:r>
      <w:r>
        <w:rPr>
          <w:spacing w:val="-7"/>
        </w:rPr>
        <w:t> </w:t>
      </w:r>
      <w:r>
        <w:rPr/>
        <w:t>Trabajo</w:t>
      </w:r>
      <w:r>
        <w:rPr>
          <w:spacing w:val="-7"/>
        </w:rPr>
        <w:t> </w:t>
      </w:r>
      <w:r>
        <w:rPr/>
        <w:t>en</w:t>
      </w:r>
      <w:r>
        <w:rPr>
          <w:spacing w:val="-7"/>
        </w:rPr>
        <w:t> </w:t>
      </w:r>
      <w:r>
        <w:rPr/>
        <w:t>jornada</w:t>
      </w:r>
      <w:r>
        <w:rPr>
          <w:spacing w:val="-4"/>
        </w:rPr>
        <w:t> </w:t>
      </w:r>
      <w:r>
        <w:rPr>
          <w:spacing w:val="-2"/>
        </w:rPr>
        <w:t>laboral)</w:t>
      </w:r>
    </w:p>
    <w:p>
      <w:pPr>
        <w:pStyle w:val="BodyText"/>
        <w:spacing w:before="87" w:after="1"/>
      </w:pPr>
    </w:p>
    <w:tbl>
      <w:tblPr>
        <w:tblW w:w="0" w:type="auto"/>
        <w:jc w:val="left"/>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2"/>
        <w:gridCol w:w="2165"/>
        <w:gridCol w:w="2160"/>
        <w:gridCol w:w="2086"/>
      </w:tblGrid>
      <w:tr>
        <w:trPr>
          <w:trHeight w:val="345" w:hRule="atLeast"/>
        </w:trPr>
        <w:tc>
          <w:tcPr>
            <w:tcW w:w="2052" w:type="dxa"/>
            <w:shd w:val="clear" w:color="auto" w:fill="D9D9D9"/>
          </w:tcPr>
          <w:p>
            <w:pPr>
              <w:pStyle w:val="TableParagraph"/>
              <w:spacing w:line="225" w:lineRule="exact"/>
              <w:ind w:left="10" w:right="2"/>
              <w:jc w:val="center"/>
              <w:rPr>
                <w:b/>
                <w:sz w:val="20"/>
              </w:rPr>
            </w:pPr>
            <w:r>
              <w:rPr>
                <w:b/>
                <w:spacing w:val="-4"/>
                <w:sz w:val="20"/>
              </w:rPr>
              <w:t>TIPO</w:t>
            </w:r>
          </w:p>
        </w:tc>
        <w:tc>
          <w:tcPr>
            <w:tcW w:w="2165" w:type="dxa"/>
            <w:shd w:val="clear" w:color="auto" w:fill="D9D9D9"/>
          </w:tcPr>
          <w:p>
            <w:pPr>
              <w:pStyle w:val="TableParagraph"/>
              <w:spacing w:line="225" w:lineRule="exact"/>
              <w:ind w:left="5" w:right="1"/>
              <w:jc w:val="center"/>
              <w:rPr>
                <w:b/>
                <w:sz w:val="20"/>
              </w:rPr>
            </w:pPr>
            <w:r>
              <w:rPr>
                <w:b/>
                <w:spacing w:val="-4"/>
                <w:sz w:val="20"/>
              </w:rPr>
              <w:t>2025</w:t>
            </w:r>
          </w:p>
        </w:tc>
        <w:tc>
          <w:tcPr>
            <w:tcW w:w="2160" w:type="dxa"/>
            <w:shd w:val="clear" w:color="auto" w:fill="D9D9D9"/>
          </w:tcPr>
          <w:p>
            <w:pPr>
              <w:pStyle w:val="TableParagraph"/>
              <w:spacing w:line="225" w:lineRule="exact"/>
              <w:ind w:left="4"/>
              <w:jc w:val="center"/>
              <w:rPr>
                <w:b/>
                <w:sz w:val="20"/>
              </w:rPr>
            </w:pPr>
            <w:r>
              <w:rPr>
                <w:b/>
                <w:spacing w:val="-4"/>
                <w:sz w:val="20"/>
              </w:rPr>
              <w:t>2024</w:t>
            </w:r>
          </w:p>
        </w:tc>
        <w:tc>
          <w:tcPr>
            <w:tcW w:w="2086" w:type="dxa"/>
            <w:shd w:val="clear" w:color="auto" w:fill="D9D9D9"/>
          </w:tcPr>
          <w:p>
            <w:pPr>
              <w:pStyle w:val="TableParagraph"/>
              <w:spacing w:line="225" w:lineRule="exact"/>
              <w:ind w:left="6" w:right="2"/>
              <w:jc w:val="center"/>
              <w:rPr>
                <w:b/>
                <w:sz w:val="20"/>
              </w:rPr>
            </w:pPr>
            <w:r>
              <w:rPr>
                <w:b/>
                <w:sz w:val="20"/>
              </w:rPr>
              <w:t>2025</w:t>
            </w:r>
            <w:r>
              <w:rPr>
                <w:b/>
                <w:spacing w:val="-4"/>
                <w:sz w:val="20"/>
              </w:rPr>
              <w:t> </w:t>
            </w:r>
            <w:r>
              <w:rPr>
                <w:b/>
                <w:sz w:val="20"/>
              </w:rPr>
              <w:t>vs</w:t>
            </w:r>
            <w:r>
              <w:rPr>
                <w:b/>
                <w:spacing w:val="-6"/>
                <w:sz w:val="20"/>
              </w:rPr>
              <w:t> </w:t>
            </w:r>
            <w:r>
              <w:rPr>
                <w:b/>
                <w:spacing w:val="-4"/>
                <w:sz w:val="20"/>
              </w:rPr>
              <w:t>2024</w:t>
            </w:r>
          </w:p>
        </w:tc>
      </w:tr>
      <w:tr>
        <w:trPr>
          <w:trHeight w:val="345" w:hRule="atLeast"/>
        </w:trPr>
        <w:tc>
          <w:tcPr>
            <w:tcW w:w="2052" w:type="dxa"/>
          </w:tcPr>
          <w:p>
            <w:pPr>
              <w:pStyle w:val="TableParagraph"/>
              <w:spacing w:line="225" w:lineRule="exact"/>
              <w:ind w:left="10"/>
              <w:jc w:val="center"/>
              <w:rPr>
                <w:b/>
                <w:sz w:val="20"/>
              </w:rPr>
            </w:pPr>
            <w:r>
              <w:rPr>
                <w:b/>
                <w:spacing w:val="-5"/>
                <w:sz w:val="20"/>
              </w:rPr>
              <w:t>TDP</w:t>
            </w:r>
          </w:p>
        </w:tc>
        <w:tc>
          <w:tcPr>
            <w:tcW w:w="2165" w:type="dxa"/>
          </w:tcPr>
          <w:p>
            <w:pPr>
              <w:pStyle w:val="TableParagraph"/>
              <w:spacing w:line="227" w:lineRule="exact"/>
              <w:ind w:left="5"/>
              <w:jc w:val="center"/>
              <w:rPr>
                <w:sz w:val="20"/>
              </w:rPr>
            </w:pPr>
            <w:r>
              <w:rPr>
                <w:spacing w:val="-2"/>
                <w:sz w:val="20"/>
              </w:rPr>
              <w:t>2.149</w:t>
            </w:r>
          </w:p>
        </w:tc>
        <w:tc>
          <w:tcPr>
            <w:tcW w:w="2160" w:type="dxa"/>
          </w:tcPr>
          <w:p>
            <w:pPr>
              <w:pStyle w:val="TableParagraph"/>
              <w:spacing w:line="227" w:lineRule="exact"/>
              <w:ind w:left="4"/>
              <w:jc w:val="center"/>
              <w:rPr>
                <w:sz w:val="20"/>
              </w:rPr>
            </w:pPr>
            <w:r>
              <w:rPr>
                <w:spacing w:val="-2"/>
                <w:sz w:val="20"/>
              </w:rPr>
              <w:t>1.420</w:t>
            </w:r>
          </w:p>
        </w:tc>
        <w:tc>
          <w:tcPr>
            <w:tcW w:w="2086" w:type="dxa"/>
          </w:tcPr>
          <w:p>
            <w:pPr>
              <w:pStyle w:val="TableParagraph"/>
              <w:spacing w:line="227" w:lineRule="exact"/>
              <w:ind w:left="6"/>
              <w:jc w:val="center"/>
              <w:rPr>
                <w:sz w:val="20"/>
              </w:rPr>
            </w:pPr>
            <w:r>
              <w:rPr>
                <w:spacing w:val="-5"/>
                <w:sz w:val="20"/>
              </w:rPr>
              <w:t>729</w:t>
            </w:r>
          </w:p>
        </w:tc>
      </w:tr>
    </w:tbl>
    <w:p>
      <w:pPr>
        <w:pStyle w:val="BodyText"/>
      </w:pPr>
    </w:p>
    <w:p>
      <w:pPr>
        <w:pStyle w:val="BodyText"/>
        <w:spacing w:before="82"/>
      </w:pPr>
    </w:p>
    <w:p>
      <w:pPr>
        <w:pStyle w:val="BodyText"/>
        <w:spacing w:line="362" w:lineRule="auto"/>
        <w:ind w:left="1341" w:right="1308"/>
      </w:pPr>
      <w:r>
        <w:rPr/>
        <w:t>Se</w:t>
      </w:r>
      <w:r>
        <w:rPr>
          <w:spacing w:val="29"/>
        </w:rPr>
        <w:t> </w:t>
      </w:r>
      <w:r>
        <w:rPr/>
        <w:t>constata</w:t>
      </w:r>
      <w:r>
        <w:rPr>
          <w:spacing w:val="30"/>
        </w:rPr>
        <w:t> </w:t>
      </w:r>
      <w:r>
        <w:rPr/>
        <w:t>un</w:t>
      </w:r>
      <w:r>
        <w:rPr>
          <w:spacing w:val="30"/>
        </w:rPr>
        <w:t> </w:t>
      </w:r>
      <w:r>
        <w:rPr/>
        <w:t>incremento</w:t>
      </w:r>
      <w:r>
        <w:rPr>
          <w:spacing w:val="31"/>
        </w:rPr>
        <w:t> </w:t>
      </w:r>
      <w:r>
        <w:rPr/>
        <w:t>de</w:t>
      </w:r>
      <w:r>
        <w:rPr>
          <w:spacing w:val="30"/>
        </w:rPr>
        <w:t> </w:t>
      </w:r>
      <w:r>
        <w:rPr/>
        <w:t>729</w:t>
      </w:r>
      <w:r>
        <w:rPr>
          <w:spacing w:val="30"/>
        </w:rPr>
        <w:t> </w:t>
      </w:r>
      <w:r>
        <w:rPr/>
        <w:t>días</w:t>
      </w:r>
      <w:r>
        <w:rPr>
          <w:spacing w:val="30"/>
        </w:rPr>
        <w:t> </w:t>
      </w:r>
      <w:r>
        <w:rPr/>
        <w:t>respecto</w:t>
      </w:r>
      <w:r>
        <w:rPr>
          <w:spacing w:val="32"/>
        </w:rPr>
        <w:t> </w:t>
      </w:r>
      <w:r>
        <w:rPr/>
        <w:t>al</w:t>
      </w:r>
      <w:r>
        <w:rPr>
          <w:spacing w:val="32"/>
        </w:rPr>
        <w:t> </w:t>
      </w:r>
      <w:r>
        <w:rPr/>
        <w:t>2024,</w:t>
      </w:r>
      <w:r>
        <w:rPr>
          <w:spacing w:val="28"/>
        </w:rPr>
        <w:t> </w:t>
      </w:r>
      <w:r>
        <w:rPr/>
        <w:t>viéndose</w:t>
      </w:r>
      <w:r>
        <w:rPr>
          <w:spacing w:val="31"/>
        </w:rPr>
        <w:t> </w:t>
      </w:r>
      <w:r>
        <w:rPr/>
        <w:t>el</w:t>
      </w:r>
      <w:r>
        <w:rPr>
          <w:spacing w:val="32"/>
        </w:rPr>
        <w:t> </w:t>
      </w:r>
      <w:r>
        <w:rPr/>
        <w:t>valor</w:t>
      </w:r>
      <w:r>
        <w:rPr>
          <w:spacing w:val="29"/>
        </w:rPr>
        <w:t> </w:t>
      </w:r>
      <w:r>
        <w:rPr/>
        <w:t>afectado</w:t>
      </w:r>
      <w:r>
        <w:rPr>
          <w:spacing w:val="30"/>
        </w:rPr>
        <w:t> </w:t>
      </w:r>
      <w:r>
        <w:rPr/>
        <w:t>por</w:t>
      </w:r>
      <w:r>
        <w:rPr>
          <w:spacing w:val="31"/>
        </w:rPr>
        <w:t> </w:t>
      </w:r>
      <w:r>
        <w:rPr/>
        <w:t>el incremento de plantilla a lo largo del año 2025.</w:t>
      </w:r>
    </w:p>
    <w:p>
      <w:pPr>
        <w:pStyle w:val="BodyText"/>
        <w:spacing w:line="364" w:lineRule="auto" w:before="193"/>
        <w:ind w:left="1341" w:right="1308"/>
      </w:pPr>
      <w:r>
        <w:rPr/>
        <mc:AlternateContent>
          <mc:Choice Requires="wps">
            <w:drawing>
              <wp:anchor distT="0" distB="0" distL="0" distR="0" allowOverlap="1" layoutInCell="1" locked="0" behindDoc="1" simplePos="0" relativeHeight="476787712">
                <wp:simplePos x="0" y="0"/>
                <wp:positionH relativeFrom="page">
                  <wp:posOffset>2684839</wp:posOffset>
                </wp:positionH>
                <wp:positionV relativeFrom="paragraph">
                  <wp:posOffset>734031</wp:posOffset>
                </wp:positionV>
                <wp:extent cx="84455" cy="14160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84455" cy="141605"/>
                        </a:xfrm>
                        <a:prstGeom prst="rect">
                          <a:avLst/>
                        </a:prstGeom>
                      </wps:spPr>
                      <wps:txbx>
                        <w:txbxContent>
                          <w:p>
                            <w:pPr>
                              <w:spacing w:line="223" w:lineRule="exact" w:before="0"/>
                              <w:ind w:left="0" w:right="0" w:firstLine="0"/>
                              <w:jc w:val="left"/>
                              <w:rPr>
                                <w:b/>
                                <w:sz w:val="20"/>
                              </w:rPr>
                            </w:pPr>
                            <w:r>
                              <w:rPr>
                                <w:b/>
                                <w:spacing w:val="-12"/>
                                <w:sz w:val="20"/>
                              </w:rPr>
                              <w:t>P</w:t>
                            </w:r>
                          </w:p>
                        </w:txbxContent>
                      </wps:txbx>
                      <wps:bodyPr wrap="square" lIns="0" tIns="0" rIns="0" bIns="0" rtlCol="0">
                        <a:noAutofit/>
                      </wps:bodyPr>
                    </wps:wsp>
                  </a:graphicData>
                </a:graphic>
              </wp:anchor>
            </w:drawing>
          </mc:Choice>
          <mc:Fallback>
            <w:pict>
              <v:shape style="position:absolute;margin-left:211.404709pt;margin-top:57.797756pt;width:6.65pt;height:11.15pt;mso-position-horizontal-relative:page;mso-position-vertical-relative:paragraph;z-index:-26528768" type="#_x0000_t202" id="docshape245" filled="false" stroked="false">
                <v:textbox inset="0,0,0,0">
                  <w:txbxContent>
                    <w:p>
                      <w:pPr>
                        <w:spacing w:line="223" w:lineRule="exact" w:before="0"/>
                        <w:ind w:left="0" w:right="0" w:firstLine="0"/>
                        <w:jc w:val="left"/>
                        <w:rPr>
                          <w:b/>
                          <w:sz w:val="20"/>
                        </w:rPr>
                      </w:pPr>
                      <w:r>
                        <w:rPr>
                          <w:b/>
                          <w:spacing w:val="-12"/>
                          <w:sz w:val="20"/>
                        </w:rPr>
                        <w:t>P</w:t>
                      </w:r>
                    </w:p>
                  </w:txbxContent>
                </v:textbox>
                <w10:wrap type="none"/>
              </v:shape>
            </w:pict>
          </mc:Fallback>
        </mc:AlternateContent>
      </w:r>
      <w:r>
        <w:rPr>
          <w:b/>
        </w:rPr>
        <w:t>ÍNDICE</w:t>
      </w:r>
      <w:r>
        <w:rPr>
          <w:b/>
          <w:spacing w:val="40"/>
        </w:rPr>
        <w:t> </w:t>
      </w:r>
      <w:r>
        <w:rPr>
          <w:b/>
        </w:rPr>
        <w:t>DE</w:t>
      </w:r>
      <w:r>
        <w:rPr>
          <w:b/>
          <w:spacing w:val="39"/>
        </w:rPr>
        <w:t> </w:t>
      </w:r>
      <w:r>
        <w:rPr>
          <w:b/>
        </w:rPr>
        <w:t>INCIDENCIA</w:t>
      </w:r>
      <w:r>
        <w:rPr>
          <w:b/>
          <w:spacing w:val="35"/>
        </w:rPr>
        <w:t> </w:t>
      </w:r>
      <w:r>
        <w:rPr/>
        <w:t>(nº</w:t>
      </w:r>
      <w:r>
        <w:rPr>
          <w:spacing w:val="36"/>
        </w:rPr>
        <w:t> </w:t>
      </w:r>
      <w:r>
        <w:rPr/>
        <w:t>accidentes</w:t>
      </w:r>
      <w:r>
        <w:rPr>
          <w:spacing w:val="40"/>
        </w:rPr>
        <w:t> </w:t>
      </w:r>
      <w:r>
        <w:rPr/>
        <w:t>en</w:t>
      </w:r>
      <w:r>
        <w:rPr>
          <w:spacing w:val="38"/>
        </w:rPr>
        <w:t> </w:t>
      </w:r>
      <w:r>
        <w:rPr/>
        <w:t>jornada</w:t>
      </w:r>
      <w:r>
        <w:rPr>
          <w:spacing w:val="40"/>
        </w:rPr>
        <w:t> </w:t>
      </w:r>
      <w:r>
        <w:rPr/>
        <w:t>de</w:t>
      </w:r>
      <w:r>
        <w:rPr>
          <w:spacing w:val="38"/>
        </w:rPr>
        <w:t> </w:t>
      </w:r>
      <w:r>
        <w:rPr/>
        <w:t>trabajo</w:t>
      </w:r>
      <w:r>
        <w:rPr>
          <w:spacing w:val="36"/>
        </w:rPr>
        <w:t> </w:t>
      </w:r>
      <w:r>
        <w:rPr/>
        <w:t>con</w:t>
      </w:r>
      <w:r>
        <w:rPr>
          <w:spacing w:val="40"/>
        </w:rPr>
        <w:t> </w:t>
      </w:r>
      <w:r>
        <w:rPr/>
        <w:t>baja,</w:t>
      </w:r>
      <w:r>
        <w:rPr>
          <w:spacing w:val="40"/>
        </w:rPr>
        <w:t> </w:t>
      </w:r>
      <w:r>
        <w:rPr/>
        <w:t>por</w:t>
      </w:r>
      <w:r>
        <w:rPr>
          <w:spacing w:val="40"/>
        </w:rPr>
        <w:t> </w:t>
      </w:r>
      <w:r>
        <w:rPr/>
        <w:t>cada</w:t>
      </w:r>
      <w:r>
        <w:rPr>
          <w:spacing w:val="37"/>
        </w:rPr>
        <w:t> </w:t>
      </w:r>
      <w:r>
        <w:rPr/>
        <w:t>cien</w:t>
      </w:r>
      <w:r>
        <w:rPr>
          <w:spacing w:val="37"/>
        </w:rPr>
        <w:t> </w:t>
      </w:r>
      <w:r>
        <w:rPr/>
        <w:t>mil trabajadores afiliados con la contingencia AT cubierta):</w:t>
      </w:r>
    </w:p>
    <w:p>
      <w:pPr>
        <w:pStyle w:val="BodyText"/>
        <w:spacing w:before="1"/>
        <w:rPr>
          <w:sz w:val="17"/>
        </w:rPr>
      </w:pPr>
    </w:p>
    <w:tbl>
      <w:tblPr>
        <w:tblW w:w="0" w:type="auto"/>
        <w:jc w:val="left"/>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6"/>
        <w:gridCol w:w="1104"/>
        <w:gridCol w:w="919"/>
        <w:gridCol w:w="1317"/>
      </w:tblGrid>
      <w:tr>
        <w:trPr>
          <w:trHeight w:val="453" w:hRule="atLeast"/>
        </w:trPr>
        <w:tc>
          <w:tcPr>
            <w:tcW w:w="4056" w:type="dxa"/>
            <w:shd w:val="clear" w:color="auto" w:fill="D9D9D9"/>
          </w:tcPr>
          <w:p>
            <w:pPr>
              <w:pStyle w:val="TableParagraph"/>
              <w:spacing w:before="50"/>
              <w:ind w:left="8"/>
              <w:jc w:val="center"/>
              <w:rPr>
                <w:b/>
                <w:sz w:val="20"/>
              </w:rPr>
            </w:pPr>
            <w:r>
              <w:rPr>
                <w:b/>
                <w:sz w:val="20"/>
              </w:rPr>
              <w:t>TI</w:t>
            </w:r>
            <w:r>
              <w:rPr>
                <w:b/>
                <w:spacing w:val="78"/>
                <w:sz w:val="20"/>
              </w:rPr>
              <w:t> </w:t>
            </w:r>
            <w:r>
              <w:rPr>
                <w:b/>
                <w:spacing w:val="-10"/>
                <w:sz w:val="20"/>
              </w:rPr>
              <w:t>O</w:t>
            </w:r>
          </w:p>
        </w:tc>
        <w:tc>
          <w:tcPr>
            <w:tcW w:w="1104" w:type="dxa"/>
            <w:shd w:val="clear" w:color="auto" w:fill="D9D9D9"/>
          </w:tcPr>
          <w:p>
            <w:pPr>
              <w:pStyle w:val="TableParagraph"/>
              <w:spacing w:before="50"/>
              <w:ind w:left="10"/>
              <w:jc w:val="center"/>
              <w:rPr>
                <w:b/>
                <w:sz w:val="20"/>
              </w:rPr>
            </w:pPr>
            <w:r>
              <w:rPr>
                <w:b/>
                <w:spacing w:val="-2"/>
                <w:sz w:val="20"/>
              </w:rPr>
              <w:t>HOMBRE</w:t>
            </w:r>
          </w:p>
        </w:tc>
        <w:tc>
          <w:tcPr>
            <w:tcW w:w="919" w:type="dxa"/>
            <w:shd w:val="clear" w:color="auto" w:fill="D9D9D9"/>
          </w:tcPr>
          <w:p>
            <w:pPr>
              <w:pStyle w:val="TableParagraph"/>
              <w:spacing w:before="50"/>
              <w:ind w:left="12" w:right="6"/>
              <w:jc w:val="center"/>
              <w:rPr>
                <w:b/>
                <w:sz w:val="20"/>
              </w:rPr>
            </w:pPr>
            <w:r>
              <w:rPr>
                <w:b/>
                <w:spacing w:val="-2"/>
                <w:sz w:val="20"/>
              </w:rPr>
              <w:t>MUJER</w:t>
            </w:r>
          </w:p>
        </w:tc>
        <w:tc>
          <w:tcPr>
            <w:tcW w:w="1317" w:type="dxa"/>
            <w:shd w:val="clear" w:color="auto" w:fill="D9D9D9"/>
          </w:tcPr>
          <w:p>
            <w:pPr>
              <w:pStyle w:val="TableParagraph"/>
              <w:spacing w:before="50"/>
              <w:ind w:left="6" w:right="2"/>
              <w:jc w:val="center"/>
              <w:rPr>
                <w:b/>
                <w:sz w:val="20"/>
              </w:rPr>
            </w:pPr>
            <w:r>
              <w:rPr>
                <w:b/>
                <w:spacing w:val="-2"/>
                <w:sz w:val="20"/>
              </w:rPr>
              <w:t>TOTAL</w:t>
            </w:r>
          </w:p>
        </w:tc>
      </w:tr>
      <w:tr>
        <w:trPr>
          <w:trHeight w:val="453" w:hRule="atLeast"/>
        </w:trPr>
        <w:tc>
          <w:tcPr>
            <w:tcW w:w="4056" w:type="dxa"/>
          </w:tcPr>
          <w:p>
            <w:pPr>
              <w:pStyle w:val="TableParagraph"/>
              <w:spacing w:before="50"/>
              <w:ind w:left="107"/>
              <w:rPr>
                <w:b/>
                <w:sz w:val="20"/>
              </w:rPr>
            </w:pPr>
            <w:r>
              <w:rPr>
                <w:b/>
                <w:sz w:val="20"/>
              </w:rPr>
              <w:t>II</w:t>
            </w:r>
            <w:r>
              <w:rPr>
                <w:b/>
                <w:spacing w:val="-3"/>
                <w:sz w:val="20"/>
              </w:rPr>
              <w:t> </w:t>
            </w:r>
            <w:r>
              <w:rPr>
                <w:b/>
                <w:spacing w:val="-4"/>
                <w:sz w:val="20"/>
              </w:rPr>
              <w:t>2025</w:t>
            </w:r>
          </w:p>
        </w:tc>
        <w:tc>
          <w:tcPr>
            <w:tcW w:w="1104" w:type="dxa"/>
          </w:tcPr>
          <w:p>
            <w:pPr>
              <w:pStyle w:val="TableParagraph"/>
              <w:spacing w:before="50"/>
              <w:ind w:left="10" w:right="3"/>
              <w:jc w:val="center"/>
              <w:rPr>
                <w:b/>
                <w:sz w:val="20"/>
              </w:rPr>
            </w:pPr>
            <w:r>
              <w:rPr>
                <w:b/>
                <w:spacing w:val="-2"/>
                <w:sz w:val="20"/>
              </w:rPr>
              <w:t>5.416,29</w:t>
            </w:r>
          </w:p>
        </w:tc>
        <w:tc>
          <w:tcPr>
            <w:tcW w:w="919" w:type="dxa"/>
          </w:tcPr>
          <w:p>
            <w:pPr>
              <w:pStyle w:val="TableParagraph"/>
              <w:spacing w:before="50"/>
              <w:ind w:left="12" w:right="11"/>
              <w:jc w:val="center"/>
              <w:rPr>
                <w:b/>
                <w:sz w:val="20"/>
              </w:rPr>
            </w:pPr>
            <w:r>
              <w:rPr>
                <w:b/>
                <w:spacing w:val="-2"/>
                <w:sz w:val="20"/>
              </w:rPr>
              <w:t>503,84</w:t>
            </w:r>
          </w:p>
        </w:tc>
        <w:tc>
          <w:tcPr>
            <w:tcW w:w="1317" w:type="dxa"/>
          </w:tcPr>
          <w:p>
            <w:pPr>
              <w:pStyle w:val="TableParagraph"/>
              <w:spacing w:before="50"/>
              <w:ind w:left="6"/>
              <w:jc w:val="center"/>
              <w:rPr>
                <w:b/>
                <w:sz w:val="20"/>
              </w:rPr>
            </w:pPr>
            <w:r>
              <w:rPr>
                <w:b/>
                <w:spacing w:val="-2"/>
                <w:sz w:val="20"/>
              </w:rPr>
              <w:t>5.920,14</w:t>
            </w:r>
          </w:p>
        </w:tc>
      </w:tr>
      <w:tr>
        <w:trPr>
          <w:trHeight w:val="455" w:hRule="atLeast"/>
        </w:trPr>
        <w:tc>
          <w:tcPr>
            <w:tcW w:w="4056" w:type="dxa"/>
          </w:tcPr>
          <w:p>
            <w:pPr>
              <w:pStyle w:val="TableParagraph"/>
              <w:spacing w:before="50"/>
              <w:ind w:left="107"/>
              <w:rPr>
                <w:b/>
                <w:sz w:val="20"/>
              </w:rPr>
            </w:pPr>
            <w:r>
              <w:rPr>
                <w:b/>
                <w:sz w:val="20"/>
              </w:rPr>
              <w:t>II</w:t>
            </w:r>
            <w:r>
              <w:rPr>
                <w:b/>
                <w:spacing w:val="-3"/>
                <w:sz w:val="20"/>
              </w:rPr>
              <w:t> </w:t>
            </w:r>
            <w:r>
              <w:rPr>
                <w:b/>
                <w:spacing w:val="-4"/>
                <w:sz w:val="20"/>
              </w:rPr>
              <w:t>2024</w:t>
            </w:r>
          </w:p>
        </w:tc>
        <w:tc>
          <w:tcPr>
            <w:tcW w:w="1104" w:type="dxa"/>
          </w:tcPr>
          <w:p>
            <w:pPr>
              <w:pStyle w:val="TableParagraph"/>
              <w:spacing w:before="50"/>
              <w:ind w:left="10" w:right="3"/>
              <w:jc w:val="center"/>
              <w:rPr>
                <w:b/>
                <w:sz w:val="20"/>
              </w:rPr>
            </w:pPr>
            <w:r>
              <w:rPr>
                <w:b/>
                <w:spacing w:val="-2"/>
                <w:sz w:val="20"/>
              </w:rPr>
              <w:t>4.338,21</w:t>
            </w:r>
          </w:p>
        </w:tc>
        <w:tc>
          <w:tcPr>
            <w:tcW w:w="919" w:type="dxa"/>
          </w:tcPr>
          <w:p>
            <w:pPr>
              <w:pStyle w:val="TableParagraph"/>
              <w:spacing w:before="50"/>
              <w:ind w:left="12" w:right="11"/>
              <w:jc w:val="center"/>
              <w:rPr>
                <w:b/>
                <w:sz w:val="20"/>
              </w:rPr>
            </w:pPr>
            <w:r>
              <w:rPr>
                <w:b/>
                <w:spacing w:val="-2"/>
                <w:sz w:val="20"/>
              </w:rPr>
              <w:t>406,70</w:t>
            </w:r>
          </w:p>
        </w:tc>
        <w:tc>
          <w:tcPr>
            <w:tcW w:w="1317" w:type="dxa"/>
          </w:tcPr>
          <w:p>
            <w:pPr>
              <w:pStyle w:val="TableParagraph"/>
              <w:spacing w:before="50"/>
              <w:ind w:left="6"/>
              <w:jc w:val="center"/>
              <w:rPr>
                <w:b/>
                <w:sz w:val="20"/>
              </w:rPr>
            </w:pPr>
            <w:r>
              <w:rPr>
                <w:b/>
                <w:spacing w:val="-2"/>
                <w:sz w:val="20"/>
              </w:rPr>
              <w:t>4.744,92</w:t>
            </w:r>
          </w:p>
        </w:tc>
      </w:tr>
    </w:tbl>
    <w:p>
      <w:pPr>
        <w:pStyle w:val="BodyText"/>
        <w:spacing w:before="219"/>
      </w:pPr>
    </w:p>
    <w:p>
      <w:pPr>
        <w:pStyle w:val="BodyText"/>
        <w:spacing w:after="0"/>
        <w:sectPr>
          <w:pgSz w:w="11910" w:h="16840"/>
          <w:pgMar w:header="384" w:footer="1060" w:top="1200" w:bottom="1260" w:left="360" w:right="360"/>
        </w:sectPr>
      </w:pPr>
    </w:p>
    <w:p>
      <w:pPr>
        <w:pStyle w:val="BodyText"/>
        <w:spacing w:line="362" w:lineRule="auto" w:before="93"/>
        <w:ind w:left="1341"/>
      </w:pPr>
      <w:r>
        <w:rPr/>
        <w:t>El</w:t>
      </w:r>
      <w:r>
        <w:rPr>
          <w:spacing w:val="40"/>
        </w:rPr>
        <w:t> </w:t>
      </w:r>
      <w:r>
        <w:rPr/>
        <w:t>valor</w:t>
      </w:r>
      <w:r>
        <w:rPr>
          <w:spacing w:val="40"/>
        </w:rPr>
        <w:t> </w:t>
      </w:r>
      <w:r>
        <w:rPr/>
        <w:t>total</w:t>
      </w:r>
      <w:r>
        <w:rPr>
          <w:spacing w:val="40"/>
        </w:rPr>
        <w:t> </w:t>
      </w:r>
      <w:r>
        <w:rPr/>
        <w:t>se</w:t>
      </w:r>
      <w:r>
        <w:rPr>
          <w:spacing w:val="40"/>
        </w:rPr>
        <w:t> </w:t>
      </w:r>
      <w:r>
        <w:rPr/>
        <w:t>ha</w:t>
      </w:r>
      <w:r>
        <w:rPr>
          <w:spacing w:val="40"/>
        </w:rPr>
        <w:t> </w:t>
      </w:r>
      <w:r>
        <w:rPr/>
        <w:t>visto</w:t>
      </w:r>
      <w:r>
        <w:rPr>
          <w:spacing w:val="40"/>
        </w:rPr>
        <w:t> </w:t>
      </w:r>
      <w:r>
        <w:rPr/>
        <w:t>incrementado</w:t>
      </w:r>
      <w:r>
        <w:rPr>
          <w:spacing w:val="40"/>
        </w:rPr>
        <w:t> </w:t>
      </w:r>
      <w:r>
        <w:rPr/>
        <w:t>de</w:t>
      </w:r>
      <w:r>
        <w:rPr>
          <w:spacing w:val="40"/>
        </w:rPr>
        <w:t> </w:t>
      </w:r>
      <w:r>
        <w:rPr/>
        <w:t>forma</w:t>
      </w:r>
      <w:r>
        <w:rPr>
          <w:spacing w:val="40"/>
        </w:rPr>
        <w:t> </w:t>
      </w:r>
      <w:r>
        <w:rPr/>
        <w:t>significativa</w:t>
      </w:r>
      <w:r>
        <w:rPr>
          <w:spacing w:val="40"/>
        </w:rPr>
        <w:t> </w:t>
      </w:r>
      <w:r>
        <w:rPr/>
        <w:t>conforme principalmente en el apartado vinculado a los hombres.</w:t>
      </w:r>
    </w:p>
    <w:p>
      <w:pPr>
        <w:pStyle w:val="BodyText"/>
        <w:spacing w:before="93"/>
        <w:ind w:left="74"/>
      </w:pPr>
      <w:r>
        <w:rPr/>
        <w:br w:type="column"/>
      </w:r>
      <w:r>
        <w:rPr/>
        <w:t>valores</w:t>
      </w:r>
      <w:r>
        <w:rPr>
          <w:spacing w:val="53"/>
        </w:rPr>
        <w:t> </w:t>
      </w:r>
      <w:r>
        <w:rPr/>
        <w:t>de</w:t>
      </w:r>
      <w:r>
        <w:rPr>
          <w:spacing w:val="51"/>
        </w:rPr>
        <w:t> </w:t>
      </w:r>
      <w:r>
        <w:rPr>
          <w:spacing w:val="-2"/>
        </w:rPr>
        <w:t>tabla,</w:t>
      </w:r>
    </w:p>
    <w:p>
      <w:pPr>
        <w:pStyle w:val="BodyText"/>
        <w:spacing w:after="0"/>
        <w:sectPr>
          <w:type w:val="continuous"/>
          <w:pgSz w:w="11910" w:h="16840"/>
          <w:pgMar w:header="384" w:footer="1060" w:top="1700" w:bottom="1040" w:left="360" w:right="360"/>
          <w:cols w:num="2" w:equalWidth="0">
            <w:col w:w="8148" w:space="40"/>
            <w:col w:w="3002"/>
          </w:cols>
        </w:sectPr>
      </w:pPr>
    </w:p>
    <w:p>
      <w:pPr>
        <w:pStyle w:val="BodyText"/>
        <w:spacing w:before="199"/>
        <w:ind w:left="1341"/>
      </w:pPr>
      <w:r>
        <w:rPr/>
        <w:t>Muertes</w:t>
      </w:r>
      <w:r>
        <w:rPr>
          <w:spacing w:val="-2"/>
        </w:rPr>
        <w:t> </w:t>
      </w:r>
      <w:r>
        <w:rPr/>
        <w:t>por</w:t>
      </w:r>
      <w:r>
        <w:rPr>
          <w:spacing w:val="-5"/>
        </w:rPr>
        <w:t> </w:t>
      </w:r>
      <w:r>
        <w:rPr/>
        <w:t>accidente</w:t>
      </w:r>
      <w:r>
        <w:rPr>
          <w:spacing w:val="-7"/>
        </w:rPr>
        <w:t> </w:t>
      </w:r>
      <w:r>
        <w:rPr/>
        <w:t>laboral:</w:t>
      </w:r>
      <w:r>
        <w:rPr>
          <w:spacing w:val="-7"/>
        </w:rPr>
        <w:t> </w:t>
      </w:r>
      <w:r>
        <w:rPr/>
        <w:t>0</w:t>
      </w:r>
      <w:r>
        <w:rPr>
          <w:spacing w:val="-7"/>
        </w:rPr>
        <w:t> </w:t>
      </w:r>
      <w:r>
        <w:rPr/>
        <w:t>(2024</w:t>
      </w:r>
      <w:r>
        <w:rPr>
          <w:spacing w:val="-8"/>
        </w:rPr>
        <w:t> </w:t>
      </w:r>
      <w:r>
        <w:rPr/>
        <w:t>=</w:t>
      </w:r>
      <w:r>
        <w:rPr>
          <w:spacing w:val="-5"/>
        </w:rPr>
        <w:t> 0).</w:t>
      </w:r>
    </w:p>
    <w:p>
      <w:pPr>
        <w:pStyle w:val="BodyText"/>
        <w:spacing w:before="82"/>
      </w:pPr>
    </w:p>
    <w:p>
      <w:pPr>
        <w:pStyle w:val="BodyText"/>
        <w:spacing w:line="362" w:lineRule="auto"/>
        <w:ind w:left="1341" w:right="1338"/>
        <w:jc w:val="both"/>
      </w:pPr>
      <w:r>
        <w:rPr/>
        <w:t>No hay trabajadores con alta incidencia o alto riesgo de enfermedades relacionadas con su </w:t>
      </w:r>
      <w:r>
        <w:rPr>
          <w:spacing w:val="-2"/>
        </w:rPr>
        <w:t>actividad.</w:t>
      </w:r>
    </w:p>
    <w:p>
      <w:pPr>
        <w:pStyle w:val="BodyText"/>
        <w:spacing w:line="360" w:lineRule="auto" w:before="196"/>
        <w:ind w:left="1341" w:right="1336"/>
        <w:jc w:val="both"/>
      </w:pPr>
      <w:r>
        <w:rPr/>
        <mc:AlternateContent>
          <mc:Choice Requires="wps">
            <w:drawing>
              <wp:anchor distT="0" distB="0" distL="0" distR="0" allowOverlap="1" layoutInCell="1" locked="0" behindDoc="0" simplePos="0" relativeHeight="15819776">
                <wp:simplePos x="0" y="0"/>
                <wp:positionH relativeFrom="page">
                  <wp:posOffset>6966436</wp:posOffset>
                </wp:positionH>
                <wp:positionV relativeFrom="paragraph">
                  <wp:posOffset>94509</wp:posOffset>
                </wp:positionV>
                <wp:extent cx="263525" cy="327596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7.441689pt;width:20.75pt;height:257.95pt;mso-position-horizontal-relative:page;mso-position-vertical-relative:paragraph;z-index:15819776" type="#_x0000_t202" id="docshape24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49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No</w:t>
      </w:r>
      <w:r>
        <w:rPr>
          <w:spacing w:val="-2"/>
        </w:rPr>
        <w:t> </w:t>
      </w:r>
      <w:r>
        <w:rPr/>
        <w:t>se</w:t>
      </w:r>
      <w:r>
        <w:rPr>
          <w:spacing w:val="-2"/>
        </w:rPr>
        <w:t> </w:t>
      </w:r>
      <w:r>
        <w:rPr/>
        <w:t>mantienen</w:t>
      </w:r>
      <w:r>
        <w:rPr>
          <w:spacing w:val="-2"/>
        </w:rPr>
        <w:t> </w:t>
      </w:r>
      <w:r>
        <w:rPr/>
        <w:t>acuerdos específicos con</w:t>
      </w:r>
      <w:r>
        <w:rPr>
          <w:spacing w:val="-2"/>
        </w:rPr>
        <w:t> </w:t>
      </w:r>
      <w:r>
        <w:rPr/>
        <w:t>sindicatos en</w:t>
      </w:r>
      <w:r>
        <w:rPr>
          <w:spacing w:val="-1"/>
        </w:rPr>
        <w:t> </w:t>
      </w:r>
      <w:r>
        <w:rPr/>
        <w:t>materia</w:t>
      </w:r>
      <w:r>
        <w:rPr>
          <w:spacing w:val="-1"/>
        </w:rPr>
        <w:t> </w:t>
      </w:r>
      <w:r>
        <w:rPr/>
        <w:t>de</w:t>
      </w:r>
      <w:r>
        <w:rPr>
          <w:spacing w:val="-2"/>
        </w:rPr>
        <w:t> </w:t>
      </w:r>
      <w:r>
        <w:rPr/>
        <w:t>seguridad</w:t>
      </w:r>
      <w:r>
        <w:rPr>
          <w:spacing w:val="-1"/>
        </w:rPr>
        <w:t> </w:t>
      </w:r>
      <w:r>
        <w:rPr/>
        <w:t>y salud</w:t>
      </w:r>
      <w:r>
        <w:rPr>
          <w:spacing w:val="-2"/>
        </w:rPr>
        <w:t> </w:t>
      </w:r>
      <w:r>
        <w:rPr/>
        <w:t>más allá de los incluidos en el convenio colectivo y los determinados en las reuniones de Comité de Seguridad y Salud.</w:t>
      </w:r>
    </w:p>
    <w:p>
      <w:pPr>
        <w:pStyle w:val="Heading3"/>
        <w:spacing w:line="360" w:lineRule="auto" w:before="196"/>
        <w:ind w:left="1341" w:right="1337"/>
        <w:jc w:val="both"/>
      </w:pPr>
      <w:r>
        <w:rPr/>
        <w:t>Por último, en marzo de 2025 Guaguas Municipales, S.A. superó una nueva auditoría legal de su sistema de gestión de la prevención de riesgos laborales (obligada cada 4 años), realizada por la empresa Laborprex Auditores, S.L.,</w:t>
      </w:r>
      <w:r>
        <w:rPr>
          <w:spacing w:val="40"/>
        </w:rPr>
        <w:t> </w:t>
      </w:r>
      <w:r>
        <w:rPr/>
        <w:t>obteniendo la calificación de la EXCELENCIA PREVENTIVA, confirmando las buenas prácticas llevadas a cabo por la empresa al objeto de conseguir un espacio seguro y saludable.</w:t>
      </w:r>
    </w:p>
    <w:p>
      <w:pPr>
        <w:pStyle w:val="BodyText"/>
        <w:spacing w:line="360" w:lineRule="auto" w:before="203"/>
        <w:ind w:left="1341" w:right="1335"/>
        <w:jc w:val="both"/>
      </w:pPr>
      <w:r>
        <w:rPr/>
        <w:t>Es preciso aclarar que el Sistema Integrado de Gestión (calidad, medioambiente, seguridad y salud en el trabajo), pasa también una auditoría interna todos los años. De igual manera, en junio</w:t>
      </w:r>
      <w:r>
        <w:rPr>
          <w:spacing w:val="-2"/>
        </w:rPr>
        <w:t> </w:t>
      </w:r>
      <w:r>
        <w:rPr/>
        <w:t>de</w:t>
      </w:r>
      <w:r>
        <w:rPr>
          <w:spacing w:val="-2"/>
        </w:rPr>
        <w:t> </w:t>
      </w:r>
      <w:r>
        <w:rPr/>
        <w:t>2025 se llevó</w:t>
      </w:r>
      <w:r>
        <w:rPr>
          <w:spacing w:val="-2"/>
        </w:rPr>
        <w:t> </w:t>
      </w:r>
      <w:r>
        <w:rPr/>
        <w:t>a</w:t>
      </w:r>
      <w:r>
        <w:rPr>
          <w:spacing w:val="-2"/>
        </w:rPr>
        <w:t> </w:t>
      </w:r>
      <w:r>
        <w:rPr/>
        <w:t>cabo una</w:t>
      </w:r>
      <w:r>
        <w:rPr>
          <w:spacing w:val="-2"/>
        </w:rPr>
        <w:t> </w:t>
      </w:r>
      <w:r>
        <w:rPr/>
        <w:t>auditoría</w:t>
      </w:r>
      <w:r>
        <w:rPr>
          <w:spacing w:val="-2"/>
        </w:rPr>
        <w:t> </w:t>
      </w:r>
      <w:r>
        <w:rPr/>
        <w:t>externa por parte de Bureau Veritas,</w:t>
      </w:r>
      <w:r>
        <w:rPr>
          <w:spacing w:val="-2"/>
        </w:rPr>
        <w:t> </w:t>
      </w:r>
      <w:r>
        <w:rPr/>
        <w:t>confirmando la ausencia de “no conformidades” en los distintos procesos auditados.</w:t>
      </w:r>
    </w:p>
    <w:p>
      <w:pPr>
        <w:pStyle w:val="BodyText"/>
        <w:spacing w:after="0" w:line="360" w:lineRule="auto"/>
        <w:jc w:val="both"/>
        <w:sectPr>
          <w:type w:val="continuous"/>
          <w:pgSz w:w="11910" w:h="16840"/>
          <w:pgMar w:header="384" w:footer="1060" w:top="1700" w:bottom="1040" w:left="360" w:right="360"/>
        </w:sectPr>
      </w:pPr>
    </w:p>
    <w:p>
      <w:pPr>
        <w:pStyle w:val="Heading3"/>
        <w:numPr>
          <w:ilvl w:val="1"/>
          <w:numId w:val="31"/>
        </w:numPr>
        <w:tabs>
          <w:tab w:pos="1670" w:val="left" w:leader="none"/>
        </w:tabs>
        <w:spacing w:line="240" w:lineRule="auto" w:before="215" w:after="0"/>
        <w:ind w:left="1670" w:right="0" w:hanging="329"/>
        <w:jc w:val="left"/>
      </w:pPr>
      <w:bookmarkStart w:name="_TOC_250021" w:id="31"/>
      <w:r>
        <w:rPr/>
        <w:t>Relaciones</w:t>
      </w:r>
      <w:r>
        <w:rPr>
          <w:spacing w:val="-9"/>
        </w:rPr>
        <w:t> </w:t>
      </w:r>
      <w:bookmarkEnd w:id="31"/>
      <w:r>
        <w:rPr>
          <w:spacing w:val="-2"/>
        </w:rPr>
        <w:t>sociales</w:t>
      </w:r>
    </w:p>
    <w:p>
      <w:pPr>
        <w:pStyle w:val="BodyText"/>
        <w:spacing w:before="44"/>
        <w:rPr>
          <w:b/>
        </w:rPr>
      </w:pPr>
    </w:p>
    <w:p>
      <w:pPr>
        <w:pStyle w:val="BodyText"/>
        <w:spacing w:line="360" w:lineRule="auto"/>
        <w:ind w:left="1341" w:right="1334"/>
        <w:jc w:val="both"/>
      </w:pPr>
      <w:r>
        <w:rPr/>
        <w:t>Organización del diálogo social, procedimientos para informar y consultar al personal y</w:t>
      </w:r>
      <w:r>
        <w:rPr>
          <w:spacing w:val="40"/>
        </w:rPr>
        <w:t> </w:t>
      </w:r>
      <w:r>
        <w:rPr/>
        <w:t>negociar con la representación de los trabajadores. Estos puntos se recogen en Capítulo 1º. DISPOSICIONES GENERALES Del Convenio Colectivo Sección 4ª. COMISIÓN PARITARIA Y PROCEDIMIENTO DE SOLUCIÓN DE CONFLICTOS. Artículo 7. Miembros, competencias y procedimientos de</w:t>
      </w:r>
      <w:r>
        <w:rPr>
          <w:spacing w:val="-4"/>
        </w:rPr>
        <w:t> </w:t>
      </w:r>
      <w:r>
        <w:rPr/>
        <w:t>solución</w:t>
      </w:r>
      <w:r>
        <w:rPr>
          <w:spacing w:val="-3"/>
        </w:rPr>
        <w:t> </w:t>
      </w:r>
      <w:r>
        <w:rPr/>
        <w:t>de</w:t>
      </w:r>
      <w:r>
        <w:rPr>
          <w:spacing w:val="-4"/>
        </w:rPr>
        <w:t> </w:t>
      </w:r>
      <w:r>
        <w:rPr/>
        <w:t>conflictos.</w:t>
      </w:r>
      <w:r>
        <w:rPr>
          <w:spacing w:val="-1"/>
        </w:rPr>
        <w:t> </w:t>
      </w:r>
      <w:r>
        <w:rPr/>
        <w:t>Punto</w:t>
      </w:r>
      <w:r>
        <w:rPr>
          <w:spacing w:val="-4"/>
        </w:rPr>
        <w:t> </w:t>
      </w:r>
      <w:r>
        <w:rPr/>
        <w:t>24</w:t>
      </w:r>
      <w:r>
        <w:rPr>
          <w:spacing w:val="-3"/>
        </w:rPr>
        <w:t> </w:t>
      </w:r>
      <w:r>
        <w:rPr/>
        <w:t>Acta</w:t>
      </w:r>
      <w:r>
        <w:rPr>
          <w:spacing w:val="-5"/>
        </w:rPr>
        <w:t> </w:t>
      </w:r>
      <w:r>
        <w:rPr/>
        <w:t>16/11/2012;</w:t>
      </w:r>
      <w:r>
        <w:rPr>
          <w:spacing w:val="-1"/>
        </w:rPr>
        <w:t> </w:t>
      </w:r>
      <w:r>
        <w:rPr/>
        <w:t>Sección</w:t>
      </w:r>
      <w:r>
        <w:rPr>
          <w:spacing w:val="-4"/>
        </w:rPr>
        <w:t> </w:t>
      </w:r>
      <w:r>
        <w:rPr/>
        <w:t>3ª</w:t>
      </w:r>
      <w:r>
        <w:rPr>
          <w:spacing w:val="-1"/>
        </w:rPr>
        <w:t> </w:t>
      </w:r>
      <w:r>
        <w:rPr/>
        <w:t>ESTRUCTURA DE LA COMUNICACIÓN INTERNA. Artículo 13. Estructura de la Comunicación Interna.</w:t>
      </w:r>
    </w:p>
    <w:p>
      <w:pPr>
        <w:pStyle w:val="BodyText"/>
        <w:spacing w:before="201"/>
        <w:jc w:val="center"/>
      </w:pPr>
      <w:r>
        <w:rPr/>
        <w:t>Además</w:t>
      </w:r>
      <w:r>
        <w:rPr>
          <w:spacing w:val="63"/>
          <w:w w:val="150"/>
        </w:rPr>
        <w:t> </w:t>
      </w:r>
      <w:r>
        <w:rPr/>
        <w:t>de</w:t>
      </w:r>
      <w:r>
        <w:rPr>
          <w:spacing w:val="65"/>
          <w:w w:val="150"/>
        </w:rPr>
        <w:t> </w:t>
      </w:r>
      <w:r>
        <w:rPr/>
        <w:t>lo</w:t>
      </w:r>
      <w:r>
        <w:rPr>
          <w:spacing w:val="64"/>
          <w:w w:val="150"/>
        </w:rPr>
        <w:t> </w:t>
      </w:r>
      <w:r>
        <w:rPr/>
        <w:t>establecido</w:t>
      </w:r>
      <w:r>
        <w:rPr>
          <w:spacing w:val="65"/>
          <w:w w:val="150"/>
        </w:rPr>
        <w:t> </w:t>
      </w:r>
      <w:r>
        <w:rPr/>
        <w:t>en</w:t>
      </w:r>
      <w:r>
        <w:rPr>
          <w:spacing w:val="64"/>
          <w:w w:val="150"/>
        </w:rPr>
        <w:t> </w:t>
      </w:r>
      <w:r>
        <w:rPr/>
        <w:t>convenio</w:t>
      </w:r>
      <w:r>
        <w:rPr>
          <w:spacing w:val="61"/>
          <w:w w:val="150"/>
        </w:rPr>
        <w:t> </w:t>
      </w:r>
      <w:r>
        <w:rPr/>
        <w:t>colectivo</w:t>
      </w:r>
      <w:r>
        <w:rPr>
          <w:spacing w:val="61"/>
          <w:w w:val="150"/>
        </w:rPr>
        <w:t> </w:t>
      </w:r>
      <w:r>
        <w:rPr/>
        <w:t>se</w:t>
      </w:r>
      <w:r>
        <w:rPr>
          <w:spacing w:val="63"/>
          <w:w w:val="150"/>
        </w:rPr>
        <w:t> </w:t>
      </w:r>
      <w:r>
        <w:rPr/>
        <w:t>sigue</w:t>
      </w:r>
      <w:r>
        <w:rPr>
          <w:spacing w:val="65"/>
          <w:w w:val="150"/>
        </w:rPr>
        <w:t> </w:t>
      </w:r>
      <w:r>
        <w:rPr/>
        <w:t>consolidando</w:t>
      </w:r>
      <w:r>
        <w:rPr>
          <w:spacing w:val="65"/>
          <w:w w:val="150"/>
        </w:rPr>
        <w:t> </w:t>
      </w:r>
      <w:r>
        <w:rPr/>
        <w:t>acciones</w:t>
      </w:r>
      <w:r>
        <w:rPr>
          <w:spacing w:val="64"/>
          <w:w w:val="150"/>
        </w:rPr>
        <w:t> </w:t>
      </w:r>
      <w:r>
        <w:rPr>
          <w:spacing w:val="-5"/>
        </w:rPr>
        <w:t>de</w:t>
      </w:r>
    </w:p>
    <w:p>
      <w:pPr>
        <w:pStyle w:val="BodyText"/>
        <w:spacing w:line="360" w:lineRule="auto" w:before="116"/>
        <w:ind w:left="1341" w:right="1336"/>
        <w:jc w:val="both"/>
      </w:pPr>
      <w:r>
        <w:rPr/>
        <w:t>comunicación interna en marcha: Guaguas informa (WhatsApp corporativo), Boletín Hablemos de Nosotros, merienda del Director General con personal de Taller, carta del Director General</w:t>
      </w:r>
      <w:r>
        <w:rPr>
          <w:spacing w:val="40"/>
        </w:rPr>
        <w:t> </w:t>
      </w:r>
      <w:r>
        <w:rPr/>
        <w:t>el día del “guagüero” y cena con jubilados.</w:t>
      </w:r>
    </w:p>
    <w:p>
      <w:pPr>
        <w:pStyle w:val="BodyText"/>
        <w:spacing w:before="198"/>
        <w:ind w:left="2"/>
        <w:jc w:val="center"/>
      </w:pPr>
      <w:r>
        <w:rPr/>
        <w:t>En</w:t>
      </w:r>
      <w:r>
        <w:rPr>
          <w:spacing w:val="34"/>
        </w:rPr>
        <w:t> </w:t>
      </w:r>
      <w:r>
        <w:rPr/>
        <w:t>cuanto</w:t>
      </w:r>
      <w:r>
        <w:rPr>
          <w:spacing w:val="36"/>
        </w:rPr>
        <w:t> </w:t>
      </w:r>
      <w:r>
        <w:rPr/>
        <w:t>al</w:t>
      </w:r>
      <w:r>
        <w:rPr>
          <w:spacing w:val="34"/>
        </w:rPr>
        <w:t> </w:t>
      </w:r>
      <w:r>
        <w:rPr/>
        <w:t>porcentaje</w:t>
      </w:r>
      <w:r>
        <w:rPr>
          <w:spacing w:val="37"/>
        </w:rPr>
        <w:t> </w:t>
      </w:r>
      <w:r>
        <w:rPr/>
        <w:t>de</w:t>
      </w:r>
      <w:r>
        <w:rPr>
          <w:spacing w:val="36"/>
        </w:rPr>
        <w:t> </w:t>
      </w:r>
      <w:r>
        <w:rPr/>
        <w:t>empleados</w:t>
      </w:r>
      <w:r>
        <w:rPr>
          <w:spacing w:val="36"/>
        </w:rPr>
        <w:t> </w:t>
      </w:r>
      <w:r>
        <w:rPr/>
        <w:t>cubiertos</w:t>
      </w:r>
      <w:r>
        <w:rPr>
          <w:spacing w:val="36"/>
        </w:rPr>
        <w:t> </w:t>
      </w:r>
      <w:r>
        <w:rPr/>
        <w:t>por</w:t>
      </w:r>
      <w:r>
        <w:rPr>
          <w:spacing w:val="37"/>
        </w:rPr>
        <w:t> </w:t>
      </w:r>
      <w:r>
        <w:rPr/>
        <w:t>convenio</w:t>
      </w:r>
      <w:r>
        <w:rPr>
          <w:spacing w:val="36"/>
        </w:rPr>
        <w:t> </w:t>
      </w:r>
      <w:r>
        <w:rPr/>
        <w:t>colectivo,</w:t>
      </w:r>
      <w:r>
        <w:rPr>
          <w:spacing w:val="36"/>
        </w:rPr>
        <w:t> </w:t>
      </w:r>
      <w:r>
        <w:rPr/>
        <w:t>corresponde</w:t>
      </w:r>
      <w:r>
        <w:rPr>
          <w:spacing w:val="38"/>
        </w:rPr>
        <w:t> </w:t>
      </w:r>
      <w:r>
        <w:rPr/>
        <w:t>a</w:t>
      </w:r>
      <w:r>
        <w:rPr>
          <w:spacing w:val="38"/>
        </w:rPr>
        <w:t> </w:t>
      </w:r>
      <w:r>
        <w:rPr>
          <w:spacing w:val="-5"/>
        </w:rPr>
        <w:t>un</w:t>
      </w:r>
    </w:p>
    <w:p>
      <w:pPr>
        <w:pStyle w:val="BodyText"/>
        <w:spacing w:line="362" w:lineRule="auto" w:before="116"/>
        <w:ind w:left="1341" w:right="1388"/>
      </w:pPr>
      <w:r>
        <w:rPr/>
        <w:t>99,87%, estando incluidos todos los empleados excepto el Director General que se encuadra</w:t>
      </w:r>
      <w:r>
        <w:rPr>
          <w:spacing w:val="40"/>
        </w:rPr>
        <w:t> </w:t>
      </w:r>
      <w:r>
        <w:rPr/>
        <w:t>en personal de Alta Dirección.</w:t>
      </w:r>
    </w:p>
    <w:p>
      <w:pPr>
        <w:pStyle w:val="Heading3"/>
        <w:numPr>
          <w:ilvl w:val="1"/>
          <w:numId w:val="31"/>
        </w:numPr>
        <w:tabs>
          <w:tab w:pos="1670" w:val="left" w:leader="none"/>
        </w:tabs>
        <w:spacing w:line="240" w:lineRule="auto" w:before="196" w:after="0"/>
        <w:ind w:left="1670" w:right="0" w:hanging="329"/>
        <w:jc w:val="left"/>
      </w:pPr>
      <w:bookmarkStart w:name="_TOC_250020" w:id="32"/>
      <w:bookmarkEnd w:id="32"/>
      <w:r>
        <w:rPr>
          <w:spacing w:val="-2"/>
        </w:rPr>
        <w:t>Formación</w:t>
      </w:r>
    </w:p>
    <w:p>
      <w:pPr>
        <w:pStyle w:val="BodyText"/>
        <w:spacing w:before="44"/>
        <w:rPr>
          <w:b/>
        </w:rPr>
      </w:pPr>
    </w:p>
    <w:p>
      <w:pPr>
        <w:pStyle w:val="Heading3"/>
        <w:numPr>
          <w:ilvl w:val="2"/>
          <w:numId w:val="31"/>
        </w:numPr>
        <w:tabs>
          <w:tab w:pos="1892" w:val="left" w:leader="none"/>
        </w:tabs>
        <w:spacing w:line="240" w:lineRule="auto" w:before="0" w:after="0"/>
        <w:ind w:left="1892" w:right="0" w:hanging="551"/>
        <w:jc w:val="left"/>
      </w:pPr>
      <w:bookmarkStart w:name="_TOC_250019" w:id="33"/>
      <w:r>
        <w:rPr/>
        <w:t>Políticas</w:t>
      </w:r>
      <w:r>
        <w:rPr>
          <w:spacing w:val="-6"/>
        </w:rPr>
        <w:t> </w:t>
      </w:r>
      <w:r>
        <w:rPr/>
        <w:t>implementadas</w:t>
      </w:r>
      <w:r>
        <w:rPr>
          <w:spacing w:val="-7"/>
        </w:rPr>
        <w:t> </w:t>
      </w:r>
      <w:r>
        <w:rPr/>
        <w:t>en</w:t>
      </w:r>
      <w:r>
        <w:rPr>
          <w:spacing w:val="-3"/>
        </w:rPr>
        <w:t> </w:t>
      </w:r>
      <w:r>
        <w:rPr/>
        <w:t>el</w:t>
      </w:r>
      <w:r>
        <w:rPr>
          <w:spacing w:val="-4"/>
        </w:rPr>
        <w:t> </w:t>
      </w:r>
      <w:r>
        <w:rPr/>
        <w:t>campo</w:t>
      </w:r>
      <w:r>
        <w:rPr>
          <w:spacing w:val="-6"/>
        </w:rPr>
        <w:t> </w:t>
      </w:r>
      <w:r>
        <w:rPr/>
        <w:t>de</w:t>
      </w:r>
      <w:r>
        <w:rPr>
          <w:spacing w:val="-6"/>
        </w:rPr>
        <w:t> </w:t>
      </w:r>
      <w:r>
        <w:rPr/>
        <w:t>la</w:t>
      </w:r>
      <w:r>
        <w:rPr>
          <w:spacing w:val="-8"/>
        </w:rPr>
        <w:t> </w:t>
      </w:r>
      <w:bookmarkEnd w:id="33"/>
      <w:r>
        <w:rPr>
          <w:spacing w:val="-2"/>
        </w:rPr>
        <w:t>formación</w:t>
      </w:r>
    </w:p>
    <w:p>
      <w:pPr>
        <w:pStyle w:val="BodyText"/>
        <w:spacing w:before="44"/>
        <w:rPr>
          <w:b/>
        </w:rPr>
      </w:pPr>
    </w:p>
    <w:p>
      <w:pPr>
        <w:pStyle w:val="BodyText"/>
        <w:spacing w:line="360" w:lineRule="auto"/>
        <w:ind w:left="1341" w:right="1334"/>
        <w:jc w:val="both"/>
      </w:pPr>
      <w:r>
        <w:rPr/>
        <w:t>El entorno cambiante en el que nos encontramos y la necesidad de ser ágiles para adaptarnos continuamente, siguen impulsándonos a buscar nuevas formas de aprender, más eficientes y flexibles, que nos permita conseguir ese objetivo y organizativamente hacerlo compatible e integrarlo con la actividad de la empresa. Sin olvidar nuestro compromiso de seguir mejorando LA</w:t>
      </w:r>
      <w:r>
        <w:rPr>
          <w:spacing w:val="78"/>
          <w:w w:val="150"/>
        </w:rPr>
        <w:t> </w:t>
      </w:r>
      <w:r>
        <w:rPr/>
        <w:t>ATENCIÓN</w:t>
      </w:r>
      <w:r>
        <w:rPr>
          <w:spacing w:val="27"/>
        </w:rPr>
        <w:t>  </w:t>
      </w:r>
      <w:r>
        <w:rPr/>
        <w:t>Y</w:t>
      </w:r>
      <w:r>
        <w:rPr>
          <w:spacing w:val="77"/>
          <w:w w:val="150"/>
        </w:rPr>
        <w:t> </w:t>
      </w:r>
      <w:r>
        <w:rPr/>
        <w:t>MOVILIDAD</w:t>
      </w:r>
      <w:r>
        <w:rPr>
          <w:spacing w:val="79"/>
          <w:w w:val="150"/>
        </w:rPr>
        <w:t> </w:t>
      </w:r>
      <w:r>
        <w:rPr/>
        <w:t>DE</w:t>
      </w:r>
      <w:r>
        <w:rPr>
          <w:spacing w:val="76"/>
          <w:w w:val="150"/>
        </w:rPr>
        <w:t> </w:t>
      </w:r>
      <w:r>
        <w:rPr/>
        <w:t>NUESTROS</w:t>
      </w:r>
      <w:r>
        <w:rPr>
          <w:spacing w:val="26"/>
        </w:rPr>
        <w:t>  </w:t>
      </w:r>
      <w:r>
        <w:rPr/>
        <w:t>CLIENTES,</w:t>
      </w:r>
      <w:r>
        <w:rPr>
          <w:spacing w:val="26"/>
        </w:rPr>
        <w:t>  </w:t>
      </w:r>
      <w:r>
        <w:rPr/>
        <w:t>potenciando</w:t>
      </w:r>
      <w:r>
        <w:rPr>
          <w:spacing w:val="78"/>
          <w:w w:val="150"/>
        </w:rPr>
        <w:t> </w:t>
      </w:r>
      <w:r>
        <w:rPr>
          <w:spacing w:val="-2"/>
        </w:rPr>
        <w:t>experiencias</w:t>
      </w:r>
    </w:p>
    <w:p>
      <w:pPr>
        <w:pStyle w:val="BodyText"/>
        <w:spacing w:line="360" w:lineRule="auto" w:before="1"/>
        <w:ind w:left="1341" w:right="1308"/>
      </w:pPr>
      <w:r>
        <w:rPr/>
        <w:t>satisfactorias</w:t>
      </w:r>
      <w:r>
        <w:rPr>
          <w:spacing w:val="80"/>
          <w:w w:val="150"/>
        </w:rPr>
        <w:t> </w:t>
      </w:r>
      <w:r>
        <w:rPr/>
        <w:t>en</w:t>
      </w:r>
      <w:r>
        <w:rPr>
          <w:spacing w:val="80"/>
          <w:w w:val="150"/>
        </w:rPr>
        <w:t> </w:t>
      </w:r>
      <w:r>
        <w:rPr/>
        <w:t>nuestro</w:t>
      </w:r>
      <w:r>
        <w:rPr>
          <w:spacing w:val="80"/>
          <w:w w:val="150"/>
        </w:rPr>
        <w:t> </w:t>
      </w:r>
      <w:r>
        <w:rPr/>
        <w:t>servicio</w:t>
      </w:r>
      <w:r>
        <w:rPr>
          <w:spacing w:val="80"/>
          <w:w w:val="150"/>
        </w:rPr>
        <w:t> </w:t>
      </w:r>
      <w:r>
        <w:rPr/>
        <w:t>y</w:t>
      </w:r>
      <w:r>
        <w:rPr>
          <w:spacing w:val="80"/>
          <w:w w:val="150"/>
        </w:rPr>
        <w:t> </w:t>
      </w:r>
      <w:r>
        <w:rPr/>
        <w:t>la</w:t>
      </w:r>
      <w:r>
        <w:rPr>
          <w:spacing w:val="80"/>
          <w:w w:val="150"/>
        </w:rPr>
        <w:t> </w:t>
      </w:r>
      <w:r>
        <w:rPr/>
        <w:t>percepción</w:t>
      </w:r>
      <w:r>
        <w:rPr>
          <w:spacing w:val="80"/>
          <w:w w:val="150"/>
        </w:rPr>
        <w:t> </w:t>
      </w:r>
      <w:r>
        <w:rPr/>
        <w:t>de</w:t>
      </w:r>
      <w:r>
        <w:rPr>
          <w:spacing w:val="80"/>
          <w:w w:val="150"/>
        </w:rPr>
        <w:t> </w:t>
      </w:r>
      <w:r>
        <w:rPr/>
        <w:t>SEGURIDAD</w:t>
      </w:r>
      <w:r>
        <w:rPr>
          <w:spacing w:val="80"/>
          <w:w w:val="150"/>
        </w:rPr>
        <w:t> </w:t>
      </w:r>
      <w:r>
        <w:rPr/>
        <w:t>DEL</w:t>
      </w:r>
      <w:r>
        <w:rPr>
          <w:spacing w:val="80"/>
          <w:w w:val="150"/>
        </w:rPr>
        <w:t> </w:t>
      </w:r>
      <w:r>
        <w:rPr/>
        <w:t>USO</w:t>
      </w:r>
      <w:r>
        <w:rPr>
          <w:spacing w:val="80"/>
          <w:w w:val="150"/>
        </w:rPr>
        <w:t> </w:t>
      </w:r>
      <w:r>
        <w:rPr/>
        <w:t>DEL TRANSPORTE PÚBLICO.</w:t>
      </w:r>
    </w:p>
    <w:p>
      <w:pPr>
        <w:pStyle w:val="BodyText"/>
        <w:spacing w:line="357" w:lineRule="auto" w:before="200"/>
        <w:ind w:left="1341" w:right="1308"/>
      </w:pPr>
      <w:r>
        <w:rPr/>
        <mc:AlternateContent>
          <mc:Choice Requires="wps">
            <w:drawing>
              <wp:anchor distT="0" distB="0" distL="0" distR="0" allowOverlap="1" layoutInCell="1" locked="0" behindDoc="0" simplePos="0" relativeHeight="15820288">
                <wp:simplePos x="0" y="0"/>
                <wp:positionH relativeFrom="page">
                  <wp:posOffset>6966436</wp:posOffset>
                </wp:positionH>
                <wp:positionV relativeFrom="paragraph">
                  <wp:posOffset>-68998</wp:posOffset>
                </wp:positionV>
                <wp:extent cx="263525" cy="327596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43294pt;width:20.75pt;height:257.95pt;mso-position-horizontal-relative:page;mso-position-vertical-relative:paragraph;z-index:15820288" type="#_x0000_t202" id="docshape24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w:t>
      </w:r>
      <w:r>
        <w:rPr>
          <w:spacing w:val="40"/>
        </w:rPr>
        <w:t> </w:t>
      </w:r>
      <w:r>
        <w:rPr/>
        <w:t>el</w:t>
      </w:r>
      <w:r>
        <w:rPr>
          <w:spacing w:val="40"/>
        </w:rPr>
        <w:t> </w:t>
      </w:r>
      <w:r>
        <w:rPr/>
        <w:t>ejercicio</w:t>
      </w:r>
      <w:r>
        <w:rPr>
          <w:spacing w:val="40"/>
        </w:rPr>
        <w:t> </w:t>
      </w:r>
      <w:r>
        <w:rPr/>
        <w:t>2025,</w:t>
      </w:r>
      <w:r>
        <w:rPr>
          <w:spacing w:val="40"/>
        </w:rPr>
        <w:t> </w:t>
      </w:r>
      <w:r>
        <w:rPr/>
        <w:t>nos</w:t>
      </w:r>
      <w:r>
        <w:rPr>
          <w:spacing w:val="40"/>
        </w:rPr>
        <w:t> </w:t>
      </w:r>
      <w:r>
        <w:rPr/>
        <w:t>hemos</w:t>
      </w:r>
      <w:r>
        <w:rPr>
          <w:spacing w:val="40"/>
        </w:rPr>
        <w:t> </w:t>
      </w:r>
      <w:r>
        <w:rPr/>
        <w:t>centrados</w:t>
      </w:r>
      <w:r>
        <w:rPr>
          <w:spacing w:val="40"/>
        </w:rPr>
        <w:t> </w:t>
      </w:r>
      <w:r>
        <w:rPr/>
        <w:t>en</w:t>
      </w:r>
      <w:r>
        <w:rPr>
          <w:spacing w:val="40"/>
        </w:rPr>
        <w:t> </w:t>
      </w:r>
      <w:r>
        <w:rPr/>
        <w:t>dos</w:t>
      </w:r>
      <w:r>
        <w:rPr>
          <w:spacing w:val="40"/>
        </w:rPr>
        <w:t> </w:t>
      </w:r>
      <w:r>
        <w:rPr/>
        <w:t>objetivos</w:t>
      </w:r>
      <w:r>
        <w:rPr>
          <w:spacing w:val="40"/>
        </w:rPr>
        <w:t> </w:t>
      </w:r>
      <w:r>
        <w:rPr/>
        <w:t>básicos,</w:t>
      </w:r>
      <w:r>
        <w:rPr>
          <w:spacing w:val="40"/>
        </w:rPr>
        <w:t> </w:t>
      </w:r>
      <w:r>
        <w:rPr/>
        <w:t>por</w:t>
      </w:r>
      <w:r>
        <w:rPr>
          <w:spacing w:val="40"/>
        </w:rPr>
        <w:t> </w:t>
      </w:r>
      <w:r>
        <w:rPr/>
        <w:t>un</w:t>
      </w:r>
      <w:r>
        <w:rPr>
          <w:spacing w:val="40"/>
        </w:rPr>
        <w:t> </w:t>
      </w:r>
      <w:r>
        <w:rPr/>
        <w:t>lado</w:t>
      </w:r>
      <w:r>
        <w:rPr>
          <w:spacing w:val="40"/>
        </w:rPr>
        <w:t> </w:t>
      </w:r>
      <w:r>
        <w:rPr/>
        <w:t>seguir ofertando</w:t>
      </w:r>
      <w:r>
        <w:rPr>
          <w:spacing w:val="37"/>
        </w:rPr>
        <w:t> </w:t>
      </w:r>
      <w:r>
        <w:rPr/>
        <w:t>acciones</w:t>
      </w:r>
      <w:r>
        <w:rPr>
          <w:spacing w:val="39"/>
        </w:rPr>
        <w:t> </w:t>
      </w:r>
      <w:r>
        <w:rPr/>
        <w:t>formativas</w:t>
      </w:r>
      <w:r>
        <w:rPr>
          <w:spacing w:val="38"/>
        </w:rPr>
        <w:t> </w:t>
      </w:r>
      <w:r>
        <w:rPr/>
        <w:t>que</w:t>
      </w:r>
      <w:r>
        <w:rPr>
          <w:spacing w:val="37"/>
        </w:rPr>
        <w:t> </w:t>
      </w:r>
      <w:r>
        <w:rPr/>
        <w:t>cubran</w:t>
      </w:r>
      <w:r>
        <w:rPr>
          <w:spacing w:val="38"/>
        </w:rPr>
        <w:t> </w:t>
      </w:r>
      <w:r>
        <w:rPr/>
        <w:t>las</w:t>
      </w:r>
      <w:r>
        <w:rPr>
          <w:spacing w:val="37"/>
        </w:rPr>
        <w:t> </w:t>
      </w:r>
      <w:r>
        <w:rPr/>
        <w:t>necesidades</w:t>
      </w:r>
      <w:r>
        <w:rPr>
          <w:spacing w:val="38"/>
        </w:rPr>
        <w:t> </w:t>
      </w:r>
      <w:r>
        <w:rPr/>
        <w:t>en</w:t>
      </w:r>
      <w:r>
        <w:rPr>
          <w:spacing w:val="37"/>
        </w:rPr>
        <w:t> </w:t>
      </w:r>
      <w:r>
        <w:rPr/>
        <w:t>cuanto</w:t>
      </w:r>
      <w:r>
        <w:rPr>
          <w:spacing w:val="37"/>
        </w:rPr>
        <w:t> </w:t>
      </w:r>
      <w:r>
        <w:rPr/>
        <w:t>a</w:t>
      </w:r>
      <w:r>
        <w:rPr>
          <w:spacing w:val="35"/>
        </w:rPr>
        <w:t> </w:t>
      </w:r>
      <w:r>
        <w:rPr/>
        <w:t>los</w:t>
      </w:r>
      <w:r>
        <w:rPr>
          <w:spacing w:val="40"/>
        </w:rPr>
        <w:t> </w:t>
      </w:r>
      <w:r>
        <w:rPr>
          <w:spacing w:val="-2"/>
        </w:rPr>
        <w:t>conocimientos,</w:t>
      </w:r>
    </w:p>
    <w:p>
      <w:pPr>
        <w:pStyle w:val="BodyText"/>
        <w:tabs>
          <w:tab w:pos="4783" w:val="left" w:leader="none"/>
          <w:tab w:pos="6640" w:val="left" w:leader="none"/>
        </w:tabs>
        <w:spacing w:before="3"/>
        <w:ind w:right="1"/>
        <w:jc w:val="center"/>
      </w:pPr>
      <w:r>
        <w:rPr/>
        <w:t>habilidades</w:t>
      </w:r>
      <w:r>
        <w:rPr>
          <w:spacing w:val="57"/>
          <w:w w:val="150"/>
        </w:rPr>
        <w:t> </w:t>
      </w:r>
      <w:r>
        <w:rPr/>
        <w:t>y</w:t>
      </w:r>
      <w:r>
        <w:rPr>
          <w:spacing w:val="77"/>
        </w:rPr>
        <w:t> </w:t>
      </w:r>
      <w:r>
        <w:rPr/>
        <w:t>competencias</w:t>
      </w:r>
      <w:r>
        <w:rPr>
          <w:spacing w:val="57"/>
          <w:w w:val="150"/>
        </w:rPr>
        <w:t> </w:t>
      </w:r>
      <w:r>
        <w:rPr/>
        <w:t>para</w:t>
      </w:r>
      <w:r>
        <w:rPr>
          <w:spacing w:val="54"/>
          <w:w w:val="150"/>
        </w:rPr>
        <w:t> </w:t>
      </w:r>
      <w:r>
        <w:rPr>
          <w:spacing w:val="-2"/>
        </w:rPr>
        <w:t>incorporarlos</w:t>
      </w:r>
      <w:r>
        <w:rPr/>
        <w:tab/>
        <w:t>y/o</w:t>
      </w:r>
      <w:r>
        <w:rPr>
          <w:spacing w:val="58"/>
          <w:w w:val="150"/>
        </w:rPr>
        <w:t> </w:t>
      </w:r>
      <w:r>
        <w:rPr>
          <w:spacing w:val="-2"/>
        </w:rPr>
        <w:t>mantenerlos,</w:t>
      </w:r>
      <w:r>
        <w:rPr/>
        <w:tab/>
        <w:t>tanto</w:t>
      </w:r>
      <w:r>
        <w:rPr>
          <w:spacing w:val="59"/>
          <w:w w:val="150"/>
        </w:rPr>
        <w:t> </w:t>
      </w:r>
      <w:r>
        <w:rPr/>
        <w:t>en</w:t>
      </w:r>
      <w:r>
        <w:rPr>
          <w:spacing w:val="58"/>
          <w:w w:val="150"/>
        </w:rPr>
        <w:t> </w:t>
      </w:r>
      <w:r>
        <w:rPr/>
        <w:t>las</w:t>
      </w:r>
      <w:r>
        <w:rPr>
          <w:spacing w:val="60"/>
          <w:w w:val="150"/>
        </w:rPr>
        <w:t> </w:t>
      </w:r>
      <w:r>
        <w:rPr>
          <w:spacing w:val="-2"/>
        </w:rPr>
        <w:t>áreas</w:t>
      </w:r>
    </w:p>
    <w:p>
      <w:pPr>
        <w:pStyle w:val="BodyText"/>
        <w:spacing w:before="116"/>
        <w:jc w:val="center"/>
      </w:pPr>
      <w:r>
        <w:rPr/>
        <w:t>estratégicas</w:t>
      </w:r>
      <w:r>
        <w:rPr>
          <w:spacing w:val="56"/>
        </w:rPr>
        <w:t> </w:t>
      </w:r>
      <w:r>
        <w:rPr/>
        <w:t>como</w:t>
      </w:r>
      <w:r>
        <w:rPr>
          <w:spacing w:val="54"/>
        </w:rPr>
        <w:t> </w:t>
      </w:r>
      <w:r>
        <w:rPr/>
        <w:t>en</w:t>
      </w:r>
      <w:r>
        <w:rPr>
          <w:spacing w:val="55"/>
        </w:rPr>
        <w:t> </w:t>
      </w:r>
      <w:r>
        <w:rPr/>
        <w:t>las</w:t>
      </w:r>
      <w:r>
        <w:rPr>
          <w:spacing w:val="56"/>
        </w:rPr>
        <w:t> </w:t>
      </w:r>
      <w:r>
        <w:rPr/>
        <w:t>operativas</w:t>
      </w:r>
      <w:r>
        <w:rPr>
          <w:spacing w:val="59"/>
        </w:rPr>
        <w:t> </w:t>
      </w:r>
      <w:r>
        <w:rPr/>
        <w:t>y</w:t>
      </w:r>
      <w:r>
        <w:rPr>
          <w:spacing w:val="51"/>
        </w:rPr>
        <w:t> </w:t>
      </w:r>
      <w:r>
        <w:rPr/>
        <w:t>técnicas</w:t>
      </w:r>
      <w:r>
        <w:rPr>
          <w:spacing w:val="58"/>
        </w:rPr>
        <w:t> </w:t>
      </w:r>
      <w:r>
        <w:rPr/>
        <w:t>y</w:t>
      </w:r>
      <w:r>
        <w:rPr>
          <w:spacing w:val="55"/>
        </w:rPr>
        <w:t> </w:t>
      </w:r>
      <w:r>
        <w:rPr/>
        <w:t>por</w:t>
      </w:r>
      <w:r>
        <w:rPr>
          <w:spacing w:val="56"/>
        </w:rPr>
        <w:t> </w:t>
      </w:r>
      <w:r>
        <w:rPr/>
        <w:t>otro</w:t>
      </w:r>
      <w:r>
        <w:rPr>
          <w:spacing w:val="53"/>
        </w:rPr>
        <w:t> </w:t>
      </w:r>
      <w:r>
        <w:rPr/>
        <w:t>lado,</w:t>
      </w:r>
      <w:r>
        <w:rPr>
          <w:spacing w:val="55"/>
        </w:rPr>
        <w:t> </w:t>
      </w:r>
      <w:r>
        <w:rPr/>
        <w:t>seguir</w:t>
      </w:r>
      <w:r>
        <w:rPr>
          <w:spacing w:val="56"/>
        </w:rPr>
        <w:t> </w:t>
      </w:r>
      <w:r>
        <w:rPr/>
        <w:t>atendiendo</w:t>
      </w:r>
      <w:r>
        <w:rPr>
          <w:spacing w:val="54"/>
        </w:rPr>
        <w:t> </w:t>
      </w:r>
      <w:r>
        <w:rPr/>
        <w:t>a</w:t>
      </w:r>
      <w:r>
        <w:rPr>
          <w:spacing w:val="54"/>
        </w:rPr>
        <w:t> </w:t>
      </w:r>
      <w:r>
        <w:rPr>
          <w:spacing w:val="-5"/>
        </w:rPr>
        <w:t>las</w:t>
      </w:r>
    </w:p>
    <w:p>
      <w:pPr>
        <w:pStyle w:val="BodyText"/>
        <w:spacing w:line="360" w:lineRule="auto" w:before="113"/>
        <w:ind w:left="1341" w:right="1334"/>
        <w:jc w:val="both"/>
      </w:pPr>
      <w:r>
        <w:rPr/>
        <w:t>solicitudes individuales de formación reglada para la obtención de titulaciones a través de conciertos con Radio Ecca y centros oficiales, y otros títulos profesionales relacionados con el puesto de trabajo. Mantenemos el propósito de continuar con las acciones que favorezcan el clima laboral adecuado para poder desarrollar el talento y su contribución a la aportación de valor de las personas, la salud y el bienestar de los mismos y la mejora continua hacia una empresa</w:t>
      </w:r>
      <w:r>
        <w:rPr>
          <w:spacing w:val="-5"/>
        </w:rPr>
        <w:t> </w:t>
      </w:r>
      <w:r>
        <w:rPr/>
        <w:t>más</w:t>
      </w:r>
      <w:r>
        <w:rPr>
          <w:spacing w:val="-4"/>
        </w:rPr>
        <w:t> </w:t>
      </w:r>
      <w:r>
        <w:rPr/>
        <w:t>sostenible</w:t>
      </w:r>
      <w:r>
        <w:rPr>
          <w:spacing w:val="-3"/>
        </w:rPr>
        <w:t> </w:t>
      </w:r>
      <w:r>
        <w:rPr/>
        <w:t>impulsando</w:t>
      </w:r>
      <w:r>
        <w:rPr>
          <w:spacing w:val="-1"/>
        </w:rPr>
        <w:t> </w:t>
      </w:r>
      <w:r>
        <w:rPr/>
        <w:t>el</w:t>
      </w:r>
      <w:r>
        <w:rPr>
          <w:spacing w:val="-4"/>
        </w:rPr>
        <w:t> </w:t>
      </w:r>
      <w:r>
        <w:rPr/>
        <w:t>número</w:t>
      </w:r>
      <w:r>
        <w:rPr>
          <w:spacing w:val="-3"/>
        </w:rPr>
        <w:t> </w:t>
      </w:r>
      <w:r>
        <w:rPr/>
        <w:t>de</w:t>
      </w:r>
      <w:r>
        <w:rPr>
          <w:spacing w:val="-1"/>
        </w:rPr>
        <w:t> </w:t>
      </w:r>
      <w:r>
        <w:rPr/>
        <w:t>acciones formativas</w:t>
      </w:r>
      <w:r>
        <w:rPr>
          <w:spacing w:val="-2"/>
        </w:rPr>
        <w:t> </w:t>
      </w:r>
      <w:r>
        <w:rPr/>
        <w:t>operativas y</w:t>
      </w:r>
      <w:r>
        <w:rPr>
          <w:spacing w:val="-5"/>
        </w:rPr>
        <w:t> </w:t>
      </w:r>
      <w:r>
        <w:rPr/>
        <w:t>técnicas en conducción eficiente ante diversidad de vehículos y combustibles diseñados para reducir el impacto</w:t>
      </w:r>
      <w:r>
        <w:rPr>
          <w:spacing w:val="-3"/>
        </w:rPr>
        <w:t> </w:t>
      </w:r>
      <w:r>
        <w:rPr/>
        <w:t>ambiental.</w:t>
      </w:r>
      <w:r>
        <w:rPr>
          <w:spacing w:val="-3"/>
        </w:rPr>
        <w:t> </w:t>
      </w:r>
      <w:r>
        <w:rPr/>
        <w:t>También, desde la</w:t>
      </w:r>
      <w:r>
        <w:rPr>
          <w:spacing w:val="-3"/>
        </w:rPr>
        <w:t> </w:t>
      </w:r>
      <w:r>
        <w:rPr/>
        <w:t>formación y</w:t>
      </w:r>
      <w:r>
        <w:rPr>
          <w:spacing w:val="-5"/>
        </w:rPr>
        <w:t> </w:t>
      </w:r>
      <w:r>
        <w:rPr/>
        <w:t>el aprendizaje</w:t>
      </w:r>
      <w:r>
        <w:rPr>
          <w:spacing w:val="-1"/>
        </w:rPr>
        <w:t> </w:t>
      </w:r>
      <w:r>
        <w:rPr/>
        <w:t>continuamos avanzando en</w:t>
      </w:r>
      <w:r>
        <w:rPr>
          <w:spacing w:val="-3"/>
        </w:rPr>
        <w:t> </w:t>
      </w:r>
      <w:r>
        <w:rPr/>
        <w:t>la aplicación de nuevas metodologías de trabajo y organizativas, entre otras acciones, la </w:t>
      </w:r>
      <w:r>
        <w:rPr>
          <w:spacing w:val="-2"/>
        </w:rPr>
        <w:t>Teleformación.</w:t>
      </w:r>
    </w:p>
    <w:p>
      <w:pPr>
        <w:pStyle w:val="BodyText"/>
        <w:spacing w:after="0" w:line="360" w:lineRule="auto"/>
        <w:jc w:val="both"/>
        <w:sectPr>
          <w:pgSz w:w="11910" w:h="16840"/>
          <w:pgMar w:header="384" w:footer="1060" w:top="1200" w:bottom="1260" w:left="360" w:right="360"/>
        </w:sectPr>
      </w:pPr>
    </w:p>
    <w:p>
      <w:pPr>
        <w:pStyle w:val="BodyText"/>
        <w:spacing w:before="215"/>
        <w:ind w:left="1"/>
        <w:jc w:val="center"/>
      </w:pPr>
      <w:r>
        <w:rPr/>
        <w:t>Simultáneamente</w:t>
      </w:r>
      <w:r>
        <w:rPr>
          <w:spacing w:val="50"/>
        </w:rPr>
        <w:t> </w:t>
      </w:r>
      <w:r>
        <w:rPr/>
        <w:t>con</w:t>
      </w:r>
      <w:r>
        <w:rPr>
          <w:spacing w:val="52"/>
        </w:rPr>
        <w:t> </w:t>
      </w:r>
      <w:r>
        <w:rPr/>
        <w:t>la</w:t>
      </w:r>
      <w:r>
        <w:rPr>
          <w:spacing w:val="55"/>
        </w:rPr>
        <w:t> </w:t>
      </w:r>
      <w:r>
        <w:rPr/>
        <w:t>ejecución</w:t>
      </w:r>
      <w:r>
        <w:rPr>
          <w:spacing w:val="52"/>
        </w:rPr>
        <w:t> </w:t>
      </w:r>
      <w:r>
        <w:rPr/>
        <w:t>del</w:t>
      </w:r>
      <w:r>
        <w:rPr>
          <w:spacing w:val="50"/>
        </w:rPr>
        <w:t> </w:t>
      </w:r>
      <w:r>
        <w:rPr/>
        <w:t>plan</w:t>
      </w:r>
      <w:r>
        <w:rPr>
          <w:spacing w:val="51"/>
        </w:rPr>
        <w:t> </w:t>
      </w:r>
      <w:r>
        <w:rPr/>
        <w:t>de</w:t>
      </w:r>
      <w:r>
        <w:rPr>
          <w:spacing w:val="50"/>
        </w:rPr>
        <w:t> </w:t>
      </w:r>
      <w:r>
        <w:rPr/>
        <w:t>formación</w:t>
      </w:r>
      <w:r>
        <w:rPr>
          <w:spacing w:val="54"/>
        </w:rPr>
        <w:t> </w:t>
      </w:r>
      <w:r>
        <w:rPr/>
        <w:t>y</w:t>
      </w:r>
      <w:r>
        <w:rPr>
          <w:spacing w:val="47"/>
        </w:rPr>
        <w:t> </w:t>
      </w:r>
      <w:r>
        <w:rPr/>
        <w:t>aprendizaje</w:t>
      </w:r>
      <w:r>
        <w:rPr>
          <w:spacing w:val="56"/>
        </w:rPr>
        <w:t> </w:t>
      </w:r>
      <w:r>
        <w:rPr/>
        <w:t>y</w:t>
      </w:r>
      <w:r>
        <w:rPr>
          <w:spacing w:val="50"/>
        </w:rPr>
        <w:t> </w:t>
      </w:r>
      <w:r>
        <w:rPr/>
        <w:t>dentro</w:t>
      </w:r>
      <w:r>
        <w:rPr>
          <w:spacing w:val="52"/>
        </w:rPr>
        <w:t> </w:t>
      </w:r>
      <w:r>
        <w:rPr/>
        <w:t>de</w:t>
      </w:r>
      <w:r>
        <w:rPr>
          <w:spacing w:val="53"/>
        </w:rPr>
        <w:t> </w:t>
      </w:r>
      <w:r>
        <w:rPr>
          <w:spacing w:val="-4"/>
        </w:rPr>
        <w:t>plan</w:t>
      </w:r>
    </w:p>
    <w:p>
      <w:pPr>
        <w:pStyle w:val="BodyText"/>
        <w:spacing w:line="360" w:lineRule="auto" w:before="116"/>
        <w:ind w:left="1341" w:right="1335"/>
        <w:jc w:val="both"/>
      </w:pPr>
      <w:r>
        <w:rPr/>
        <w:t>estratégico 2024-2027, continuamos trabajando en un plan director de formación, identificando necesidades formativas, definición de objetivos, desarrollo de contenidos, monitoreo y evaluación para su implantación y seguimiento. En 2025 continuamos orientados en la mejora de los siguientes ejes:</w:t>
      </w:r>
    </w:p>
    <w:p>
      <w:pPr>
        <w:pStyle w:val="BodyText"/>
        <w:spacing w:before="202"/>
        <w:ind w:left="1341"/>
        <w:jc w:val="both"/>
      </w:pPr>
      <w:r>
        <w:rPr/>
        <w:t>1º</w:t>
      </w:r>
      <w:r>
        <w:rPr>
          <w:spacing w:val="-10"/>
        </w:rPr>
        <w:t> </w:t>
      </w:r>
      <w:r>
        <w:rPr/>
        <w:t>COMPETENCIAS</w:t>
      </w:r>
      <w:r>
        <w:rPr>
          <w:spacing w:val="-10"/>
        </w:rPr>
        <w:t> </w:t>
      </w:r>
      <w:r>
        <w:rPr>
          <w:spacing w:val="-2"/>
        </w:rPr>
        <w:t>ESTRATÉGICAS:</w:t>
      </w:r>
    </w:p>
    <w:p>
      <w:pPr>
        <w:pStyle w:val="BodyText"/>
        <w:spacing w:before="82"/>
      </w:pPr>
    </w:p>
    <w:p>
      <w:pPr>
        <w:pStyle w:val="ListParagraph"/>
        <w:numPr>
          <w:ilvl w:val="3"/>
          <w:numId w:val="31"/>
        </w:numPr>
        <w:tabs>
          <w:tab w:pos="3321" w:val="left" w:leader="none"/>
        </w:tabs>
        <w:spacing w:line="240" w:lineRule="auto" w:before="0" w:after="0"/>
        <w:ind w:left="3321" w:right="0" w:hanging="470"/>
        <w:jc w:val="left"/>
        <w:rPr>
          <w:sz w:val="20"/>
        </w:rPr>
      </w:pPr>
      <w:r>
        <w:rPr>
          <w:sz w:val="20"/>
        </w:rPr>
        <w:t>Inteligencia</w:t>
      </w:r>
      <w:r>
        <w:rPr>
          <w:spacing w:val="-12"/>
          <w:sz w:val="20"/>
        </w:rPr>
        <w:t> </w:t>
      </w:r>
      <w:r>
        <w:rPr>
          <w:spacing w:val="-2"/>
          <w:sz w:val="20"/>
        </w:rPr>
        <w:t>emocional.</w:t>
      </w:r>
    </w:p>
    <w:p>
      <w:pPr>
        <w:pStyle w:val="ListParagraph"/>
        <w:numPr>
          <w:ilvl w:val="3"/>
          <w:numId w:val="31"/>
        </w:numPr>
        <w:tabs>
          <w:tab w:pos="3321" w:val="left" w:leader="none"/>
        </w:tabs>
        <w:spacing w:line="240" w:lineRule="auto" w:before="0" w:after="0"/>
        <w:ind w:left="3321" w:right="0" w:hanging="525"/>
        <w:jc w:val="left"/>
        <w:rPr>
          <w:sz w:val="20"/>
        </w:rPr>
      </w:pPr>
      <w:r>
        <w:rPr>
          <w:sz w:val="20"/>
        </w:rPr>
        <w:t>Gestionar</w:t>
      </w:r>
      <w:r>
        <w:rPr>
          <w:spacing w:val="-4"/>
          <w:sz w:val="20"/>
        </w:rPr>
        <w:t> </w:t>
      </w:r>
      <w:r>
        <w:rPr>
          <w:sz w:val="20"/>
        </w:rPr>
        <w:t>el</w:t>
      </w:r>
      <w:r>
        <w:rPr>
          <w:spacing w:val="-6"/>
          <w:sz w:val="20"/>
        </w:rPr>
        <w:t> </w:t>
      </w:r>
      <w:r>
        <w:rPr>
          <w:spacing w:val="-2"/>
          <w:sz w:val="20"/>
        </w:rPr>
        <w:t>tiempo.</w:t>
      </w:r>
    </w:p>
    <w:p>
      <w:pPr>
        <w:pStyle w:val="ListParagraph"/>
        <w:numPr>
          <w:ilvl w:val="3"/>
          <w:numId w:val="31"/>
        </w:numPr>
        <w:tabs>
          <w:tab w:pos="3321" w:val="left" w:leader="none"/>
        </w:tabs>
        <w:spacing w:line="229" w:lineRule="exact" w:before="1" w:after="0"/>
        <w:ind w:left="3321" w:right="0" w:hanging="583"/>
        <w:jc w:val="left"/>
        <w:rPr>
          <w:sz w:val="20"/>
        </w:rPr>
      </w:pPr>
      <w:r>
        <w:rPr>
          <w:sz w:val="20"/>
        </w:rPr>
        <w:t>Trabajar</w:t>
      </w:r>
      <w:r>
        <w:rPr>
          <w:spacing w:val="-5"/>
          <w:sz w:val="20"/>
        </w:rPr>
        <w:t> </w:t>
      </w:r>
      <w:r>
        <w:rPr>
          <w:sz w:val="20"/>
        </w:rPr>
        <w:t>en</w:t>
      </w:r>
      <w:r>
        <w:rPr>
          <w:spacing w:val="-8"/>
          <w:sz w:val="20"/>
        </w:rPr>
        <w:t> </w:t>
      </w:r>
      <w:r>
        <w:rPr>
          <w:spacing w:val="-2"/>
          <w:sz w:val="20"/>
        </w:rPr>
        <w:t>equipo.</w:t>
      </w:r>
    </w:p>
    <w:p>
      <w:pPr>
        <w:pStyle w:val="ListParagraph"/>
        <w:numPr>
          <w:ilvl w:val="3"/>
          <w:numId w:val="31"/>
        </w:numPr>
        <w:tabs>
          <w:tab w:pos="3321" w:val="left" w:leader="none"/>
        </w:tabs>
        <w:spacing w:line="229" w:lineRule="exact" w:before="0" w:after="0"/>
        <w:ind w:left="3321" w:right="0" w:hanging="605"/>
        <w:jc w:val="left"/>
        <w:rPr>
          <w:sz w:val="20"/>
        </w:rPr>
      </w:pPr>
      <w:r>
        <w:rPr>
          <w:sz w:val="20"/>
        </w:rPr>
        <w:t>Comunicación</w:t>
      </w:r>
      <w:r>
        <w:rPr>
          <w:spacing w:val="-11"/>
          <w:sz w:val="20"/>
        </w:rPr>
        <w:t> </w:t>
      </w:r>
      <w:r>
        <w:rPr>
          <w:spacing w:val="-2"/>
          <w:sz w:val="20"/>
        </w:rPr>
        <w:t>eficiente.</w:t>
      </w:r>
    </w:p>
    <w:p>
      <w:pPr>
        <w:pStyle w:val="ListParagraph"/>
        <w:numPr>
          <w:ilvl w:val="3"/>
          <w:numId w:val="31"/>
        </w:numPr>
        <w:tabs>
          <w:tab w:pos="3321" w:val="left" w:leader="none"/>
        </w:tabs>
        <w:spacing w:line="448" w:lineRule="auto" w:before="3" w:after="0"/>
        <w:ind w:left="1341" w:right="2581" w:firstLine="1430"/>
        <w:jc w:val="left"/>
        <w:rPr>
          <w:sz w:val="20"/>
        </w:rPr>
      </w:pPr>
      <w:r>
        <w:rPr>
          <w:sz w:val="20"/>
        </w:rPr>
        <w:t>Uso</w:t>
      </w:r>
      <w:r>
        <w:rPr>
          <w:spacing w:val="-7"/>
          <w:sz w:val="20"/>
        </w:rPr>
        <w:t> </w:t>
      </w:r>
      <w:r>
        <w:rPr>
          <w:sz w:val="20"/>
        </w:rPr>
        <w:t>tecnología</w:t>
      </w:r>
      <w:r>
        <w:rPr>
          <w:spacing w:val="-6"/>
          <w:sz w:val="20"/>
        </w:rPr>
        <w:t> </w:t>
      </w:r>
      <w:r>
        <w:rPr>
          <w:sz w:val="20"/>
        </w:rPr>
        <w:t>digital</w:t>
      </w:r>
      <w:r>
        <w:rPr>
          <w:spacing w:val="-8"/>
          <w:sz w:val="20"/>
        </w:rPr>
        <w:t> </w:t>
      </w:r>
      <w:r>
        <w:rPr>
          <w:sz w:val="20"/>
        </w:rPr>
        <w:t>e</w:t>
      </w:r>
      <w:r>
        <w:rPr>
          <w:spacing w:val="-3"/>
          <w:sz w:val="20"/>
        </w:rPr>
        <w:t> </w:t>
      </w:r>
      <w:r>
        <w:rPr>
          <w:sz w:val="20"/>
        </w:rPr>
        <w:t>informática.</w:t>
      </w:r>
      <w:r>
        <w:rPr>
          <w:spacing w:val="-6"/>
          <w:sz w:val="20"/>
        </w:rPr>
        <w:t> </w:t>
      </w:r>
      <w:r>
        <w:rPr>
          <w:sz w:val="20"/>
        </w:rPr>
        <w:t>Transformación</w:t>
      </w:r>
      <w:r>
        <w:rPr>
          <w:spacing w:val="-7"/>
          <w:sz w:val="20"/>
        </w:rPr>
        <w:t> </w:t>
      </w:r>
      <w:r>
        <w:rPr>
          <w:sz w:val="20"/>
        </w:rPr>
        <w:t>Digital. 2º COMPETENCIAS OPERATIVAS Y TÉCNICAS.</w:t>
      </w:r>
    </w:p>
    <w:p>
      <w:pPr>
        <w:pStyle w:val="ListParagraph"/>
        <w:numPr>
          <w:ilvl w:val="0"/>
          <w:numId w:val="42"/>
        </w:numPr>
        <w:tabs>
          <w:tab w:pos="3141" w:val="left" w:leader="none"/>
        </w:tabs>
        <w:spacing w:line="240" w:lineRule="auto" w:before="32" w:after="0"/>
        <w:ind w:left="3141" w:right="0" w:hanging="470"/>
        <w:jc w:val="both"/>
        <w:rPr>
          <w:sz w:val="20"/>
        </w:rPr>
      </w:pPr>
      <w:r>
        <w:rPr>
          <w:sz w:val="20"/>
        </w:rPr>
        <w:t>Conducción</w:t>
      </w:r>
      <w:r>
        <w:rPr>
          <w:spacing w:val="-10"/>
          <w:sz w:val="20"/>
        </w:rPr>
        <w:t> </w:t>
      </w:r>
      <w:r>
        <w:rPr>
          <w:sz w:val="20"/>
        </w:rPr>
        <w:t>eficiente</w:t>
      </w:r>
      <w:r>
        <w:rPr>
          <w:spacing w:val="-11"/>
          <w:sz w:val="20"/>
        </w:rPr>
        <w:t> </w:t>
      </w:r>
      <w:r>
        <w:rPr>
          <w:sz w:val="20"/>
        </w:rPr>
        <w:t>ante</w:t>
      </w:r>
      <w:r>
        <w:rPr>
          <w:spacing w:val="-8"/>
          <w:sz w:val="20"/>
        </w:rPr>
        <w:t> </w:t>
      </w:r>
      <w:r>
        <w:rPr>
          <w:sz w:val="20"/>
        </w:rPr>
        <w:t>diversidad</w:t>
      </w:r>
      <w:r>
        <w:rPr>
          <w:spacing w:val="-8"/>
          <w:sz w:val="20"/>
        </w:rPr>
        <w:t> </w:t>
      </w:r>
      <w:r>
        <w:rPr>
          <w:sz w:val="20"/>
        </w:rPr>
        <w:t>vehículos</w:t>
      </w:r>
      <w:r>
        <w:rPr>
          <w:spacing w:val="-5"/>
          <w:sz w:val="20"/>
        </w:rPr>
        <w:t> </w:t>
      </w:r>
      <w:r>
        <w:rPr>
          <w:sz w:val="20"/>
        </w:rPr>
        <w:t>y</w:t>
      </w:r>
      <w:r>
        <w:rPr>
          <w:spacing w:val="-14"/>
          <w:sz w:val="20"/>
        </w:rPr>
        <w:t> </w:t>
      </w:r>
      <w:r>
        <w:rPr>
          <w:spacing w:val="-2"/>
          <w:sz w:val="20"/>
        </w:rPr>
        <w:t>combustibles.</w:t>
      </w:r>
    </w:p>
    <w:p>
      <w:pPr>
        <w:pStyle w:val="ListParagraph"/>
        <w:numPr>
          <w:ilvl w:val="0"/>
          <w:numId w:val="42"/>
        </w:numPr>
        <w:tabs>
          <w:tab w:pos="3141" w:val="left" w:leader="none"/>
        </w:tabs>
        <w:spacing w:line="240" w:lineRule="auto" w:before="1" w:after="0"/>
        <w:ind w:left="3141" w:right="1337" w:hanging="526"/>
        <w:jc w:val="both"/>
        <w:rPr>
          <w:sz w:val="20"/>
        </w:rPr>
      </w:pPr>
      <w:r>
        <w:rPr>
          <w:sz w:val="20"/>
        </w:rPr>
        <w:t>Competencias técnicas mantenimiento vehículos para personal Taller ante diversidad vehículos y combustibles.</w:t>
      </w:r>
    </w:p>
    <w:p>
      <w:pPr>
        <w:pStyle w:val="ListParagraph"/>
        <w:numPr>
          <w:ilvl w:val="0"/>
          <w:numId w:val="42"/>
        </w:numPr>
        <w:tabs>
          <w:tab w:pos="3140" w:val="left" w:leader="none"/>
        </w:tabs>
        <w:spacing w:line="228" w:lineRule="exact" w:before="0" w:after="0"/>
        <w:ind w:left="3140" w:right="0" w:hanging="582"/>
        <w:jc w:val="both"/>
        <w:rPr>
          <w:sz w:val="20"/>
        </w:rPr>
      </w:pPr>
      <w:r>
        <w:rPr>
          <w:sz w:val="20"/>
        </w:rPr>
        <w:t>Igualdad</w:t>
      </w:r>
      <w:r>
        <w:rPr>
          <w:spacing w:val="-2"/>
          <w:sz w:val="20"/>
        </w:rPr>
        <w:t> </w:t>
      </w:r>
      <w:r>
        <w:rPr>
          <w:sz w:val="20"/>
        </w:rPr>
        <w:t>y</w:t>
      </w:r>
      <w:r>
        <w:rPr>
          <w:spacing w:val="-9"/>
          <w:sz w:val="20"/>
        </w:rPr>
        <w:t> </w:t>
      </w:r>
      <w:r>
        <w:rPr>
          <w:spacing w:val="-2"/>
          <w:sz w:val="20"/>
        </w:rPr>
        <w:t>Conciliación.</w:t>
      </w:r>
    </w:p>
    <w:p>
      <w:pPr>
        <w:pStyle w:val="ListParagraph"/>
        <w:numPr>
          <w:ilvl w:val="0"/>
          <w:numId w:val="42"/>
        </w:numPr>
        <w:tabs>
          <w:tab w:pos="3139" w:val="left" w:leader="none"/>
          <w:tab w:pos="3141" w:val="left" w:leader="none"/>
        </w:tabs>
        <w:spacing w:line="240" w:lineRule="auto" w:before="0" w:after="0"/>
        <w:ind w:left="3141" w:right="1337" w:hanging="605"/>
        <w:jc w:val="both"/>
        <w:rPr>
          <w:sz w:val="20"/>
        </w:rPr>
      </w:pPr>
      <w:r>
        <w:rPr>
          <w:sz w:val="20"/>
        </w:rPr>
        <w:t>Salud Laboral, Prevención y Bienestar. Incluyendo materia prevención riesgos psicosociales.</w:t>
      </w:r>
    </w:p>
    <w:p>
      <w:pPr>
        <w:pStyle w:val="ListParagraph"/>
        <w:numPr>
          <w:ilvl w:val="0"/>
          <w:numId w:val="42"/>
        </w:numPr>
        <w:tabs>
          <w:tab w:pos="3139" w:val="left" w:leader="none"/>
          <w:tab w:pos="3141" w:val="left" w:leader="none"/>
        </w:tabs>
        <w:spacing w:line="240" w:lineRule="auto" w:before="1" w:after="0"/>
        <w:ind w:left="3141" w:right="1336" w:hanging="550"/>
        <w:jc w:val="both"/>
        <w:rPr>
          <w:sz w:val="20"/>
        </w:rPr>
      </w:pPr>
      <w:r>
        <w:rPr>
          <w:sz w:val="20"/>
        </w:rPr>
        <w:t>IDIOMAS. Facilitar mejora competencia de inglés cotidiano para personal de atención al público e inglés técnico para los puestos correspondientes, así como la metodología más adecuada y eficaz para su impartición.</w:t>
      </w:r>
    </w:p>
    <w:p>
      <w:pPr>
        <w:pStyle w:val="ListParagraph"/>
        <w:numPr>
          <w:ilvl w:val="0"/>
          <w:numId w:val="42"/>
        </w:numPr>
        <w:tabs>
          <w:tab w:pos="3141" w:val="left" w:leader="none"/>
        </w:tabs>
        <w:spacing w:line="240" w:lineRule="auto" w:before="0" w:after="0"/>
        <w:ind w:left="3141" w:right="1340" w:hanging="605"/>
        <w:jc w:val="both"/>
        <w:rPr>
          <w:sz w:val="20"/>
        </w:rPr>
      </w:pPr>
      <w:r>
        <w:rPr>
          <w:sz w:val="20"/>
        </w:rPr>
        <w:t>Actualización y adaptación organización a la normativa (Compliance, Protección de Datos, Contratación Pública, etc.)</w:t>
      </w:r>
    </w:p>
    <w:p>
      <w:pPr>
        <w:pStyle w:val="ListParagraph"/>
        <w:numPr>
          <w:ilvl w:val="0"/>
          <w:numId w:val="42"/>
        </w:numPr>
        <w:tabs>
          <w:tab w:pos="3139" w:val="left" w:leader="none"/>
        </w:tabs>
        <w:spacing w:line="240" w:lineRule="auto" w:before="0" w:after="0"/>
        <w:ind w:left="3139" w:right="0" w:hanging="658"/>
        <w:jc w:val="both"/>
        <w:rPr>
          <w:sz w:val="20"/>
        </w:rPr>
      </w:pPr>
      <w:r>
        <w:rPr>
          <w:sz w:val="20"/>
        </w:rPr>
        <w:t>Acogida</w:t>
      </w:r>
      <w:r>
        <w:rPr>
          <w:spacing w:val="-1"/>
          <w:sz w:val="20"/>
        </w:rPr>
        <w:t> </w:t>
      </w:r>
      <w:r>
        <w:rPr>
          <w:sz w:val="20"/>
        </w:rPr>
        <w:t>a</w:t>
      </w:r>
      <w:r>
        <w:rPr>
          <w:spacing w:val="-5"/>
          <w:sz w:val="20"/>
        </w:rPr>
        <w:t> </w:t>
      </w:r>
      <w:r>
        <w:rPr>
          <w:sz w:val="20"/>
        </w:rPr>
        <w:t>la</w:t>
      </w:r>
      <w:r>
        <w:rPr>
          <w:spacing w:val="-6"/>
          <w:sz w:val="20"/>
        </w:rPr>
        <w:t> </w:t>
      </w:r>
      <w:r>
        <w:rPr>
          <w:spacing w:val="-2"/>
          <w:sz w:val="20"/>
        </w:rPr>
        <w:t>empresa.</w:t>
      </w:r>
    </w:p>
    <w:p>
      <w:pPr>
        <w:pStyle w:val="ListParagraph"/>
        <w:numPr>
          <w:ilvl w:val="0"/>
          <w:numId w:val="42"/>
        </w:numPr>
        <w:tabs>
          <w:tab w:pos="3142" w:val="left" w:leader="none"/>
        </w:tabs>
        <w:spacing w:line="240" w:lineRule="auto" w:before="0" w:after="0"/>
        <w:ind w:left="3142" w:right="0" w:hanging="716"/>
        <w:jc w:val="left"/>
        <w:rPr>
          <w:sz w:val="20"/>
        </w:rPr>
      </w:pPr>
      <w:r>
        <w:rPr>
          <w:spacing w:val="-2"/>
          <w:sz w:val="20"/>
        </w:rPr>
        <w:t>Otros</w:t>
      </w:r>
    </w:p>
    <w:p>
      <w:pPr>
        <w:pStyle w:val="BodyText"/>
        <w:spacing w:before="202"/>
      </w:pPr>
    </w:p>
    <w:p>
      <w:pPr>
        <w:pStyle w:val="BodyText"/>
        <w:spacing w:before="1"/>
        <w:ind w:left="1341"/>
      </w:pPr>
      <w:r>
        <w:rPr/>
        <w:t>3º</w:t>
      </w:r>
      <w:r>
        <w:rPr>
          <w:spacing w:val="-8"/>
        </w:rPr>
        <w:t> </w:t>
      </w:r>
      <w:r>
        <w:rPr/>
        <w:t>OPERATIVIDAD</w:t>
      </w:r>
      <w:r>
        <w:rPr>
          <w:spacing w:val="-6"/>
        </w:rPr>
        <w:t> </w:t>
      </w:r>
      <w:r>
        <w:rPr/>
        <w:t>PLAN</w:t>
      </w:r>
      <w:r>
        <w:rPr>
          <w:spacing w:val="-5"/>
        </w:rPr>
        <w:t> </w:t>
      </w:r>
      <w:r>
        <w:rPr/>
        <w:t>DE</w:t>
      </w:r>
      <w:r>
        <w:rPr>
          <w:spacing w:val="-7"/>
        </w:rPr>
        <w:t> </w:t>
      </w:r>
      <w:r>
        <w:rPr/>
        <w:t>FORMACIÓN</w:t>
      </w:r>
      <w:r>
        <w:rPr>
          <w:spacing w:val="-4"/>
        </w:rPr>
        <w:t> </w:t>
      </w:r>
      <w:r>
        <w:rPr/>
        <w:t>Y</w:t>
      </w:r>
      <w:r>
        <w:rPr>
          <w:spacing w:val="-7"/>
        </w:rPr>
        <w:t> </w:t>
      </w:r>
      <w:r>
        <w:rPr>
          <w:spacing w:val="-2"/>
        </w:rPr>
        <w:t>APRENDIZAJE:</w:t>
      </w:r>
    </w:p>
    <w:p>
      <w:pPr>
        <w:pStyle w:val="BodyText"/>
      </w:pPr>
    </w:p>
    <w:p>
      <w:pPr>
        <w:pStyle w:val="BodyText"/>
        <w:ind w:left="365"/>
        <w:jc w:val="center"/>
      </w:pPr>
      <w:r>
        <w:rPr/>
        <w:t>Acciones</w:t>
      </w:r>
      <w:r>
        <w:rPr>
          <w:spacing w:val="64"/>
        </w:rPr>
        <w:t> </w:t>
      </w:r>
      <w:r>
        <w:rPr/>
        <w:t>para</w:t>
      </w:r>
      <w:r>
        <w:rPr>
          <w:spacing w:val="65"/>
        </w:rPr>
        <w:t> </w:t>
      </w:r>
      <w:r>
        <w:rPr/>
        <w:t>ajustar</w:t>
      </w:r>
      <w:r>
        <w:rPr>
          <w:spacing w:val="68"/>
        </w:rPr>
        <w:t> </w:t>
      </w:r>
      <w:r>
        <w:rPr/>
        <w:t>el</w:t>
      </w:r>
      <w:r>
        <w:rPr>
          <w:spacing w:val="66"/>
        </w:rPr>
        <w:t> </w:t>
      </w:r>
      <w:r>
        <w:rPr/>
        <w:t>plan</w:t>
      </w:r>
      <w:r>
        <w:rPr>
          <w:spacing w:val="67"/>
        </w:rPr>
        <w:t> </w:t>
      </w:r>
      <w:r>
        <w:rPr/>
        <w:t>de</w:t>
      </w:r>
      <w:r>
        <w:rPr>
          <w:spacing w:val="64"/>
        </w:rPr>
        <w:t> </w:t>
      </w:r>
      <w:r>
        <w:rPr/>
        <w:t>formación</w:t>
      </w:r>
      <w:r>
        <w:rPr>
          <w:spacing w:val="67"/>
        </w:rPr>
        <w:t> </w:t>
      </w:r>
      <w:r>
        <w:rPr/>
        <w:t>y</w:t>
      </w:r>
      <w:r>
        <w:rPr>
          <w:spacing w:val="59"/>
        </w:rPr>
        <w:t> </w:t>
      </w:r>
      <w:r>
        <w:rPr/>
        <w:t>aprendizaje</w:t>
      </w:r>
      <w:r>
        <w:rPr>
          <w:spacing w:val="64"/>
        </w:rPr>
        <w:t> </w:t>
      </w:r>
      <w:r>
        <w:rPr/>
        <w:t>haciéndolo</w:t>
      </w:r>
      <w:r>
        <w:rPr>
          <w:spacing w:val="64"/>
        </w:rPr>
        <w:t> </w:t>
      </w:r>
      <w:r>
        <w:rPr/>
        <w:t>más</w:t>
      </w:r>
      <w:r>
        <w:rPr>
          <w:spacing w:val="66"/>
        </w:rPr>
        <w:t> </w:t>
      </w:r>
      <w:r>
        <w:rPr>
          <w:spacing w:val="-2"/>
        </w:rPr>
        <w:t>operativo</w:t>
      </w:r>
    </w:p>
    <w:p>
      <w:pPr>
        <w:pStyle w:val="BodyText"/>
        <w:spacing w:before="3"/>
        <w:ind w:left="1701"/>
      </w:pPr>
      <w:r>
        <w:rPr/>
        <w:t>atendiendo</w:t>
      </w:r>
      <w:r>
        <w:rPr>
          <w:spacing w:val="-8"/>
        </w:rPr>
        <w:t> </w:t>
      </w:r>
      <w:r>
        <w:rPr/>
        <w:t>a</w:t>
      </w:r>
      <w:r>
        <w:rPr>
          <w:spacing w:val="-11"/>
        </w:rPr>
        <w:t> </w:t>
      </w:r>
      <w:r>
        <w:rPr/>
        <w:t>nuestra</w:t>
      </w:r>
      <w:r>
        <w:rPr>
          <w:spacing w:val="-8"/>
        </w:rPr>
        <w:t> </w:t>
      </w:r>
      <w:r>
        <w:rPr/>
        <w:t>particularidades</w:t>
      </w:r>
      <w:r>
        <w:rPr>
          <w:spacing w:val="-9"/>
        </w:rPr>
        <w:t> </w:t>
      </w:r>
      <w:r>
        <w:rPr/>
        <w:t>organizativas</w:t>
      </w:r>
      <w:r>
        <w:rPr>
          <w:spacing w:val="-4"/>
        </w:rPr>
        <w:t> </w:t>
      </w:r>
      <w:r>
        <w:rPr/>
        <w:t>y</w:t>
      </w:r>
      <w:r>
        <w:rPr>
          <w:spacing w:val="-11"/>
        </w:rPr>
        <w:t> </w:t>
      </w:r>
      <w:r>
        <w:rPr/>
        <w:t>nueva</w:t>
      </w:r>
      <w:r>
        <w:rPr>
          <w:spacing w:val="-11"/>
        </w:rPr>
        <w:t> </w:t>
      </w:r>
      <w:r>
        <w:rPr>
          <w:spacing w:val="-2"/>
        </w:rPr>
        <w:t>realidad.</w:t>
      </w:r>
    </w:p>
    <w:p>
      <w:pPr>
        <w:pStyle w:val="BodyText"/>
        <w:spacing w:before="200"/>
        <w:ind w:left="1701"/>
      </w:pPr>
      <w:r>
        <w:rPr/>
        <mc:AlternateContent>
          <mc:Choice Requires="wps">
            <w:drawing>
              <wp:anchor distT="0" distB="0" distL="0" distR="0" allowOverlap="1" layoutInCell="1" locked="0" behindDoc="0" simplePos="0" relativeHeight="15820800">
                <wp:simplePos x="0" y="0"/>
                <wp:positionH relativeFrom="page">
                  <wp:posOffset>6966436</wp:posOffset>
                </wp:positionH>
                <wp:positionV relativeFrom="paragraph">
                  <wp:posOffset>174800</wp:posOffset>
                </wp:positionV>
                <wp:extent cx="263525" cy="327596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3.763789pt;width:20.75pt;height:257.95pt;mso-position-horizontal-relative:page;mso-position-vertical-relative:paragraph;z-index:15820800" type="#_x0000_t202" id="docshape24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51</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Por</w:t>
      </w:r>
      <w:r>
        <w:rPr>
          <w:spacing w:val="-5"/>
        </w:rPr>
        <w:t> </w:t>
      </w:r>
      <w:r>
        <w:rPr/>
        <w:t>ello,</w:t>
      </w:r>
      <w:r>
        <w:rPr>
          <w:spacing w:val="-7"/>
        </w:rPr>
        <w:t> </w:t>
      </w:r>
      <w:r>
        <w:rPr/>
        <w:t>el</w:t>
      </w:r>
      <w:r>
        <w:rPr>
          <w:spacing w:val="-7"/>
        </w:rPr>
        <w:t> </w:t>
      </w:r>
      <w:r>
        <w:rPr/>
        <w:t>Plan</w:t>
      </w:r>
      <w:r>
        <w:rPr>
          <w:spacing w:val="-7"/>
        </w:rPr>
        <w:t> </w:t>
      </w:r>
      <w:r>
        <w:rPr/>
        <w:t>de</w:t>
      </w:r>
      <w:r>
        <w:rPr>
          <w:spacing w:val="-8"/>
        </w:rPr>
        <w:t> </w:t>
      </w:r>
      <w:r>
        <w:rPr/>
        <w:t>Formación</w:t>
      </w:r>
      <w:r>
        <w:rPr>
          <w:spacing w:val="-2"/>
        </w:rPr>
        <w:t> </w:t>
      </w:r>
      <w:r>
        <w:rPr/>
        <w:t>y</w:t>
      </w:r>
      <w:r>
        <w:rPr>
          <w:spacing w:val="-8"/>
        </w:rPr>
        <w:t> </w:t>
      </w:r>
      <w:r>
        <w:rPr/>
        <w:t>Aprendizaje</w:t>
      </w:r>
      <w:r>
        <w:rPr>
          <w:spacing w:val="-5"/>
        </w:rPr>
        <w:t> </w:t>
      </w:r>
      <w:r>
        <w:rPr/>
        <w:t>2025</w:t>
      </w:r>
      <w:r>
        <w:rPr>
          <w:spacing w:val="-7"/>
        </w:rPr>
        <w:t> </w:t>
      </w:r>
      <w:r>
        <w:rPr/>
        <w:t>ha</w:t>
      </w:r>
      <w:r>
        <w:rPr>
          <w:spacing w:val="-6"/>
        </w:rPr>
        <w:t> </w:t>
      </w:r>
      <w:r>
        <w:rPr/>
        <w:t>perseguido</w:t>
      </w:r>
      <w:r>
        <w:rPr>
          <w:spacing w:val="-6"/>
        </w:rPr>
        <w:t> </w:t>
      </w:r>
      <w:r>
        <w:rPr/>
        <w:t>estos</w:t>
      </w:r>
      <w:r>
        <w:rPr>
          <w:spacing w:val="-4"/>
        </w:rPr>
        <w:t> </w:t>
      </w:r>
      <w:r>
        <w:rPr>
          <w:spacing w:val="-2"/>
        </w:rPr>
        <w:t>objetivos:</w:t>
      </w:r>
    </w:p>
    <w:p>
      <w:pPr>
        <w:pStyle w:val="BodyText"/>
        <w:spacing w:before="2"/>
        <w:rPr>
          <w:sz w:val="12"/>
        </w:rPr>
      </w:pPr>
    </w:p>
    <w:p>
      <w:pPr>
        <w:pStyle w:val="BodyText"/>
        <w:spacing w:after="0"/>
        <w:rPr>
          <w:sz w:val="12"/>
        </w:rPr>
        <w:sectPr>
          <w:pgSz w:w="11910" w:h="16840"/>
          <w:pgMar w:header="384" w:footer="1060" w:top="1200" w:bottom="1260" w:left="360" w:right="360"/>
        </w:sectPr>
      </w:pPr>
    </w:p>
    <w:p>
      <w:pPr>
        <w:pStyle w:val="ListParagraph"/>
        <w:numPr>
          <w:ilvl w:val="0"/>
          <w:numId w:val="43"/>
        </w:numPr>
        <w:tabs>
          <w:tab w:pos="2419" w:val="left" w:leader="none"/>
          <w:tab w:pos="2421" w:val="left" w:leader="none"/>
        </w:tabs>
        <w:spacing w:line="240" w:lineRule="auto" w:before="93" w:after="0"/>
        <w:ind w:left="2421" w:right="0" w:hanging="360"/>
        <w:jc w:val="left"/>
        <w:rPr>
          <w:sz w:val="20"/>
        </w:rPr>
      </w:pPr>
      <w:r>
        <w:rPr>
          <w:sz w:val="20"/>
        </w:rPr>
        <w:t>Mejora</w:t>
      </w:r>
      <w:r>
        <w:rPr>
          <w:spacing w:val="40"/>
          <w:sz w:val="20"/>
        </w:rPr>
        <w:t> </w:t>
      </w:r>
      <w:r>
        <w:rPr>
          <w:sz w:val="20"/>
        </w:rPr>
        <w:t>de</w:t>
      </w:r>
      <w:r>
        <w:rPr>
          <w:spacing w:val="40"/>
          <w:sz w:val="20"/>
        </w:rPr>
        <w:t> </w:t>
      </w:r>
      <w:r>
        <w:rPr>
          <w:sz w:val="20"/>
        </w:rPr>
        <w:t>las</w:t>
      </w:r>
      <w:r>
        <w:rPr>
          <w:spacing w:val="40"/>
          <w:sz w:val="20"/>
        </w:rPr>
        <w:t> </w:t>
      </w:r>
      <w:r>
        <w:rPr>
          <w:sz w:val="20"/>
        </w:rPr>
        <w:t>competencias</w:t>
      </w:r>
      <w:r>
        <w:rPr>
          <w:spacing w:val="40"/>
          <w:sz w:val="20"/>
        </w:rPr>
        <w:t> </w:t>
      </w:r>
      <w:r>
        <w:rPr>
          <w:sz w:val="20"/>
        </w:rPr>
        <w:t>técnicas</w:t>
      </w:r>
      <w:r>
        <w:rPr>
          <w:spacing w:val="40"/>
          <w:sz w:val="20"/>
        </w:rPr>
        <w:t> </w:t>
      </w:r>
      <w:r>
        <w:rPr>
          <w:sz w:val="20"/>
        </w:rPr>
        <w:t>del</w:t>
      </w:r>
      <w:r>
        <w:rPr>
          <w:spacing w:val="40"/>
          <w:sz w:val="20"/>
        </w:rPr>
        <w:t> </w:t>
      </w:r>
      <w:r>
        <w:rPr>
          <w:sz w:val="20"/>
        </w:rPr>
        <w:t>Personal</w:t>
      </w:r>
      <w:r>
        <w:rPr>
          <w:spacing w:val="40"/>
          <w:sz w:val="20"/>
        </w:rPr>
        <w:t> </w:t>
      </w:r>
      <w:r>
        <w:rPr>
          <w:sz w:val="20"/>
        </w:rPr>
        <w:t>de</w:t>
      </w:r>
      <w:r>
        <w:rPr>
          <w:spacing w:val="40"/>
          <w:sz w:val="20"/>
        </w:rPr>
        <w:t> </w:t>
      </w:r>
      <w:r>
        <w:rPr>
          <w:sz w:val="20"/>
        </w:rPr>
        <w:t>Taller mantenimiento preventivo de la flota.</w:t>
      </w:r>
    </w:p>
    <w:p>
      <w:pPr>
        <w:pStyle w:val="ListParagraph"/>
        <w:numPr>
          <w:ilvl w:val="0"/>
          <w:numId w:val="43"/>
        </w:numPr>
        <w:tabs>
          <w:tab w:pos="2419" w:val="left" w:leader="none"/>
        </w:tabs>
        <w:spacing w:line="240" w:lineRule="auto" w:before="1" w:after="0"/>
        <w:ind w:left="2419" w:right="0" w:hanging="358"/>
        <w:jc w:val="left"/>
        <w:rPr>
          <w:sz w:val="20"/>
        </w:rPr>
      </w:pPr>
      <w:r>
        <w:rPr>
          <w:spacing w:val="-2"/>
          <w:sz w:val="20"/>
        </w:rPr>
        <w:t>Formación/Sensibilización</w:t>
      </w:r>
      <w:r>
        <w:rPr>
          <w:spacing w:val="14"/>
          <w:sz w:val="20"/>
        </w:rPr>
        <w:t> </w:t>
      </w:r>
      <w:r>
        <w:rPr>
          <w:spacing w:val="-2"/>
          <w:sz w:val="20"/>
        </w:rPr>
        <w:t>en</w:t>
      </w:r>
      <w:r>
        <w:rPr>
          <w:spacing w:val="10"/>
          <w:sz w:val="20"/>
        </w:rPr>
        <w:t> </w:t>
      </w:r>
      <w:r>
        <w:rPr>
          <w:spacing w:val="-2"/>
          <w:sz w:val="20"/>
        </w:rPr>
        <w:t>Igualdad.</w:t>
      </w:r>
    </w:p>
    <w:p>
      <w:pPr>
        <w:pStyle w:val="BodyText"/>
        <w:spacing w:before="93"/>
        <w:ind w:left="70"/>
      </w:pPr>
      <w:r>
        <w:rPr/>
        <w:br w:type="column"/>
      </w:r>
      <w:r>
        <w:rPr/>
        <w:t>que</w:t>
      </w:r>
      <w:r>
        <w:rPr>
          <w:spacing w:val="49"/>
        </w:rPr>
        <w:t> </w:t>
      </w:r>
      <w:r>
        <w:rPr/>
        <w:t>les</w:t>
      </w:r>
      <w:r>
        <w:rPr>
          <w:spacing w:val="46"/>
        </w:rPr>
        <w:t> </w:t>
      </w:r>
      <w:r>
        <w:rPr/>
        <w:t>ayude</w:t>
      </w:r>
      <w:r>
        <w:rPr>
          <w:spacing w:val="49"/>
        </w:rPr>
        <w:t> </w:t>
      </w:r>
      <w:r>
        <w:rPr>
          <w:spacing w:val="-5"/>
        </w:rPr>
        <w:t>al</w:t>
      </w:r>
    </w:p>
    <w:p>
      <w:pPr>
        <w:pStyle w:val="BodyText"/>
        <w:spacing w:after="0"/>
        <w:sectPr>
          <w:type w:val="continuous"/>
          <w:pgSz w:w="11910" w:h="16840"/>
          <w:pgMar w:header="384" w:footer="1060" w:top="1700" w:bottom="1040" w:left="360" w:right="360"/>
          <w:cols w:num="2" w:equalWidth="0">
            <w:col w:w="8121" w:space="40"/>
            <w:col w:w="3029"/>
          </w:cols>
        </w:sectPr>
      </w:pPr>
    </w:p>
    <w:p>
      <w:pPr>
        <w:pStyle w:val="ListParagraph"/>
        <w:numPr>
          <w:ilvl w:val="0"/>
          <w:numId w:val="43"/>
        </w:numPr>
        <w:tabs>
          <w:tab w:pos="2419" w:val="left" w:leader="none"/>
        </w:tabs>
        <w:spacing w:line="228" w:lineRule="exact" w:before="0" w:after="0"/>
        <w:ind w:left="2419" w:right="0" w:hanging="358"/>
        <w:jc w:val="left"/>
        <w:rPr>
          <w:sz w:val="20"/>
        </w:rPr>
      </w:pPr>
      <w:r>
        <w:rPr>
          <w:sz w:val="20"/>
        </w:rPr>
        <w:t>El</w:t>
      </w:r>
      <w:r>
        <w:rPr>
          <w:spacing w:val="-3"/>
          <w:sz w:val="20"/>
        </w:rPr>
        <w:t> </w:t>
      </w:r>
      <w:r>
        <w:rPr>
          <w:sz w:val="20"/>
        </w:rPr>
        <w:t>acoso</w:t>
      </w:r>
      <w:r>
        <w:rPr>
          <w:spacing w:val="-7"/>
          <w:sz w:val="20"/>
        </w:rPr>
        <w:t> </w:t>
      </w:r>
      <w:r>
        <w:rPr>
          <w:sz w:val="20"/>
        </w:rPr>
        <w:t>laboral</w:t>
      </w:r>
      <w:r>
        <w:rPr>
          <w:spacing w:val="1"/>
          <w:sz w:val="20"/>
        </w:rPr>
        <w:t> </w:t>
      </w:r>
      <w:r>
        <w:rPr>
          <w:sz w:val="20"/>
        </w:rPr>
        <w:t>y</w:t>
      </w:r>
      <w:r>
        <w:rPr>
          <w:spacing w:val="-10"/>
          <w:sz w:val="20"/>
        </w:rPr>
        <w:t> </w:t>
      </w:r>
      <w:r>
        <w:rPr>
          <w:sz w:val="20"/>
        </w:rPr>
        <w:t>otros</w:t>
      </w:r>
      <w:r>
        <w:rPr>
          <w:spacing w:val="-5"/>
          <w:sz w:val="20"/>
        </w:rPr>
        <w:t> </w:t>
      </w:r>
      <w:r>
        <w:rPr>
          <w:sz w:val="20"/>
        </w:rPr>
        <w:t>riesgos</w:t>
      </w:r>
      <w:r>
        <w:rPr>
          <w:spacing w:val="-4"/>
          <w:sz w:val="20"/>
        </w:rPr>
        <w:t> </w:t>
      </w:r>
      <w:r>
        <w:rPr>
          <w:sz w:val="20"/>
        </w:rPr>
        <w:t>psicosociales</w:t>
      </w:r>
      <w:r>
        <w:rPr>
          <w:spacing w:val="-4"/>
          <w:sz w:val="20"/>
        </w:rPr>
        <w:t> </w:t>
      </w:r>
      <w:r>
        <w:rPr>
          <w:sz w:val="20"/>
        </w:rPr>
        <w:t>en</w:t>
      </w:r>
      <w:r>
        <w:rPr>
          <w:spacing w:val="-6"/>
          <w:sz w:val="20"/>
        </w:rPr>
        <w:t> </w:t>
      </w:r>
      <w:r>
        <w:rPr>
          <w:sz w:val="20"/>
        </w:rPr>
        <w:t>el</w:t>
      </w:r>
      <w:r>
        <w:rPr>
          <w:spacing w:val="-6"/>
          <w:sz w:val="20"/>
        </w:rPr>
        <w:t> </w:t>
      </w:r>
      <w:r>
        <w:rPr>
          <w:sz w:val="20"/>
        </w:rPr>
        <w:t>ámbito</w:t>
      </w:r>
      <w:r>
        <w:rPr>
          <w:spacing w:val="-6"/>
          <w:sz w:val="20"/>
        </w:rPr>
        <w:t> </w:t>
      </w:r>
      <w:r>
        <w:rPr>
          <w:spacing w:val="-2"/>
          <w:sz w:val="20"/>
        </w:rPr>
        <w:t>laboral.</w:t>
      </w:r>
    </w:p>
    <w:p>
      <w:pPr>
        <w:pStyle w:val="ListParagraph"/>
        <w:numPr>
          <w:ilvl w:val="0"/>
          <w:numId w:val="43"/>
        </w:numPr>
        <w:tabs>
          <w:tab w:pos="2419" w:val="left" w:leader="none"/>
        </w:tabs>
        <w:spacing w:line="240" w:lineRule="auto" w:before="0" w:after="0"/>
        <w:ind w:left="2419" w:right="0" w:hanging="358"/>
        <w:jc w:val="left"/>
        <w:rPr>
          <w:sz w:val="20"/>
        </w:rPr>
      </w:pPr>
      <w:r>
        <w:rPr>
          <w:sz w:val="20"/>
        </w:rPr>
        <w:t>La</w:t>
      </w:r>
      <w:r>
        <w:rPr>
          <w:spacing w:val="-6"/>
          <w:sz w:val="20"/>
        </w:rPr>
        <w:t> </w:t>
      </w:r>
      <w:r>
        <w:rPr>
          <w:sz w:val="20"/>
        </w:rPr>
        <w:t>nómina</w:t>
      </w:r>
      <w:r>
        <w:rPr>
          <w:spacing w:val="-6"/>
          <w:sz w:val="20"/>
        </w:rPr>
        <w:t> </w:t>
      </w:r>
      <w:r>
        <w:rPr>
          <w:sz w:val="20"/>
        </w:rPr>
        <w:t>de</w:t>
      </w:r>
      <w:r>
        <w:rPr>
          <w:spacing w:val="-5"/>
          <w:sz w:val="20"/>
        </w:rPr>
        <w:t> </w:t>
      </w:r>
      <w:r>
        <w:rPr>
          <w:sz w:val="20"/>
        </w:rPr>
        <w:t>Guaguas</w:t>
      </w:r>
      <w:r>
        <w:rPr>
          <w:spacing w:val="-5"/>
          <w:sz w:val="20"/>
        </w:rPr>
        <w:t> </w:t>
      </w:r>
      <w:r>
        <w:rPr>
          <w:spacing w:val="-2"/>
          <w:sz w:val="20"/>
        </w:rPr>
        <w:t>Municipales.</w:t>
      </w:r>
    </w:p>
    <w:p>
      <w:pPr>
        <w:pStyle w:val="ListParagraph"/>
        <w:numPr>
          <w:ilvl w:val="0"/>
          <w:numId w:val="43"/>
        </w:numPr>
        <w:tabs>
          <w:tab w:pos="2419" w:val="left" w:leader="none"/>
        </w:tabs>
        <w:spacing w:line="240" w:lineRule="auto" w:before="1" w:after="0"/>
        <w:ind w:left="2419" w:right="0" w:hanging="358"/>
        <w:jc w:val="left"/>
        <w:rPr>
          <w:sz w:val="20"/>
        </w:rPr>
      </w:pPr>
      <w:r>
        <w:rPr>
          <w:sz w:val="20"/>
        </w:rPr>
        <w:t>Mejora</w:t>
      </w:r>
      <w:r>
        <w:rPr>
          <w:spacing w:val="-9"/>
          <w:sz w:val="20"/>
        </w:rPr>
        <w:t> </w:t>
      </w:r>
      <w:r>
        <w:rPr>
          <w:sz w:val="20"/>
        </w:rPr>
        <w:t>seguridad,</w:t>
      </w:r>
      <w:r>
        <w:rPr>
          <w:spacing w:val="-8"/>
          <w:sz w:val="20"/>
        </w:rPr>
        <w:t> </w:t>
      </w:r>
      <w:r>
        <w:rPr>
          <w:sz w:val="20"/>
        </w:rPr>
        <w:t>salud</w:t>
      </w:r>
      <w:r>
        <w:rPr>
          <w:spacing w:val="-5"/>
          <w:sz w:val="20"/>
        </w:rPr>
        <w:t> </w:t>
      </w:r>
      <w:r>
        <w:rPr>
          <w:sz w:val="20"/>
        </w:rPr>
        <w:t>y</w:t>
      </w:r>
      <w:r>
        <w:rPr>
          <w:spacing w:val="-7"/>
          <w:sz w:val="20"/>
        </w:rPr>
        <w:t> </w:t>
      </w:r>
      <w:r>
        <w:rPr>
          <w:sz w:val="20"/>
        </w:rPr>
        <w:t>bienestar</w:t>
      </w:r>
      <w:r>
        <w:rPr>
          <w:spacing w:val="-7"/>
          <w:sz w:val="20"/>
        </w:rPr>
        <w:t> </w:t>
      </w:r>
      <w:r>
        <w:rPr>
          <w:sz w:val="20"/>
        </w:rPr>
        <w:t>de</w:t>
      </w:r>
      <w:r>
        <w:rPr>
          <w:spacing w:val="-8"/>
          <w:sz w:val="20"/>
        </w:rPr>
        <w:t> </w:t>
      </w:r>
      <w:r>
        <w:rPr>
          <w:sz w:val="20"/>
        </w:rPr>
        <w:t>las</w:t>
      </w:r>
      <w:r>
        <w:rPr>
          <w:spacing w:val="-7"/>
          <w:sz w:val="20"/>
        </w:rPr>
        <w:t> </w:t>
      </w:r>
      <w:r>
        <w:rPr>
          <w:sz w:val="20"/>
        </w:rPr>
        <w:t>personas</w:t>
      </w:r>
      <w:r>
        <w:rPr>
          <w:spacing w:val="-7"/>
          <w:sz w:val="20"/>
        </w:rPr>
        <w:t> </w:t>
      </w:r>
      <w:r>
        <w:rPr>
          <w:sz w:val="20"/>
        </w:rPr>
        <w:t>trabajadoras</w:t>
      </w:r>
      <w:r>
        <w:rPr>
          <w:spacing w:val="-3"/>
          <w:sz w:val="20"/>
        </w:rPr>
        <w:t> </w:t>
      </w:r>
      <w:r>
        <w:rPr>
          <w:spacing w:val="-2"/>
          <w:sz w:val="20"/>
        </w:rPr>
        <w:t>para:</w:t>
      </w:r>
    </w:p>
    <w:p>
      <w:pPr>
        <w:pStyle w:val="ListParagraph"/>
        <w:numPr>
          <w:ilvl w:val="1"/>
          <w:numId w:val="43"/>
        </w:numPr>
        <w:tabs>
          <w:tab w:pos="2419" w:val="left" w:leader="none"/>
          <w:tab w:pos="2421" w:val="left" w:leader="none"/>
        </w:tabs>
        <w:spacing w:line="240" w:lineRule="auto" w:before="0" w:after="0"/>
        <w:ind w:left="2421" w:right="1337" w:hanging="360"/>
        <w:jc w:val="left"/>
        <w:rPr>
          <w:sz w:val="20"/>
        </w:rPr>
      </w:pPr>
      <w:r>
        <w:rPr>
          <w:sz w:val="20"/>
        </w:rPr>
        <w:t>Prevenir</w:t>
      </w:r>
      <w:r>
        <w:rPr>
          <w:spacing w:val="-1"/>
          <w:sz w:val="20"/>
        </w:rPr>
        <w:t> </w:t>
      </w:r>
      <w:r>
        <w:rPr>
          <w:sz w:val="20"/>
        </w:rPr>
        <w:t>los</w:t>
      </w:r>
      <w:r>
        <w:rPr>
          <w:spacing w:val="-1"/>
          <w:sz w:val="20"/>
        </w:rPr>
        <w:t> </w:t>
      </w:r>
      <w:r>
        <w:rPr>
          <w:sz w:val="20"/>
        </w:rPr>
        <w:t>daños</w:t>
      </w:r>
      <w:r>
        <w:rPr>
          <w:spacing w:val="-2"/>
          <w:sz w:val="20"/>
        </w:rPr>
        <w:t> </w:t>
      </w:r>
      <w:r>
        <w:rPr>
          <w:sz w:val="20"/>
        </w:rPr>
        <w:t>que</w:t>
      </w:r>
      <w:r>
        <w:rPr>
          <w:spacing w:val="-1"/>
          <w:sz w:val="20"/>
        </w:rPr>
        <w:t> </w:t>
      </w:r>
      <w:r>
        <w:rPr>
          <w:sz w:val="20"/>
        </w:rPr>
        <w:t>puedan</w:t>
      </w:r>
      <w:r>
        <w:rPr>
          <w:spacing w:val="-3"/>
          <w:sz w:val="20"/>
        </w:rPr>
        <w:t> </w:t>
      </w:r>
      <w:r>
        <w:rPr>
          <w:sz w:val="20"/>
        </w:rPr>
        <w:t>ocasionarse</w:t>
      </w:r>
      <w:r>
        <w:rPr>
          <w:spacing w:val="-3"/>
          <w:sz w:val="20"/>
        </w:rPr>
        <w:t> </w:t>
      </w:r>
      <w:r>
        <w:rPr>
          <w:sz w:val="20"/>
        </w:rPr>
        <w:t>en el</w:t>
      </w:r>
      <w:r>
        <w:rPr>
          <w:spacing w:val="-4"/>
          <w:sz w:val="20"/>
        </w:rPr>
        <w:t> </w:t>
      </w:r>
      <w:r>
        <w:rPr>
          <w:sz w:val="20"/>
        </w:rPr>
        <w:t>trabajo,</w:t>
      </w:r>
      <w:r>
        <w:rPr>
          <w:spacing w:val="-1"/>
          <w:sz w:val="20"/>
        </w:rPr>
        <w:t> </w:t>
      </w:r>
      <w:r>
        <w:rPr>
          <w:sz w:val="20"/>
        </w:rPr>
        <w:t>a</w:t>
      </w:r>
      <w:r>
        <w:rPr>
          <w:spacing w:val="-1"/>
          <w:sz w:val="20"/>
        </w:rPr>
        <w:t> </w:t>
      </w:r>
      <w:r>
        <w:rPr>
          <w:sz w:val="20"/>
        </w:rPr>
        <w:t>través de</w:t>
      </w:r>
      <w:r>
        <w:rPr>
          <w:spacing w:val="-3"/>
          <w:sz w:val="20"/>
        </w:rPr>
        <w:t> </w:t>
      </w:r>
      <w:r>
        <w:rPr>
          <w:sz w:val="20"/>
        </w:rPr>
        <w:t>la</w:t>
      </w:r>
      <w:r>
        <w:rPr>
          <w:spacing w:val="-1"/>
          <w:sz w:val="20"/>
        </w:rPr>
        <w:t> </w:t>
      </w:r>
      <w:r>
        <w:rPr>
          <w:sz w:val="20"/>
        </w:rPr>
        <w:t>integración de la prevención a todos los niveles.</w:t>
      </w:r>
    </w:p>
    <w:p>
      <w:pPr>
        <w:pStyle w:val="ListParagraph"/>
        <w:numPr>
          <w:ilvl w:val="1"/>
          <w:numId w:val="43"/>
        </w:numPr>
        <w:tabs>
          <w:tab w:pos="2419" w:val="left" w:leader="none"/>
          <w:tab w:pos="2421" w:val="left" w:leader="none"/>
        </w:tabs>
        <w:spacing w:line="240" w:lineRule="auto" w:before="0" w:after="0"/>
        <w:ind w:left="2421" w:right="1337" w:hanging="360"/>
        <w:jc w:val="left"/>
        <w:rPr>
          <w:sz w:val="20"/>
        </w:rPr>
      </w:pPr>
      <w:r>
        <w:rPr>
          <w:sz w:val="20"/>
        </w:rPr>
        <w:t>Corregir actuaciones y mantener un proceso de mejora continua de las acciones</w:t>
      </w:r>
      <w:r>
        <w:rPr>
          <w:spacing w:val="40"/>
          <w:sz w:val="20"/>
        </w:rPr>
        <w:t> </w:t>
      </w:r>
      <w:r>
        <w:rPr>
          <w:spacing w:val="-2"/>
          <w:sz w:val="20"/>
        </w:rPr>
        <w:t>preventivas.</w:t>
      </w:r>
    </w:p>
    <w:p>
      <w:pPr>
        <w:pStyle w:val="ListParagraph"/>
        <w:numPr>
          <w:ilvl w:val="1"/>
          <w:numId w:val="43"/>
        </w:numPr>
        <w:tabs>
          <w:tab w:pos="2421" w:val="left" w:leader="none"/>
        </w:tabs>
        <w:spacing w:line="240" w:lineRule="auto" w:before="0" w:after="0"/>
        <w:ind w:left="2421" w:right="1336" w:hanging="360"/>
        <w:jc w:val="left"/>
        <w:rPr>
          <w:sz w:val="20"/>
        </w:rPr>
      </w:pPr>
      <w:r>
        <w:rPr>
          <w:sz w:val="20"/>
        </w:rPr>
        <w:t>Gestionar el estrés dando alternativas de formación para aprender a identificar las situaciones que lo generan y cómo afrontarlas.</w:t>
      </w:r>
    </w:p>
    <w:p>
      <w:pPr>
        <w:pStyle w:val="ListParagraph"/>
        <w:numPr>
          <w:ilvl w:val="1"/>
          <w:numId w:val="43"/>
        </w:numPr>
        <w:tabs>
          <w:tab w:pos="2419" w:val="left" w:leader="none"/>
          <w:tab w:pos="2421" w:val="left" w:leader="none"/>
        </w:tabs>
        <w:spacing w:line="240" w:lineRule="auto" w:before="0" w:after="0"/>
        <w:ind w:left="2421" w:right="1338" w:hanging="360"/>
        <w:jc w:val="left"/>
        <w:rPr>
          <w:sz w:val="20"/>
        </w:rPr>
      </w:pPr>
      <w:r>
        <w:rPr>
          <w:sz w:val="20"/>
        </w:rPr>
        <w:t>Conocer los factores que influyen en los riesgos cardiovasculares</w:t>
      </w:r>
      <w:r>
        <w:rPr>
          <w:spacing w:val="27"/>
          <w:sz w:val="20"/>
        </w:rPr>
        <w:t> </w:t>
      </w:r>
      <w:r>
        <w:rPr>
          <w:sz w:val="20"/>
        </w:rPr>
        <w:t>y fomentar los</w:t>
      </w:r>
      <w:r>
        <w:rPr>
          <w:spacing w:val="40"/>
          <w:sz w:val="20"/>
        </w:rPr>
        <w:t> </w:t>
      </w:r>
      <w:r>
        <w:rPr>
          <w:sz w:val="20"/>
        </w:rPr>
        <w:t>hábitos de vida saludable.</w:t>
      </w:r>
    </w:p>
    <w:p>
      <w:pPr>
        <w:pStyle w:val="ListParagraph"/>
        <w:numPr>
          <w:ilvl w:val="1"/>
          <w:numId w:val="43"/>
        </w:numPr>
        <w:tabs>
          <w:tab w:pos="2419" w:val="left" w:leader="none"/>
        </w:tabs>
        <w:spacing w:line="228" w:lineRule="exact" w:before="0" w:after="0"/>
        <w:ind w:left="2419" w:right="0" w:hanging="358"/>
        <w:jc w:val="left"/>
        <w:rPr>
          <w:sz w:val="20"/>
        </w:rPr>
      </w:pPr>
      <w:r>
        <w:rPr>
          <w:sz w:val="20"/>
        </w:rPr>
        <w:t>Primeros</w:t>
      </w:r>
      <w:r>
        <w:rPr>
          <w:spacing w:val="-7"/>
          <w:sz w:val="20"/>
        </w:rPr>
        <w:t> </w:t>
      </w:r>
      <w:r>
        <w:rPr>
          <w:sz w:val="20"/>
        </w:rPr>
        <w:t>auxilios,</w:t>
      </w:r>
      <w:r>
        <w:rPr>
          <w:spacing w:val="-9"/>
          <w:sz w:val="20"/>
        </w:rPr>
        <w:t> </w:t>
      </w:r>
      <w:r>
        <w:rPr>
          <w:sz w:val="20"/>
        </w:rPr>
        <w:t>incluyendo</w:t>
      </w:r>
      <w:r>
        <w:rPr>
          <w:spacing w:val="-9"/>
          <w:sz w:val="20"/>
        </w:rPr>
        <w:t> </w:t>
      </w:r>
      <w:r>
        <w:rPr>
          <w:sz w:val="20"/>
        </w:rPr>
        <w:t>maniobra</w:t>
      </w:r>
      <w:r>
        <w:rPr>
          <w:spacing w:val="-5"/>
          <w:sz w:val="20"/>
        </w:rPr>
        <w:t> </w:t>
      </w:r>
      <w:r>
        <w:rPr>
          <w:sz w:val="20"/>
        </w:rPr>
        <w:t>de</w:t>
      </w:r>
      <w:r>
        <w:rPr>
          <w:spacing w:val="-8"/>
          <w:sz w:val="20"/>
        </w:rPr>
        <w:t> </w:t>
      </w:r>
      <w:r>
        <w:rPr>
          <w:spacing w:val="-2"/>
          <w:sz w:val="20"/>
        </w:rPr>
        <w:t>Heimlich.</w:t>
      </w:r>
    </w:p>
    <w:p>
      <w:pPr>
        <w:pStyle w:val="ListParagraph"/>
        <w:numPr>
          <w:ilvl w:val="0"/>
          <w:numId w:val="43"/>
        </w:numPr>
        <w:tabs>
          <w:tab w:pos="2419" w:val="left" w:leader="none"/>
          <w:tab w:pos="2421" w:val="left" w:leader="none"/>
        </w:tabs>
        <w:spacing w:line="240" w:lineRule="auto" w:before="0" w:after="0"/>
        <w:ind w:left="2421" w:right="1334" w:hanging="360"/>
        <w:jc w:val="both"/>
        <w:rPr>
          <w:sz w:val="20"/>
        </w:rPr>
      </w:pPr>
      <w:r>
        <w:rPr>
          <w:sz w:val="20"/>
        </w:rPr>
        <w:t>Mejora de competencias tecnológicas e informáticas. Continuamos fomentando el uso de las nuevas tecnologías (TIC´s), la formación en seguridad de la información y la ciberseguridad.</w:t>
      </w:r>
    </w:p>
    <w:p>
      <w:pPr>
        <w:pStyle w:val="ListParagraph"/>
        <w:numPr>
          <w:ilvl w:val="0"/>
          <w:numId w:val="43"/>
        </w:numPr>
        <w:tabs>
          <w:tab w:pos="2419" w:val="left" w:leader="none"/>
          <w:tab w:pos="2421" w:val="left" w:leader="none"/>
        </w:tabs>
        <w:spacing w:line="240" w:lineRule="auto" w:before="2" w:after="0"/>
        <w:ind w:left="2421" w:right="1335" w:hanging="360"/>
        <w:jc w:val="both"/>
        <w:rPr>
          <w:sz w:val="20"/>
        </w:rPr>
      </w:pPr>
      <w:r>
        <w:rPr>
          <w:sz w:val="20"/>
        </w:rPr>
        <w:t>Actualizándonos en aquellas materias que nos afecta ante los constantes cambios </w:t>
      </w:r>
      <w:r>
        <w:rPr>
          <w:spacing w:val="-2"/>
          <w:sz w:val="20"/>
        </w:rPr>
        <w:t>legales.</w:t>
      </w:r>
    </w:p>
    <w:p>
      <w:pPr>
        <w:pStyle w:val="ListParagraph"/>
        <w:spacing w:after="0" w:line="240" w:lineRule="auto"/>
        <w:jc w:val="both"/>
        <w:rPr>
          <w:sz w:val="20"/>
        </w:rPr>
        <w:sectPr>
          <w:type w:val="continuous"/>
          <w:pgSz w:w="11910" w:h="16840"/>
          <w:pgMar w:header="384" w:footer="1060" w:top="1700" w:bottom="1040" w:left="360" w:right="360"/>
        </w:sectPr>
      </w:pPr>
    </w:p>
    <w:p>
      <w:pPr>
        <w:pStyle w:val="BodyText"/>
        <w:spacing w:before="216"/>
      </w:pPr>
    </w:p>
    <w:p>
      <w:pPr>
        <w:pStyle w:val="ListParagraph"/>
        <w:numPr>
          <w:ilvl w:val="0"/>
          <w:numId w:val="43"/>
        </w:numPr>
        <w:tabs>
          <w:tab w:pos="2419" w:val="left" w:leader="none"/>
          <w:tab w:pos="2421" w:val="left" w:leader="none"/>
        </w:tabs>
        <w:spacing w:line="240" w:lineRule="auto" w:before="0" w:after="0"/>
        <w:ind w:left="2421" w:right="1333" w:hanging="360"/>
        <w:jc w:val="left"/>
        <w:rPr>
          <w:sz w:val="20"/>
        </w:rPr>
      </w:pPr>
      <w:r>
        <w:rPr>
          <w:sz w:val="20"/>
        </w:rPr>
        <w:t>Por otra parte, seguimos atendiendo las solicitudes de formación individual reglada en centros oficiales que permitan:</w:t>
      </w:r>
    </w:p>
    <w:p>
      <w:pPr>
        <w:pStyle w:val="ListParagraph"/>
        <w:numPr>
          <w:ilvl w:val="1"/>
          <w:numId w:val="43"/>
        </w:numPr>
        <w:tabs>
          <w:tab w:pos="2419" w:val="left" w:leader="none"/>
          <w:tab w:pos="2421" w:val="left" w:leader="none"/>
        </w:tabs>
        <w:spacing w:line="240" w:lineRule="auto" w:before="0" w:after="0"/>
        <w:ind w:left="2421" w:right="1339" w:hanging="360"/>
        <w:jc w:val="left"/>
        <w:rPr>
          <w:sz w:val="20"/>
        </w:rPr>
      </w:pPr>
      <w:r>
        <w:rPr>
          <w:sz w:val="20"/>
        </w:rPr>
        <w:t>La</w:t>
      </w:r>
      <w:r>
        <w:rPr>
          <w:spacing w:val="33"/>
          <w:sz w:val="20"/>
        </w:rPr>
        <w:t> </w:t>
      </w:r>
      <w:r>
        <w:rPr>
          <w:sz w:val="20"/>
        </w:rPr>
        <w:t>obtención</w:t>
      </w:r>
      <w:r>
        <w:rPr>
          <w:spacing w:val="31"/>
          <w:sz w:val="20"/>
        </w:rPr>
        <w:t> </w:t>
      </w:r>
      <w:r>
        <w:rPr>
          <w:sz w:val="20"/>
        </w:rPr>
        <w:t>de</w:t>
      </w:r>
      <w:r>
        <w:rPr>
          <w:spacing w:val="34"/>
          <w:sz w:val="20"/>
        </w:rPr>
        <w:t> </w:t>
      </w:r>
      <w:r>
        <w:rPr>
          <w:sz w:val="20"/>
        </w:rPr>
        <w:t>las</w:t>
      </w:r>
      <w:r>
        <w:rPr>
          <w:spacing w:val="35"/>
          <w:sz w:val="20"/>
        </w:rPr>
        <w:t> </w:t>
      </w:r>
      <w:r>
        <w:rPr>
          <w:sz w:val="20"/>
        </w:rPr>
        <w:t>titulaciones</w:t>
      </w:r>
      <w:r>
        <w:rPr>
          <w:spacing w:val="35"/>
          <w:sz w:val="20"/>
        </w:rPr>
        <w:t> </w:t>
      </w:r>
      <w:r>
        <w:rPr>
          <w:sz w:val="20"/>
        </w:rPr>
        <w:t>de</w:t>
      </w:r>
      <w:r>
        <w:rPr>
          <w:spacing w:val="34"/>
          <w:sz w:val="20"/>
        </w:rPr>
        <w:t> </w:t>
      </w:r>
      <w:r>
        <w:rPr>
          <w:sz w:val="20"/>
        </w:rPr>
        <w:t>Graduado</w:t>
      </w:r>
      <w:r>
        <w:rPr>
          <w:spacing w:val="32"/>
          <w:sz w:val="20"/>
        </w:rPr>
        <w:t> </w:t>
      </w:r>
      <w:r>
        <w:rPr>
          <w:sz w:val="20"/>
        </w:rPr>
        <w:t>Escolar</w:t>
      </w:r>
      <w:r>
        <w:rPr>
          <w:spacing w:val="35"/>
          <w:sz w:val="20"/>
        </w:rPr>
        <w:t> </w:t>
      </w:r>
      <w:r>
        <w:rPr>
          <w:sz w:val="20"/>
        </w:rPr>
        <w:t>y</w:t>
      </w:r>
      <w:r>
        <w:rPr>
          <w:spacing w:val="31"/>
          <w:sz w:val="20"/>
        </w:rPr>
        <w:t> </w:t>
      </w:r>
      <w:r>
        <w:rPr>
          <w:sz w:val="20"/>
        </w:rPr>
        <w:t>el</w:t>
      </w:r>
      <w:r>
        <w:rPr>
          <w:spacing w:val="33"/>
          <w:sz w:val="20"/>
        </w:rPr>
        <w:t> </w:t>
      </w:r>
      <w:r>
        <w:rPr>
          <w:sz w:val="20"/>
        </w:rPr>
        <w:t>Grado</w:t>
      </w:r>
      <w:r>
        <w:rPr>
          <w:spacing w:val="34"/>
          <w:sz w:val="20"/>
        </w:rPr>
        <w:t> </w:t>
      </w:r>
      <w:r>
        <w:rPr>
          <w:sz w:val="20"/>
        </w:rPr>
        <w:t>de</w:t>
      </w:r>
      <w:r>
        <w:rPr>
          <w:spacing w:val="36"/>
          <w:sz w:val="20"/>
        </w:rPr>
        <w:t> </w:t>
      </w:r>
      <w:r>
        <w:rPr>
          <w:sz w:val="20"/>
        </w:rPr>
        <w:t>Educación Secundaria (G.E.S.) a través de Radio Ecca (concierto) u otros centros oficiales.</w:t>
      </w:r>
    </w:p>
    <w:p>
      <w:pPr>
        <w:pStyle w:val="ListParagraph"/>
        <w:numPr>
          <w:ilvl w:val="1"/>
          <w:numId w:val="43"/>
        </w:numPr>
        <w:tabs>
          <w:tab w:pos="2419" w:val="left" w:leader="none"/>
          <w:tab w:pos="2847" w:val="left" w:leader="none"/>
          <w:tab w:pos="3919" w:val="left" w:leader="none"/>
          <w:tab w:pos="4345" w:val="left" w:leader="none"/>
          <w:tab w:pos="5084" w:val="left" w:leader="none"/>
          <w:tab w:pos="6477" w:val="left" w:leader="none"/>
          <w:tab w:pos="7293" w:val="left" w:leader="none"/>
          <w:tab w:pos="7718" w:val="left" w:leader="none"/>
          <w:tab w:pos="8801" w:val="left" w:leader="none"/>
        </w:tabs>
        <w:spacing w:line="229" w:lineRule="exact" w:before="0" w:after="0"/>
        <w:ind w:left="2419" w:right="0" w:hanging="358"/>
        <w:jc w:val="left"/>
        <w:rPr>
          <w:sz w:val="20"/>
        </w:rPr>
      </w:pPr>
      <w:r>
        <w:rPr>
          <w:spacing w:val="-5"/>
          <w:sz w:val="20"/>
        </w:rPr>
        <w:t>La</w:t>
      </w:r>
      <w:r>
        <w:rPr>
          <w:sz w:val="20"/>
        </w:rPr>
        <w:tab/>
      </w:r>
      <w:r>
        <w:rPr>
          <w:spacing w:val="-2"/>
          <w:sz w:val="20"/>
        </w:rPr>
        <w:t>obtención</w:t>
      </w:r>
      <w:r>
        <w:rPr>
          <w:sz w:val="20"/>
        </w:rPr>
        <w:tab/>
      </w:r>
      <w:r>
        <w:rPr>
          <w:spacing w:val="-5"/>
          <w:sz w:val="20"/>
        </w:rPr>
        <w:t>de</w:t>
      </w:r>
      <w:r>
        <w:rPr>
          <w:sz w:val="20"/>
        </w:rPr>
        <w:tab/>
      </w:r>
      <w:r>
        <w:rPr>
          <w:spacing w:val="-2"/>
          <w:sz w:val="20"/>
        </w:rPr>
        <w:t>títulos</w:t>
      </w:r>
      <w:r>
        <w:rPr>
          <w:sz w:val="20"/>
        </w:rPr>
        <w:tab/>
      </w:r>
      <w:r>
        <w:rPr>
          <w:spacing w:val="-2"/>
          <w:sz w:val="20"/>
        </w:rPr>
        <w:t>profesionales</w:t>
      </w:r>
      <w:r>
        <w:rPr>
          <w:sz w:val="20"/>
        </w:rPr>
        <w:tab/>
      </w:r>
      <w:r>
        <w:rPr>
          <w:spacing w:val="-2"/>
          <w:sz w:val="20"/>
        </w:rPr>
        <w:t>(Ciclos</w:t>
      </w:r>
      <w:r>
        <w:rPr>
          <w:sz w:val="20"/>
        </w:rPr>
        <w:tab/>
      </w:r>
      <w:r>
        <w:rPr>
          <w:spacing w:val="-5"/>
          <w:sz w:val="20"/>
        </w:rPr>
        <w:t>de</w:t>
      </w:r>
      <w:r>
        <w:rPr>
          <w:sz w:val="20"/>
        </w:rPr>
        <w:tab/>
      </w:r>
      <w:r>
        <w:rPr>
          <w:spacing w:val="-2"/>
          <w:sz w:val="20"/>
        </w:rPr>
        <w:t>formación</w:t>
      </w:r>
      <w:r>
        <w:rPr>
          <w:sz w:val="20"/>
        </w:rPr>
        <w:tab/>
      </w:r>
      <w:r>
        <w:rPr>
          <w:spacing w:val="-2"/>
          <w:sz w:val="20"/>
        </w:rPr>
        <w:t>profesional)</w:t>
      </w:r>
    </w:p>
    <w:p>
      <w:pPr>
        <w:pStyle w:val="BodyText"/>
        <w:spacing w:before="3"/>
        <w:ind w:left="2421"/>
      </w:pPr>
      <w:r>
        <w:rPr/>
        <w:t>relacionados</w:t>
      </w:r>
      <w:r>
        <w:rPr>
          <w:spacing w:val="-7"/>
        </w:rPr>
        <w:t> </w:t>
      </w:r>
      <w:r>
        <w:rPr/>
        <w:t>con</w:t>
      </w:r>
      <w:r>
        <w:rPr>
          <w:spacing w:val="-4"/>
        </w:rPr>
        <w:t> </w:t>
      </w:r>
      <w:r>
        <w:rPr/>
        <w:t>el</w:t>
      </w:r>
      <w:r>
        <w:rPr>
          <w:spacing w:val="-6"/>
        </w:rPr>
        <w:t> </w:t>
      </w:r>
      <w:r>
        <w:rPr/>
        <w:t>puesto</w:t>
      </w:r>
      <w:r>
        <w:rPr>
          <w:spacing w:val="-4"/>
        </w:rPr>
        <w:t> </w:t>
      </w:r>
      <w:r>
        <w:rPr/>
        <w:t>de</w:t>
      </w:r>
      <w:r>
        <w:rPr>
          <w:spacing w:val="-8"/>
        </w:rPr>
        <w:t> </w:t>
      </w:r>
      <w:r>
        <w:rPr>
          <w:spacing w:val="-2"/>
        </w:rPr>
        <w:t>trabajo.</w:t>
      </w:r>
    </w:p>
    <w:p>
      <w:pPr>
        <w:pStyle w:val="Heading3"/>
        <w:numPr>
          <w:ilvl w:val="2"/>
          <w:numId w:val="31"/>
        </w:numPr>
        <w:tabs>
          <w:tab w:pos="2049" w:val="left" w:leader="none"/>
        </w:tabs>
        <w:spacing w:line="240" w:lineRule="auto" w:before="197" w:after="0"/>
        <w:ind w:left="2049" w:right="0" w:hanging="708"/>
        <w:jc w:val="left"/>
      </w:pPr>
      <w:bookmarkStart w:name="_TOC_250018" w:id="34"/>
      <w:r>
        <w:rPr/>
        <w:t>Cantidad</w:t>
      </w:r>
      <w:r>
        <w:rPr>
          <w:spacing w:val="-6"/>
        </w:rPr>
        <w:t> </w:t>
      </w:r>
      <w:r>
        <w:rPr/>
        <w:t>de</w:t>
      </w:r>
      <w:r>
        <w:rPr>
          <w:spacing w:val="-7"/>
        </w:rPr>
        <w:t> </w:t>
      </w:r>
      <w:r>
        <w:rPr/>
        <w:t>horas</w:t>
      </w:r>
      <w:r>
        <w:rPr>
          <w:spacing w:val="-7"/>
        </w:rPr>
        <w:t> </w:t>
      </w:r>
      <w:r>
        <w:rPr/>
        <w:t>de</w:t>
      </w:r>
      <w:r>
        <w:rPr>
          <w:spacing w:val="-3"/>
        </w:rPr>
        <w:t> </w:t>
      </w:r>
      <w:r>
        <w:rPr/>
        <w:t>formación</w:t>
      </w:r>
      <w:r>
        <w:rPr>
          <w:spacing w:val="-7"/>
        </w:rPr>
        <w:t> </w:t>
      </w:r>
      <w:r>
        <w:rPr/>
        <w:t>por</w:t>
      </w:r>
      <w:r>
        <w:rPr>
          <w:spacing w:val="-3"/>
        </w:rPr>
        <w:t> </w:t>
      </w:r>
      <w:r>
        <w:rPr/>
        <w:t>sexo</w:t>
      </w:r>
      <w:r>
        <w:rPr>
          <w:spacing w:val="-4"/>
        </w:rPr>
        <w:t> </w:t>
      </w:r>
      <w:r>
        <w:rPr/>
        <w:t>y</w:t>
      </w:r>
      <w:r>
        <w:rPr>
          <w:spacing w:val="-6"/>
        </w:rPr>
        <w:t> </w:t>
      </w:r>
      <w:r>
        <w:rPr/>
        <w:t>categoría</w:t>
      </w:r>
      <w:r>
        <w:rPr>
          <w:spacing w:val="-8"/>
        </w:rPr>
        <w:t> </w:t>
      </w:r>
      <w:bookmarkEnd w:id="34"/>
      <w:r>
        <w:rPr>
          <w:spacing w:val="-2"/>
        </w:rPr>
        <w:t>profesional</w:t>
      </w:r>
    </w:p>
    <w:p>
      <w:pPr>
        <w:pStyle w:val="BodyText"/>
        <w:spacing w:before="46"/>
        <w:rPr>
          <w:b/>
        </w:rPr>
      </w:pPr>
    </w:p>
    <w:p>
      <w:pPr>
        <w:pStyle w:val="BodyText"/>
        <w:ind w:left="1341"/>
        <w:jc w:val="both"/>
      </w:pPr>
      <w:r>
        <w:rPr/>
        <mc:AlternateContent>
          <mc:Choice Requires="wps">
            <w:drawing>
              <wp:anchor distT="0" distB="0" distL="0" distR="0" allowOverlap="1" layoutInCell="1" locked="0" behindDoc="1" simplePos="0" relativeHeight="476789760">
                <wp:simplePos x="0" y="0"/>
                <wp:positionH relativeFrom="page">
                  <wp:posOffset>2692901</wp:posOffset>
                </wp:positionH>
                <wp:positionV relativeFrom="paragraph">
                  <wp:posOffset>811106</wp:posOffset>
                </wp:positionV>
                <wp:extent cx="77470" cy="14160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77470" cy="141605"/>
                        </a:xfrm>
                        <a:prstGeom prst="rect">
                          <a:avLst/>
                        </a:prstGeom>
                      </wps:spPr>
                      <wps:txbx>
                        <w:txbxContent>
                          <w:p>
                            <w:pPr>
                              <w:spacing w:line="223" w:lineRule="exact" w:before="0"/>
                              <w:ind w:left="0" w:right="0" w:firstLine="0"/>
                              <w:jc w:val="left"/>
                              <w:rPr>
                                <w:b/>
                                <w:sz w:val="20"/>
                              </w:rPr>
                            </w:pPr>
                            <w:r>
                              <w:rPr>
                                <w:b/>
                                <w:spacing w:val="-12"/>
                                <w:sz w:val="20"/>
                              </w:rPr>
                              <w:t>L</w:t>
                            </w:r>
                          </w:p>
                        </w:txbxContent>
                      </wps:txbx>
                      <wps:bodyPr wrap="square" lIns="0" tIns="0" rIns="0" bIns="0" rtlCol="0">
                        <a:noAutofit/>
                      </wps:bodyPr>
                    </wps:wsp>
                  </a:graphicData>
                </a:graphic>
              </wp:anchor>
            </w:drawing>
          </mc:Choice>
          <mc:Fallback>
            <w:pict>
              <v:shape style="position:absolute;margin-left:212.039474pt;margin-top:63.866631pt;width:6.1pt;height:11.15pt;mso-position-horizontal-relative:page;mso-position-vertical-relative:paragraph;z-index:-26526720" type="#_x0000_t202" id="docshape249" filled="false" stroked="false">
                <v:textbox inset="0,0,0,0">
                  <w:txbxContent>
                    <w:p>
                      <w:pPr>
                        <w:spacing w:line="223" w:lineRule="exact" w:before="0"/>
                        <w:ind w:left="0" w:right="0" w:firstLine="0"/>
                        <w:jc w:val="left"/>
                        <w:rPr>
                          <w:b/>
                          <w:sz w:val="20"/>
                        </w:rPr>
                      </w:pPr>
                      <w:r>
                        <w:rPr>
                          <w:b/>
                          <w:spacing w:val="-12"/>
                          <w:sz w:val="20"/>
                        </w:rPr>
                        <w:t>L</w:t>
                      </w:r>
                    </w:p>
                  </w:txbxContent>
                </v:textbox>
                <w10:wrap type="none"/>
              </v:shape>
            </w:pict>
          </mc:Fallback>
        </mc:AlternateContent>
      </w:r>
      <w:r>
        <w:rPr/>
        <mc:AlternateContent>
          <mc:Choice Requires="wps">
            <w:drawing>
              <wp:anchor distT="0" distB="0" distL="0" distR="0" allowOverlap="1" layoutInCell="1" locked="0" behindDoc="1" simplePos="0" relativeHeight="476790272">
                <wp:simplePos x="0" y="0"/>
                <wp:positionH relativeFrom="page">
                  <wp:posOffset>5414771</wp:posOffset>
                </wp:positionH>
                <wp:positionV relativeFrom="paragraph">
                  <wp:posOffset>1030560</wp:posOffset>
                </wp:positionV>
                <wp:extent cx="77470" cy="14160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77470" cy="141605"/>
                        </a:xfrm>
                        <a:prstGeom prst="rect">
                          <a:avLst/>
                        </a:prstGeom>
                      </wps:spPr>
                      <wps:txbx>
                        <w:txbxContent>
                          <w:p>
                            <w:pPr>
                              <w:spacing w:line="223" w:lineRule="exact" w:before="0"/>
                              <w:ind w:left="0" w:right="0" w:firstLine="0"/>
                              <w:jc w:val="left"/>
                              <w:rPr>
                                <w:b/>
                                <w:sz w:val="20"/>
                              </w:rPr>
                            </w:pPr>
                            <w:r>
                              <w:rPr>
                                <w:b/>
                                <w:spacing w:val="-12"/>
                                <w:sz w:val="20"/>
                              </w:rPr>
                              <w:t>F</w:t>
                            </w:r>
                          </w:p>
                        </w:txbxContent>
                      </wps:txbx>
                      <wps:bodyPr wrap="square" lIns="0" tIns="0" rIns="0" bIns="0" rtlCol="0">
                        <a:noAutofit/>
                      </wps:bodyPr>
                    </wps:wsp>
                  </a:graphicData>
                </a:graphic>
              </wp:anchor>
            </w:drawing>
          </mc:Choice>
          <mc:Fallback>
            <w:pict>
              <v:shape style="position:absolute;margin-left:426.359985pt;margin-top:81.14653pt;width:6.1pt;height:11.15pt;mso-position-horizontal-relative:page;mso-position-vertical-relative:paragraph;z-index:-26526208" type="#_x0000_t202" id="docshape250" filled="false" stroked="false">
                <v:textbox inset="0,0,0,0">
                  <w:txbxContent>
                    <w:p>
                      <w:pPr>
                        <w:spacing w:line="223" w:lineRule="exact" w:before="0"/>
                        <w:ind w:left="0" w:right="0" w:firstLine="0"/>
                        <w:jc w:val="left"/>
                        <w:rPr>
                          <w:b/>
                          <w:sz w:val="20"/>
                        </w:rPr>
                      </w:pPr>
                      <w:r>
                        <w:rPr>
                          <w:b/>
                          <w:spacing w:val="-12"/>
                          <w:sz w:val="20"/>
                        </w:rPr>
                        <w:t>F</w:t>
                      </w:r>
                    </w:p>
                  </w:txbxContent>
                </v:textbox>
                <w10:wrap type="none"/>
              </v:shape>
            </w:pict>
          </mc:Fallback>
        </mc:AlternateContent>
      </w:r>
      <w:r>
        <w:rPr/>
        <w:t>Horas</w:t>
      </w:r>
      <w:r>
        <w:rPr>
          <w:spacing w:val="-5"/>
        </w:rPr>
        <w:t> </w:t>
      </w:r>
      <w:r>
        <w:rPr/>
        <w:t>de</w:t>
      </w:r>
      <w:r>
        <w:rPr>
          <w:spacing w:val="-6"/>
        </w:rPr>
        <w:t> </w:t>
      </w:r>
      <w:r>
        <w:rPr/>
        <w:t>formación</w:t>
      </w:r>
      <w:r>
        <w:rPr>
          <w:spacing w:val="-6"/>
        </w:rPr>
        <w:t> </w:t>
      </w:r>
      <w:r>
        <w:rPr/>
        <w:t>por</w:t>
      </w:r>
      <w:r>
        <w:rPr>
          <w:spacing w:val="-4"/>
        </w:rPr>
        <w:t> </w:t>
      </w:r>
      <w:r>
        <w:rPr/>
        <w:t>grupo</w:t>
      </w:r>
      <w:r>
        <w:rPr>
          <w:spacing w:val="-3"/>
        </w:rPr>
        <w:t> </w:t>
      </w:r>
      <w:r>
        <w:rPr/>
        <w:t>profesional</w:t>
      </w:r>
      <w:r>
        <w:rPr>
          <w:spacing w:val="-5"/>
        </w:rPr>
        <w:t> </w:t>
      </w:r>
      <w:r>
        <w:rPr/>
        <w:t>y</w:t>
      </w:r>
      <w:r>
        <w:rPr>
          <w:spacing w:val="-9"/>
        </w:rPr>
        <w:t> </w:t>
      </w:r>
      <w:r>
        <w:rPr/>
        <w:t>sexo</w:t>
      </w:r>
      <w:r>
        <w:rPr>
          <w:spacing w:val="-7"/>
        </w:rPr>
        <w:t> </w:t>
      </w:r>
      <w:r>
        <w:rPr/>
        <w:t>en</w:t>
      </w:r>
      <w:r>
        <w:rPr>
          <w:spacing w:val="-5"/>
        </w:rPr>
        <w:t> </w:t>
      </w:r>
      <w:r>
        <w:rPr/>
        <w:t>el</w:t>
      </w:r>
      <w:r>
        <w:rPr>
          <w:spacing w:val="-2"/>
        </w:rPr>
        <w:t> 2025:</w:t>
      </w:r>
    </w:p>
    <w:p>
      <w:pPr>
        <w:pStyle w:val="BodyText"/>
        <w:spacing w:before="85"/>
      </w:pPr>
    </w:p>
    <w:tbl>
      <w:tblPr>
        <w:tblW w:w="0" w:type="auto"/>
        <w:jc w:val="left"/>
        <w:tblInd w:w="1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29"/>
        <w:gridCol w:w="1457"/>
        <w:gridCol w:w="1248"/>
        <w:gridCol w:w="1248"/>
        <w:gridCol w:w="1459"/>
      </w:tblGrid>
      <w:tr>
        <w:trPr>
          <w:trHeight w:val="344" w:hRule="atLeast"/>
        </w:trPr>
        <w:tc>
          <w:tcPr>
            <w:tcW w:w="2429" w:type="dxa"/>
            <w:tcBorders>
              <w:top w:val="nil"/>
              <w:left w:val="nil"/>
            </w:tcBorders>
          </w:tcPr>
          <w:p>
            <w:pPr>
              <w:pStyle w:val="TableParagraph"/>
              <w:rPr>
                <w:rFonts w:ascii="Times New Roman"/>
                <w:sz w:val="18"/>
              </w:rPr>
            </w:pPr>
          </w:p>
        </w:tc>
        <w:tc>
          <w:tcPr>
            <w:tcW w:w="5412" w:type="dxa"/>
            <w:gridSpan w:val="4"/>
            <w:shd w:val="clear" w:color="auto" w:fill="D7D7D7"/>
          </w:tcPr>
          <w:p>
            <w:pPr>
              <w:pStyle w:val="TableParagraph"/>
              <w:spacing w:line="227" w:lineRule="exact"/>
              <w:ind w:left="11"/>
              <w:jc w:val="center"/>
              <w:rPr>
                <w:b/>
                <w:sz w:val="20"/>
              </w:rPr>
            </w:pPr>
            <w:r>
              <w:rPr>
                <w:b/>
                <w:spacing w:val="-4"/>
                <w:sz w:val="20"/>
              </w:rPr>
              <w:t>2025</w:t>
            </w:r>
          </w:p>
        </w:tc>
      </w:tr>
      <w:tr>
        <w:trPr>
          <w:trHeight w:val="1036" w:hRule="atLeast"/>
        </w:trPr>
        <w:tc>
          <w:tcPr>
            <w:tcW w:w="2429" w:type="dxa"/>
            <w:tcBorders>
              <w:bottom w:val="single" w:sz="4" w:space="0" w:color="000000"/>
            </w:tcBorders>
            <w:shd w:val="clear" w:color="auto" w:fill="D7D7D7"/>
          </w:tcPr>
          <w:p>
            <w:pPr>
              <w:pStyle w:val="TableParagraph"/>
              <w:spacing w:before="110"/>
              <w:rPr>
                <w:sz w:val="20"/>
              </w:rPr>
            </w:pPr>
          </w:p>
          <w:p>
            <w:pPr>
              <w:pStyle w:val="TableParagraph"/>
              <w:ind w:left="95"/>
              <w:rPr>
                <w:b/>
                <w:sz w:val="20"/>
              </w:rPr>
            </w:pPr>
            <w:r>
              <w:rPr>
                <w:b/>
                <w:sz w:val="20"/>
              </w:rPr>
              <w:t>GRUPO</w:t>
            </w:r>
            <w:r>
              <w:rPr>
                <w:b/>
                <w:spacing w:val="-11"/>
                <w:sz w:val="20"/>
              </w:rPr>
              <w:t> </w:t>
            </w:r>
            <w:r>
              <w:rPr>
                <w:b/>
                <w:spacing w:val="-2"/>
                <w:sz w:val="20"/>
              </w:rPr>
              <w:t>PROFESIONAL</w:t>
            </w:r>
          </w:p>
        </w:tc>
        <w:tc>
          <w:tcPr>
            <w:tcW w:w="1457" w:type="dxa"/>
            <w:tcBorders>
              <w:bottom w:val="single" w:sz="4" w:space="0" w:color="000000"/>
              <w:right w:val="single" w:sz="4" w:space="0" w:color="000000"/>
            </w:tcBorders>
            <w:shd w:val="clear" w:color="auto" w:fill="D7D7D7"/>
          </w:tcPr>
          <w:p>
            <w:pPr>
              <w:pStyle w:val="TableParagraph"/>
              <w:spacing w:line="357" w:lineRule="auto"/>
              <w:ind w:left="366" w:right="356" w:firstLine="2"/>
              <w:jc w:val="center"/>
              <w:rPr>
                <w:b/>
                <w:sz w:val="20"/>
              </w:rPr>
            </w:pPr>
            <w:r>
              <w:rPr>
                <w:b/>
                <w:spacing w:val="-2"/>
                <w:sz w:val="20"/>
              </w:rPr>
              <w:t>TOTAL </w:t>
            </w:r>
            <w:r>
              <w:rPr>
                <w:b/>
                <w:spacing w:val="-4"/>
                <w:sz w:val="20"/>
              </w:rPr>
              <w:t>HORAS</w:t>
            </w:r>
          </w:p>
          <w:p>
            <w:pPr>
              <w:pStyle w:val="TableParagraph"/>
              <w:ind w:left="9"/>
              <w:jc w:val="center"/>
              <w:rPr>
                <w:b/>
                <w:sz w:val="20"/>
              </w:rPr>
            </w:pPr>
            <w:r>
              <w:rPr>
                <w:b/>
                <w:spacing w:val="-2"/>
                <w:sz w:val="20"/>
              </w:rPr>
              <w:t>FORMACIÓN</w:t>
            </w:r>
          </w:p>
        </w:tc>
        <w:tc>
          <w:tcPr>
            <w:tcW w:w="1248" w:type="dxa"/>
            <w:tcBorders>
              <w:left w:val="single" w:sz="4" w:space="0" w:color="000000"/>
              <w:bottom w:val="single" w:sz="4" w:space="0" w:color="000000"/>
              <w:right w:val="single" w:sz="4" w:space="0" w:color="000000"/>
            </w:tcBorders>
            <w:shd w:val="clear" w:color="auto" w:fill="D7D7D7"/>
          </w:tcPr>
          <w:p>
            <w:pPr>
              <w:pStyle w:val="TableParagraph"/>
              <w:spacing w:line="360" w:lineRule="auto" w:before="167"/>
              <w:ind w:left="277" w:right="250" w:hanging="12"/>
              <w:rPr>
                <w:b/>
                <w:sz w:val="20"/>
              </w:rPr>
            </w:pPr>
            <w:r>
              <w:rPr>
                <w:b/>
                <w:spacing w:val="-4"/>
                <w:sz w:val="20"/>
              </w:rPr>
              <w:t>HORAS </w:t>
            </w:r>
            <w:r>
              <w:rPr>
                <w:b/>
                <w:spacing w:val="-2"/>
                <w:sz w:val="20"/>
              </w:rPr>
              <w:t>MUJER</w:t>
            </w:r>
          </w:p>
        </w:tc>
        <w:tc>
          <w:tcPr>
            <w:tcW w:w="1248" w:type="dxa"/>
            <w:tcBorders>
              <w:left w:val="single" w:sz="4" w:space="0" w:color="000000"/>
              <w:bottom w:val="single" w:sz="4" w:space="0" w:color="000000"/>
              <w:right w:val="single" w:sz="4" w:space="0" w:color="000000"/>
            </w:tcBorders>
            <w:shd w:val="clear" w:color="auto" w:fill="D7D7D7"/>
          </w:tcPr>
          <w:p>
            <w:pPr>
              <w:pStyle w:val="TableParagraph"/>
              <w:spacing w:line="360" w:lineRule="auto" w:before="167"/>
              <w:ind w:left="184" w:right="157" w:firstLine="81"/>
              <w:rPr>
                <w:b/>
                <w:sz w:val="20"/>
              </w:rPr>
            </w:pPr>
            <w:r>
              <w:rPr>
                <w:b/>
                <w:spacing w:val="-2"/>
                <w:sz w:val="20"/>
              </w:rPr>
              <w:t>HORAS HOMBRE</w:t>
            </w:r>
          </w:p>
        </w:tc>
        <w:tc>
          <w:tcPr>
            <w:tcW w:w="1459" w:type="dxa"/>
            <w:tcBorders>
              <w:left w:val="single" w:sz="4" w:space="0" w:color="000000"/>
              <w:bottom w:val="single" w:sz="4" w:space="0" w:color="000000"/>
            </w:tcBorders>
            <w:shd w:val="clear" w:color="auto" w:fill="D7D7D7"/>
          </w:tcPr>
          <w:p>
            <w:pPr>
              <w:pStyle w:val="TableParagraph"/>
              <w:spacing w:line="357" w:lineRule="auto"/>
              <w:ind w:left="371" w:right="352" w:firstLine="38"/>
              <w:rPr>
                <w:b/>
                <w:sz w:val="20"/>
              </w:rPr>
            </w:pPr>
            <w:r>
              <w:rPr>
                <w:b/>
                <w:spacing w:val="-2"/>
                <w:sz w:val="20"/>
              </w:rPr>
              <w:t>MEDIA </w:t>
            </w:r>
            <w:r>
              <w:rPr>
                <w:b/>
                <w:spacing w:val="-4"/>
                <w:sz w:val="20"/>
              </w:rPr>
              <w:t>HORAS</w:t>
            </w:r>
          </w:p>
          <w:p>
            <w:pPr>
              <w:pStyle w:val="TableParagraph"/>
              <w:ind w:left="236"/>
              <w:rPr>
                <w:b/>
                <w:sz w:val="20"/>
              </w:rPr>
            </w:pPr>
            <w:r>
              <w:rPr>
                <w:b/>
                <w:spacing w:val="-2"/>
                <w:sz w:val="20"/>
              </w:rPr>
              <w:t>ORMACIÓN</w:t>
            </w:r>
          </w:p>
        </w:tc>
      </w:tr>
      <w:tr>
        <w:trPr>
          <w:trHeight w:val="654" w:hRule="atLeast"/>
        </w:trPr>
        <w:tc>
          <w:tcPr>
            <w:tcW w:w="2429" w:type="dxa"/>
            <w:tcBorders>
              <w:top w:val="single" w:sz="4" w:space="0" w:color="000000"/>
              <w:bottom w:val="single" w:sz="4" w:space="0" w:color="000000"/>
            </w:tcBorders>
          </w:tcPr>
          <w:p>
            <w:pPr>
              <w:pStyle w:val="TableParagraph"/>
              <w:spacing w:before="153"/>
              <w:ind w:left="69"/>
              <w:rPr>
                <w:sz w:val="20"/>
              </w:rPr>
            </w:pPr>
            <w:r>
              <w:rPr>
                <w:sz w:val="20"/>
              </w:rPr>
              <w:t>PERSONAL</w:t>
            </w:r>
            <w:r>
              <w:rPr>
                <w:spacing w:val="-12"/>
                <w:sz w:val="20"/>
              </w:rPr>
              <w:t> </w:t>
            </w:r>
            <w:r>
              <w:rPr>
                <w:spacing w:val="-2"/>
                <w:sz w:val="20"/>
              </w:rPr>
              <w:t>DIRECTIVO</w:t>
            </w:r>
          </w:p>
        </w:tc>
        <w:tc>
          <w:tcPr>
            <w:tcW w:w="1457" w:type="dxa"/>
            <w:tcBorders>
              <w:top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629,54</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154,02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475,52</w:t>
            </w:r>
          </w:p>
        </w:tc>
        <w:tc>
          <w:tcPr>
            <w:tcW w:w="1459" w:type="dxa"/>
            <w:tcBorders>
              <w:top w:val="single" w:sz="4" w:space="0" w:color="000000"/>
              <w:left w:val="single" w:sz="4" w:space="0" w:color="000000"/>
              <w:bottom w:val="single" w:sz="4" w:space="0" w:color="000000"/>
            </w:tcBorders>
          </w:tcPr>
          <w:p>
            <w:pPr>
              <w:pStyle w:val="TableParagraph"/>
              <w:spacing w:line="229" w:lineRule="exact"/>
              <w:ind w:right="49"/>
              <w:jc w:val="right"/>
              <w:rPr>
                <w:sz w:val="20"/>
              </w:rPr>
            </w:pPr>
            <w:r>
              <w:rPr>
                <w:spacing w:val="-2"/>
                <w:sz w:val="20"/>
              </w:rPr>
              <w:t>29,33</w:t>
            </w:r>
          </w:p>
        </w:tc>
      </w:tr>
      <w:tr>
        <w:trPr>
          <w:trHeight w:val="472" w:hRule="atLeast"/>
        </w:trPr>
        <w:tc>
          <w:tcPr>
            <w:tcW w:w="2429" w:type="dxa"/>
            <w:tcBorders>
              <w:top w:val="single" w:sz="4" w:space="0" w:color="000000"/>
              <w:bottom w:val="single" w:sz="4" w:space="0" w:color="000000"/>
            </w:tcBorders>
          </w:tcPr>
          <w:p>
            <w:pPr>
              <w:pStyle w:val="TableParagraph"/>
              <w:spacing w:before="62"/>
              <w:ind w:left="69"/>
              <w:rPr>
                <w:sz w:val="20"/>
              </w:rPr>
            </w:pPr>
            <w:r>
              <w:rPr>
                <w:spacing w:val="-2"/>
                <w:sz w:val="20"/>
              </w:rPr>
              <w:t>TÉCNICOS</w:t>
            </w:r>
          </w:p>
        </w:tc>
        <w:tc>
          <w:tcPr>
            <w:tcW w:w="1457" w:type="dxa"/>
            <w:tcBorders>
              <w:top w:val="single" w:sz="4" w:space="0" w:color="000000"/>
              <w:bottom w:val="single" w:sz="4" w:space="0" w:color="000000"/>
              <w:right w:val="single" w:sz="4" w:space="0" w:color="000000"/>
            </w:tcBorders>
          </w:tcPr>
          <w:p>
            <w:pPr>
              <w:pStyle w:val="TableParagraph"/>
              <w:spacing w:line="229" w:lineRule="exact"/>
              <w:ind w:right="52"/>
              <w:jc w:val="right"/>
              <w:rPr>
                <w:sz w:val="20"/>
              </w:rPr>
            </w:pPr>
            <w:r>
              <w:rPr>
                <w:spacing w:val="-2"/>
                <w:sz w:val="20"/>
              </w:rPr>
              <w:t>2.741,25</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460,96</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2"/>
              <w:jc w:val="right"/>
              <w:rPr>
                <w:sz w:val="20"/>
              </w:rPr>
            </w:pPr>
            <w:r>
              <w:rPr>
                <w:spacing w:val="-2"/>
                <w:sz w:val="20"/>
              </w:rPr>
              <w:t>2.280,29</w:t>
            </w:r>
          </w:p>
        </w:tc>
        <w:tc>
          <w:tcPr>
            <w:tcW w:w="1459" w:type="dxa"/>
            <w:tcBorders>
              <w:top w:val="single" w:sz="4" w:space="0" w:color="000000"/>
              <w:left w:val="single" w:sz="4" w:space="0" w:color="000000"/>
              <w:bottom w:val="single" w:sz="4" w:space="0" w:color="000000"/>
            </w:tcBorders>
          </w:tcPr>
          <w:p>
            <w:pPr>
              <w:pStyle w:val="TableParagraph"/>
              <w:spacing w:line="229" w:lineRule="exact"/>
              <w:ind w:right="51"/>
              <w:jc w:val="right"/>
              <w:rPr>
                <w:sz w:val="20"/>
              </w:rPr>
            </w:pPr>
            <w:r>
              <w:rPr>
                <w:spacing w:val="-2"/>
                <w:sz w:val="20"/>
              </w:rPr>
              <w:t>163,22</w:t>
            </w:r>
          </w:p>
        </w:tc>
      </w:tr>
      <w:tr>
        <w:trPr>
          <w:trHeight w:val="707" w:hRule="atLeast"/>
        </w:trPr>
        <w:tc>
          <w:tcPr>
            <w:tcW w:w="2429" w:type="dxa"/>
            <w:tcBorders>
              <w:top w:val="single" w:sz="4" w:space="0" w:color="000000"/>
              <w:bottom w:val="single" w:sz="4" w:space="0" w:color="000000"/>
            </w:tcBorders>
          </w:tcPr>
          <w:p>
            <w:pPr>
              <w:pStyle w:val="TableParagraph"/>
              <w:spacing w:before="179"/>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1457" w:type="dxa"/>
            <w:tcBorders>
              <w:top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639,31</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2"/>
              <w:jc w:val="right"/>
              <w:rPr>
                <w:sz w:val="20"/>
              </w:rPr>
            </w:pPr>
            <w:r>
              <w:rPr>
                <w:spacing w:val="-2"/>
                <w:sz w:val="20"/>
              </w:rPr>
              <w:t>42,92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4"/>
              <w:jc w:val="right"/>
              <w:rPr>
                <w:sz w:val="20"/>
              </w:rPr>
            </w:pPr>
            <w:r>
              <w:rPr>
                <w:spacing w:val="-2"/>
                <w:sz w:val="20"/>
              </w:rPr>
              <w:t>596,39</w:t>
            </w:r>
          </w:p>
        </w:tc>
        <w:tc>
          <w:tcPr>
            <w:tcW w:w="1459" w:type="dxa"/>
            <w:tcBorders>
              <w:top w:val="single" w:sz="4" w:space="0" w:color="000000"/>
              <w:left w:val="single" w:sz="4" w:space="0" w:color="000000"/>
              <w:bottom w:val="single" w:sz="4" w:space="0" w:color="000000"/>
            </w:tcBorders>
          </w:tcPr>
          <w:p>
            <w:pPr>
              <w:pStyle w:val="TableParagraph"/>
              <w:spacing w:line="229" w:lineRule="exact"/>
              <w:ind w:right="49"/>
              <w:jc w:val="right"/>
              <w:rPr>
                <w:sz w:val="20"/>
              </w:rPr>
            </w:pPr>
            <w:r>
              <w:rPr>
                <w:spacing w:val="-2"/>
                <w:sz w:val="20"/>
              </w:rPr>
              <w:t>15,58</w:t>
            </w:r>
          </w:p>
        </w:tc>
      </w:tr>
      <w:tr>
        <w:trPr>
          <w:trHeight w:val="465" w:hRule="atLeast"/>
        </w:trPr>
        <w:tc>
          <w:tcPr>
            <w:tcW w:w="2429" w:type="dxa"/>
            <w:tcBorders>
              <w:top w:val="single" w:sz="4" w:space="0" w:color="000000"/>
              <w:bottom w:val="single" w:sz="4" w:space="0" w:color="000000"/>
            </w:tcBorders>
          </w:tcPr>
          <w:p>
            <w:pPr>
              <w:pStyle w:val="TableParagraph"/>
              <w:spacing w:before="57"/>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1457" w:type="dxa"/>
            <w:tcBorders>
              <w:top w:val="single" w:sz="4" w:space="0" w:color="000000"/>
              <w:bottom w:val="single" w:sz="4" w:space="0" w:color="000000"/>
              <w:right w:val="single" w:sz="4" w:space="0" w:color="000000"/>
            </w:tcBorders>
          </w:tcPr>
          <w:p>
            <w:pPr>
              <w:pStyle w:val="TableParagraph"/>
              <w:spacing w:line="229" w:lineRule="exact"/>
              <w:ind w:right="53"/>
              <w:jc w:val="right"/>
              <w:rPr>
                <w:sz w:val="20"/>
              </w:rPr>
            </w:pPr>
            <w:r>
              <w:rPr>
                <w:spacing w:val="-2"/>
                <w:sz w:val="20"/>
              </w:rPr>
              <w:t>17.860,24</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2"/>
              <w:jc w:val="right"/>
              <w:rPr>
                <w:sz w:val="20"/>
              </w:rPr>
            </w:pPr>
            <w:r>
              <w:rPr>
                <w:spacing w:val="-2"/>
                <w:sz w:val="20"/>
              </w:rPr>
              <w:t>3.846,00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53"/>
              <w:jc w:val="right"/>
              <w:rPr>
                <w:sz w:val="20"/>
              </w:rPr>
            </w:pPr>
            <w:r>
              <w:rPr>
                <w:spacing w:val="-2"/>
                <w:sz w:val="20"/>
              </w:rPr>
              <w:t>14.014,24</w:t>
            </w:r>
          </w:p>
        </w:tc>
        <w:tc>
          <w:tcPr>
            <w:tcW w:w="1459" w:type="dxa"/>
            <w:tcBorders>
              <w:top w:val="single" w:sz="4" w:space="0" w:color="000000"/>
              <w:left w:val="single" w:sz="4" w:space="0" w:color="000000"/>
              <w:bottom w:val="single" w:sz="4" w:space="0" w:color="000000"/>
            </w:tcBorders>
          </w:tcPr>
          <w:p>
            <w:pPr>
              <w:pStyle w:val="TableParagraph"/>
              <w:spacing w:line="229" w:lineRule="exact"/>
              <w:ind w:right="49"/>
              <w:jc w:val="right"/>
              <w:rPr>
                <w:sz w:val="20"/>
              </w:rPr>
            </w:pPr>
            <w:r>
              <w:rPr>
                <w:spacing w:val="-2"/>
                <w:sz w:val="20"/>
              </w:rPr>
              <w:t>24,99</w:t>
            </w:r>
          </w:p>
        </w:tc>
      </w:tr>
      <w:tr>
        <w:trPr>
          <w:trHeight w:val="462" w:hRule="atLeast"/>
        </w:trPr>
        <w:tc>
          <w:tcPr>
            <w:tcW w:w="2429" w:type="dxa"/>
            <w:tcBorders>
              <w:top w:val="single" w:sz="4" w:space="0" w:color="000000"/>
              <w:bottom w:val="single" w:sz="4" w:space="0" w:color="000000"/>
            </w:tcBorders>
          </w:tcPr>
          <w:p>
            <w:pPr>
              <w:pStyle w:val="TableParagraph"/>
              <w:spacing w:before="54"/>
              <w:ind w:left="69"/>
              <w:rPr>
                <w:b/>
                <w:sz w:val="20"/>
              </w:rPr>
            </w:pPr>
            <w:r>
              <w:rPr>
                <w:b/>
                <w:spacing w:val="-2"/>
                <w:sz w:val="20"/>
              </w:rPr>
              <w:t>TOTAL</w:t>
            </w:r>
          </w:p>
        </w:tc>
        <w:tc>
          <w:tcPr>
            <w:tcW w:w="1457" w:type="dxa"/>
            <w:tcBorders>
              <w:top w:val="single" w:sz="4" w:space="0" w:color="000000"/>
              <w:bottom w:val="single" w:sz="4" w:space="0" w:color="000000"/>
              <w:right w:val="single" w:sz="4" w:space="0" w:color="000000"/>
            </w:tcBorders>
          </w:tcPr>
          <w:p>
            <w:pPr>
              <w:pStyle w:val="TableParagraph"/>
              <w:spacing w:line="227" w:lineRule="exact"/>
              <w:ind w:right="53"/>
              <w:jc w:val="right"/>
              <w:rPr>
                <w:b/>
                <w:sz w:val="20"/>
              </w:rPr>
            </w:pPr>
            <w:r>
              <w:rPr>
                <w:b/>
                <w:spacing w:val="-2"/>
                <w:sz w:val="20"/>
              </w:rPr>
              <w:t>21.870,34*</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ind w:right="52"/>
              <w:jc w:val="right"/>
              <w:rPr>
                <w:b/>
                <w:sz w:val="20"/>
              </w:rPr>
            </w:pPr>
            <w:r>
              <w:rPr>
                <w:b/>
                <w:spacing w:val="-2"/>
                <w:sz w:val="20"/>
              </w:rPr>
              <w:t>4.503,90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ind w:right="53"/>
              <w:jc w:val="right"/>
              <w:rPr>
                <w:b/>
                <w:sz w:val="20"/>
              </w:rPr>
            </w:pPr>
            <w:r>
              <w:rPr>
                <w:b/>
                <w:spacing w:val="-2"/>
                <w:sz w:val="20"/>
              </w:rPr>
              <w:t>17.366,44</w:t>
            </w:r>
          </w:p>
        </w:tc>
        <w:tc>
          <w:tcPr>
            <w:tcW w:w="1459" w:type="dxa"/>
            <w:tcBorders>
              <w:top w:val="single" w:sz="4" w:space="0" w:color="000000"/>
              <w:left w:val="single" w:sz="4" w:space="0" w:color="000000"/>
              <w:bottom w:val="single" w:sz="4" w:space="0" w:color="000000"/>
            </w:tcBorders>
          </w:tcPr>
          <w:p>
            <w:pPr>
              <w:pStyle w:val="TableParagraph"/>
              <w:spacing w:line="227" w:lineRule="exact"/>
              <w:ind w:right="49"/>
              <w:jc w:val="right"/>
              <w:rPr>
                <w:b/>
                <w:sz w:val="20"/>
              </w:rPr>
            </w:pPr>
            <w:r>
              <w:rPr>
                <w:b/>
                <w:spacing w:val="-2"/>
                <w:sz w:val="20"/>
              </w:rPr>
              <w:t>27,54</w:t>
            </w:r>
          </w:p>
        </w:tc>
      </w:tr>
    </w:tbl>
    <w:p>
      <w:pPr>
        <w:spacing w:line="345" w:lineRule="auto" w:before="225"/>
        <w:ind w:left="1341" w:right="1337" w:firstLine="0"/>
        <w:jc w:val="both"/>
        <w:rPr>
          <w:rFonts w:ascii="Tahoma" w:hAnsi="Tahoma"/>
          <w:i/>
          <w:sz w:val="20"/>
        </w:rPr>
      </w:pPr>
      <w:r>
        <w:rPr>
          <w:rFonts w:ascii="Tahoma" w:hAnsi="Tahoma"/>
          <w:i/>
          <w:sz w:val="20"/>
        </w:rPr>
        <w:t>* Faltan 2 horas que no se encuadran en grupo profesional correspondiente a un alumno en formación que realizó 2 horas de cursos de formación, con lo cual el total de horas de</w:t>
      </w:r>
      <w:r>
        <w:rPr>
          <w:rFonts w:ascii="Tahoma" w:hAnsi="Tahoma"/>
          <w:i/>
          <w:spacing w:val="40"/>
          <w:sz w:val="20"/>
        </w:rPr>
        <w:t> </w:t>
      </w:r>
      <w:r>
        <w:rPr>
          <w:rFonts w:ascii="Tahoma" w:hAnsi="Tahoma"/>
          <w:i/>
          <w:sz w:val="20"/>
        </w:rPr>
        <w:t>formación teniendo en cuenta esto asciende a 21.872,34 horas.</w:t>
      </w:r>
    </w:p>
    <w:p>
      <w:pPr>
        <w:pStyle w:val="BodyText"/>
        <w:spacing w:before="211"/>
        <w:ind w:left="1341"/>
      </w:pPr>
      <w:r>
        <w:rPr/>
        <mc:AlternateContent>
          <mc:Choice Requires="wps">
            <w:drawing>
              <wp:anchor distT="0" distB="0" distL="0" distR="0" allowOverlap="1" layoutInCell="1" locked="0" behindDoc="0" simplePos="0" relativeHeight="15822336">
                <wp:simplePos x="0" y="0"/>
                <wp:positionH relativeFrom="page">
                  <wp:posOffset>6966436</wp:posOffset>
                </wp:positionH>
                <wp:positionV relativeFrom="paragraph">
                  <wp:posOffset>340094</wp:posOffset>
                </wp:positionV>
                <wp:extent cx="263525" cy="327596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6.779112pt;width:20.75pt;height:257.95pt;mso-position-horizontal-relative:page;mso-position-vertical-relative:paragraph;z-index:15822336" type="#_x0000_t202" id="docshape25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Las</w:t>
      </w:r>
      <w:r>
        <w:rPr>
          <w:spacing w:val="-4"/>
        </w:rPr>
        <w:t> </w:t>
      </w:r>
      <w:r>
        <w:rPr/>
        <w:t>horas</w:t>
      </w:r>
      <w:r>
        <w:rPr>
          <w:spacing w:val="-4"/>
        </w:rPr>
        <w:t> </w:t>
      </w:r>
      <w:r>
        <w:rPr/>
        <w:t>de</w:t>
      </w:r>
      <w:r>
        <w:rPr>
          <w:spacing w:val="-7"/>
        </w:rPr>
        <w:t> </w:t>
      </w:r>
      <w:r>
        <w:rPr/>
        <w:t>formación</w:t>
      </w:r>
      <w:r>
        <w:rPr>
          <w:spacing w:val="-6"/>
        </w:rPr>
        <w:t> </w:t>
      </w:r>
      <w:r>
        <w:rPr/>
        <w:t>por</w:t>
      </w:r>
      <w:r>
        <w:rPr>
          <w:spacing w:val="-1"/>
        </w:rPr>
        <w:t> </w:t>
      </w:r>
      <w:r>
        <w:rPr/>
        <w:t>grupo</w:t>
      </w:r>
      <w:r>
        <w:rPr>
          <w:spacing w:val="-5"/>
        </w:rPr>
        <w:t> </w:t>
      </w:r>
      <w:r>
        <w:rPr/>
        <w:t>profesional</w:t>
      </w:r>
      <w:r>
        <w:rPr>
          <w:spacing w:val="-1"/>
        </w:rPr>
        <w:t> </w:t>
      </w:r>
      <w:r>
        <w:rPr/>
        <w:t>y</w:t>
      </w:r>
      <w:r>
        <w:rPr>
          <w:spacing w:val="-9"/>
        </w:rPr>
        <w:t> </w:t>
      </w:r>
      <w:r>
        <w:rPr/>
        <w:t>sexo</w:t>
      </w:r>
      <w:r>
        <w:rPr>
          <w:spacing w:val="-4"/>
        </w:rPr>
        <w:t> </w:t>
      </w:r>
      <w:r>
        <w:rPr/>
        <w:t>en</w:t>
      </w:r>
      <w:r>
        <w:rPr>
          <w:spacing w:val="-6"/>
        </w:rPr>
        <w:t> </w:t>
      </w:r>
      <w:r>
        <w:rPr/>
        <w:t>el</w:t>
      </w:r>
      <w:r>
        <w:rPr>
          <w:spacing w:val="-6"/>
        </w:rPr>
        <w:t> </w:t>
      </w:r>
      <w:r>
        <w:rPr/>
        <w:t>2025</w:t>
      </w:r>
      <w:r>
        <w:rPr>
          <w:spacing w:val="-6"/>
        </w:rPr>
        <w:t> </w:t>
      </w:r>
      <w:r>
        <w:rPr/>
        <w:t>con</w:t>
      </w:r>
      <w:r>
        <w:rPr>
          <w:spacing w:val="-2"/>
        </w:rPr>
        <w:t> </w:t>
      </w:r>
      <w:r>
        <w:rPr/>
        <w:t>respecto</w:t>
      </w:r>
      <w:r>
        <w:rPr>
          <w:spacing w:val="-3"/>
        </w:rPr>
        <w:t> </w:t>
      </w:r>
      <w:r>
        <w:rPr/>
        <w:t>al</w:t>
      </w:r>
      <w:r>
        <w:rPr>
          <w:spacing w:val="-2"/>
        </w:rPr>
        <w:t> 2024:</w:t>
      </w:r>
    </w:p>
    <w:p>
      <w:pPr>
        <w:pStyle w:val="BodyText"/>
        <w:spacing w:before="85"/>
      </w:pPr>
    </w:p>
    <w:tbl>
      <w:tblPr>
        <w:tblW w:w="0" w:type="auto"/>
        <w:jc w:val="left"/>
        <w:tblInd w:w="1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68"/>
        <w:gridCol w:w="330"/>
        <w:gridCol w:w="1044"/>
        <w:gridCol w:w="1321"/>
        <w:gridCol w:w="331"/>
        <w:gridCol w:w="992"/>
        <w:gridCol w:w="470"/>
        <w:gridCol w:w="908"/>
      </w:tblGrid>
      <w:tr>
        <w:trPr>
          <w:trHeight w:val="455" w:hRule="atLeast"/>
        </w:trPr>
        <w:tc>
          <w:tcPr>
            <w:tcW w:w="2568" w:type="dxa"/>
            <w:tcBorders>
              <w:top w:val="nil"/>
              <w:left w:val="nil"/>
            </w:tcBorders>
          </w:tcPr>
          <w:p>
            <w:pPr>
              <w:pStyle w:val="TableParagraph"/>
              <w:rPr>
                <w:rFonts w:ascii="Times New Roman"/>
                <w:sz w:val="18"/>
              </w:rPr>
            </w:pPr>
          </w:p>
        </w:tc>
        <w:tc>
          <w:tcPr>
            <w:tcW w:w="5396" w:type="dxa"/>
            <w:gridSpan w:val="7"/>
            <w:shd w:val="clear" w:color="auto" w:fill="D7D7D7"/>
          </w:tcPr>
          <w:p>
            <w:pPr>
              <w:pStyle w:val="TableParagraph"/>
              <w:spacing w:before="49"/>
              <w:ind w:left="9"/>
              <w:jc w:val="center"/>
              <w:rPr>
                <w:b/>
                <w:sz w:val="20"/>
              </w:rPr>
            </w:pPr>
            <w:r>
              <w:rPr>
                <w:b/>
                <w:sz w:val="20"/>
              </w:rPr>
              <w:t>∆</w:t>
            </w:r>
            <w:r>
              <w:rPr>
                <w:b/>
                <w:spacing w:val="-9"/>
                <w:sz w:val="20"/>
              </w:rPr>
              <w:t> </w:t>
            </w:r>
            <w:r>
              <w:rPr>
                <w:b/>
                <w:sz w:val="20"/>
              </w:rPr>
              <w:t>2025-</w:t>
            </w:r>
            <w:r>
              <w:rPr>
                <w:b/>
                <w:spacing w:val="-4"/>
                <w:sz w:val="20"/>
              </w:rPr>
              <w:t>2024</w:t>
            </w:r>
          </w:p>
        </w:tc>
      </w:tr>
      <w:tr>
        <w:trPr>
          <w:trHeight w:val="1033" w:hRule="atLeast"/>
        </w:trPr>
        <w:tc>
          <w:tcPr>
            <w:tcW w:w="2568" w:type="dxa"/>
            <w:tcBorders>
              <w:bottom w:val="single" w:sz="4" w:space="0" w:color="000000"/>
            </w:tcBorders>
            <w:shd w:val="clear" w:color="auto" w:fill="D7D7D7"/>
          </w:tcPr>
          <w:p>
            <w:pPr>
              <w:pStyle w:val="TableParagraph"/>
              <w:spacing w:before="110"/>
              <w:rPr>
                <w:sz w:val="20"/>
              </w:rPr>
            </w:pPr>
          </w:p>
          <w:p>
            <w:pPr>
              <w:pStyle w:val="TableParagraph"/>
              <w:ind w:left="165"/>
              <w:rPr>
                <w:b/>
                <w:sz w:val="20"/>
              </w:rPr>
            </w:pPr>
            <w:r>
              <w:rPr>
                <w:b/>
                <w:sz w:val="20"/>
              </w:rPr>
              <w:t>GRUPO</w:t>
            </w:r>
            <w:r>
              <w:rPr>
                <w:b/>
                <w:spacing w:val="-11"/>
                <w:sz w:val="20"/>
              </w:rPr>
              <w:t> </w:t>
            </w:r>
            <w:r>
              <w:rPr>
                <w:b/>
                <w:spacing w:val="-2"/>
                <w:sz w:val="20"/>
              </w:rPr>
              <w:t>PROFESIONAL</w:t>
            </w:r>
          </w:p>
        </w:tc>
        <w:tc>
          <w:tcPr>
            <w:tcW w:w="1374" w:type="dxa"/>
            <w:gridSpan w:val="2"/>
            <w:tcBorders>
              <w:bottom w:val="single" w:sz="4" w:space="0" w:color="000000"/>
              <w:right w:val="single" w:sz="4" w:space="0" w:color="000000"/>
            </w:tcBorders>
            <w:shd w:val="clear" w:color="auto" w:fill="D7D7D7"/>
          </w:tcPr>
          <w:p>
            <w:pPr>
              <w:pStyle w:val="TableParagraph"/>
              <w:spacing w:line="224" w:lineRule="exact"/>
              <w:ind w:left="323" w:firstLine="28"/>
              <w:rPr>
                <w:b/>
                <w:sz w:val="20"/>
              </w:rPr>
            </w:pPr>
            <w:r>
              <w:rPr>
                <w:b/>
                <w:spacing w:val="-2"/>
                <w:sz w:val="20"/>
              </w:rPr>
              <w:t>TOTAL</w:t>
            </w:r>
          </w:p>
          <w:p>
            <w:pPr>
              <w:pStyle w:val="TableParagraph"/>
              <w:spacing w:line="340" w:lineRule="atLeast" w:before="5"/>
              <w:ind w:left="69" w:right="54" w:firstLine="254"/>
              <w:rPr>
                <w:b/>
                <w:sz w:val="20"/>
              </w:rPr>
            </w:pPr>
            <w:r>
              <w:rPr>
                <w:b/>
                <w:spacing w:val="-2"/>
                <w:sz w:val="20"/>
              </w:rPr>
              <w:t>HORAS FORMACIÓN</w:t>
            </w:r>
          </w:p>
        </w:tc>
        <w:tc>
          <w:tcPr>
            <w:tcW w:w="1321" w:type="dxa"/>
            <w:tcBorders>
              <w:left w:val="single" w:sz="4" w:space="0" w:color="000000"/>
              <w:bottom w:val="single" w:sz="4" w:space="0" w:color="000000"/>
              <w:right w:val="single" w:sz="4" w:space="0" w:color="000000"/>
            </w:tcBorders>
            <w:shd w:val="clear" w:color="auto" w:fill="D7D7D7"/>
          </w:tcPr>
          <w:p>
            <w:pPr>
              <w:pStyle w:val="TableParagraph"/>
              <w:spacing w:line="360" w:lineRule="auto" w:before="167"/>
              <w:ind w:left="313" w:right="287" w:hanging="12"/>
              <w:rPr>
                <w:b/>
                <w:sz w:val="20"/>
              </w:rPr>
            </w:pPr>
            <w:r>
              <w:rPr>
                <w:b/>
                <w:spacing w:val="-4"/>
                <w:sz w:val="20"/>
              </w:rPr>
              <w:t>HORAS </w:t>
            </w:r>
            <w:r>
              <w:rPr>
                <w:b/>
                <w:spacing w:val="-2"/>
                <w:sz w:val="20"/>
              </w:rPr>
              <w:t>MUJER</w:t>
            </w:r>
          </w:p>
        </w:tc>
        <w:tc>
          <w:tcPr>
            <w:tcW w:w="1323" w:type="dxa"/>
            <w:gridSpan w:val="2"/>
            <w:tcBorders>
              <w:left w:val="single" w:sz="4" w:space="0" w:color="000000"/>
              <w:bottom w:val="single" w:sz="4" w:space="0" w:color="000000"/>
              <w:right w:val="single" w:sz="4" w:space="0" w:color="000000"/>
            </w:tcBorders>
            <w:shd w:val="clear" w:color="auto" w:fill="D7D7D7"/>
          </w:tcPr>
          <w:p>
            <w:pPr>
              <w:pStyle w:val="TableParagraph"/>
              <w:spacing w:line="360" w:lineRule="auto" w:before="167"/>
              <w:ind w:left="218" w:right="198" w:firstLine="81"/>
              <w:rPr>
                <w:b/>
                <w:sz w:val="20"/>
              </w:rPr>
            </w:pPr>
            <w:r>
              <w:rPr>
                <w:b/>
                <w:spacing w:val="-2"/>
                <w:sz w:val="20"/>
              </w:rPr>
              <w:t>HORAS HOMBRE</w:t>
            </w:r>
          </w:p>
        </w:tc>
        <w:tc>
          <w:tcPr>
            <w:tcW w:w="1378" w:type="dxa"/>
            <w:gridSpan w:val="2"/>
            <w:tcBorders>
              <w:left w:val="single" w:sz="4" w:space="0" w:color="000000"/>
              <w:bottom w:val="single" w:sz="4" w:space="0" w:color="000000"/>
            </w:tcBorders>
            <w:shd w:val="clear" w:color="auto" w:fill="D7D7D7"/>
          </w:tcPr>
          <w:p>
            <w:pPr>
              <w:pStyle w:val="TableParagraph"/>
              <w:spacing w:line="224" w:lineRule="exact"/>
              <w:ind w:left="323" w:firstLine="40"/>
              <w:rPr>
                <w:b/>
                <w:sz w:val="20"/>
              </w:rPr>
            </w:pPr>
            <w:r>
              <w:rPr>
                <w:b/>
                <w:spacing w:val="-2"/>
                <w:sz w:val="20"/>
              </w:rPr>
              <w:t>MEDIA</w:t>
            </w:r>
          </w:p>
          <w:p>
            <w:pPr>
              <w:pStyle w:val="TableParagraph"/>
              <w:spacing w:line="340" w:lineRule="atLeast" w:before="5"/>
              <w:ind w:left="69" w:right="58" w:firstLine="254"/>
              <w:rPr>
                <w:b/>
                <w:sz w:val="20"/>
              </w:rPr>
            </w:pPr>
            <w:r>
              <w:rPr>
                <w:b/>
                <w:spacing w:val="-2"/>
                <w:sz w:val="20"/>
              </w:rPr>
              <w:t>HORAS FORMACIÓN</w:t>
            </w:r>
          </w:p>
        </w:tc>
      </w:tr>
      <w:tr>
        <w:trPr>
          <w:trHeight w:val="544" w:hRule="atLeast"/>
        </w:trPr>
        <w:tc>
          <w:tcPr>
            <w:tcW w:w="2568" w:type="dxa"/>
            <w:tcBorders>
              <w:top w:val="single" w:sz="4" w:space="0" w:color="000000"/>
              <w:bottom w:val="single" w:sz="4" w:space="0" w:color="000000"/>
            </w:tcBorders>
          </w:tcPr>
          <w:p>
            <w:pPr>
              <w:pStyle w:val="TableParagraph"/>
              <w:spacing w:before="98"/>
              <w:ind w:left="69"/>
              <w:rPr>
                <w:sz w:val="20"/>
              </w:rPr>
            </w:pPr>
            <w:r>
              <w:rPr>
                <w:sz w:val="20"/>
              </w:rPr>
              <w:t>PERSONAL</w:t>
            </w:r>
            <w:r>
              <w:rPr>
                <w:spacing w:val="-12"/>
                <w:sz w:val="20"/>
              </w:rPr>
              <w:t> </w:t>
            </w:r>
            <w:r>
              <w:rPr>
                <w:spacing w:val="-2"/>
                <w:sz w:val="20"/>
              </w:rPr>
              <w:t>DIRECTIVO</w:t>
            </w:r>
          </w:p>
        </w:tc>
        <w:tc>
          <w:tcPr>
            <w:tcW w:w="330" w:type="dxa"/>
            <w:tcBorders>
              <w:top w:val="single" w:sz="4" w:space="0" w:color="000000"/>
              <w:bottom w:val="single" w:sz="4" w:space="0" w:color="000000"/>
              <w:right w:val="nil"/>
            </w:tcBorders>
          </w:tcPr>
          <w:p>
            <w:pPr>
              <w:pStyle w:val="TableParagraph"/>
              <w:spacing w:line="229" w:lineRule="exact"/>
              <w:ind w:right="113"/>
              <w:jc w:val="center"/>
              <w:rPr>
                <w:sz w:val="20"/>
              </w:rPr>
            </w:pPr>
            <w:r>
              <w:rPr>
                <w:spacing w:val="-10"/>
                <w:sz w:val="20"/>
              </w:rPr>
              <w:t>-</w:t>
            </w:r>
          </w:p>
        </w:tc>
        <w:tc>
          <w:tcPr>
            <w:tcW w:w="1044" w:type="dxa"/>
            <w:tcBorders>
              <w:top w:val="single" w:sz="4" w:space="0" w:color="000000"/>
              <w:left w:val="nil"/>
              <w:bottom w:val="single" w:sz="4" w:space="0" w:color="000000"/>
              <w:right w:val="single" w:sz="4" w:space="0" w:color="000000"/>
            </w:tcBorders>
          </w:tcPr>
          <w:p>
            <w:pPr>
              <w:pStyle w:val="TableParagraph"/>
              <w:spacing w:line="229" w:lineRule="exact"/>
              <w:ind w:right="20"/>
              <w:jc w:val="center"/>
              <w:rPr>
                <w:sz w:val="20"/>
              </w:rPr>
            </w:pPr>
            <w:r>
              <w:rPr>
                <w:spacing w:val="-2"/>
                <w:sz w:val="20"/>
              </w:rPr>
              <w:t>107,73</w:t>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127"/>
              <w:jc w:val="right"/>
              <w:rPr>
                <w:sz w:val="20"/>
              </w:rPr>
            </w:pPr>
            <w:r>
              <w:rPr>
                <w:spacing w:val="-4"/>
                <w:sz w:val="20"/>
              </w:rPr>
              <w:t>6,45</w:t>
            </w:r>
          </w:p>
        </w:tc>
        <w:tc>
          <w:tcPr>
            <w:tcW w:w="331" w:type="dxa"/>
            <w:tcBorders>
              <w:top w:val="single" w:sz="4" w:space="0" w:color="000000"/>
              <w:left w:val="single" w:sz="4" w:space="0" w:color="000000"/>
              <w:bottom w:val="single" w:sz="4" w:space="0" w:color="000000"/>
              <w:right w:val="nil"/>
            </w:tcBorders>
          </w:tcPr>
          <w:p>
            <w:pPr>
              <w:pStyle w:val="TableParagraph"/>
              <w:spacing w:line="229" w:lineRule="exact"/>
              <w:ind w:left="72"/>
              <w:rPr>
                <w:sz w:val="20"/>
              </w:rPr>
            </w:pPr>
            <w:r>
              <w:rPr>
                <w:spacing w:val="-10"/>
                <w:sz w:val="20"/>
              </w:rPr>
              <w:t>-</w:t>
            </w:r>
          </w:p>
        </w:tc>
        <w:tc>
          <w:tcPr>
            <w:tcW w:w="992" w:type="dxa"/>
            <w:tcBorders>
              <w:top w:val="single" w:sz="4" w:space="0" w:color="000000"/>
              <w:left w:val="nil"/>
              <w:bottom w:val="single" w:sz="4" w:space="0" w:color="000000"/>
              <w:right w:val="single" w:sz="4" w:space="0" w:color="000000"/>
            </w:tcBorders>
          </w:tcPr>
          <w:p>
            <w:pPr>
              <w:pStyle w:val="TableParagraph"/>
              <w:spacing w:line="229" w:lineRule="exact"/>
              <w:ind w:left="24"/>
              <w:jc w:val="center"/>
              <w:rPr>
                <w:sz w:val="20"/>
              </w:rPr>
            </w:pPr>
            <w:r>
              <w:rPr>
                <w:spacing w:val="-2"/>
                <w:sz w:val="20"/>
              </w:rPr>
              <w:t>114,18</w:t>
            </w:r>
          </w:p>
        </w:tc>
        <w:tc>
          <w:tcPr>
            <w:tcW w:w="470" w:type="dxa"/>
            <w:tcBorders>
              <w:top w:val="single" w:sz="4" w:space="0" w:color="000000"/>
              <w:left w:val="single" w:sz="4" w:space="0" w:color="000000"/>
              <w:bottom w:val="single" w:sz="4" w:space="0" w:color="000000"/>
              <w:right w:val="nil"/>
            </w:tcBorders>
          </w:tcPr>
          <w:p>
            <w:pPr>
              <w:pStyle w:val="TableParagraph"/>
              <w:spacing w:line="229" w:lineRule="exact"/>
              <w:ind w:left="69"/>
              <w:rPr>
                <w:sz w:val="20"/>
              </w:rPr>
            </w:pPr>
            <w:r>
              <w:rPr>
                <w:spacing w:val="-10"/>
                <w:sz w:val="20"/>
              </w:rPr>
              <w:t>-</w:t>
            </w:r>
          </w:p>
        </w:tc>
        <w:tc>
          <w:tcPr>
            <w:tcW w:w="908" w:type="dxa"/>
            <w:tcBorders>
              <w:top w:val="single" w:sz="4" w:space="0" w:color="000000"/>
              <w:left w:val="nil"/>
              <w:bottom w:val="single" w:sz="4" w:space="0" w:color="000000"/>
            </w:tcBorders>
          </w:tcPr>
          <w:p>
            <w:pPr>
              <w:pStyle w:val="TableParagraph"/>
              <w:spacing w:line="229" w:lineRule="exact"/>
              <w:ind w:right="170"/>
              <w:jc w:val="right"/>
              <w:rPr>
                <w:sz w:val="20"/>
              </w:rPr>
            </w:pPr>
            <w:r>
              <w:rPr>
                <w:spacing w:val="-4"/>
                <w:sz w:val="20"/>
              </w:rPr>
              <w:t>2,73</w:t>
            </w:r>
          </w:p>
        </w:tc>
      </w:tr>
      <w:tr>
        <w:trPr>
          <w:trHeight w:val="546" w:hRule="atLeast"/>
        </w:trPr>
        <w:tc>
          <w:tcPr>
            <w:tcW w:w="2568" w:type="dxa"/>
            <w:tcBorders>
              <w:top w:val="single" w:sz="4" w:space="0" w:color="000000"/>
              <w:bottom w:val="single" w:sz="4" w:space="0" w:color="000000"/>
            </w:tcBorders>
          </w:tcPr>
          <w:p>
            <w:pPr>
              <w:pStyle w:val="TableParagraph"/>
              <w:spacing w:before="98"/>
              <w:ind w:left="69"/>
              <w:rPr>
                <w:sz w:val="20"/>
              </w:rPr>
            </w:pPr>
            <w:r>
              <w:rPr>
                <w:spacing w:val="-2"/>
                <w:sz w:val="20"/>
              </w:rPr>
              <w:t>TÉCNICOS</w:t>
            </w:r>
          </w:p>
        </w:tc>
        <w:tc>
          <w:tcPr>
            <w:tcW w:w="1374" w:type="dxa"/>
            <w:gridSpan w:val="2"/>
            <w:tcBorders>
              <w:top w:val="single" w:sz="4" w:space="0" w:color="000000"/>
              <w:bottom w:val="single" w:sz="4" w:space="0" w:color="000000"/>
              <w:right w:val="single" w:sz="4" w:space="0" w:color="000000"/>
            </w:tcBorders>
          </w:tcPr>
          <w:p>
            <w:pPr>
              <w:pStyle w:val="TableParagraph"/>
              <w:spacing w:before="2"/>
              <w:ind w:left="344"/>
              <w:rPr>
                <w:sz w:val="20"/>
              </w:rPr>
            </w:pPr>
            <w:r>
              <w:rPr>
                <w:spacing w:val="-2"/>
                <w:sz w:val="20"/>
              </w:rPr>
              <w:t>1.545,35</w:t>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spacing w:before="2"/>
              <w:ind w:right="127"/>
              <w:jc w:val="right"/>
              <w:rPr>
                <w:sz w:val="20"/>
              </w:rPr>
            </w:pPr>
            <w:r>
              <w:rPr>
                <w:spacing w:val="-2"/>
                <w:sz w:val="20"/>
              </w:rPr>
              <w:t>244,14</w:t>
            </w:r>
          </w:p>
        </w:tc>
        <w:tc>
          <w:tcPr>
            <w:tcW w:w="132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
              <w:ind w:left="347"/>
              <w:rPr>
                <w:sz w:val="20"/>
              </w:rPr>
            </w:pPr>
            <w:r>
              <w:rPr>
                <w:spacing w:val="-2"/>
                <w:sz w:val="20"/>
              </w:rPr>
              <w:t>1.301,21</w:t>
            </w:r>
          </w:p>
        </w:tc>
        <w:tc>
          <w:tcPr>
            <w:tcW w:w="1378" w:type="dxa"/>
            <w:gridSpan w:val="2"/>
            <w:tcBorders>
              <w:top w:val="single" w:sz="4" w:space="0" w:color="000000"/>
              <w:left w:val="single" w:sz="4" w:space="0" w:color="000000"/>
              <w:bottom w:val="single" w:sz="4" w:space="0" w:color="000000"/>
            </w:tcBorders>
          </w:tcPr>
          <w:p>
            <w:pPr>
              <w:pStyle w:val="TableParagraph"/>
              <w:spacing w:before="2"/>
              <w:ind w:left="678"/>
              <w:rPr>
                <w:sz w:val="20"/>
              </w:rPr>
            </w:pPr>
            <w:r>
              <w:rPr>
                <w:spacing w:val="-2"/>
                <w:sz w:val="20"/>
              </w:rPr>
              <w:t>79,64</w:t>
            </w:r>
          </w:p>
        </w:tc>
      </w:tr>
      <w:tr>
        <w:trPr>
          <w:trHeight w:val="544" w:hRule="atLeast"/>
        </w:trPr>
        <w:tc>
          <w:tcPr>
            <w:tcW w:w="2568" w:type="dxa"/>
            <w:tcBorders>
              <w:top w:val="single" w:sz="4" w:space="0" w:color="000000"/>
              <w:bottom w:val="single" w:sz="4" w:space="0" w:color="000000"/>
            </w:tcBorders>
          </w:tcPr>
          <w:p>
            <w:pPr>
              <w:pStyle w:val="TableParagraph"/>
              <w:spacing w:before="95"/>
              <w:ind w:left="69"/>
              <w:rPr>
                <w:sz w:val="20"/>
              </w:rPr>
            </w:pPr>
            <w:r>
              <w:rPr>
                <w:sz w:val="20"/>
              </w:rPr>
              <w:t>PERSONAL</w:t>
            </w:r>
            <w:r>
              <w:rPr>
                <w:spacing w:val="-8"/>
                <w:sz w:val="20"/>
              </w:rPr>
              <w:t> </w:t>
            </w:r>
            <w:r>
              <w:rPr>
                <w:sz w:val="20"/>
              </w:rPr>
              <w:t>DE</w:t>
            </w:r>
            <w:r>
              <w:rPr>
                <w:spacing w:val="-7"/>
                <w:sz w:val="20"/>
              </w:rPr>
              <w:t> </w:t>
            </w:r>
            <w:r>
              <w:rPr>
                <w:spacing w:val="-4"/>
                <w:sz w:val="20"/>
              </w:rPr>
              <w:t>MANDO</w:t>
            </w:r>
          </w:p>
        </w:tc>
        <w:tc>
          <w:tcPr>
            <w:tcW w:w="330" w:type="dxa"/>
            <w:tcBorders>
              <w:top w:val="single" w:sz="4" w:space="0" w:color="000000"/>
              <w:bottom w:val="single" w:sz="4" w:space="0" w:color="000000"/>
              <w:right w:val="nil"/>
            </w:tcBorders>
          </w:tcPr>
          <w:p>
            <w:pPr>
              <w:pStyle w:val="TableParagraph"/>
              <w:spacing w:line="229" w:lineRule="exact"/>
              <w:ind w:right="113"/>
              <w:jc w:val="center"/>
              <w:rPr>
                <w:sz w:val="20"/>
              </w:rPr>
            </w:pPr>
            <w:r>
              <w:rPr>
                <w:spacing w:val="-10"/>
                <w:sz w:val="20"/>
              </w:rPr>
              <w:t>-</w:t>
            </w:r>
          </w:p>
        </w:tc>
        <w:tc>
          <w:tcPr>
            <w:tcW w:w="1044" w:type="dxa"/>
            <w:tcBorders>
              <w:top w:val="single" w:sz="4" w:space="0" w:color="000000"/>
              <w:left w:val="nil"/>
              <w:bottom w:val="single" w:sz="4" w:space="0" w:color="000000"/>
              <w:right w:val="single" w:sz="4" w:space="0" w:color="000000"/>
            </w:tcBorders>
          </w:tcPr>
          <w:p>
            <w:pPr>
              <w:pStyle w:val="TableParagraph"/>
              <w:spacing w:line="229" w:lineRule="exact"/>
              <w:ind w:right="20"/>
              <w:jc w:val="center"/>
              <w:rPr>
                <w:sz w:val="20"/>
              </w:rPr>
            </w:pPr>
            <w:r>
              <w:rPr>
                <w:spacing w:val="-2"/>
                <w:sz w:val="20"/>
              </w:rPr>
              <w:t>152,42</w:t>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127"/>
              <w:jc w:val="right"/>
              <w:rPr>
                <w:sz w:val="20"/>
              </w:rPr>
            </w:pPr>
            <w:r>
              <w:rPr>
                <w:spacing w:val="-2"/>
                <w:sz w:val="20"/>
              </w:rPr>
              <w:t>22,90</w:t>
            </w:r>
          </w:p>
        </w:tc>
        <w:tc>
          <w:tcPr>
            <w:tcW w:w="331" w:type="dxa"/>
            <w:tcBorders>
              <w:top w:val="single" w:sz="4" w:space="0" w:color="000000"/>
              <w:left w:val="single" w:sz="4" w:space="0" w:color="000000"/>
              <w:bottom w:val="single" w:sz="4" w:space="0" w:color="000000"/>
              <w:right w:val="nil"/>
            </w:tcBorders>
          </w:tcPr>
          <w:p>
            <w:pPr>
              <w:pStyle w:val="TableParagraph"/>
              <w:spacing w:line="229" w:lineRule="exact"/>
              <w:ind w:left="72"/>
              <w:rPr>
                <w:sz w:val="20"/>
              </w:rPr>
            </w:pPr>
            <w:r>
              <w:rPr>
                <w:spacing w:val="-10"/>
                <w:sz w:val="20"/>
              </w:rPr>
              <w:t>-</w:t>
            </w:r>
          </w:p>
        </w:tc>
        <w:tc>
          <w:tcPr>
            <w:tcW w:w="992" w:type="dxa"/>
            <w:tcBorders>
              <w:top w:val="single" w:sz="4" w:space="0" w:color="000000"/>
              <w:left w:val="nil"/>
              <w:bottom w:val="single" w:sz="4" w:space="0" w:color="000000"/>
              <w:right w:val="single" w:sz="4" w:space="0" w:color="000000"/>
            </w:tcBorders>
          </w:tcPr>
          <w:p>
            <w:pPr>
              <w:pStyle w:val="TableParagraph"/>
              <w:spacing w:line="229" w:lineRule="exact"/>
              <w:ind w:left="24"/>
              <w:jc w:val="center"/>
              <w:rPr>
                <w:sz w:val="20"/>
              </w:rPr>
            </w:pPr>
            <w:r>
              <w:rPr>
                <w:spacing w:val="-2"/>
                <w:sz w:val="20"/>
              </w:rPr>
              <w:t>175,33</w:t>
            </w:r>
          </w:p>
        </w:tc>
        <w:tc>
          <w:tcPr>
            <w:tcW w:w="470" w:type="dxa"/>
            <w:tcBorders>
              <w:top w:val="single" w:sz="4" w:space="0" w:color="000000"/>
              <w:left w:val="single" w:sz="4" w:space="0" w:color="000000"/>
              <w:bottom w:val="single" w:sz="4" w:space="0" w:color="000000"/>
              <w:right w:val="nil"/>
            </w:tcBorders>
          </w:tcPr>
          <w:p>
            <w:pPr>
              <w:pStyle w:val="TableParagraph"/>
              <w:spacing w:line="229" w:lineRule="exact"/>
              <w:ind w:left="69"/>
              <w:rPr>
                <w:sz w:val="20"/>
              </w:rPr>
            </w:pPr>
            <w:r>
              <w:rPr>
                <w:spacing w:val="-10"/>
                <w:sz w:val="20"/>
              </w:rPr>
              <w:t>-</w:t>
            </w:r>
          </w:p>
        </w:tc>
        <w:tc>
          <w:tcPr>
            <w:tcW w:w="908" w:type="dxa"/>
            <w:tcBorders>
              <w:top w:val="single" w:sz="4" w:space="0" w:color="000000"/>
              <w:left w:val="nil"/>
              <w:bottom w:val="single" w:sz="4" w:space="0" w:color="000000"/>
            </w:tcBorders>
          </w:tcPr>
          <w:p>
            <w:pPr>
              <w:pStyle w:val="TableParagraph"/>
              <w:spacing w:line="229" w:lineRule="exact"/>
              <w:ind w:right="170"/>
              <w:jc w:val="right"/>
              <w:rPr>
                <w:sz w:val="20"/>
              </w:rPr>
            </w:pPr>
            <w:r>
              <w:rPr>
                <w:spacing w:val="-4"/>
                <w:sz w:val="20"/>
              </w:rPr>
              <w:t>3,65</w:t>
            </w:r>
          </w:p>
        </w:tc>
      </w:tr>
      <w:tr>
        <w:trPr>
          <w:trHeight w:val="544" w:hRule="atLeast"/>
        </w:trPr>
        <w:tc>
          <w:tcPr>
            <w:tcW w:w="2568" w:type="dxa"/>
            <w:tcBorders>
              <w:top w:val="single" w:sz="4" w:space="0" w:color="000000"/>
              <w:bottom w:val="single" w:sz="4" w:space="0" w:color="000000"/>
            </w:tcBorders>
          </w:tcPr>
          <w:p>
            <w:pPr>
              <w:pStyle w:val="TableParagraph"/>
              <w:spacing w:before="98"/>
              <w:ind w:left="69"/>
              <w:rPr>
                <w:sz w:val="20"/>
              </w:rPr>
            </w:pPr>
            <w:r>
              <w:rPr>
                <w:sz w:val="20"/>
              </w:rPr>
              <w:t>PERSONAL</w:t>
            </w:r>
            <w:r>
              <w:rPr>
                <w:spacing w:val="-8"/>
                <w:sz w:val="20"/>
              </w:rPr>
              <w:t> </w:t>
            </w:r>
            <w:r>
              <w:rPr>
                <w:sz w:val="20"/>
              </w:rPr>
              <w:t>DE</w:t>
            </w:r>
            <w:r>
              <w:rPr>
                <w:spacing w:val="-7"/>
                <w:sz w:val="20"/>
              </w:rPr>
              <w:t> </w:t>
            </w:r>
            <w:r>
              <w:rPr>
                <w:spacing w:val="-2"/>
                <w:sz w:val="20"/>
              </w:rPr>
              <w:t>OFICIO</w:t>
            </w:r>
          </w:p>
        </w:tc>
        <w:tc>
          <w:tcPr>
            <w:tcW w:w="1374" w:type="dxa"/>
            <w:gridSpan w:val="2"/>
            <w:tcBorders>
              <w:top w:val="single" w:sz="4" w:space="0" w:color="000000"/>
              <w:bottom w:val="single" w:sz="4" w:space="0" w:color="000000"/>
              <w:right w:val="single" w:sz="4" w:space="0" w:color="000000"/>
            </w:tcBorders>
          </w:tcPr>
          <w:p>
            <w:pPr>
              <w:pStyle w:val="TableParagraph"/>
              <w:spacing w:line="229" w:lineRule="exact"/>
              <w:ind w:left="344"/>
              <w:rPr>
                <w:sz w:val="20"/>
              </w:rPr>
            </w:pPr>
            <w:r>
              <w:rPr>
                <w:spacing w:val="-2"/>
                <w:sz w:val="20"/>
              </w:rPr>
              <w:t>6.600,23</w:t>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right="182"/>
              <w:jc w:val="right"/>
              <w:rPr>
                <w:sz w:val="20"/>
              </w:rPr>
            </w:pPr>
            <w:r>
              <w:rPr>
                <w:spacing w:val="-2"/>
                <w:sz w:val="20"/>
              </w:rPr>
              <w:t>2.699,97</w:t>
            </w:r>
          </w:p>
        </w:tc>
        <w:tc>
          <w:tcPr>
            <w:tcW w:w="1323" w:type="dxa"/>
            <w:gridSpan w:val="2"/>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347"/>
              <w:rPr>
                <w:sz w:val="20"/>
              </w:rPr>
            </w:pPr>
            <w:r>
              <w:rPr>
                <w:spacing w:val="-2"/>
                <w:sz w:val="20"/>
              </w:rPr>
              <w:t>3.900,26</w:t>
            </w:r>
          </w:p>
        </w:tc>
        <w:tc>
          <w:tcPr>
            <w:tcW w:w="1378" w:type="dxa"/>
            <w:gridSpan w:val="2"/>
            <w:tcBorders>
              <w:top w:val="single" w:sz="4" w:space="0" w:color="000000"/>
              <w:left w:val="single" w:sz="4" w:space="0" w:color="000000"/>
              <w:bottom w:val="single" w:sz="4" w:space="0" w:color="000000"/>
            </w:tcBorders>
          </w:tcPr>
          <w:p>
            <w:pPr>
              <w:pStyle w:val="TableParagraph"/>
              <w:spacing w:line="229" w:lineRule="exact"/>
              <w:ind w:left="789"/>
              <w:rPr>
                <w:sz w:val="20"/>
              </w:rPr>
            </w:pPr>
            <w:r>
              <w:rPr>
                <w:spacing w:val="-4"/>
                <w:sz w:val="20"/>
              </w:rPr>
              <w:t>7,91</w:t>
            </w:r>
          </w:p>
        </w:tc>
      </w:tr>
      <w:tr>
        <w:trPr>
          <w:trHeight w:val="546" w:hRule="atLeast"/>
        </w:trPr>
        <w:tc>
          <w:tcPr>
            <w:tcW w:w="2568" w:type="dxa"/>
            <w:tcBorders>
              <w:top w:val="single" w:sz="4" w:space="0" w:color="000000"/>
            </w:tcBorders>
          </w:tcPr>
          <w:p>
            <w:pPr>
              <w:pStyle w:val="TableParagraph"/>
              <w:spacing w:before="95"/>
              <w:ind w:left="10"/>
              <w:jc w:val="center"/>
              <w:rPr>
                <w:b/>
                <w:sz w:val="20"/>
              </w:rPr>
            </w:pPr>
            <w:r>
              <w:rPr>
                <w:b/>
                <w:spacing w:val="-2"/>
                <w:sz w:val="20"/>
              </w:rPr>
              <w:t>TOTAL</w:t>
            </w:r>
          </w:p>
        </w:tc>
        <w:tc>
          <w:tcPr>
            <w:tcW w:w="1374" w:type="dxa"/>
            <w:gridSpan w:val="2"/>
            <w:tcBorders>
              <w:top w:val="single" w:sz="4" w:space="0" w:color="000000"/>
              <w:right w:val="single" w:sz="4" w:space="0" w:color="000000"/>
            </w:tcBorders>
          </w:tcPr>
          <w:p>
            <w:pPr>
              <w:pStyle w:val="TableParagraph"/>
              <w:spacing w:line="227" w:lineRule="exact"/>
              <w:ind w:left="344"/>
              <w:rPr>
                <w:b/>
                <w:sz w:val="20"/>
              </w:rPr>
            </w:pPr>
            <w:r>
              <w:rPr>
                <w:b/>
                <w:spacing w:val="-2"/>
                <w:sz w:val="20"/>
              </w:rPr>
              <w:t>7.885,43</w:t>
            </w:r>
          </w:p>
        </w:tc>
        <w:tc>
          <w:tcPr>
            <w:tcW w:w="1321" w:type="dxa"/>
            <w:tcBorders>
              <w:top w:val="single" w:sz="4" w:space="0" w:color="000000"/>
              <w:left w:val="single" w:sz="4" w:space="0" w:color="000000"/>
              <w:right w:val="single" w:sz="4" w:space="0" w:color="000000"/>
            </w:tcBorders>
          </w:tcPr>
          <w:p>
            <w:pPr>
              <w:pStyle w:val="TableParagraph"/>
              <w:spacing w:line="227" w:lineRule="exact"/>
              <w:ind w:right="182"/>
              <w:jc w:val="right"/>
              <w:rPr>
                <w:b/>
                <w:sz w:val="20"/>
              </w:rPr>
            </w:pPr>
            <w:r>
              <w:rPr>
                <w:b/>
                <w:spacing w:val="-2"/>
                <w:sz w:val="20"/>
              </w:rPr>
              <w:t>2.973,47</w:t>
            </w:r>
          </w:p>
        </w:tc>
        <w:tc>
          <w:tcPr>
            <w:tcW w:w="1323" w:type="dxa"/>
            <w:gridSpan w:val="2"/>
            <w:tcBorders>
              <w:top w:val="single" w:sz="4" w:space="0" w:color="000000"/>
              <w:left w:val="single" w:sz="4" w:space="0" w:color="000000"/>
              <w:right w:val="single" w:sz="4" w:space="0" w:color="000000"/>
            </w:tcBorders>
          </w:tcPr>
          <w:p>
            <w:pPr>
              <w:pStyle w:val="TableParagraph"/>
              <w:spacing w:line="227" w:lineRule="exact"/>
              <w:ind w:left="347"/>
              <w:rPr>
                <w:b/>
                <w:sz w:val="20"/>
              </w:rPr>
            </w:pPr>
            <w:r>
              <w:rPr>
                <w:b/>
                <w:spacing w:val="-2"/>
                <w:sz w:val="20"/>
              </w:rPr>
              <w:t>4.911,96</w:t>
            </w:r>
          </w:p>
        </w:tc>
        <w:tc>
          <w:tcPr>
            <w:tcW w:w="1378" w:type="dxa"/>
            <w:gridSpan w:val="2"/>
            <w:tcBorders>
              <w:top w:val="single" w:sz="4" w:space="0" w:color="000000"/>
              <w:left w:val="single" w:sz="4" w:space="0" w:color="000000"/>
            </w:tcBorders>
          </w:tcPr>
          <w:p>
            <w:pPr>
              <w:pStyle w:val="TableParagraph"/>
              <w:spacing w:line="227" w:lineRule="exact"/>
              <w:ind w:left="789"/>
              <w:rPr>
                <w:b/>
                <w:sz w:val="20"/>
              </w:rPr>
            </w:pPr>
            <w:r>
              <w:rPr>
                <w:b/>
                <w:spacing w:val="-4"/>
                <w:sz w:val="20"/>
              </w:rPr>
              <w:t>8,58</w:t>
            </w:r>
          </w:p>
        </w:tc>
      </w:tr>
    </w:tbl>
    <w:p>
      <w:pPr>
        <w:pStyle w:val="TableParagraph"/>
        <w:spacing w:after="0" w:line="227" w:lineRule="exact"/>
        <w:rPr>
          <w:b/>
          <w:sz w:val="20"/>
        </w:rPr>
        <w:sectPr>
          <w:pgSz w:w="11910" w:h="16840"/>
          <w:pgMar w:header="384" w:footer="1060" w:top="1200" w:bottom="1260" w:left="360" w:right="360"/>
        </w:sectPr>
      </w:pPr>
    </w:p>
    <w:p>
      <w:pPr>
        <w:pStyle w:val="BodyText"/>
        <w:spacing w:line="360" w:lineRule="auto" w:before="215"/>
        <w:ind w:left="1341" w:right="1334"/>
        <w:jc w:val="both"/>
      </w:pPr>
      <w:r>
        <w:rPr/>
        <mc:AlternateContent>
          <mc:Choice Requires="wps">
            <w:drawing>
              <wp:anchor distT="0" distB="0" distL="0" distR="0" allowOverlap="1" layoutInCell="1" locked="0" behindDoc="0" simplePos="0" relativeHeight="15822848">
                <wp:simplePos x="0" y="0"/>
                <wp:positionH relativeFrom="page">
                  <wp:posOffset>6966436</wp:posOffset>
                </wp:positionH>
                <wp:positionV relativeFrom="page">
                  <wp:posOffset>6553363</wp:posOffset>
                </wp:positionV>
                <wp:extent cx="263525" cy="327596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22848" type="#_x0000_t202" id="docshape25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En el 2025 se han incrementado notablemente las horas de formación en un 56,40 % en relación con el 2024, especialmente porque hemos necesitado realizar más formación reglamentaria del CAP (Curso de Aptitud Profesional de formación continua) pasando de 2.238 horas a 5.775 horas. Además, destacamos que en la conducción de guaguas eléctricas</w:t>
      </w:r>
      <w:r>
        <w:rPr>
          <w:spacing w:val="40"/>
        </w:rPr>
        <w:t> </w:t>
      </w:r>
      <w:r>
        <w:rPr/>
        <w:t>híbridas y articuladas hemos pasado de realizar 130 cursos en 2024 a realizar un total de 277 cursos en 2025.</w:t>
      </w:r>
    </w:p>
    <w:p>
      <w:pPr>
        <w:pStyle w:val="BodyText"/>
        <w:spacing w:before="201"/>
        <w:ind w:left="1"/>
        <w:jc w:val="center"/>
      </w:pPr>
      <w:r>
        <w:rPr/>
        <w:t>En</w:t>
      </w:r>
      <w:r>
        <w:rPr>
          <w:spacing w:val="45"/>
        </w:rPr>
        <w:t> </w:t>
      </w:r>
      <w:r>
        <w:rPr/>
        <w:t>las</w:t>
      </w:r>
      <w:r>
        <w:rPr>
          <w:spacing w:val="44"/>
        </w:rPr>
        <w:t> </w:t>
      </w:r>
      <w:r>
        <w:rPr/>
        <w:t>competencias</w:t>
      </w:r>
      <w:r>
        <w:rPr>
          <w:spacing w:val="44"/>
        </w:rPr>
        <w:t> </w:t>
      </w:r>
      <w:r>
        <w:rPr/>
        <w:t>operativas</w:t>
      </w:r>
      <w:r>
        <w:rPr>
          <w:spacing w:val="48"/>
        </w:rPr>
        <w:t> </w:t>
      </w:r>
      <w:r>
        <w:rPr/>
        <w:t>y</w:t>
      </w:r>
      <w:r>
        <w:rPr>
          <w:spacing w:val="39"/>
        </w:rPr>
        <w:t> </w:t>
      </w:r>
      <w:r>
        <w:rPr/>
        <w:t>técnicas</w:t>
      </w:r>
      <w:r>
        <w:rPr>
          <w:spacing w:val="46"/>
        </w:rPr>
        <w:t> </w:t>
      </w:r>
      <w:r>
        <w:rPr/>
        <w:t>de</w:t>
      </w:r>
      <w:r>
        <w:rPr>
          <w:spacing w:val="45"/>
        </w:rPr>
        <w:t> </w:t>
      </w:r>
      <w:r>
        <w:rPr/>
        <w:t>Salud</w:t>
      </w:r>
      <w:r>
        <w:rPr>
          <w:spacing w:val="41"/>
        </w:rPr>
        <w:t> </w:t>
      </w:r>
      <w:r>
        <w:rPr/>
        <w:t>Laboral,</w:t>
      </w:r>
      <w:r>
        <w:rPr>
          <w:spacing w:val="44"/>
        </w:rPr>
        <w:t> </w:t>
      </w:r>
      <w:r>
        <w:rPr/>
        <w:t>Prevención</w:t>
      </w:r>
      <w:r>
        <w:rPr>
          <w:spacing w:val="47"/>
        </w:rPr>
        <w:t> </w:t>
      </w:r>
      <w:r>
        <w:rPr/>
        <w:t>y</w:t>
      </w:r>
      <w:r>
        <w:rPr>
          <w:spacing w:val="44"/>
        </w:rPr>
        <w:t> </w:t>
      </w:r>
      <w:r>
        <w:rPr/>
        <w:t>Bienestar</w:t>
      </w:r>
      <w:r>
        <w:rPr>
          <w:spacing w:val="45"/>
        </w:rPr>
        <w:t> </w:t>
      </w:r>
      <w:r>
        <w:rPr>
          <w:spacing w:val="-5"/>
        </w:rPr>
        <w:t>que</w:t>
      </w:r>
    </w:p>
    <w:p>
      <w:pPr>
        <w:pStyle w:val="BodyText"/>
        <w:spacing w:line="362" w:lineRule="auto" w:before="113"/>
        <w:ind w:left="1341" w:right="1337"/>
        <w:jc w:val="both"/>
      </w:pPr>
      <w:r>
        <w:rPr/>
        <w:t>incluye la materia</w:t>
      </w:r>
      <w:r>
        <w:rPr>
          <w:spacing w:val="-1"/>
        </w:rPr>
        <w:t> </w:t>
      </w:r>
      <w:r>
        <w:rPr/>
        <w:t>de prevención de Riesgos Psicosociales hay que</w:t>
      </w:r>
      <w:r>
        <w:rPr>
          <w:spacing w:val="-1"/>
        </w:rPr>
        <w:t> </w:t>
      </w:r>
      <w:r>
        <w:rPr/>
        <w:t>destacar que se</w:t>
      </w:r>
      <w:r>
        <w:rPr>
          <w:spacing w:val="-1"/>
        </w:rPr>
        <w:t> </w:t>
      </w:r>
      <w:r>
        <w:rPr/>
        <w:t>produjo un aumento en esta materia con un total de 154 cursos, mientras que el ejercicio 2024 fueron 96 </w:t>
      </w:r>
      <w:r>
        <w:rPr>
          <w:spacing w:val="-2"/>
        </w:rPr>
        <w:t>cursos.</w:t>
      </w:r>
    </w:p>
    <w:p>
      <w:pPr>
        <w:pStyle w:val="BodyText"/>
        <w:spacing w:before="197"/>
        <w:ind w:left="1341"/>
        <w:jc w:val="both"/>
      </w:pPr>
      <w:r>
        <w:rPr/>
        <w:t>Programa</w:t>
      </w:r>
      <w:r>
        <w:rPr>
          <w:spacing w:val="-7"/>
        </w:rPr>
        <w:t> </w:t>
      </w:r>
      <w:r>
        <w:rPr/>
        <w:t>de</w:t>
      </w:r>
      <w:r>
        <w:rPr>
          <w:spacing w:val="-7"/>
        </w:rPr>
        <w:t> </w:t>
      </w:r>
      <w:r>
        <w:rPr/>
        <w:t>formación</w:t>
      </w:r>
      <w:r>
        <w:rPr>
          <w:spacing w:val="-7"/>
        </w:rPr>
        <w:t> </w:t>
      </w:r>
      <w:r>
        <w:rPr/>
        <w:t>realizado</w:t>
      </w:r>
      <w:r>
        <w:rPr>
          <w:spacing w:val="-7"/>
        </w:rPr>
        <w:t> </w:t>
      </w:r>
      <w:r>
        <w:rPr/>
        <w:t>durante</w:t>
      </w:r>
      <w:r>
        <w:rPr>
          <w:spacing w:val="-7"/>
        </w:rPr>
        <w:t> </w:t>
      </w:r>
      <w:r>
        <w:rPr/>
        <w:t>el</w:t>
      </w:r>
      <w:r>
        <w:rPr>
          <w:spacing w:val="-7"/>
        </w:rPr>
        <w:t> </w:t>
      </w:r>
      <w:r>
        <w:rPr/>
        <w:t>año</w:t>
      </w:r>
      <w:r>
        <w:rPr>
          <w:spacing w:val="-7"/>
        </w:rPr>
        <w:t> </w:t>
      </w:r>
      <w:r>
        <w:rPr>
          <w:spacing w:val="-4"/>
        </w:rPr>
        <w:t>2025:</w:t>
      </w:r>
    </w:p>
    <w:p>
      <w:pPr>
        <w:pStyle w:val="BodyText"/>
        <w:spacing w:before="85"/>
      </w:pPr>
    </w:p>
    <w:tbl>
      <w:tblPr>
        <w:tblW w:w="0" w:type="auto"/>
        <w:jc w:val="left"/>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6921"/>
        <w:gridCol w:w="873"/>
      </w:tblGrid>
      <w:tr>
        <w:trPr>
          <w:trHeight w:val="765" w:hRule="atLeast"/>
        </w:trPr>
        <w:tc>
          <w:tcPr>
            <w:tcW w:w="854" w:type="dxa"/>
            <w:shd w:val="clear" w:color="auto" w:fill="D9D9D9"/>
          </w:tcPr>
          <w:p>
            <w:pPr>
              <w:pStyle w:val="TableParagraph"/>
              <w:spacing w:before="138"/>
              <w:ind w:left="88" w:right="74" w:firstLine="72"/>
              <w:rPr>
                <w:rFonts w:ascii="Calibri" w:hAnsi="Calibri"/>
                <w:b/>
                <w:sz w:val="20"/>
              </w:rPr>
            </w:pPr>
            <w:r>
              <w:rPr>
                <w:rFonts w:ascii="Calibri" w:hAnsi="Calibri"/>
                <w:b/>
                <w:sz w:val="20"/>
              </w:rPr>
              <w:t>Nº</w:t>
            </w:r>
            <w:r>
              <w:rPr>
                <w:rFonts w:ascii="Calibri" w:hAnsi="Calibri"/>
                <w:b/>
                <w:spacing w:val="40"/>
                <w:sz w:val="20"/>
              </w:rPr>
              <w:t> </w:t>
            </w:r>
            <w:r>
              <w:rPr>
                <w:rFonts w:ascii="Calibri" w:hAnsi="Calibri"/>
                <w:b/>
                <w:sz w:val="20"/>
              </w:rPr>
              <w:t>DE </w:t>
            </w:r>
            <w:r>
              <w:rPr>
                <w:rFonts w:ascii="Calibri" w:hAnsi="Calibri"/>
                <w:b/>
                <w:spacing w:val="-2"/>
                <w:sz w:val="20"/>
              </w:rPr>
              <w:t>CURSOS</w:t>
            </w:r>
          </w:p>
        </w:tc>
        <w:tc>
          <w:tcPr>
            <w:tcW w:w="6921" w:type="dxa"/>
            <w:shd w:val="clear" w:color="auto" w:fill="D9D9D9"/>
          </w:tcPr>
          <w:p>
            <w:pPr>
              <w:pStyle w:val="TableParagraph"/>
              <w:spacing w:before="30"/>
              <w:rPr>
                <w:sz w:val="20"/>
              </w:rPr>
            </w:pPr>
          </w:p>
          <w:p>
            <w:pPr>
              <w:pStyle w:val="TableParagraph"/>
              <w:ind w:left="1612"/>
              <w:rPr>
                <w:rFonts w:ascii="Calibri" w:hAnsi="Calibri"/>
                <w:b/>
                <w:sz w:val="20"/>
              </w:rPr>
            </w:pPr>
            <w:r>
              <w:rPr>
                <w:rFonts w:ascii="Calibri" w:hAnsi="Calibri"/>
                <w:b/>
                <w:sz w:val="20"/>
              </w:rPr>
              <w:t>DENOMINACIÓN</w:t>
            </w:r>
            <w:r>
              <w:rPr>
                <w:rFonts w:ascii="Calibri" w:hAnsi="Calibri"/>
                <w:b/>
                <w:spacing w:val="-6"/>
                <w:sz w:val="20"/>
              </w:rPr>
              <w:t> </w:t>
            </w:r>
            <w:r>
              <w:rPr>
                <w:rFonts w:ascii="Calibri" w:hAnsi="Calibri"/>
                <w:b/>
                <w:sz w:val="20"/>
              </w:rPr>
              <w:t>DE</w:t>
            </w:r>
            <w:r>
              <w:rPr>
                <w:rFonts w:ascii="Calibri" w:hAnsi="Calibri"/>
                <w:b/>
                <w:spacing w:val="-6"/>
                <w:sz w:val="20"/>
              </w:rPr>
              <w:t> </w:t>
            </w:r>
            <w:r>
              <w:rPr>
                <w:rFonts w:ascii="Calibri" w:hAnsi="Calibri"/>
                <w:b/>
                <w:sz w:val="20"/>
              </w:rPr>
              <w:t>LA</w:t>
            </w:r>
            <w:r>
              <w:rPr>
                <w:rFonts w:ascii="Calibri" w:hAnsi="Calibri"/>
                <w:b/>
                <w:spacing w:val="-8"/>
                <w:sz w:val="20"/>
              </w:rPr>
              <w:t> </w:t>
            </w:r>
            <w:r>
              <w:rPr>
                <w:rFonts w:ascii="Calibri" w:hAnsi="Calibri"/>
                <w:b/>
                <w:sz w:val="20"/>
              </w:rPr>
              <w:t>ACCIÓN</w:t>
            </w:r>
            <w:r>
              <w:rPr>
                <w:rFonts w:ascii="Calibri" w:hAnsi="Calibri"/>
                <w:b/>
                <w:spacing w:val="-5"/>
                <w:sz w:val="20"/>
              </w:rPr>
              <w:t> </w:t>
            </w:r>
            <w:r>
              <w:rPr>
                <w:rFonts w:ascii="Calibri" w:hAnsi="Calibri"/>
                <w:b/>
                <w:spacing w:val="-2"/>
                <w:sz w:val="20"/>
              </w:rPr>
              <w:t>FORMATIVA</w:t>
            </w:r>
          </w:p>
        </w:tc>
        <w:tc>
          <w:tcPr>
            <w:tcW w:w="873" w:type="dxa"/>
            <w:shd w:val="clear" w:color="auto" w:fill="D9D9D9"/>
          </w:tcPr>
          <w:p>
            <w:pPr>
              <w:pStyle w:val="TableParagraph"/>
              <w:spacing w:before="15"/>
              <w:ind w:left="139" w:right="133" w:firstLine="52"/>
              <w:jc w:val="right"/>
              <w:rPr>
                <w:rFonts w:ascii="Calibri" w:hAnsi="Calibri"/>
                <w:b/>
                <w:sz w:val="20"/>
              </w:rPr>
            </w:pPr>
            <w:r>
              <w:rPr>
                <w:rFonts w:ascii="Calibri" w:hAnsi="Calibri"/>
                <w:b/>
                <w:sz w:val="20"/>
              </w:rPr>
              <w:t>Nº DE </w:t>
            </w:r>
            <w:r>
              <w:rPr>
                <w:rFonts w:ascii="Calibri" w:hAnsi="Calibri"/>
                <w:b/>
                <w:spacing w:val="-4"/>
                <w:sz w:val="20"/>
              </w:rPr>
              <w:t>HORAS</w:t>
            </w:r>
          </w:p>
          <w:p>
            <w:pPr>
              <w:pStyle w:val="TableParagraph"/>
              <w:spacing w:line="241" w:lineRule="exact"/>
              <w:ind w:right="60"/>
              <w:jc w:val="right"/>
              <w:rPr>
                <w:rFonts w:ascii="Calibri"/>
                <w:b/>
                <w:sz w:val="20"/>
              </w:rPr>
            </w:pPr>
            <w:r>
              <w:rPr>
                <w:rFonts w:ascii="Calibri"/>
                <w:b/>
                <w:spacing w:val="-2"/>
                <w:sz w:val="20"/>
              </w:rPr>
              <w:t>TOTALES</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ACOGIDA</w:t>
            </w:r>
            <w:r>
              <w:rPr>
                <w:spacing w:val="-5"/>
                <w:sz w:val="16"/>
              </w:rPr>
              <w:t> </w:t>
            </w:r>
            <w:r>
              <w:rPr>
                <w:sz w:val="16"/>
              </w:rPr>
              <w:t>INCORPORACION</w:t>
            </w:r>
            <w:r>
              <w:rPr>
                <w:spacing w:val="-8"/>
                <w:sz w:val="16"/>
              </w:rPr>
              <w:t> </w:t>
            </w:r>
            <w:r>
              <w:rPr>
                <w:sz w:val="16"/>
              </w:rPr>
              <w:t>A</w:t>
            </w:r>
            <w:r>
              <w:rPr>
                <w:spacing w:val="-2"/>
                <w:sz w:val="16"/>
              </w:rPr>
              <w:t> </w:t>
            </w:r>
            <w:r>
              <w:rPr>
                <w:sz w:val="16"/>
              </w:rPr>
              <w:t>LA</w:t>
            </w:r>
            <w:r>
              <w:rPr>
                <w:spacing w:val="-7"/>
                <w:sz w:val="16"/>
              </w:rPr>
              <w:t> </w:t>
            </w:r>
            <w:r>
              <w:rPr>
                <w:sz w:val="16"/>
              </w:rPr>
              <w:t>EMPRESA</w:t>
            </w:r>
            <w:r>
              <w:rPr>
                <w:spacing w:val="-3"/>
                <w:sz w:val="16"/>
              </w:rPr>
              <w:t> </w:t>
            </w:r>
            <w:r>
              <w:rPr>
                <w:sz w:val="16"/>
              </w:rPr>
              <w:t>-</w:t>
            </w:r>
            <w:r>
              <w:rPr>
                <w:spacing w:val="-6"/>
                <w:sz w:val="16"/>
              </w:rPr>
              <w:t> </w:t>
            </w:r>
            <w:r>
              <w:rPr>
                <w:sz w:val="16"/>
              </w:rPr>
              <w:t>ANALISTA</w:t>
            </w:r>
            <w:r>
              <w:rPr>
                <w:spacing w:val="-6"/>
                <w:sz w:val="16"/>
              </w:rPr>
              <w:t> </w:t>
            </w:r>
            <w:r>
              <w:rPr>
                <w:sz w:val="16"/>
              </w:rPr>
              <w:t>ECONOMICO</w:t>
            </w:r>
            <w:r>
              <w:rPr>
                <w:spacing w:val="-2"/>
                <w:sz w:val="16"/>
              </w:rPr>
              <w:t> FINANCIERO</w:t>
            </w:r>
          </w:p>
        </w:tc>
        <w:tc>
          <w:tcPr>
            <w:tcW w:w="873" w:type="dxa"/>
          </w:tcPr>
          <w:p>
            <w:pPr>
              <w:pStyle w:val="TableParagraph"/>
              <w:spacing w:line="180" w:lineRule="exact"/>
              <w:ind w:left="61" w:right="6"/>
              <w:jc w:val="center"/>
              <w:rPr>
                <w:sz w:val="16"/>
              </w:rPr>
            </w:pPr>
            <w:r>
              <w:rPr>
                <w:spacing w:val="-4"/>
                <w:sz w:val="16"/>
              </w:rPr>
              <w:t>7,00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ACOGIDA</w:t>
            </w:r>
            <w:r>
              <w:rPr>
                <w:spacing w:val="-3"/>
                <w:sz w:val="16"/>
              </w:rPr>
              <w:t> </w:t>
            </w:r>
            <w:r>
              <w:rPr>
                <w:sz w:val="16"/>
              </w:rPr>
              <w:t>INCORPORACION</w:t>
            </w:r>
            <w:r>
              <w:rPr>
                <w:spacing w:val="-8"/>
                <w:sz w:val="16"/>
              </w:rPr>
              <w:t> </w:t>
            </w:r>
            <w:r>
              <w:rPr>
                <w:sz w:val="16"/>
              </w:rPr>
              <w:t>A</w:t>
            </w:r>
            <w:r>
              <w:rPr>
                <w:spacing w:val="-2"/>
                <w:sz w:val="16"/>
              </w:rPr>
              <w:t> </w:t>
            </w:r>
            <w:r>
              <w:rPr>
                <w:sz w:val="16"/>
              </w:rPr>
              <w:t>LA</w:t>
            </w:r>
            <w:r>
              <w:rPr>
                <w:spacing w:val="-6"/>
                <w:sz w:val="16"/>
              </w:rPr>
              <w:t> </w:t>
            </w:r>
            <w:r>
              <w:rPr>
                <w:sz w:val="16"/>
              </w:rPr>
              <w:t>EMPRESA</w:t>
            </w:r>
            <w:r>
              <w:rPr>
                <w:spacing w:val="-3"/>
                <w:sz w:val="16"/>
              </w:rPr>
              <w:t> </w:t>
            </w:r>
            <w:r>
              <w:rPr>
                <w:sz w:val="16"/>
              </w:rPr>
              <w:t>-</w:t>
            </w:r>
            <w:r>
              <w:rPr>
                <w:spacing w:val="-6"/>
                <w:sz w:val="16"/>
              </w:rPr>
              <w:t> </w:t>
            </w:r>
            <w:r>
              <w:rPr>
                <w:sz w:val="16"/>
              </w:rPr>
              <w:t>TECNICA</w:t>
            </w:r>
            <w:r>
              <w:rPr>
                <w:spacing w:val="-6"/>
                <w:sz w:val="16"/>
              </w:rPr>
              <w:t> </w:t>
            </w:r>
            <w:r>
              <w:rPr>
                <w:sz w:val="16"/>
              </w:rPr>
              <w:t>CONTROL</w:t>
            </w:r>
            <w:r>
              <w:rPr>
                <w:spacing w:val="-4"/>
                <w:sz w:val="16"/>
              </w:rPr>
              <w:t> </w:t>
            </w:r>
            <w:r>
              <w:rPr>
                <w:sz w:val="16"/>
              </w:rPr>
              <w:t>INTERNO</w:t>
            </w:r>
            <w:r>
              <w:rPr>
                <w:spacing w:val="-7"/>
                <w:sz w:val="16"/>
              </w:rPr>
              <w:t> </w:t>
            </w:r>
            <w:r>
              <w:rPr>
                <w:spacing w:val="-10"/>
                <w:sz w:val="16"/>
              </w:rPr>
              <w:t>Y</w:t>
            </w:r>
          </w:p>
          <w:p>
            <w:pPr>
              <w:pStyle w:val="TableParagraph"/>
              <w:spacing w:line="168" w:lineRule="exact" w:before="1"/>
              <w:ind w:left="67"/>
              <w:rPr>
                <w:sz w:val="16"/>
              </w:rPr>
            </w:pPr>
            <w:r>
              <w:rPr>
                <w:spacing w:val="-2"/>
                <w:sz w:val="16"/>
              </w:rPr>
              <w:t>CUMPLIMIENTO</w:t>
            </w:r>
          </w:p>
        </w:tc>
        <w:tc>
          <w:tcPr>
            <w:tcW w:w="873" w:type="dxa"/>
          </w:tcPr>
          <w:p>
            <w:pPr>
              <w:pStyle w:val="TableParagraph"/>
              <w:spacing w:line="180" w:lineRule="exact"/>
              <w:ind w:left="61" w:right="6"/>
              <w:jc w:val="center"/>
              <w:rPr>
                <w:sz w:val="16"/>
              </w:rPr>
            </w:pPr>
            <w:r>
              <w:rPr>
                <w:spacing w:val="-4"/>
                <w:sz w:val="16"/>
              </w:rPr>
              <w:t>7,00</w:t>
            </w:r>
          </w:p>
        </w:tc>
      </w:tr>
      <w:tr>
        <w:trPr>
          <w:trHeight w:val="299" w:hRule="atLeast"/>
        </w:trPr>
        <w:tc>
          <w:tcPr>
            <w:tcW w:w="854" w:type="dxa"/>
          </w:tcPr>
          <w:p>
            <w:pPr>
              <w:pStyle w:val="TableParagraph"/>
              <w:spacing w:line="168" w:lineRule="exact" w:before="111"/>
              <w:ind w:left="8"/>
              <w:jc w:val="center"/>
              <w:rPr>
                <w:sz w:val="16"/>
              </w:rPr>
            </w:pPr>
            <w:r>
              <w:rPr>
                <w:spacing w:val="-10"/>
                <w:sz w:val="16"/>
              </w:rPr>
              <w:t>2</w:t>
            </w:r>
          </w:p>
        </w:tc>
        <w:tc>
          <w:tcPr>
            <w:tcW w:w="6921" w:type="dxa"/>
          </w:tcPr>
          <w:p>
            <w:pPr>
              <w:pStyle w:val="TableParagraph"/>
              <w:spacing w:line="168" w:lineRule="exact" w:before="111"/>
              <w:ind w:left="67"/>
              <w:rPr>
                <w:sz w:val="16"/>
              </w:rPr>
            </w:pPr>
            <w:r>
              <w:rPr>
                <w:sz w:val="16"/>
              </w:rPr>
              <w:t>ACOGIDA</w:t>
            </w:r>
            <w:r>
              <w:rPr>
                <w:spacing w:val="-5"/>
                <w:sz w:val="16"/>
              </w:rPr>
              <w:t> </w:t>
            </w:r>
            <w:r>
              <w:rPr>
                <w:sz w:val="16"/>
              </w:rPr>
              <w:t>INCORPORACION</w:t>
            </w:r>
            <w:r>
              <w:rPr>
                <w:spacing w:val="-7"/>
                <w:sz w:val="16"/>
              </w:rPr>
              <w:t> </w:t>
            </w:r>
            <w:r>
              <w:rPr>
                <w:sz w:val="16"/>
              </w:rPr>
              <w:t>A</w:t>
            </w:r>
            <w:r>
              <w:rPr>
                <w:spacing w:val="-3"/>
                <w:sz w:val="16"/>
              </w:rPr>
              <w:t> </w:t>
            </w:r>
            <w:r>
              <w:rPr>
                <w:sz w:val="16"/>
              </w:rPr>
              <w:t>LA</w:t>
            </w:r>
            <w:r>
              <w:rPr>
                <w:spacing w:val="-6"/>
                <w:sz w:val="16"/>
              </w:rPr>
              <w:t> </w:t>
            </w:r>
            <w:r>
              <w:rPr>
                <w:sz w:val="16"/>
              </w:rPr>
              <w:t>EMPRESA</w:t>
            </w:r>
            <w:r>
              <w:rPr>
                <w:spacing w:val="-3"/>
                <w:sz w:val="16"/>
              </w:rPr>
              <w:t> </w:t>
            </w:r>
            <w:r>
              <w:rPr>
                <w:sz w:val="16"/>
              </w:rPr>
              <w:t>-</w:t>
            </w:r>
            <w:r>
              <w:rPr>
                <w:spacing w:val="-6"/>
                <w:sz w:val="16"/>
              </w:rPr>
              <w:t> </w:t>
            </w:r>
            <w:r>
              <w:rPr>
                <w:sz w:val="16"/>
              </w:rPr>
              <w:t>TECNICA</w:t>
            </w:r>
            <w:r>
              <w:rPr>
                <w:spacing w:val="-6"/>
                <w:sz w:val="16"/>
              </w:rPr>
              <w:t> </w:t>
            </w:r>
            <w:r>
              <w:rPr>
                <w:sz w:val="16"/>
              </w:rPr>
              <w:t>DE</w:t>
            </w:r>
            <w:r>
              <w:rPr>
                <w:spacing w:val="-2"/>
                <w:sz w:val="16"/>
              </w:rPr>
              <w:t> </w:t>
            </w:r>
            <w:r>
              <w:rPr>
                <w:sz w:val="16"/>
              </w:rPr>
              <w:t>CONTRATACION</w:t>
            </w:r>
            <w:r>
              <w:rPr>
                <w:spacing w:val="-6"/>
                <w:sz w:val="16"/>
              </w:rPr>
              <w:t> </w:t>
            </w:r>
            <w:r>
              <w:rPr>
                <w:spacing w:val="-2"/>
                <w:sz w:val="16"/>
              </w:rPr>
              <w:t>PUBLICA</w:t>
            </w:r>
          </w:p>
        </w:tc>
        <w:tc>
          <w:tcPr>
            <w:tcW w:w="873" w:type="dxa"/>
          </w:tcPr>
          <w:p>
            <w:pPr>
              <w:pStyle w:val="TableParagraph"/>
              <w:spacing w:line="180" w:lineRule="exact"/>
              <w:ind w:left="58" w:right="6"/>
              <w:jc w:val="center"/>
              <w:rPr>
                <w:sz w:val="16"/>
              </w:rPr>
            </w:pPr>
            <w:r>
              <w:rPr>
                <w:spacing w:val="-2"/>
                <w:sz w:val="16"/>
              </w:rPr>
              <w:t>14,00</w:t>
            </w:r>
          </w:p>
        </w:tc>
      </w:tr>
      <w:tr>
        <w:trPr>
          <w:trHeight w:val="366" w:hRule="atLeast"/>
        </w:trPr>
        <w:tc>
          <w:tcPr>
            <w:tcW w:w="854" w:type="dxa"/>
          </w:tcPr>
          <w:p>
            <w:pPr>
              <w:pStyle w:val="TableParagraph"/>
              <w:spacing w:line="166" w:lineRule="exact" w:before="181"/>
              <w:ind w:left="8"/>
              <w:jc w:val="center"/>
              <w:rPr>
                <w:sz w:val="16"/>
              </w:rPr>
            </w:pPr>
            <w:r>
              <w:rPr>
                <w:spacing w:val="-10"/>
                <w:sz w:val="16"/>
              </w:rPr>
              <w:t>3</w:t>
            </w:r>
          </w:p>
        </w:tc>
        <w:tc>
          <w:tcPr>
            <w:tcW w:w="6921" w:type="dxa"/>
          </w:tcPr>
          <w:p>
            <w:pPr>
              <w:pStyle w:val="TableParagraph"/>
              <w:spacing w:line="180" w:lineRule="exact"/>
              <w:ind w:left="67"/>
              <w:rPr>
                <w:sz w:val="16"/>
              </w:rPr>
            </w:pPr>
            <w:r>
              <w:rPr>
                <w:sz w:val="16"/>
              </w:rPr>
              <w:t>ACOGIDA</w:t>
            </w:r>
            <w:r>
              <w:rPr>
                <w:spacing w:val="-6"/>
                <w:sz w:val="16"/>
              </w:rPr>
              <w:t> </w:t>
            </w:r>
            <w:r>
              <w:rPr>
                <w:sz w:val="16"/>
              </w:rPr>
              <w:t>INCORPORACION</w:t>
            </w:r>
            <w:r>
              <w:rPr>
                <w:spacing w:val="-8"/>
                <w:sz w:val="16"/>
              </w:rPr>
              <w:t> </w:t>
            </w:r>
            <w:r>
              <w:rPr>
                <w:sz w:val="16"/>
              </w:rPr>
              <w:t>A</w:t>
            </w:r>
            <w:r>
              <w:rPr>
                <w:spacing w:val="-4"/>
                <w:sz w:val="16"/>
              </w:rPr>
              <w:t> </w:t>
            </w:r>
            <w:r>
              <w:rPr>
                <w:sz w:val="16"/>
              </w:rPr>
              <w:t>LA</w:t>
            </w:r>
            <w:r>
              <w:rPr>
                <w:spacing w:val="-7"/>
                <w:sz w:val="16"/>
              </w:rPr>
              <w:t> </w:t>
            </w:r>
            <w:r>
              <w:rPr>
                <w:sz w:val="16"/>
              </w:rPr>
              <w:t>EMPRESA:</w:t>
            </w:r>
            <w:r>
              <w:rPr>
                <w:spacing w:val="-6"/>
                <w:sz w:val="16"/>
              </w:rPr>
              <w:t> </w:t>
            </w:r>
            <w:r>
              <w:rPr>
                <w:sz w:val="16"/>
              </w:rPr>
              <w:t>FORMACION</w:t>
            </w:r>
            <w:r>
              <w:rPr>
                <w:spacing w:val="-5"/>
                <w:sz w:val="16"/>
              </w:rPr>
              <w:t> </w:t>
            </w:r>
            <w:r>
              <w:rPr>
                <w:sz w:val="16"/>
              </w:rPr>
              <w:t>INCORPORACION</w:t>
            </w:r>
            <w:r>
              <w:rPr>
                <w:spacing w:val="-9"/>
                <w:sz w:val="16"/>
              </w:rPr>
              <w:t> </w:t>
            </w:r>
            <w:r>
              <w:rPr>
                <w:spacing w:val="-2"/>
                <w:sz w:val="16"/>
              </w:rPr>
              <w:t>NUEVOS</w:t>
            </w:r>
          </w:p>
          <w:p>
            <w:pPr>
              <w:pStyle w:val="TableParagraph"/>
              <w:spacing w:line="166" w:lineRule="exact" w:before="1"/>
              <w:ind w:left="67"/>
              <w:rPr>
                <w:sz w:val="16"/>
              </w:rPr>
            </w:pPr>
            <w:r>
              <w:rPr>
                <w:sz w:val="16"/>
              </w:rPr>
              <w:t>CONDUCTORES/AS-CONOCIMIENTO</w:t>
            </w:r>
            <w:r>
              <w:rPr>
                <w:spacing w:val="-8"/>
                <w:sz w:val="16"/>
              </w:rPr>
              <w:t> </w:t>
            </w:r>
            <w:r>
              <w:rPr>
                <w:sz w:val="16"/>
              </w:rPr>
              <w:t>GENERAL</w:t>
            </w:r>
            <w:r>
              <w:rPr>
                <w:spacing w:val="-8"/>
                <w:sz w:val="16"/>
              </w:rPr>
              <w:t> </w:t>
            </w:r>
            <w:r>
              <w:rPr>
                <w:sz w:val="16"/>
              </w:rPr>
              <w:t>DE</w:t>
            </w:r>
            <w:r>
              <w:rPr>
                <w:spacing w:val="-8"/>
                <w:sz w:val="16"/>
              </w:rPr>
              <w:t> </w:t>
            </w:r>
            <w:r>
              <w:rPr>
                <w:sz w:val="16"/>
              </w:rPr>
              <w:t>LA</w:t>
            </w:r>
            <w:r>
              <w:rPr>
                <w:spacing w:val="-7"/>
                <w:sz w:val="16"/>
              </w:rPr>
              <w:t> </w:t>
            </w:r>
            <w:r>
              <w:rPr>
                <w:spacing w:val="-2"/>
                <w:sz w:val="16"/>
              </w:rPr>
              <w:t>EMPRESA</w:t>
            </w:r>
          </w:p>
        </w:tc>
        <w:tc>
          <w:tcPr>
            <w:tcW w:w="873" w:type="dxa"/>
          </w:tcPr>
          <w:p>
            <w:pPr>
              <w:pStyle w:val="TableParagraph"/>
              <w:spacing w:line="180" w:lineRule="exact"/>
              <w:ind w:left="56"/>
              <w:jc w:val="center"/>
              <w:rPr>
                <w:sz w:val="16"/>
              </w:rPr>
            </w:pPr>
            <w:r>
              <w:rPr>
                <w:spacing w:val="-2"/>
                <w:sz w:val="16"/>
              </w:rPr>
              <w:t>1.162,00</w:t>
            </w:r>
          </w:p>
        </w:tc>
      </w:tr>
      <w:tr>
        <w:trPr>
          <w:trHeight w:val="369" w:hRule="atLeast"/>
        </w:trPr>
        <w:tc>
          <w:tcPr>
            <w:tcW w:w="854" w:type="dxa"/>
          </w:tcPr>
          <w:p>
            <w:pPr>
              <w:pStyle w:val="TableParagraph"/>
              <w:spacing w:line="168" w:lineRule="exact" w:before="181"/>
              <w:ind w:left="8" w:right="3"/>
              <w:jc w:val="center"/>
              <w:rPr>
                <w:sz w:val="16"/>
              </w:rPr>
            </w:pPr>
            <w:r>
              <w:rPr>
                <w:spacing w:val="-5"/>
                <w:sz w:val="16"/>
              </w:rPr>
              <w:t>12</w:t>
            </w:r>
          </w:p>
        </w:tc>
        <w:tc>
          <w:tcPr>
            <w:tcW w:w="6921" w:type="dxa"/>
          </w:tcPr>
          <w:p>
            <w:pPr>
              <w:pStyle w:val="TableParagraph"/>
              <w:spacing w:line="180" w:lineRule="exact"/>
              <w:ind w:left="67"/>
              <w:rPr>
                <w:sz w:val="16"/>
              </w:rPr>
            </w:pPr>
            <w:r>
              <w:rPr>
                <w:sz w:val="16"/>
              </w:rPr>
              <w:t>ACOGIDA</w:t>
            </w:r>
            <w:r>
              <w:rPr>
                <w:spacing w:val="-9"/>
                <w:sz w:val="16"/>
              </w:rPr>
              <w:t> </w:t>
            </w:r>
            <w:r>
              <w:rPr>
                <w:sz w:val="16"/>
              </w:rPr>
              <w:t>INCORPORACION</w:t>
            </w:r>
            <w:r>
              <w:rPr>
                <w:spacing w:val="-10"/>
                <w:sz w:val="16"/>
              </w:rPr>
              <w:t> </w:t>
            </w:r>
            <w:r>
              <w:rPr>
                <w:sz w:val="16"/>
              </w:rPr>
              <w:t>A</w:t>
            </w:r>
            <w:r>
              <w:rPr>
                <w:spacing w:val="-6"/>
                <w:sz w:val="16"/>
              </w:rPr>
              <w:t> </w:t>
            </w:r>
            <w:r>
              <w:rPr>
                <w:sz w:val="16"/>
              </w:rPr>
              <w:t>LA</w:t>
            </w:r>
            <w:r>
              <w:rPr>
                <w:spacing w:val="-9"/>
                <w:sz w:val="16"/>
              </w:rPr>
              <w:t> </w:t>
            </w:r>
            <w:r>
              <w:rPr>
                <w:sz w:val="16"/>
              </w:rPr>
              <w:t>EMPRESA-CONDUCCION</w:t>
            </w:r>
            <w:r>
              <w:rPr>
                <w:spacing w:val="-8"/>
                <w:sz w:val="16"/>
              </w:rPr>
              <w:t> </w:t>
            </w:r>
            <w:r>
              <w:rPr>
                <w:sz w:val="16"/>
              </w:rPr>
              <w:t>INCORPORACION</w:t>
            </w:r>
            <w:r>
              <w:rPr>
                <w:spacing w:val="-7"/>
                <w:sz w:val="16"/>
              </w:rPr>
              <w:t> </w:t>
            </w:r>
            <w:r>
              <w:rPr>
                <w:spacing w:val="-2"/>
                <w:sz w:val="16"/>
              </w:rPr>
              <w:t>NUEVOS</w:t>
            </w:r>
          </w:p>
          <w:p>
            <w:pPr>
              <w:pStyle w:val="TableParagraph"/>
              <w:spacing w:line="168" w:lineRule="exact" w:before="1"/>
              <w:ind w:left="67"/>
              <w:rPr>
                <w:sz w:val="16"/>
              </w:rPr>
            </w:pPr>
            <w:r>
              <w:rPr>
                <w:spacing w:val="-2"/>
                <w:sz w:val="16"/>
              </w:rPr>
              <w:t>CONDUCTORES/AS</w:t>
            </w:r>
          </w:p>
        </w:tc>
        <w:tc>
          <w:tcPr>
            <w:tcW w:w="873" w:type="dxa"/>
          </w:tcPr>
          <w:p>
            <w:pPr>
              <w:pStyle w:val="TableParagraph"/>
              <w:spacing w:line="180" w:lineRule="exact"/>
              <w:ind w:left="56"/>
              <w:jc w:val="center"/>
              <w:rPr>
                <w:sz w:val="16"/>
              </w:rPr>
            </w:pPr>
            <w:r>
              <w:rPr>
                <w:spacing w:val="-2"/>
                <w:sz w:val="16"/>
              </w:rPr>
              <w:t>2.788,00</w:t>
            </w:r>
          </w:p>
        </w:tc>
      </w:tr>
      <w:tr>
        <w:trPr>
          <w:trHeight w:val="313" w:hRule="atLeast"/>
        </w:trPr>
        <w:tc>
          <w:tcPr>
            <w:tcW w:w="854" w:type="dxa"/>
          </w:tcPr>
          <w:p>
            <w:pPr>
              <w:pStyle w:val="TableParagraph"/>
              <w:spacing w:line="168" w:lineRule="exact" w:before="125"/>
              <w:ind w:left="8"/>
              <w:jc w:val="center"/>
              <w:rPr>
                <w:sz w:val="16"/>
              </w:rPr>
            </w:pPr>
            <w:r>
              <w:rPr>
                <w:spacing w:val="-10"/>
                <w:sz w:val="16"/>
              </w:rPr>
              <w:t>1</w:t>
            </w:r>
          </w:p>
        </w:tc>
        <w:tc>
          <w:tcPr>
            <w:tcW w:w="6921" w:type="dxa"/>
          </w:tcPr>
          <w:p>
            <w:pPr>
              <w:pStyle w:val="TableParagraph"/>
              <w:spacing w:line="168" w:lineRule="exact" w:before="125"/>
              <w:ind w:left="67"/>
              <w:rPr>
                <w:sz w:val="16"/>
              </w:rPr>
            </w:pPr>
            <w:r>
              <w:rPr>
                <w:sz w:val="16"/>
              </w:rPr>
              <w:t>ACOGIDA</w:t>
            </w:r>
            <w:r>
              <w:rPr>
                <w:spacing w:val="-5"/>
                <w:sz w:val="16"/>
              </w:rPr>
              <w:t> </w:t>
            </w:r>
            <w:r>
              <w:rPr>
                <w:sz w:val="16"/>
              </w:rPr>
              <w:t>INCORPORACION</w:t>
            </w:r>
            <w:r>
              <w:rPr>
                <w:spacing w:val="-9"/>
                <w:sz w:val="16"/>
              </w:rPr>
              <w:t> </w:t>
            </w:r>
            <w:r>
              <w:rPr>
                <w:spacing w:val="-2"/>
                <w:sz w:val="16"/>
              </w:rPr>
              <w:t>ELECTROMECANICOS/AS</w:t>
            </w:r>
          </w:p>
        </w:tc>
        <w:tc>
          <w:tcPr>
            <w:tcW w:w="873" w:type="dxa"/>
          </w:tcPr>
          <w:p>
            <w:pPr>
              <w:pStyle w:val="TableParagraph"/>
              <w:spacing w:line="180" w:lineRule="exact"/>
              <w:ind w:left="60" w:right="6"/>
              <w:jc w:val="center"/>
              <w:rPr>
                <w:sz w:val="16"/>
              </w:rPr>
            </w:pPr>
            <w:r>
              <w:rPr>
                <w:spacing w:val="-2"/>
                <w:sz w:val="16"/>
              </w:rPr>
              <w:t>286,00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ACOGIDA</w:t>
            </w:r>
            <w:r>
              <w:rPr>
                <w:spacing w:val="-2"/>
                <w:sz w:val="16"/>
              </w:rPr>
              <w:t> </w:t>
            </w:r>
            <w:r>
              <w:rPr>
                <w:sz w:val="16"/>
              </w:rPr>
              <w:t>NUEVOS</w:t>
            </w:r>
            <w:r>
              <w:rPr>
                <w:spacing w:val="-7"/>
                <w:sz w:val="16"/>
              </w:rPr>
              <w:t> </w:t>
            </w:r>
            <w:r>
              <w:rPr>
                <w:sz w:val="16"/>
              </w:rPr>
              <w:t>JEFES</w:t>
            </w:r>
            <w:r>
              <w:rPr>
                <w:spacing w:val="-3"/>
                <w:sz w:val="16"/>
              </w:rPr>
              <w:t> </w:t>
            </w:r>
            <w:r>
              <w:rPr>
                <w:sz w:val="16"/>
              </w:rPr>
              <w:t>DE</w:t>
            </w:r>
            <w:r>
              <w:rPr>
                <w:spacing w:val="-4"/>
                <w:sz w:val="16"/>
              </w:rPr>
              <w:t> ZONA</w:t>
            </w:r>
          </w:p>
        </w:tc>
        <w:tc>
          <w:tcPr>
            <w:tcW w:w="873" w:type="dxa"/>
          </w:tcPr>
          <w:p>
            <w:pPr>
              <w:pStyle w:val="TableParagraph"/>
              <w:spacing w:line="180" w:lineRule="exact"/>
              <w:ind w:left="60" w:right="6"/>
              <w:jc w:val="center"/>
              <w:rPr>
                <w:sz w:val="16"/>
              </w:rPr>
            </w:pPr>
            <w:r>
              <w:rPr>
                <w:spacing w:val="-2"/>
                <w:sz w:val="16"/>
              </w:rPr>
              <w:t>111,00</w:t>
            </w:r>
          </w:p>
        </w:tc>
      </w:tr>
      <w:tr>
        <w:trPr>
          <w:trHeight w:val="369" w:hRule="atLeast"/>
        </w:trPr>
        <w:tc>
          <w:tcPr>
            <w:tcW w:w="854" w:type="dxa"/>
          </w:tcPr>
          <w:p>
            <w:pPr>
              <w:pStyle w:val="TableParagraph"/>
              <w:spacing w:line="168" w:lineRule="exact" w:before="181"/>
              <w:ind w:left="8"/>
              <w:jc w:val="center"/>
              <w:rPr>
                <w:sz w:val="16"/>
              </w:rPr>
            </w:pPr>
            <w:r>
              <w:rPr>
                <w:spacing w:val="-10"/>
                <w:sz w:val="16"/>
              </w:rPr>
              <w:t>6</w:t>
            </w:r>
          </w:p>
        </w:tc>
        <w:tc>
          <w:tcPr>
            <w:tcW w:w="6921" w:type="dxa"/>
          </w:tcPr>
          <w:p>
            <w:pPr>
              <w:pStyle w:val="TableParagraph"/>
              <w:spacing w:line="180" w:lineRule="exact"/>
              <w:ind w:left="67"/>
              <w:rPr>
                <w:sz w:val="16"/>
              </w:rPr>
            </w:pPr>
            <w:r>
              <w:rPr>
                <w:sz w:val="16"/>
              </w:rPr>
              <w:t>ADQUISICION</w:t>
            </w:r>
            <w:r>
              <w:rPr>
                <w:spacing w:val="-11"/>
                <w:sz w:val="16"/>
              </w:rPr>
              <w:t> </w:t>
            </w:r>
            <w:r>
              <w:rPr>
                <w:sz w:val="16"/>
              </w:rPr>
              <w:t>CONOCIMIENTOS</w:t>
            </w:r>
            <w:r>
              <w:rPr>
                <w:spacing w:val="-4"/>
                <w:sz w:val="16"/>
              </w:rPr>
              <w:t> </w:t>
            </w:r>
            <w:r>
              <w:rPr>
                <w:sz w:val="16"/>
              </w:rPr>
              <w:t>GUAGUAS</w:t>
            </w:r>
            <w:r>
              <w:rPr>
                <w:spacing w:val="-6"/>
                <w:sz w:val="16"/>
              </w:rPr>
              <w:t> </w:t>
            </w:r>
            <w:r>
              <w:rPr>
                <w:sz w:val="16"/>
              </w:rPr>
              <w:t>MAN</w:t>
            </w:r>
            <w:r>
              <w:rPr>
                <w:spacing w:val="-6"/>
                <w:sz w:val="16"/>
              </w:rPr>
              <w:t> </w:t>
            </w:r>
            <w:r>
              <w:rPr>
                <w:sz w:val="16"/>
              </w:rPr>
              <w:t>LIONS</w:t>
            </w:r>
            <w:r>
              <w:rPr>
                <w:spacing w:val="-7"/>
                <w:sz w:val="16"/>
              </w:rPr>
              <w:t> </w:t>
            </w:r>
            <w:r>
              <w:rPr>
                <w:sz w:val="16"/>
              </w:rPr>
              <w:t>CITY</w:t>
            </w:r>
            <w:r>
              <w:rPr>
                <w:spacing w:val="-5"/>
                <w:sz w:val="16"/>
              </w:rPr>
              <w:t> </w:t>
            </w:r>
            <w:r>
              <w:rPr>
                <w:sz w:val="16"/>
              </w:rPr>
              <w:t>18C</w:t>
            </w:r>
            <w:r>
              <w:rPr>
                <w:spacing w:val="-6"/>
                <w:sz w:val="16"/>
              </w:rPr>
              <w:t> </w:t>
            </w:r>
            <w:r>
              <w:rPr>
                <w:sz w:val="16"/>
              </w:rPr>
              <w:t>EFFICIENT</w:t>
            </w:r>
            <w:r>
              <w:rPr>
                <w:spacing w:val="-4"/>
                <w:sz w:val="16"/>
              </w:rPr>
              <w:t> </w:t>
            </w:r>
            <w:r>
              <w:rPr>
                <w:spacing w:val="-2"/>
                <w:sz w:val="16"/>
              </w:rPr>
              <w:t>HIBRID</w:t>
            </w:r>
          </w:p>
          <w:p>
            <w:pPr>
              <w:pStyle w:val="TableParagraph"/>
              <w:spacing w:line="168" w:lineRule="exact" w:before="1"/>
              <w:ind w:left="67"/>
              <w:rPr>
                <w:sz w:val="16"/>
              </w:rPr>
            </w:pPr>
            <w:r>
              <w:rPr>
                <w:sz w:val="16"/>
              </w:rPr>
              <w:t>CON</w:t>
            </w:r>
            <w:r>
              <w:rPr>
                <w:spacing w:val="-5"/>
                <w:sz w:val="16"/>
              </w:rPr>
              <w:t> </w:t>
            </w:r>
            <w:r>
              <w:rPr>
                <w:sz w:val="16"/>
              </w:rPr>
              <w:t>SISTEMA</w:t>
            </w:r>
            <w:r>
              <w:rPr>
                <w:spacing w:val="-5"/>
                <w:sz w:val="16"/>
              </w:rPr>
              <w:t> </w:t>
            </w:r>
            <w:r>
              <w:rPr>
                <w:sz w:val="16"/>
              </w:rPr>
              <w:t>DE</w:t>
            </w:r>
            <w:r>
              <w:rPr>
                <w:spacing w:val="-6"/>
                <w:sz w:val="16"/>
              </w:rPr>
              <w:t> </w:t>
            </w:r>
            <w:r>
              <w:rPr>
                <w:sz w:val="16"/>
              </w:rPr>
              <w:t>ALCOHOLIMETRO</w:t>
            </w:r>
            <w:r>
              <w:rPr>
                <w:spacing w:val="-4"/>
                <w:sz w:val="16"/>
              </w:rPr>
              <w:t> </w:t>
            </w:r>
            <w:r>
              <w:rPr>
                <w:spacing w:val="-5"/>
                <w:sz w:val="16"/>
              </w:rPr>
              <w:t>01</w:t>
            </w:r>
          </w:p>
        </w:tc>
        <w:tc>
          <w:tcPr>
            <w:tcW w:w="873" w:type="dxa"/>
          </w:tcPr>
          <w:p>
            <w:pPr>
              <w:pStyle w:val="TableParagraph"/>
              <w:spacing w:line="180" w:lineRule="exact"/>
              <w:ind w:left="60" w:right="6"/>
              <w:jc w:val="center"/>
              <w:rPr>
                <w:sz w:val="16"/>
              </w:rPr>
            </w:pPr>
            <w:r>
              <w:rPr>
                <w:spacing w:val="-2"/>
                <w:sz w:val="16"/>
              </w:rPr>
              <w:t>161,00</w:t>
            </w:r>
          </w:p>
        </w:tc>
      </w:tr>
      <w:tr>
        <w:trPr>
          <w:trHeight w:val="366" w:hRule="atLeast"/>
        </w:trPr>
        <w:tc>
          <w:tcPr>
            <w:tcW w:w="854" w:type="dxa"/>
          </w:tcPr>
          <w:p>
            <w:pPr>
              <w:pStyle w:val="TableParagraph"/>
              <w:spacing w:line="166"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ADQUISICION</w:t>
            </w:r>
            <w:r>
              <w:rPr>
                <w:spacing w:val="-10"/>
                <w:sz w:val="16"/>
              </w:rPr>
              <w:t> </w:t>
            </w:r>
            <w:r>
              <w:rPr>
                <w:sz w:val="16"/>
              </w:rPr>
              <w:t>CONOCIMIENTOS</w:t>
            </w:r>
            <w:r>
              <w:rPr>
                <w:spacing w:val="-4"/>
                <w:sz w:val="16"/>
              </w:rPr>
              <w:t> </w:t>
            </w:r>
            <w:r>
              <w:rPr>
                <w:sz w:val="16"/>
              </w:rPr>
              <w:t>GUAGUAS</w:t>
            </w:r>
            <w:r>
              <w:rPr>
                <w:spacing w:val="-6"/>
                <w:sz w:val="16"/>
              </w:rPr>
              <w:t> </w:t>
            </w:r>
            <w:r>
              <w:rPr>
                <w:sz w:val="16"/>
              </w:rPr>
              <w:t>MAN</w:t>
            </w:r>
            <w:r>
              <w:rPr>
                <w:spacing w:val="-5"/>
                <w:sz w:val="16"/>
              </w:rPr>
              <w:t> </w:t>
            </w:r>
            <w:r>
              <w:rPr>
                <w:sz w:val="16"/>
              </w:rPr>
              <w:t>LIONS</w:t>
            </w:r>
            <w:r>
              <w:rPr>
                <w:spacing w:val="-9"/>
                <w:sz w:val="16"/>
              </w:rPr>
              <w:t> </w:t>
            </w:r>
            <w:r>
              <w:rPr>
                <w:sz w:val="16"/>
              </w:rPr>
              <w:t>CITY</w:t>
            </w:r>
            <w:r>
              <w:rPr>
                <w:spacing w:val="-4"/>
                <w:sz w:val="16"/>
              </w:rPr>
              <w:t> </w:t>
            </w:r>
            <w:r>
              <w:rPr>
                <w:sz w:val="16"/>
              </w:rPr>
              <w:t>18C</w:t>
            </w:r>
            <w:r>
              <w:rPr>
                <w:spacing w:val="-5"/>
                <w:sz w:val="16"/>
              </w:rPr>
              <w:t> </w:t>
            </w:r>
            <w:r>
              <w:rPr>
                <w:sz w:val="16"/>
              </w:rPr>
              <w:t>EFFICIENT</w:t>
            </w:r>
            <w:r>
              <w:rPr>
                <w:spacing w:val="-4"/>
                <w:sz w:val="16"/>
              </w:rPr>
              <w:t> </w:t>
            </w:r>
            <w:r>
              <w:rPr>
                <w:spacing w:val="-2"/>
                <w:sz w:val="16"/>
              </w:rPr>
              <w:t>HIBRID</w:t>
            </w:r>
          </w:p>
          <w:p>
            <w:pPr>
              <w:pStyle w:val="TableParagraph"/>
              <w:spacing w:line="166" w:lineRule="exact" w:before="1"/>
              <w:ind w:left="67"/>
              <w:rPr>
                <w:sz w:val="16"/>
              </w:rPr>
            </w:pPr>
            <w:r>
              <w:rPr>
                <w:sz w:val="16"/>
              </w:rPr>
              <w:t>CON</w:t>
            </w:r>
            <w:r>
              <w:rPr>
                <w:spacing w:val="-5"/>
                <w:sz w:val="16"/>
              </w:rPr>
              <w:t> </w:t>
            </w:r>
            <w:r>
              <w:rPr>
                <w:sz w:val="16"/>
              </w:rPr>
              <w:t>SISTEMA</w:t>
            </w:r>
            <w:r>
              <w:rPr>
                <w:spacing w:val="-5"/>
                <w:sz w:val="16"/>
              </w:rPr>
              <w:t> </w:t>
            </w:r>
            <w:r>
              <w:rPr>
                <w:sz w:val="16"/>
              </w:rPr>
              <w:t>DE</w:t>
            </w:r>
            <w:r>
              <w:rPr>
                <w:spacing w:val="-6"/>
                <w:sz w:val="16"/>
              </w:rPr>
              <w:t> </w:t>
            </w:r>
            <w:r>
              <w:rPr>
                <w:sz w:val="16"/>
              </w:rPr>
              <w:t>ALCOHOLIMETRO</w:t>
            </w:r>
            <w:r>
              <w:rPr>
                <w:spacing w:val="-4"/>
                <w:sz w:val="16"/>
              </w:rPr>
              <w:t> </w:t>
            </w:r>
            <w:r>
              <w:rPr>
                <w:spacing w:val="-5"/>
                <w:sz w:val="16"/>
              </w:rPr>
              <w:t>02</w:t>
            </w:r>
          </w:p>
        </w:tc>
        <w:tc>
          <w:tcPr>
            <w:tcW w:w="873" w:type="dxa"/>
          </w:tcPr>
          <w:p>
            <w:pPr>
              <w:pStyle w:val="TableParagraph"/>
              <w:spacing w:line="180" w:lineRule="exact"/>
              <w:ind w:left="58" w:right="6"/>
              <w:jc w:val="center"/>
              <w:rPr>
                <w:sz w:val="16"/>
              </w:rPr>
            </w:pPr>
            <w:r>
              <w:rPr>
                <w:spacing w:val="-2"/>
                <w:sz w:val="16"/>
              </w:rPr>
              <w:t>24,00</w:t>
            </w:r>
          </w:p>
        </w:tc>
      </w:tr>
      <w:tr>
        <w:trPr>
          <w:trHeight w:val="369" w:hRule="atLeast"/>
        </w:trPr>
        <w:tc>
          <w:tcPr>
            <w:tcW w:w="854" w:type="dxa"/>
          </w:tcPr>
          <w:p>
            <w:pPr>
              <w:pStyle w:val="TableParagraph"/>
              <w:spacing w:line="168" w:lineRule="exact" w:before="181"/>
              <w:ind w:left="8"/>
              <w:jc w:val="center"/>
              <w:rPr>
                <w:sz w:val="16"/>
              </w:rPr>
            </w:pPr>
            <w:r>
              <w:rPr>
                <w:spacing w:val="-10"/>
                <w:sz w:val="16"/>
              </w:rPr>
              <w:t>5</w:t>
            </w:r>
          </w:p>
        </w:tc>
        <w:tc>
          <w:tcPr>
            <w:tcW w:w="6921" w:type="dxa"/>
          </w:tcPr>
          <w:p>
            <w:pPr>
              <w:pStyle w:val="TableParagraph"/>
              <w:spacing w:line="180" w:lineRule="exact"/>
              <w:ind w:left="67"/>
              <w:rPr>
                <w:sz w:val="16"/>
              </w:rPr>
            </w:pPr>
            <w:r>
              <w:rPr>
                <w:sz w:val="16"/>
              </w:rPr>
              <w:t>ADQUISICION</w:t>
            </w:r>
            <w:r>
              <w:rPr>
                <w:spacing w:val="-10"/>
                <w:sz w:val="16"/>
              </w:rPr>
              <w:t> </w:t>
            </w:r>
            <w:r>
              <w:rPr>
                <w:sz w:val="16"/>
              </w:rPr>
              <w:t>CONOCIMIENTOS</w:t>
            </w:r>
            <w:r>
              <w:rPr>
                <w:spacing w:val="-4"/>
                <w:sz w:val="16"/>
              </w:rPr>
              <w:t> </w:t>
            </w:r>
            <w:r>
              <w:rPr>
                <w:sz w:val="16"/>
              </w:rPr>
              <w:t>GUAGUAS</w:t>
            </w:r>
            <w:r>
              <w:rPr>
                <w:spacing w:val="-6"/>
                <w:sz w:val="16"/>
              </w:rPr>
              <w:t> </w:t>
            </w:r>
            <w:r>
              <w:rPr>
                <w:sz w:val="16"/>
              </w:rPr>
              <w:t>MAN</w:t>
            </w:r>
            <w:r>
              <w:rPr>
                <w:spacing w:val="-5"/>
                <w:sz w:val="16"/>
              </w:rPr>
              <w:t> </w:t>
            </w:r>
            <w:r>
              <w:rPr>
                <w:sz w:val="16"/>
              </w:rPr>
              <w:t>LIONS</w:t>
            </w:r>
            <w:r>
              <w:rPr>
                <w:spacing w:val="-9"/>
                <w:sz w:val="16"/>
              </w:rPr>
              <w:t> </w:t>
            </w:r>
            <w:r>
              <w:rPr>
                <w:sz w:val="16"/>
              </w:rPr>
              <w:t>CITY</w:t>
            </w:r>
            <w:r>
              <w:rPr>
                <w:spacing w:val="-4"/>
                <w:sz w:val="16"/>
              </w:rPr>
              <w:t> </w:t>
            </w:r>
            <w:r>
              <w:rPr>
                <w:sz w:val="16"/>
              </w:rPr>
              <w:t>18C</w:t>
            </w:r>
            <w:r>
              <w:rPr>
                <w:spacing w:val="-5"/>
                <w:sz w:val="16"/>
              </w:rPr>
              <w:t> </w:t>
            </w:r>
            <w:r>
              <w:rPr>
                <w:sz w:val="16"/>
              </w:rPr>
              <w:t>EFFICIENT</w:t>
            </w:r>
            <w:r>
              <w:rPr>
                <w:spacing w:val="-3"/>
                <w:sz w:val="16"/>
              </w:rPr>
              <w:t> </w:t>
            </w:r>
            <w:r>
              <w:rPr>
                <w:spacing w:val="-2"/>
                <w:sz w:val="16"/>
              </w:rPr>
              <w:t>HIBRID</w:t>
            </w:r>
          </w:p>
          <w:p>
            <w:pPr>
              <w:pStyle w:val="TableParagraph"/>
              <w:spacing w:line="168" w:lineRule="exact" w:before="1"/>
              <w:ind w:left="67"/>
              <w:rPr>
                <w:sz w:val="16"/>
              </w:rPr>
            </w:pPr>
            <w:r>
              <w:rPr>
                <w:sz w:val="16"/>
              </w:rPr>
              <w:t>CON</w:t>
            </w:r>
            <w:r>
              <w:rPr>
                <w:spacing w:val="-5"/>
                <w:sz w:val="16"/>
              </w:rPr>
              <w:t> </w:t>
            </w:r>
            <w:r>
              <w:rPr>
                <w:sz w:val="16"/>
              </w:rPr>
              <w:t>SISTEMA</w:t>
            </w:r>
            <w:r>
              <w:rPr>
                <w:spacing w:val="-5"/>
                <w:sz w:val="16"/>
              </w:rPr>
              <w:t> </w:t>
            </w:r>
            <w:r>
              <w:rPr>
                <w:sz w:val="16"/>
              </w:rPr>
              <w:t>DE</w:t>
            </w:r>
            <w:r>
              <w:rPr>
                <w:spacing w:val="-6"/>
                <w:sz w:val="16"/>
              </w:rPr>
              <w:t> </w:t>
            </w:r>
            <w:r>
              <w:rPr>
                <w:sz w:val="16"/>
              </w:rPr>
              <w:t>ALCOHOLIMETRO</w:t>
            </w:r>
            <w:r>
              <w:rPr>
                <w:spacing w:val="-4"/>
                <w:sz w:val="16"/>
              </w:rPr>
              <w:t> </w:t>
            </w:r>
            <w:r>
              <w:rPr>
                <w:spacing w:val="-5"/>
                <w:sz w:val="16"/>
              </w:rPr>
              <w:t>03</w:t>
            </w:r>
          </w:p>
        </w:tc>
        <w:tc>
          <w:tcPr>
            <w:tcW w:w="873" w:type="dxa"/>
          </w:tcPr>
          <w:p>
            <w:pPr>
              <w:pStyle w:val="TableParagraph"/>
              <w:spacing w:line="180" w:lineRule="exact"/>
              <w:ind w:left="58" w:right="6"/>
              <w:jc w:val="center"/>
              <w:rPr>
                <w:sz w:val="16"/>
              </w:rPr>
            </w:pPr>
            <w:r>
              <w:rPr>
                <w:spacing w:val="-2"/>
                <w:sz w:val="16"/>
              </w:rPr>
              <w:t>24,00</w:t>
            </w:r>
          </w:p>
        </w:tc>
      </w:tr>
      <w:tr>
        <w:trPr>
          <w:trHeight w:val="366" w:hRule="atLeast"/>
        </w:trPr>
        <w:tc>
          <w:tcPr>
            <w:tcW w:w="854" w:type="dxa"/>
          </w:tcPr>
          <w:p>
            <w:pPr>
              <w:pStyle w:val="TableParagraph"/>
              <w:spacing w:line="166" w:lineRule="exact" w:before="181"/>
              <w:ind w:left="8"/>
              <w:jc w:val="center"/>
              <w:rPr>
                <w:sz w:val="16"/>
              </w:rPr>
            </w:pPr>
            <w:r>
              <w:rPr>
                <w:spacing w:val="-10"/>
                <w:sz w:val="16"/>
              </w:rPr>
              <w:t>2</w:t>
            </w:r>
          </w:p>
        </w:tc>
        <w:tc>
          <w:tcPr>
            <w:tcW w:w="6921" w:type="dxa"/>
          </w:tcPr>
          <w:p>
            <w:pPr>
              <w:pStyle w:val="TableParagraph"/>
              <w:spacing w:line="180" w:lineRule="exact"/>
              <w:ind w:left="67"/>
              <w:rPr>
                <w:sz w:val="16"/>
              </w:rPr>
            </w:pPr>
            <w:r>
              <w:rPr>
                <w:sz w:val="16"/>
              </w:rPr>
              <w:t>ADQUISICION</w:t>
            </w:r>
            <w:r>
              <w:rPr>
                <w:spacing w:val="-10"/>
                <w:sz w:val="16"/>
              </w:rPr>
              <w:t> </w:t>
            </w:r>
            <w:r>
              <w:rPr>
                <w:sz w:val="16"/>
              </w:rPr>
              <w:t>CONOCIMIENTOS</w:t>
            </w:r>
            <w:r>
              <w:rPr>
                <w:spacing w:val="-4"/>
                <w:sz w:val="16"/>
              </w:rPr>
              <w:t> </w:t>
            </w:r>
            <w:r>
              <w:rPr>
                <w:sz w:val="16"/>
              </w:rPr>
              <w:t>GUAGUAS</w:t>
            </w:r>
            <w:r>
              <w:rPr>
                <w:spacing w:val="-6"/>
                <w:sz w:val="16"/>
              </w:rPr>
              <w:t> </w:t>
            </w:r>
            <w:r>
              <w:rPr>
                <w:sz w:val="16"/>
              </w:rPr>
              <w:t>MAN</w:t>
            </w:r>
            <w:r>
              <w:rPr>
                <w:spacing w:val="-5"/>
                <w:sz w:val="16"/>
              </w:rPr>
              <w:t> </w:t>
            </w:r>
            <w:r>
              <w:rPr>
                <w:sz w:val="16"/>
              </w:rPr>
              <w:t>LIONS</w:t>
            </w:r>
            <w:r>
              <w:rPr>
                <w:spacing w:val="-9"/>
                <w:sz w:val="16"/>
              </w:rPr>
              <w:t> </w:t>
            </w:r>
            <w:r>
              <w:rPr>
                <w:sz w:val="16"/>
              </w:rPr>
              <w:t>CITY</w:t>
            </w:r>
            <w:r>
              <w:rPr>
                <w:spacing w:val="-4"/>
                <w:sz w:val="16"/>
              </w:rPr>
              <w:t> </w:t>
            </w:r>
            <w:r>
              <w:rPr>
                <w:sz w:val="16"/>
              </w:rPr>
              <w:t>18C</w:t>
            </w:r>
            <w:r>
              <w:rPr>
                <w:spacing w:val="-5"/>
                <w:sz w:val="16"/>
              </w:rPr>
              <w:t> </w:t>
            </w:r>
            <w:r>
              <w:rPr>
                <w:sz w:val="16"/>
              </w:rPr>
              <w:t>EFFICIENT</w:t>
            </w:r>
            <w:r>
              <w:rPr>
                <w:spacing w:val="-4"/>
                <w:sz w:val="16"/>
              </w:rPr>
              <w:t> </w:t>
            </w:r>
            <w:r>
              <w:rPr>
                <w:spacing w:val="-2"/>
                <w:sz w:val="16"/>
              </w:rPr>
              <w:t>HIBRID</w:t>
            </w:r>
          </w:p>
          <w:p>
            <w:pPr>
              <w:pStyle w:val="TableParagraph"/>
              <w:spacing w:line="166" w:lineRule="exact" w:before="1"/>
              <w:ind w:left="67"/>
              <w:rPr>
                <w:sz w:val="16"/>
              </w:rPr>
            </w:pPr>
            <w:r>
              <w:rPr>
                <w:sz w:val="16"/>
              </w:rPr>
              <w:t>CON</w:t>
            </w:r>
            <w:r>
              <w:rPr>
                <w:spacing w:val="-5"/>
                <w:sz w:val="16"/>
              </w:rPr>
              <w:t> </w:t>
            </w:r>
            <w:r>
              <w:rPr>
                <w:sz w:val="16"/>
              </w:rPr>
              <w:t>SISTEMA</w:t>
            </w:r>
            <w:r>
              <w:rPr>
                <w:spacing w:val="-5"/>
                <w:sz w:val="16"/>
              </w:rPr>
              <w:t> </w:t>
            </w:r>
            <w:r>
              <w:rPr>
                <w:sz w:val="16"/>
              </w:rPr>
              <w:t>DE</w:t>
            </w:r>
            <w:r>
              <w:rPr>
                <w:spacing w:val="-6"/>
                <w:sz w:val="16"/>
              </w:rPr>
              <w:t> </w:t>
            </w:r>
            <w:r>
              <w:rPr>
                <w:sz w:val="16"/>
              </w:rPr>
              <w:t>ALCOHOLIMETRO</w:t>
            </w:r>
            <w:r>
              <w:rPr>
                <w:spacing w:val="-4"/>
                <w:sz w:val="16"/>
              </w:rPr>
              <w:t> </w:t>
            </w:r>
            <w:r>
              <w:rPr>
                <w:spacing w:val="-5"/>
                <w:sz w:val="16"/>
              </w:rPr>
              <w:t>04</w:t>
            </w:r>
          </w:p>
        </w:tc>
        <w:tc>
          <w:tcPr>
            <w:tcW w:w="873" w:type="dxa"/>
          </w:tcPr>
          <w:p>
            <w:pPr>
              <w:pStyle w:val="TableParagraph"/>
              <w:spacing w:line="180" w:lineRule="exact"/>
              <w:ind w:left="61" w:right="6"/>
              <w:jc w:val="center"/>
              <w:rPr>
                <w:sz w:val="16"/>
              </w:rPr>
            </w:pPr>
            <w:r>
              <w:rPr>
                <w:spacing w:val="-4"/>
                <w:sz w:val="16"/>
              </w:rPr>
              <w:t>8,50</w:t>
            </w:r>
          </w:p>
        </w:tc>
      </w:tr>
      <w:tr>
        <w:trPr>
          <w:trHeight w:val="299" w:hRule="atLeast"/>
        </w:trPr>
        <w:tc>
          <w:tcPr>
            <w:tcW w:w="854" w:type="dxa"/>
          </w:tcPr>
          <w:p>
            <w:pPr>
              <w:pStyle w:val="TableParagraph"/>
              <w:spacing w:line="166" w:lineRule="exact" w:before="113"/>
              <w:ind w:left="8"/>
              <w:jc w:val="center"/>
              <w:rPr>
                <w:sz w:val="16"/>
              </w:rPr>
            </w:pPr>
            <w:r>
              <w:rPr>
                <w:spacing w:val="-10"/>
                <w:sz w:val="16"/>
              </w:rPr>
              <w:t>2</w:t>
            </w:r>
          </w:p>
        </w:tc>
        <w:tc>
          <w:tcPr>
            <w:tcW w:w="6921" w:type="dxa"/>
          </w:tcPr>
          <w:p>
            <w:pPr>
              <w:pStyle w:val="TableParagraph"/>
              <w:spacing w:line="166" w:lineRule="exact" w:before="113"/>
              <w:ind w:left="67"/>
              <w:rPr>
                <w:sz w:val="16"/>
              </w:rPr>
            </w:pPr>
            <w:r>
              <w:rPr>
                <w:sz w:val="16"/>
              </w:rPr>
              <w:t>AIRE</w:t>
            </w:r>
            <w:r>
              <w:rPr>
                <w:spacing w:val="-5"/>
                <w:sz w:val="16"/>
              </w:rPr>
              <w:t> </w:t>
            </w:r>
            <w:r>
              <w:rPr>
                <w:sz w:val="16"/>
              </w:rPr>
              <w:t>ACONDICIONADO</w:t>
            </w:r>
            <w:r>
              <w:rPr>
                <w:spacing w:val="-6"/>
                <w:sz w:val="16"/>
              </w:rPr>
              <w:t> </w:t>
            </w:r>
            <w:r>
              <w:rPr>
                <w:sz w:val="16"/>
              </w:rPr>
              <w:t>VALEO</w:t>
            </w:r>
            <w:r>
              <w:rPr>
                <w:spacing w:val="-6"/>
                <w:sz w:val="16"/>
              </w:rPr>
              <w:t> </w:t>
            </w:r>
            <w:r>
              <w:rPr>
                <w:sz w:val="16"/>
              </w:rPr>
              <w:t>REVO</w:t>
            </w:r>
            <w:r>
              <w:rPr>
                <w:spacing w:val="-5"/>
                <w:sz w:val="16"/>
              </w:rPr>
              <w:t> </w:t>
            </w:r>
            <w:r>
              <w:rPr>
                <w:sz w:val="16"/>
              </w:rPr>
              <w:t>E</w:t>
            </w:r>
            <w:r>
              <w:rPr>
                <w:spacing w:val="-4"/>
                <w:sz w:val="16"/>
              </w:rPr>
              <w:t> </w:t>
            </w:r>
            <w:r>
              <w:rPr>
                <w:spacing w:val="-2"/>
                <w:sz w:val="16"/>
              </w:rPr>
              <w:t>HISPACOLD</w:t>
            </w:r>
          </w:p>
        </w:tc>
        <w:tc>
          <w:tcPr>
            <w:tcW w:w="873" w:type="dxa"/>
          </w:tcPr>
          <w:p>
            <w:pPr>
              <w:pStyle w:val="TableParagraph"/>
              <w:spacing w:line="180" w:lineRule="exact"/>
              <w:ind w:left="60" w:right="6"/>
              <w:jc w:val="center"/>
              <w:rPr>
                <w:sz w:val="16"/>
              </w:rPr>
            </w:pPr>
            <w:r>
              <w:rPr>
                <w:spacing w:val="-2"/>
                <w:sz w:val="16"/>
              </w:rPr>
              <w:t>128,00</w:t>
            </w:r>
          </w:p>
        </w:tc>
      </w:tr>
      <w:tr>
        <w:trPr>
          <w:trHeight w:val="302"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ASPECTOS</w:t>
            </w:r>
            <w:r>
              <w:rPr>
                <w:spacing w:val="-5"/>
                <w:sz w:val="16"/>
              </w:rPr>
              <w:t> </w:t>
            </w:r>
            <w:r>
              <w:rPr>
                <w:sz w:val="16"/>
              </w:rPr>
              <w:t>CRITICOS</w:t>
            </w:r>
            <w:r>
              <w:rPr>
                <w:spacing w:val="-3"/>
                <w:sz w:val="16"/>
              </w:rPr>
              <w:t> </w:t>
            </w:r>
            <w:r>
              <w:rPr>
                <w:sz w:val="16"/>
              </w:rPr>
              <w:t>DE</w:t>
            </w:r>
            <w:r>
              <w:rPr>
                <w:spacing w:val="-4"/>
                <w:sz w:val="16"/>
              </w:rPr>
              <w:t> </w:t>
            </w:r>
            <w:r>
              <w:rPr>
                <w:sz w:val="16"/>
              </w:rPr>
              <w:t>LA</w:t>
            </w:r>
            <w:r>
              <w:rPr>
                <w:spacing w:val="-4"/>
                <w:sz w:val="16"/>
              </w:rPr>
              <w:t> </w:t>
            </w:r>
            <w:r>
              <w:rPr>
                <w:sz w:val="16"/>
              </w:rPr>
              <w:t>CONTRATACION</w:t>
            </w:r>
            <w:r>
              <w:rPr>
                <w:spacing w:val="-8"/>
                <w:sz w:val="16"/>
              </w:rPr>
              <w:t> </w:t>
            </w:r>
            <w:r>
              <w:rPr>
                <w:sz w:val="16"/>
              </w:rPr>
              <w:t>PUBLICA</w:t>
            </w:r>
            <w:r>
              <w:rPr>
                <w:spacing w:val="-4"/>
                <w:sz w:val="16"/>
              </w:rPr>
              <w:t> LOCAL</w:t>
            </w:r>
          </w:p>
        </w:tc>
        <w:tc>
          <w:tcPr>
            <w:tcW w:w="873" w:type="dxa"/>
          </w:tcPr>
          <w:p>
            <w:pPr>
              <w:pStyle w:val="TableParagraph"/>
              <w:spacing w:line="183" w:lineRule="exact"/>
              <w:ind w:left="58" w:right="6"/>
              <w:jc w:val="center"/>
              <w:rPr>
                <w:sz w:val="16"/>
              </w:rPr>
            </w:pPr>
            <w:r>
              <w:rPr>
                <w:spacing w:val="-2"/>
                <w:sz w:val="16"/>
              </w:rPr>
              <w:t>52,00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ATEX</w:t>
            </w:r>
            <w:r>
              <w:rPr>
                <w:spacing w:val="-7"/>
                <w:sz w:val="16"/>
              </w:rPr>
              <w:t> </w:t>
            </w:r>
            <w:r>
              <w:rPr>
                <w:sz w:val="16"/>
              </w:rPr>
              <w:t>-</w:t>
            </w:r>
            <w:r>
              <w:rPr>
                <w:spacing w:val="-2"/>
                <w:sz w:val="16"/>
              </w:rPr>
              <w:t> </w:t>
            </w:r>
            <w:r>
              <w:rPr>
                <w:sz w:val="16"/>
              </w:rPr>
              <w:t>ATMOSFERAS</w:t>
            </w:r>
            <w:r>
              <w:rPr>
                <w:spacing w:val="1"/>
                <w:sz w:val="16"/>
              </w:rPr>
              <w:t> </w:t>
            </w:r>
            <w:r>
              <w:rPr>
                <w:spacing w:val="-2"/>
                <w:sz w:val="16"/>
              </w:rPr>
              <w:t>EXPLOSIVAS</w:t>
            </w:r>
          </w:p>
        </w:tc>
        <w:tc>
          <w:tcPr>
            <w:tcW w:w="873" w:type="dxa"/>
          </w:tcPr>
          <w:p>
            <w:pPr>
              <w:pStyle w:val="TableParagraph"/>
              <w:spacing w:line="180" w:lineRule="exact"/>
              <w:ind w:left="61" w:right="6"/>
              <w:jc w:val="center"/>
              <w:rPr>
                <w:sz w:val="16"/>
              </w:rPr>
            </w:pPr>
            <w:r>
              <w:rPr>
                <w:spacing w:val="-4"/>
                <w:sz w:val="16"/>
              </w:rPr>
              <w:t>2,00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ATMOSFERAS</w:t>
            </w:r>
            <w:r>
              <w:rPr>
                <w:spacing w:val="-11"/>
                <w:sz w:val="16"/>
              </w:rPr>
              <w:t> </w:t>
            </w:r>
            <w:r>
              <w:rPr>
                <w:spacing w:val="-2"/>
                <w:sz w:val="16"/>
              </w:rPr>
              <w:t>EXPLOSIVAS</w:t>
            </w:r>
          </w:p>
        </w:tc>
        <w:tc>
          <w:tcPr>
            <w:tcW w:w="873" w:type="dxa"/>
          </w:tcPr>
          <w:p>
            <w:pPr>
              <w:pStyle w:val="TableParagraph"/>
              <w:spacing w:line="180" w:lineRule="exact"/>
              <w:ind w:left="61" w:right="6"/>
              <w:jc w:val="center"/>
              <w:rPr>
                <w:sz w:val="16"/>
              </w:rPr>
            </w:pPr>
            <w:r>
              <w:rPr>
                <w:spacing w:val="-4"/>
                <w:sz w:val="16"/>
              </w:rPr>
              <w:t>9,00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BIENESTAR</w:t>
            </w:r>
            <w:r>
              <w:rPr>
                <w:spacing w:val="-6"/>
                <w:sz w:val="16"/>
              </w:rPr>
              <w:t> </w:t>
            </w:r>
            <w:r>
              <w:rPr>
                <w:sz w:val="16"/>
              </w:rPr>
              <w:t>DIGITAL:</w:t>
            </w:r>
            <w:r>
              <w:rPr>
                <w:spacing w:val="-2"/>
                <w:sz w:val="16"/>
              </w:rPr>
              <w:t> </w:t>
            </w:r>
            <w:r>
              <w:rPr>
                <w:sz w:val="16"/>
              </w:rPr>
              <w:t>CIUDADANIA</w:t>
            </w:r>
            <w:r>
              <w:rPr>
                <w:spacing w:val="-2"/>
                <w:sz w:val="16"/>
              </w:rPr>
              <w:t> </w:t>
            </w:r>
            <w:r>
              <w:rPr>
                <w:sz w:val="16"/>
              </w:rPr>
              <w:t>DIGITAL</w:t>
            </w:r>
            <w:r>
              <w:rPr>
                <w:spacing w:val="-6"/>
                <w:sz w:val="16"/>
              </w:rPr>
              <w:t> </w:t>
            </w:r>
            <w:r>
              <w:rPr>
                <w:sz w:val="16"/>
              </w:rPr>
              <w:t>A</w:t>
            </w:r>
            <w:r>
              <w:rPr>
                <w:spacing w:val="-4"/>
                <w:sz w:val="16"/>
              </w:rPr>
              <w:t> </w:t>
            </w:r>
            <w:r>
              <w:rPr>
                <w:sz w:val="16"/>
              </w:rPr>
              <w:t>TU</w:t>
            </w:r>
            <w:r>
              <w:rPr>
                <w:spacing w:val="-6"/>
                <w:sz w:val="16"/>
              </w:rPr>
              <w:t> </w:t>
            </w:r>
            <w:r>
              <w:rPr>
                <w:spacing w:val="-2"/>
                <w:sz w:val="16"/>
              </w:rPr>
              <w:t>ALCANCE</w:t>
            </w:r>
          </w:p>
        </w:tc>
        <w:tc>
          <w:tcPr>
            <w:tcW w:w="873" w:type="dxa"/>
          </w:tcPr>
          <w:p>
            <w:pPr>
              <w:pStyle w:val="TableParagraph"/>
              <w:spacing w:line="180" w:lineRule="exact"/>
              <w:ind w:left="60" w:right="6"/>
              <w:jc w:val="center"/>
              <w:rPr>
                <w:sz w:val="16"/>
              </w:rPr>
            </w:pPr>
            <w:r>
              <w:rPr>
                <w:spacing w:val="-2"/>
                <w:sz w:val="16"/>
              </w:rPr>
              <w:t>120,00</w:t>
            </w:r>
          </w:p>
        </w:tc>
      </w:tr>
      <w:tr>
        <w:trPr>
          <w:trHeight w:val="299" w:hRule="atLeast"/>
        </w:trPr>
        <w:tc>
          <w:tcPr>
            <w:tcW w:w="854" w:type="dxa"/>
          </w:tcPr>
          <w:p>
            <w:pPr>
              <w:pStyle w:val="TableParagraph"/>
              <w:spacing w:line="166" w:lineRule="exact" w:before="113"/>
              <w:ind w:left="8"/>
              <w:jc w:val="center"/>
              <w:rPr>
                <w:sz w:val="16"/>
              </w:rPr>
            </w:pPr>
            <w:r>
              <w:rPr>
                <w:spacing w:val="-10"/>
                <w:sz w:val="16"/>
              </w:rPr>
              <w:t>2</w:t>
            </w:r>
          </w:p>
        </w:tc>
        <w:tc>
          <w:tcPr>
            <w:tcW w:w="6921" w:type="dxa"/>
          </w:tcPr>
          <w:p>
            <w:pPr>
              <w:pStyle w:val="TableParagraph"/>
              <w:spacing w:line="166" w:lineRule="exact" w:before="113"/>
              <w:ind w:left="67"/>
              <w:rPr>
                <w:sz w:val="16"/>
              </w:rPr>
            </w:pPr>
            <w:r>
              <w:rPr>
                <w:sz w:val="16"/>
              </w:rPr>
              <w:t>BOSCH</w:t>
            </w:r>
            <w:r>
              <w:rPr>
                <w:spacing w:val="-5"/>
                <w:sz w:val="16"/>
              </w:rPr>
              <w:t> </w:t>
            </w:r>
            <w:r>
              <w:rPr>
                <w:sz w:val="16"/>
              </w:rPr>
              <w:t>-</w:t>
            </w:r>
            <w:r>
              <w:rPr>
                <w:spacing w:val="-6"/>
                <w:sz w:val="16"/>
              </w:rPr>
              <w:t> </w:t>
            </w:r>
            <w:r>
              <w:rPr>
                <w:sz w:val="16"/>
              </w:rPr>
              <w:t>SISTEMA</w:t>
            </w:r>
            <w:r>
              <w:rPr>
                <w:spacing w:val="-6"/>
                <w:sz w:val="16"/>
              </w:rPr>
              <w:t> </w:t>
            </w:r>
            <w:r>
              <w:rPr>
                <w:sz w:val="16"/>
              </w:rPr>
              <w:t>ANTICONTAMINACION</w:t>
            </w:r>
            <w:r>
              <w:rPr>
                <w:spacing w:val="-6"/>
                <w:sz w:val="16"/>
              </w:rPr>
              <w:t> </w:t>
            </w:r>
            <w:r>
              <w:rPr>
                <w:sz w:val="16"/>
              </w:rPr>
              <w:t>EURO</w:t>
            </w:r>
            <w:r>
              <w:rPr>
                <w:spacing w:val="-4"/>
                <w:sz w:val="16"/>
              </w:rPr>
              <w:t> </w:t>
            </w:r>
            <w:r>
              <w:rPr>
                <w:spacing w:val="-5"/>
                <w:sz w:val="16"/>
              </w:rPr>
              <w:t>VI</w:t>
            </w:r>
          </w:p>
        </w:tc>
        <w:tc>
          <w:tcPr>
            <w:tcW w:w="873" w:type="dxa"/>
          </w:tcPr>
          <w:p>
            <w:pPr>
              <w:pStyle w:val="TableParagraph"/>
              <w:spacing w:line="180" w:lineRule="exact"/>
              <w:ind w:left="60" w:right="6"/>
              <w:jc w:val="center"/>
              <w:rPr>
                <w:sz w:val="16"/>
              </w:rPr>
            </w:pPr>
            <w:r>
              <w:rPr>
                <w:spacing w:val="-2"/>
                <w:sz w:val="16"/>
              </w:rPr>
              <w:t>192,00</w:t>
            </w:r>
          </w:p>
        </w:tc>
      </w:tr>
      <w:tr>
        <w:trPr>
          <w:trHeight w:val="299" w:hRule="atLeast"/>
        </w:trPr>
        <w:tc>
          <w:tcPr>
            <w:tcW w:w="854" w:type="dxa"/>
          </w:tcPr>
          <w:p>
            <w:pPr>
              <w:pStyle w:val="TableParagraph"/>
              <w:spacing w:line="166" w:lineRule="exact" w:before="113"/>
              <w:ind w:left="8" w:right="3"/>
              <w:jc w:val="center"/>
              <w:rPr>
                <w:sz w:val="16"/>
              </w:rPr>
            </w:pPr>
            <w:r>
              <w:rPr>
                <w:spacing w:val="-5"/>
                <w:sz w:val="16"/>
              </w:rPr>
              <w:t>13</w:t>
            </w:r>
          </w:p>
        </w:tc>
        <w:tc>
          <w:tcPr>
            <w:tcW w:w="6921" w:type="dxa"/>
          </w:tcPr>
          <w:p>
            <w:pPr>
              <w:pStyle w:val="TableParagraph"/>
              <w:spacing w:line="166" w:lineRule="exact" w:before="113"/>
              <w:ind w:left="67"/>
              <w:rPr>
                <w:sz w:val="16"/>
              </w:rPr>
            </w:pPr>
            <w:r>
              <w:rPr>
                <w:sz w:val="16"/>
              </w:rPr>
              <w:t>CAP</w:t>
            </w:r>
            <w:r>
              <w:rPr>
                <w:spacing w:val="-1"/>
                <w:sz w:val="16"/>
              </w:rPr>
              <w:t> </w:t>
            </w:r>
            <w:r>
              <w:rPr>
                <w:spacing w:val="-2"/>
                <w:sz w:val="16"/>
              </w:rPr>
              <w:t>CONTINUA</w:t>
            </w:r>
          </w:p>
        </w:tc>
        <w:tc>
          <w:tcPr>
            <w:tcW w:w="873" w:type="dxa"/>
          </w:tcPr>
          <w:p>
            <w:pPr>
              <w:pStyle w:val="TableParagraph"/>
              <w:spacing w:line="180" w:lineRule="exact"/>
              <w:ind w:left="56"/>
              <w:jc w:val="center"/>
              <w:rPr>
                <w:sz w:val="16"/>
              </w:rPr>
            </w:pPr>
            <w:r>
              <w:rPr>
                <w:spacing w:val="-2"/>
                <w:sz w:val="16"/>
              </w:rPr>
              <w:t>5.775,00</w:t>
            </w:r>
          </w:p>
        </w:tc>
      </w:tr>
      <w:tr>
        <w:trPr>
          <w:trHeight w:val="302"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CAPACITACION</w:t>
            </w:r>
            <w:r>
              <w:rPr>
                <w:spacing w:val="-8"/>
                <w:sz w:val="16"/>
              </w:rPr>
              <w:t> </w:t>
            </w:r>
            <w:r>
              <w:rPr>
                <w:sz w:val="16"/>
              </w:rPr>
              <w:t>PARA</w:t>
            </w:r>
            <w:r>
              <w:rPr>
                <w:spacing w:val="-3"/>
                <w:sz w:val="16"/>
              </w:rPr>
              <w:t> </w:t>
            </w:r>
            <w:r>
              <w:rPr>
                <w:sz w:val="16"/>
              </w:rPr>
              <w:t>EL</w:t>
            </w:r>
            <w:r>
              <w:rPr>
                <w:spacing w:val="-4"/>
                <w:sz w:val="16"/>
              </w:rPr>
              <w:t> </w:t>
            </w:r>
            <w:r>
              <w:rPr>
                <w:sz w:val="16"/>
              </w:rPr>
              <w:t>DESEMPEÑO</w:t>
            </w:r>
            <w:r>
              <w:rPr>
                <w:spacing w:val="-4"/>
                <w:sz w:val="16"/>
              </w:rPr>
              <w:t> </w:t>
            </w:r>
            <w:r>
              <w:rPr>
                <w:sz w:val="16"/>
              </w:rPr>
              <w:t>DE</w:t>
            </w:r>
            <w:r>
              <w:rPr>
                <w:spacing w:val="-4"/>
                <w:sz w:val="16"/>
              </w:rPr>
              <w:t> </w:t>
            </w:r>
            <w:r>
              <w:rPr>
                <w:sz w:val="16"/>
              </w:rPr>
              <w:t>FUNCIONES</w:t>
            </w:r>
            <w:r>
              <w:rPr>
                <w:spacing w:val="-5"/>
                <w:sz w:val="16"/>
              </w:rPr>
              <w:t> </w:t>
            </w:r>
            <w:r>
              <w:rPr>
                <w:sz w:val="16"/>
              </w:rPr>
              <w:t>DE</w:t>
            </w:r>
            <w:r>
              <w:rPr>
                <w:spacing w:val="-5"/>
                <w:sz w:val="16"/>
              </w:rPr>
              <w:t> </w:t>
            </w:r>
            <w:r>
              <w:rPr>
                <w:sz w:val="16"/>
              </w:rPr>
              <w:t>NIVEL</w:t>
            </w:r>
            <w:r>
              <w:rPr>
                <w:spacing w:val="-4"/>
                <w:sz w:val="16"/>
              </w:rPr>
              <w:t> </w:t>
            </w:r>
            <w:r>
              <w:rPr>
                <w:sz w:val="16"/>
              </w:rPr>
              <w:t>BASICO</w:t>
            </w:r>
            <w:r>
              <w:rPr>
                <w:spacing w:val="-2"/>
                <w:sz w:val="16"/>
              </w:rPr>
              <w:t> </w:t>
            </w:r>
            <w:r>
              <w:rPr>
                <w:sz w:val="16"/>
              </w:rPr>
              <w:t>30H</w:t>
            </w:r>
            <w:r>
              <w:rPr>
                <w:spacing w:val="-5"/>
                <w:sz w:val="16"/>
              </w:rPr>
              <w:t> </w:t>
            </w:r>
            <w:r>
              <w:rPr>
                <w:spacing w:val="-2"/>
                <w:sz w:val="16"/>
              </w:rPr>
              <w:t>ONLINE</w:t>
            </w:r>
          </w:p>
        </w:tc>
        <w:tc>
          <w:tcPr>
            <w:tcW w:w="873" w:type="dxa"/>
          </w:tcPr>
          <w:p>
            <w:pPr>
              <w:pStyle w:val="TableParagraph"/>
              <w:spacing w:line="183" w:lineRule="exact"/>
              <w:ind w:left="58" w:right="6"/>
              <w:jc w:val="center"/>
              <w:rPr>
                <w:sz w:val="16"/>
              </w:rPr>
            </w:pPr>
            <w:r>
              <w:rPr>
                <w:spacing w:val="-2"/>
                <w:sz w:val="16"/>
              </w:rPr>
              <w:t>90,00</w:t>
            </w:r>
          </w:p>
        </w:tc>
      </w:tr>
      <w:tr>
        <w:trPr>
          <w:trHeight w:val="299" w:hRule="atLeast"/>
        </w:trPr>
        <w:tc>
          <w:tcPr>
            <w:tcW w:w="854" w:type="dxa"/>
          </w:tcPr>
          <w:p>
            <w:pPr>
              <w:pStyle w:val="TableParagraph"/>
              <w:spacing w:line="168" w:lineRule="exact" w:before="111"/>
              <w:ind w:left="8" w:right="3"/>
              <w:jc w:val="center"/>
              <w:rPr>
                <w:sz w:val="16"/>
              </w:rPr>
            </w:pPr>
            <w:r>
              <w:rPr>
                <w:spacing w:val="-5"/>
                <w:sz w:val="16"/>
              </w:rPr>
              <w:t>59</w:t>
            </w:r>
          </w:p>
        </w:tc>
        <w:tc>
          <w:tcPr>
            <w:tcW w:w="6921" w:type="dxa"/>
          </w:tcPr>
          <w:p>
            <w:pPr>
              <w:pStyle w:val="TableParagraph"/>
              <w:spacing w:line="168" w:lineRule="exact" w:before="111"/>
              <w:ind w:left="67"/>
              <w:rPr>
                <w:sz w:val="16"/>
              </w:rPr>
            </w:pPr>
            <w:r>
              <w:rPr>
                <w:sz w:val="16"/>
              </w:rPr>
              <w:t>CARACTERISTICAS</w:t>
            </w:r>
            <w:r>
              <w:rPr>
                <w:spacing w:val="-9"/>
                <w:sz w:val="16"/>
              </w:rPr>
              <w:t> </w:t>
            </w:r>
            <w:r>
              <w:rPr>
                <w:sz w:val="16"/>
              </w:rPr>
              <w:t>Y</w:t>
            </w:r>
            <w:r>
              <w:rPr>
                <w:spacing w:val="-1"/>
                <w:sz w:val="16"/>
              </w:rPr>
              <w:t> </w:t>
            </w:r>
            <w:r>
              <w:rPr>
                <w:sz w:val="16"/>
              </w:rPr>
              <w:t>MANEJO</w:t>
            </w:r>
            <w:r>
              <w:rPr>
                <w:spacing w:val="-6"/>
                <w:sz w:val="16"/>
              </w:rPr>
              <w:t> </w:t>
            </w:r>
            <w:r>
              <w:rPr>
                <w:sz w:val="16"/>
              </w:rPr>
              <w:t>GUAGUA</w:t>
            </w:r>
            <w:r>
              <w:rPr>
                <w:spacing w:val="-7"/>
                <w:sz w:val="16"/>
              </w:rPr>
              <w:t> </w:t>
            </w:r>
            <w:r>
              <w:rPr>
                <w:sz w:val="16"/>
              </w:rPr>
              <w:t>ELECTRICA</w:t>
            </w:r>
            <w:r>
              <w:rPr>
                <w:spacing w:val="-6"/>
                <w:sz w:val="16"/>
              </w:rPr>
              <w:t> </w:t>
            </w:r>
            <w:r>
              <w:rPr>
                <w:sz w:val="16"/>
              </w:rPr>
              <w:t>IRIZAR</w:t>
            </w:r>
            <w:r>
              <w:rPr>
                <w:spacing w:val="-6"/>
                <w:sz w:val="16"/>
              </w:rPr>
              <w:t> </w:t>
            </w:r>
            <w:r>
              <w:rPr>
                <w:sz w:val="16"/>
              </w:rPr>
              <w:t>18</w:t>
            </w:r>
            <w:r>
              <w:rPr>
                <w:spacing w:val="-7"/>
                <w:sz w:val="16"/>
              </w:rPr>
              <w:t> </w:t>
            </w:r>
            <w:r>
              <w:rPr>
                <w:spacing w:val="-2"/>
                <w:sz w:val="16"/>
              </w:rPr>
              <w:t>METROS</w:t>
            </w:r>
          </w:p>
        </w:tc>
        <w:tc>
          <w:tcPr>
            <w:tcW w:w="873" w:type="dxa"/>
          </w:tcPr>
          <w:p>
            <w:pPr>
              <w:pStyle w:val="TableParagraph"/>
              <w:spacing w:line="180" w:lineRule="exact"/>
              <w:ind w:left="60" w:right="6"/>
              <w:jc w:val="center"/>
              <w:rPr>
                <w:sz w:val="16"/>
              </w:rPr>
            </w:pPr>
            <w:r>
              <w:rPr>
                <w:spacing w:val="-2"/>
                <w:sz w:val="16"/>
              </w:rPr>
              <w:t>816,75</w:t>
            </w:r>
          </w:p>
        </w:tc>
      </w:tr>
      <w:tr>
        <w:trPr>
          <w:trHeight w:val="299" w:hRule="atLeast"/>
        </w:trPr>
        <w:tc>
          <w:tcPr>
            <w:tcW w:w="854" w:type="dxa"/>
          </w:tcPr>
          <w:p>
            <w:pPr>
              <w:pStyle w:val="TableParagraph"/>
              <w:spacing w:line="168" w:lineRule="exact" w:before="111"/>
              <w:ind w:left="8" w:right="3"/>
              <w:jc w:val="center"/>
              <w:rPr>
                <w:sz w:val="16"/>
              </w:rPr>
            </w:pPr>
            <w:r>
              <w:rPr>
                <w:spacing w:val="-5"/>
                <w:sz w:val="16"/>
              </w:rPr>
              <w:t>10</w:t>
            </w:r>
          </w:p>
        </w:tc>
        <w:tc>
          <w:tcPr>
            <w:tcW w:w="6921" w:type="dxa"/>
          </w:tcPr>
          <w:p>
            <w:pPr>
              <w:pStyle w:val="TableParagraph"/>
              <w:spacing w:line="168" w:lineRule="exact" w:before="111"/>
              <w:ind w:left="67"/>
              <w:rPr>
                <w:sz w:val="16"/>
              </w:rPr>
            </w:pPr>
            <w:r>
              <w:rPr>
                <w:sz w:val="16"/>
              </w:rPr>
              <w:t>CIBERSEGURIDAD</w:t>
            </w:r>
            <w:r>
              <w:rPr>
                <w:spacing w:val="-6"/>
                <w:sz w:val="16"/>
              </w:rPr>
              <w:t> </w:t>
            </w:r>
            <w:r>
              <w:rPr>
                <w:sz w:val="16"/>
              </w:rPr>
              <w:t>Y LA</w:t>
            </w:r>
            <w:r>
              <w:rPr>
                <w:spacing w:val="-5"/>
                <w:sz w:val="16"/>
              </w:rPr>
              <w:t> </w:t>
            </w:r>
            <w:r>
              <w:rPr>
                <w:sz w:val="16"/>
              </w:rPr>
              <w:t>SEGURIDAD</w:t>
            </w:r>
            <w:r>
              <w:rPr>
                <w:spacing w:val="-4"/>
                <w:sz w:val="16"/>
              </w:rPr>
              <w:t> </w:t>
            </w:r>
            <w:r>
              <w:rPr>
                <w:sz w:val="16"/>
              </w:rPr>
              <w:t>DE</w:t>
            </w:r>
            <w:r>
              <w:rPr>
                <w:spacing w:val="-2"/>
                <w:sz w:val="16"/>
              </w:rPr>
              <w:t> </w:t>
            </w:r>
            <w:r>
              <w:rPr>
                <w:sz w:val="16"/>
              </w:rPr>
              <w:t>LA</w:t>
            </w:r>
            <w:r>
              <w:rPr>
                <w:spacing w:val="-4"/>
                <w:sz w:val="16"/>
              </w:rPr>
              <w:t> </w:t>
            </w:r>
            <w:r>
              <w:rPr>
                <w:spacing w:val="-2"/>
                <w:sz w:val="16"/>
              </w:rPr>
              <w:t>INFORMACION</w:t>
            </w:r>
          </w:p>
        </w:tc>
        <w:tc>
          <w:tcPr>
            <w:tcW w:w="873" w:type="dxa"/>
          </w:tcPr>
          <w:p>
            <w:pPr>
              <w:pStyle w:val="TableParagraph"/>
              <w:spacing w:line="180" w:lineRule="exact"/>
              <w:ind w:left="58" w:right="6"/>
              <w:jc w:val="center"/>
              <w:rPr>
                <w:sz w:val="16"/>
              </w:rPr>
            </w:pPr>
            <w:r>
              <w:rPr>
                <w:spacing w:val="-2"/>
                <w:sz w:val="16"/>
              </w:rPr>
              <w:t>64,90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COLUMNAS</w:t>
            </w:r>
            <w:r>
              <w:rPr>
                <w:spacing w:val="-7"/>
                <w:sz w:val="16"/>
              </w:rPr>
              <w:t> </w:t>
            </w:r>
            <w:r>
              <w:rPr>
                <w:sz w:val="16"/>
              </w:rPr>
              <w:t>ELEVADORAS</w:t>
            </w:r>
            <w:r>
              <w:rPr>
                <w:spacing w:val="-7"/>
                <w:sz w:val="16"/>
              </w:rPr>
              <w:t> </w:t>
            </w:r>
            <w:r>
              <w:rPr>
                <w:spacing w:val="-2"/>
                <w:sz w:val="16"/>
              </w:rPr>
              <w:t>SEFAC</w:t>
            </w:r>
          </w:p>
        </w:tc>
        <w:tc>
          <w:tcPr>
            <w:tcW w:w="873" w:type="dxa"/>
          </w:tcPr>
          <w:p>
            <w:pPr>
              <w:pStyle w:val="TableParagraph"/>
              <w:spacing w:line="180" w:lineRule="exact"/>
              <w:ind w:left="58" w:right="6"/>
              <w:jc w:val="center"/>
              <w:rPr>
                <w:sz w:val="16"/>
              </w:rPr>
            </w:pPr>
            <w:r>
              <w:rPr>
                <w:spacing w:val="-2"/>
                <w:sz w:val="16"/>
              </w:rPr>
              <w:t>13,75</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COLUMNAS</w:t>
            </w:r>
            <w:r>
              <w:rPr>
                <w:spacing w:val="-8"/>
                <w:sz w:val="16"/>
              </w:rPr>
              <w:t> </w:t>
            </w:r>
            <w:r>
              <w:rPr>
                <w:sz w:val="16"/>
              </w:rPr>
              <w:t>ELEVADORAS,</w:t>
            </w:r>
            <w:r>
              <w:rPr>
                <w:spacing w:val="-5"/>
                <w:sz w:val="16"/>
              </w:rPr>
              <w:t> </w:t>
            </w:r>
            <w:r>
              <w:rPr>
                <w:sz w:val="16"/>
              </w:rPr>
              <w:t>CINTA</w:t>
            </w:r>
            <w:r>
              <w:rPr>
                <w:spacing w:val="-3"/>
                <w:sz w:val="16"/>
              </w:rPr>
              <w:t> </w:t>
            </w:r>
            <w:r>
              <w:rPr>
                <w:sz w:val="16"/>
              </w:rPr>
              <w:t>DE</w:t>
            </w:r>
            <w:r>
              <w:rPr>
                <w:spacing w:val="-3"/>
                <w:sz w:val="16"/>
              </w:rPr>
              <w:t> </w:t>
            </w:r>
            <w:r>
              <w:rPr>
                <w:sz w:val="16"/>
              </w:rPr>
              <w:t>CORTE,</w:t>
            </w:r>
            <w:r>
              <w:rPr>
                <w:spacing w:val="-6"/>
                <w:sz w:val="16"/>
              </w:rPr>
              <w:t> </w:t>
            </w:r>
            <w:r>
              <w:rPr>
                <w:sz w:val="16"/>
              </w:rPr>
              <w:t>TALADRO</w:t>
            </w:r>
            <w:r>
              <w:rPr>
                <w:spacing w:val="-6"/>
                <w:sz w:val="16"/>
              </w:rPr>
              <w:t> </w:t>
            </w:r>
            <w:r>
              <w:rPr>
                <w:sz w:val="16"/>
              </w:rPr>
              <w:t>VERTICAL</w:t>
            </w:r>
            <w:r>
              <w:rPr>
                <w:spacing w:val="-6"/>
                <w:sz w:val="16"/>
              </w:rPr>
              <w:t> </w:t>
            </w:r>
            <w:r>
              <w:rPr>
                <w:sz w:val="16"/>
              </w:rPr>
              <w:t>Y</w:t>
            </w:r>
            <w:r>
              <w:rPr>
                <w:spacing w:val="-6"/>
                <w:sz w:val="16"/>
              </w:rPr>
              <w:t> </w:t>
            </w:r>
            <w:r>
              <w:rPr>
                <w:spacing w:val="-2"/>
                <w:sz w:val="16"/>
              </w:rPr>
              <w:t>PRENSA</w:t>
            </w:r>
          </w:p>
        </w:tc>
        <w:tc>
          <w:tcPr>
            <w:tcW w:w="873" w:type="dxa"/>
          </w:tcPr>
          <w:p>
            <w:pPr>
              <w:pStyle w:val="TableParagraph"/>
              <w:spacing w:line="180" w:lineRule="exact"/>
              <w:ind w:left="58" w:right="6"/>
              <w:jc w:val="center"/>
              <w:rPr>
                <w:sz w:val="16"/>
              </w:rPr>
            </w:pPr>
            <w:r>
              <w:rPr>
                <w:spacing w:val="-2"/>
                <w:sz w:val="16"/>
              </w:rPr>
              <w:t>22,00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COMPLIANCE</w:t>
            </w:r>
            <w:r>
              <w:rPr>
                <w:spacing w:val="-6"/>
                <w:sz w:val="16"/>
              </w:rPr>
              <w:t> </w:t>
            </w:r>
            <w:r>
              <w:rPr>
                <w:sz w:val="16"/>
              </w:rPr>
              <w:t>PENAL</w:t>
            </w:r>
            <w:r>
              <w:rPr>
                <w:spacing w:val="-5"/>
                <w:sz w:val="16"/>
              </w:rPr>
              <w:t> </w:t>
            </w:r>
            <w:r>
              <w:rPr>
                <w:sz w:val="16"/>
              </w:rPr>
              <w:t>Y</w:t>
            </w:r>
            <w:r>
              <w:rPr>
                <w:spacing w:val="-6"/>
                <w:sz w:val="16"/>
              </w:rPr>
              <w:t> </w:t>
            </w:r>
            <w:r>
              <w:rPr>
                <w:sz w:val="16"/>
              </w:rPr>
              <w:t>ANTISOBORNO</w:t>
            </w:r>
            <w:r>
              <w:rPr>
                <w:spacing w:val="-5"/>
                <w:sz w:val="16"/>
              </w:rPr>
              <w:t> </w:t>
            </w:r>
            <w:r>
              <w:rPr>
                <w:spacing w:val="-4"/>
                <w:sz w:val="16"/>
              </w:rPr>
              <w:t>2025</w:t>
            </w:r>
          </w:p>
        </w:tc>
        <w:tc>
          <w:tcPr>
            <w:tcW w:w="873" w:type="dxa"/>
          </w:tcPr>
          <w:p>
            <w:pPr>
              <w:pStyle w:val="TableParagraph"/>
              <w:spacing w:line="180" w:lineRule="exact"/>
              <w:ind w:left="60" w:right="6"/>
              <w:jc w:val="center"/>
              <w:rPr>
                <w:sz w:val="16"/>
              </w:rPr>
            </w:pPr>
            <w:r>
              <w:rPr>
                <w:spacing w:val="-2"/>
                <w:sz w:val="16"/>
              </w:rPr>
              <w:t>202,50</w:t>
            </w:r>
          </w:p>
        </w:tc>
      </w:tr>
      <w:tr>
        <w:trPr>
          <w:trHeight w:val="369" w:hRule="atLeast"/>
        </w:trPr>
        <w:tc>
          <w:tcPr>
            <w:tcW w:w="854" w:type="dxa"/>
          </w:tcPr>
          <w:p>
            <w:pPr>
              <w:pStyle w:val="TableParagraph"/>
              <w:spacing w:line="168" w:lineRule="exact" w:before="181"/>
              <w:ind w:left="8" w:right="3"/>
              <w:jc w:val="center"/>
              <w:rPr>
                <w:sz w:val="16"/>
              </w:rPr>
            </w:pPr>
            <w:r>
              <w:rPr>
                <w:spacing w:val="-5"/>
                <w:sz w:val="16"/>
              </w:rPr>
              <w:t>55</w:t>
            </w:r>
          </w:p>
        </w:tc>
        <w:tc>
          <w:tcPr>
            <w:tcW w:w="6921" w:type="dxa"/>
          </w:tcPr>
          <w:p>
            <w:pPr>
              <w:pStyle w:val="TableParagraph"/>
              <w:spacing w:line="182" w:lineRule="exact"/>
              <w:ind w:left="67"/>
              <w:rPr>
                <w:sz w:val="16"/>
              </w:rPr>
            </w:pPr>
            <w:r>
              <w:rPr>
                <w:sz w:val="16"/>
              </w:rPr>
              <w:t>CONDUCCION</w:t>
            </w:r>
            <w:r>
              <w:rPr>
                <w:spacing w:val="-4"/>
                <w:sz w:val="16"/>
              </w:rPr>
              <w:t> </w:t>
            </w:r>
            <w:r>
              <w:rPr>
                <w:sz w:val="16"/>
              </w:rPr>
              <w:t>PREVENTIVA</w:t>
            </w:r>
            <w:r>
              <w:rPr>
                <w:spacing w:val="-6"/>
                <w:sz w:val="16"/>
              </w:rPr>
              <w:t> </w:t>
            </w:r>
            <w:r>
              <w:rPr>
                <w:sz w:val="16"/>
              </w:rPr>
              <w:t>Y</w:t>
            </w:r>
            <w:r>
              <w:rPr>
                <w:spacing w:val="-4"/>
                <w:sz w:val="16"/>
              </w:rPr>
              <w:t> </w:t>
            </w:r>
            <w:r>
              <w:rPr>
                <w:sz w:val="16"/>
              </w:rPr>
              <w:t>ACTUALIZACION</w:t>
            </w:r>
            <w:r>
              <w:rPr>
                <w:spacing w:val="-6"/>
                <w:sz w:val="16"/>
              </w:rPr>
              <w:t> </w:t>
            </w:r>
            <w:r>
              <w:rPr>
                <w:sz w:val="16"/>
              </w:rPr>
              <w:t>PROCESOS</w:t>
            </w:r>
            <w:r>
              <w:rPr>
                <w:spacing w:val="-5"/>
                <w:sz w:val="16"/>
              </w:rPr>
              <w:t> </w:t>
            </w:r>
            <w:r>
              <w:rPr>
                <w:sz w:val="16"/>
              </w:rPr>
              <w:t>DE</w:t>
            </w:r>
            <w:r>
              <w:rPr>
                <w:spacing w:val="-2"/>
                <w:sz w:val="16"/>
              </w:rPr>
              <w:t> </w:t>
            </w:r>
            <w:r>
              <w:rPr>
                <w:sz w:val="16"/>
              </w:rPr>
              <w:t>TRABAJO</w:t>
            </w:r>
            <w:r>
              <w:rPr>
                <w:spacing w:val="-7"/>
                <w:sz w:val="16"/>
              </w:rPr>
              <w:t> </w:t>
            </w:r>
            <w:r>
              <w:rPr>
                <w:sz w:val="16"/>
              </w:rPr>
              <w:t>EN</w:t>
            </w:r>
            <w:r>
              <w:rPr>
                <w:spacing w:val="-2"/>
                <w:sz w:val="16"/>
              </w:rPr>
              <w:t> </w:t>
            </w:r>
            <w:r>
              <w:rPr>
                <w:sz w:val="16"/>
              </w:rPr>
              <w:t>LA </w:t>
            </w:r>
            <w:r>
              <w:rPr>
                <w:spacing w:val="-2"/>
                <w:sz w:val="16"/>
              </w:rPr>
              <w:t>INCORPORACION</w:t>
            </w:r>
          </w:p>
        </w:tc>
        <w:tc>
          <w:tcPr>
            <w:tcW w:w="873" w:type="dxa"/>
          </w:tcPr>
          <w:p>
            <w:pPr>
              <w:pStyle w:val="TableParagraph"/>
              <w:spacing w:line="183" w:lineRule="exact"/>
              <w:ind w:left="60" w:right="6"/>
              <w:jc w:val="center"/>
              <w:rPr>
                <w:sz w:val="16"/>
              </w:rPr>
            </w:pPr>
            <w:r>
              <w:rPr>
                <w:spacing w:val="-2"/>
                <w:sz w:val="16"/>
              </w:rPr>
              <w:t>165,00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CONGRESO</w:t>
            </w:r>
            <w:r>
              <w:rPr>
                <w:spacing w:val="-7"/>
                <w:sz w:val="16"/>
              </w:rPr>
              <w:t> </w:t>
            </w:r>
            <w:r>
              <w:rPr>
                <w:sz w:val="16"/>
              </w:rPr>
              <w:t>ARANZADI</w:t>
            </w:r>
            <w:r>
              <w:rPr>
                <w:spacing w:val="-5"/>
                <w:sz w:val="16"/>
              </w:rPr>
              <w:t> </w:t>
            </w:r>
            <w:r>
              <w:rPr>
                <w:spacing w:val="-2"/>
                <w:sz w:val="16"/>
              </w:rPr>
              <w:t>SOCIAL</w:t>
            </w:r>
          </w:p>
        </w:tc>
        <w:tc>
          <w:tcPr>
            <w:tcW w:w="873" w:type="dxa"/>
          </w:tcPr>
          <w:p>
            <w:pPr>
              <w:pStyle w:val="TableParagraph"/>
              <w:spacing w:line="180" w:lineRule="exact"/>
              <w:ind w:left="58" w:right="6"/>
              <w:jc w:val="center"/>
              <w:rPr>
                <w:sz w:val="16"/>
              </w:rPr>
            </w:pPr>
            <w:r>
              <w:rPr>
                <w:spacing w:val="-2"/>
                <w:sz w:val="16"/>
              </w:rPr>
              <w:t>10,00</w:t>
            </w:r>
          </w:p>
        </w:tc>
      </w:tr>
    </w:tbl>
    <w:p>
      <w:pPr>
        <w:pStyle w:val="TableParagraph"/>
        <w:spacing w:after="0" w:line="180" w:lineRule="exact"/>
        <w:jc w:val="center"/>
        <w:rPr>
          <w:sz w:val="16"/>
        </w:rPr>
        <w:sectPr>
          <w:pgSz w:w="11910" w:h="16840"/>
          <w:pgMar w:header="384" w:footer="1060" w:top="1200" w:bottom="1260" w:left="360" w:right="360"/>
        </w:sectPr>
      </w:pPr>
    </w:p>
    <w:p>
      <w:pPr>
        <w:pStyle w:val="BodyText"/>
        <w:spacing w:before="6"/>
        <w:rPr>
          <w:sz w:val="18"/>
        </w:rPr>
      </w:pPr>
      <w:r>
        <w:rPr>
          <w:sz w:val="18"/>
        </w:rPr>
        <mc:AlternateContent>
          <mc:Choice Requires="wps">
            <w:drawing>
              <wp:anchor distT="0" distB="0" distL="0" distR="0" allowOverlap="1" layoutInCell="1" locked="0" behindDoc="0" simplePos="0" relativeHeight="15823360">
                <wp:simplePos x="0" y="0"/>
                <wp:positionH relativeFrom="page">
                  <wp:posOffset>6966436</wp:posOffset>
                </wp:positionH>
                <wp:positionV relativeFrom="page">
                  <wp:posOffset>6553363</wp:posOffset>
                </wp:positionV>
                <wp:extent cx="263525" cy="327596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23360" type="#_x0000_t202" id="docshape253"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54</w:t>
                      </w:r>
                      <w:r>
                        <w:rPr>
                          <w:spacing w:val="-6"/>
                          <w:sz w:val="12"/>
                        </w:rPr>
                        <w:t> </w:t>
                      </w:r>
                      <w:r>
                        <w:rPr>
                          <w:sz w:val="12"/>
                        </w:rPr>
                        <w:t>de</w:t>
                      </w:r>
                      <w:r>
                        <w:rPr>
                          <w:spacing w:val="-6"/>
                          <w:sz w:val="12"/>
                        </w:rPr>
                        <w:t> </w:t>
                      </w:r>
                      <w:r>
                        <w:rPr>
                          <w:spacing w:val="-5"/>
                          <w:sz w:val="12"/>
                        </w:rPr>
                        <w:t>69</w:t>
                      </w:r>
                    </w:p>
                  </w:txbxContent>
                </v:textbox>
                <w10:wrap type="none"/>
              </v:shape>
            </w:pict>
          </mc:Fallback>
        </mc:AlternateContent>
      </w:r>
    </w:p>
    <w:tbl>
      <w:tblPr>
        <w:tblW w:w="0" w:type="auto"/>
        <w:jc w:val="left"/>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6921"/>
        <w:gridCol w:w="873"/>
      </w:tblGrid>
      <w:tr>
        <w:trPr>
          <w:trHeight w:val="299" w:hRule="atLeast"/>
        </w:trPr>
        <w:tc>
          <w:tcPr>
            <w:tcW w:w="854" w:type="dxa"/>
            <w:tcBorders>
              <w:top w:val="nil"/>
            </w:tcBorders>
          </w:tcPr>
          <w:p>
            <w:pPr>
              <w:pStyle w:val="TableParagraph"/>
              <w:spacing w:line="168" w:lineRule="exact" w:before="111"/>
              <w:ind w:left="8"/>
              <w:jc w:val="center"/>
              <w:rPr>
                <w:sz w:val="16"/>
              </w:rPr>
            </w:pPr>
            <w:r>
              <w:rPr>
                <w:spacing w:val="-10"/>
                <w:sz w:val="16"/>
              </w:rPr>
              <w:t>1</w:t>
            </w:r>
          </w:p>
        </w:tc>
        <w:tc>
          <w:tcPr>
            <w:tcW w:w="6921" w:type="dxa"/>
            <w:tcBorders>
              <w:top w:val="nil"/>
            </w:tcBorders>
          </w:tcPr>
          <w:p>
            <w:pPr>
              <w:pStyle w:val="TableParagraph"/>
              <w:spacing w:line="168" w:lineRule="exact" w:before="111"/>
              <w:ind w:left="67"/>
              <w:rPr>
                <w:sz w:val="16"/>
              </w:rPr>
            </w:pPr>
            <w:r>
              <w:rPr>
                <w:sz w:val="16"/>
              </w:rPr>
              <w:t>CONTABILIDAD</w:t>
            </w:r>
            <w:r>
              <w:rPr>
                <w:spacing w:val="-8"/>
                <w:sz w:val="16"/>
              </w:rPr>
              <w:t> </w:t>
            </w:r>
            <w:r>
              <w:rPr>
                <w:sz w:val="16"/>
              </w:rPr>
              <w:t>Y</w:t>
            </w:r>
            <w:r>
              <w:rPr>
                <w:spacing w:val="-5"/>
                <w:sz w:val="16"/>
              </w:rPr>
              <w:t> </w:t>
            </w:r>
            <w:r>
              <w:rPr>
                <w:sz w:val="16"/>
              </w:rPr>
              <w:t>FINANZAS</w:t>
            </w:r>
            <w:r>
              <w:rPr>
                <w:spacing w:val="-5"/>
                <w:sz w:val="16"/>
              </w:rPr>
              <w:t> </w:t>
            </w:r>
            <w:r>
              <w:rPr>
                <w:sz w:val="16"/>
              </w:rPr>
              <w:t>PARA</w:t>
            </w:r>
            <w:r>
              <w:rPr>
                <w:spacing w:val="-4"/>
                <w:sz w:val="16"/>
              </w:rPr>
              <w:t> </w:t>
            </w:r>
            <w:r>
              <w:rPr>
                <w:sz w:val="16"/>
              </w:rPr>
              <w:t>DIRECTIVOS</w:t>
            </w:r>
            <w:r>
              <w:rPr>
                <w:spacing w:val="-5"/>
                <w:sz w:val="16"/>
              </w:rPr>
              <w:t> </w:t>
            </w:r>
            <w:r>
              <w:rPr>
                <w:sz w:val="16"/>
              </w:rPr>
              <w:t>NO</w:t>
            </w:r>
            <w:r>
              <w:rPr>
                <w:spacing w:val="-6"/>
                <w:sz w:val="16"/>
              </w:rPr>
              <w:t> </w:t>
            </w:r>
            <w:r>
              <w:rPr>
                <w:spacing w:val="-2"/>
                <w:sz w:val="16"/>
              </w:rPr>
              <w:t>FINANCIEROS</w:t>
            </w:r>
          </w:p>
        </w:tc>
        <w:tc>
          <w:tcPr>
            <w:tcW w:w="873" w:type="dxa"/>
            <w:tcBorders>
              <w:top w:val="nil"/>
            </w:tcBorders>
          </w:tcPr>
          <w:p>
            <w:pPr>
              <w:pStyle w:val="TableParagraph"/>
              <w:spacing w:line="180" w:lineRule="exact"/>
              <w:ind w:left="58" w:right="6"/>
              <w:jc w:val="center"/>
              <w:rPr>
                <w:sz w:val="16"/>
              </w:rPr>
            </w:pPr>
            <w:r>
              <w:rPr>
                <w:spacing w:val="-2"/>
                <w:sz w:val="16"/>
              </w:rPr>
              <w:t>20,00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CURSO</w:t>
            </w:r>
            <w:r>
              <w:rPr>
                <w:spacing w:val="-5"/>
                <w:sz w:val="16"/>
              </w:rPr>
              <w:t> </w:t>
            </w:r>
            <w:r>
              <w:rPr>
                <w:sz w:val="16"/>
              </w:rPr>
              <w:t>ONLINE</w:t>
            </w:r>
            <w:r>
              <w:rPr>
                <w:spacing w:val="-5"/>
                <w:sz w:val="16"/>
              </w:rPr>
              <w:t> </w:t>
            </w:r>
            <w:r>
              <w:rPr>
                <w:sz w:val="16"/>
              </w:rPr>
              <w:t>SOBRE</w:t>
            </w:r>
            <w:r>
              <w:rPr>
                <w:spacing w:val="-4"/>
                <w:sz w:val="16"/>
              </w:rPr>
              <w:t> </w:t>
            </w:r>
            <w:r>
              <w:rPr>
                <w:sz w:val="16"/>
              </w:rPr>
              <w:t>MODELIZACION</w:t>
            </w:r>
            <w:r>
              <w:rPr>
                <w:spacing w:val="-5"/>
                <w:sz w:val="16"/>
              </w:rPr>
              <w:t> </w:t>
            </w:r>
            <w:r>
              <w:rPr>
                <w:sz w:val="16"/>
              </w:rPr>
              <w:t>DEL</w:t>
            </w:r>
            <w:r>
              <w:rPr>
                <w:spacing w:val="-6"/>
                <w:sz w:val="16"/>
              </w:rPr>
              <w:t> </w:t>
            </w:r>
            <w:r>
              <w:rPr>
                <w:spacing w:val="-2"/>
                <w:sz w:val="16"/>
              </w:rPr>
              <w:t>TRANSPORTE</w:t>
            </w:r>
          </w:p>
        </w:tc>
        <w:tc>
          <w:tcPr>
            <w:tcW w:w="873" w:type="dxa"/>
          </w:tcPr>
          <w:p>
            <w:pPr>
              <w:pStyle w:val="TableParagraph"/>
              <w:spacing w:line="180" w:lineRule="exact"/>
              <w:ind w:left="60" w:right="6"/>
              <w:jc w:val="center"/>
              <w:rPr>
                <w:sz w:val="16"/>
              </w:rPr>
            </w:pPr>
            <w:r>
              <w:rPr>
                <w:spacing w:val="-2"/>
                <w:sz w:val="16"/>
              </w:rPr>
              <w:t>112,00</w:t>
            </w:r>
          </w:p>
        </w:tc>
      </w:tr>
      <w:tr>
        <w:trPr>
          <w:trHeight w:val="299" w:hRule="atLeast"/>
        </w:trPr>
        <w:tc>
          <w:tcPr>
            <w:tcW w:w="854" w:type="dxa"/>
          </w:tcPr>
          <w:p>
            <w:pPr>
              <w:pStyle w:val="TableParagraph"/>
              <w:spacing w:line="166" w:lineRule="exact" w:before="113"/>
              <w:ind w:left="8"/>
              <w:jc w:val="center"/>
              <w:rPr>
                <w:sz w:val="16"/>
              </w:rPr>
            </w:pPr>
            <w:r>
              <w:rPr>
                <w:spacing w:val="-10"/>
                <w:sz w:val="16"/>
              </w:rPr>
              <w:t>3</w:t>
            </w:r>
          </w:p>
        </w:tc>
        <w:tc>
          <w:tcPr>
            <w:tcW w:w="6921" w:type="dxa"/>
          </w:tcPr>
          <w:p>
            <w:pPr>
              <w:pStyle w:val="TableParagraph"/>
              <w:spacing w:line="166" w:lineRule="exact" w:before="113"/>
              <w:ind w:left="67"/>
              <w:rPr>
                <w:sz w:val="16"/>
              </w:rPr>
            </w:pPr>
            <w:r>
              <w:rPr>
                <w:sz w:val="16"/>
              </w:rPr>
              <w:t>DEPOSITO</w:t>
            </w:r>
            <w:r>
              <w:rPr>
                <w:spacing w:val="-4"/>
                <w:sz w:val="16"/>
              </w:rPr>
              <w:t> </w:t>
            </w:r>
            <w:r>
              <w:rPr>
                <w:sz w:val="16"/>
              </w:rPr>
              <w:t>MOVIL</w:t>
            </w:r>
            <w:r>
              <w:rPr>
                <w:spacing w:val="-4"/>
                <w:sz w:val="16"/>
              </w:rPr>
              <w:t> </w:t>
            </w:r>
            <w:r>
              <w:rPr>
                <w:sz w:val="16"/>
              </w:rPr>
              <w:t>DE</w:t>
            </w:r>
            <w:r>
              <w:rPr>
                <w:spacing w:val="-2"/>
                <w:sz w:val="16"/>
              </w:rPr>
              <w:t> COMBUSTIBLE</w:t>
            </w:r>
          </w:p>
        </w:tc>
        <w:tc>
          <w:tcPr>
            <w:tcW w:w="873" w:type="dxa"/>
          </w:tcPr>
          <w:p>
            <w:pPr>
              <w:pStyle w:val="TableParagraph"/>
              <w:spacing w:line="180" w:lineRule="exact"/>
              <w:ind w:left="58" w:right="6"/>
              <w:jc w:val="center"/>
              <w:rPr>
                <w:sz w:val="16"/>
              </w:rPr>
            </w:pPr>
            <w:r>
              <w:rPr>
                <w:spacing w:val="-2"/>
                <w:sz w:val="16"/>
              </w:rPr>
              <w:t>37,00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DISEÑO</w:t>
            </w:r>
            <w:r>
              <w:rPr>
                <w:spacing w:val="-4"/>
                <w:sz w:val="16"/>
              </w:rPr>
              <w:t> </w:t>
            </w:r>
            <w:r>
              <w:rPr>
                <w:sz w:val="16"/>
              </w:rPr>
              <w:t>DE</w:t>
            </w:r>
            <w:r>
              <w:rPr>
                <w:spacing w:val="-3"/>
                <w:sz w:val="16"/>
              </w:rPr>
              <w:t> </w:t>
            </w:r>
            <w:r>
              <w:rPr>
                <w:sz w:val="16"/>
              </w:rPr>
              <w:t>INFORMACION</w:t>
            </w:r>
            <w:r>
              <w:rPr>
                <w:spacing w:val="-3"/>
                <w:sz w:val="16"/>
              </w:rPr>
              <w:t> </w:t>
            </w:r>
            <w:r>
              <w:rPr>
                <w:sz w:val="16"/>
              </w:rPr>
              <w:t>DE</w:t>
            </w:r>
            <w:r>
              <w:rPr>
                <w:spacing w:val="-6"/>
                <w:sz w:val="16"/>
              </w:rPr>
              <w:t> </w:t>
            </w:r>
            <w:r>
              <w:rPr>
                <w:sz w:val="16"/>
              </w:rPr>
              <w:t>VIAJE</w:t>
            </w:r>
            <w:r>
              <w:rPr>
                <w:spacing w:val="-3"/>
                <w:sz w:val="16"/>
              </w:rPr>
              <w:t> </w:t>
            </w:r>
            <w:r>
              <w:rPr>
                <w:sz w:val="16"/>
              </w:rPr>
              <w:t>Y </w:t>
            </w:r>
            <w:r>
              <w:rPr>
                <w:spacing w:val="-2"/>
                <w:sz w:val="16"/>
              </w:rPr>
              <w:t>ORIENTACION</w:t>
            </w:r>
          </w:p>
        </w:tc>
        <w:tc>
          <w:tcPr>
            <w:tcW w:w="873" w:type="dxa"/>
          </w:tcPr>
          <w:p>
            <w:pPr>
              <w:pStyle w:val="TableParagraph"/>
              <w:spacing w:line="180" w:lineRule="exact"/>
              <w:ind w:left="58" w:right="6"/>
              <w:jc w:val="center"/>
              <w:rPr>
                <w:sz w:val="16"/>
              </w:rPr>
            </w:pPr>
            <w:r>
              <w:rPr>
                <w:spacing w:val="-2"/>
                <w:sz w:val="16"/>
              </w:rPr>
              <w:t>14,00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EL</w:t>
            </w:r>
            <w:r>
              <w:rPr>
                <w:spacing w:val="-5"/>
                <w:sz w:val="16"/>
              </w:rPr>
              <w:t> </w:t>
            </w:r>
            <w:r>
              <w:rPr>
                <w:sz w:val="16"/>
              </w:rPr>
              <w:t>ARTE</w:t>
            </w:r>
            <w:r>
              <w:rPr>
                <w:spacing w:val="-5"/>
                <w:sz w:val="16"/>
              </w:rPr>
              <w:t> </w:t>
            </w:r>
            <w:r>
              <w:rPr>
                <w:sz w:val="16"/>
              </w:rPr>
              <w:t>DE</w:t>
            </w:r>
            <w:r>
              <w:rPr>
                <w:spacing w:val="-2"/>
                <w:sz w:val="16"/>
              </w:rPr>
              <w:t> </w:t>
            </w:r>
            <w:r>
              <w:rPr>
                <w:sz w:val="16"/>
              </w:rPr>
              <w:t>LA</w:t>
            </w:r>
            <w:r>
              <w:rPr>
                <w:spacing w:val="-2"/>
                <w:sz w:val="16"/>
              </w:rPr>
              <w:t> </w:t>
            </w:r>
            <w:r>
              <w:rPr>
                <w:sz w:val="16"/>
              </w:rPr>
              <w:t>MEDIACION</w:t>
            </w:r>
            <w:r>
              <w:rPr>
                <w:spacing w:val="-4"/>
                <w:sz w:val="16"/>
              </w:rPr>
              <w:t> </w:t>
            </w:r>
            <w:r>
              <w:rPr>
                <w:sz w:val="16"/>
              </w:rPr>
              <w:t>NIVEL</w:t>
            </w:r>
            <w:r>
              <w:rPr>
                <w:spacing w:val="-2"/>
                <w:sz w:val="16"/>
              </w:rPr>
              <w:t> </w:t>
            </w:r>
            <w:r>
              <w:rPr>
                <w:sz w:val="16"/>
              </w:rPr>
              <w:t>1-</w:t>
            </w:r>
            <w:r>
              <w:rPr>
                <w:spacing w:val="-6"/>
                <w:sz w:val="16"/>
              </w:rPr>
              <w:t> </w:t>
            </w:r>
            <w:r>
              <w:rPr>
                <w:sz w:val="16"/>
              </w:rPr>
              <w:t>APRENDE</w:t>
            </w:r>
            <w:r>
              <w:rPr>
                <w:spacing w:val="-4"/>
                <w:sz w:val="16"/>
              </w:rPr>
              <w:t> </w:t>
            </w:r>
            <w:r>
              <w:rPr>
                <w:sz w:val="16"/>
              </w:rPr>
              <w:t>A</w:t>
            </w:r>
            <w:r>
              <w:rPr>
                <w:spacing w:val="-2"/>
                <w:sz w:val="16"/>
              </w:rPr>
              <w:t> </w:t>
            </w:r>
            <w:r>
              <w:rPr>
                <w:sz w:val="16"/>
              </w:rPr>
              <w:t>COMUNIAR</w:t>
            </w:r>
            <w:r>
              <w:rPr>
                <w:spacing w:val="-6"/>
                <w:sz w:val="16"/>
              </w:rPr>
              <w:t> </w:t>
            </w:r>
            <w:r>
              <w:rPr>
                <w:sz w:val="16"/>
              </w:rPr>
              <w:t>DE</w:t>
            </w:r>
            <w:r>
              <w:rPr>
                <w:spacing w:val="-2"/>
                <w:sz w:val="16"/>
              </w:rPr>
              <w:t> </w:t>
            </w:r>
            <w:r>
              <w:rPr>
                <w:sz w:val="16"/>
              </w:rPr>
              <w:t>MANERA</w:t>
            </w:r>
            <w:r>
              <w:rPr>
                <w:spacing w:val="-4"/>
                <w:sz w:val="16"/>
              </w:rPr>
              <w:t> </w:t>
            </w:r>
            <w:r>
              <w:rPr>
                <w:sz w:val="16"/>
              </w:rPr>
              <w:t>EFICIENTE</w:t>
            </w:r>
            <w:r>
              <w:rPr>
                <w:spacing w:val="-4"/>
                <w:sz w:val="16"/>
              </w:rPr>
              <w:t> </w:t>
            </w:r>
            <w:r>
              <w:rPr>
                <w:spacing w:val="-10"/>
                <w:sz w:val="16"/>
              </w:rPr>
              <w:t>Y</w:t>
            </w:r>
          </w:p>
          <w:p>
            <w:pPr>
              <w:pStyle w:val="TableParagraph"/>
              <w:spacing w:line="168" w:lineRule="exact" w:before="1"/>
              <w:ind w:left="67"/>
              <w:rPr>
                <w:sz w:val="16"/>
              </w:rPr>
            </w:pPr>
            <w:r>
              <w:rPr>
                <w:sz w:val="16"/>
              </w:rPr>
              <w:t>PREVENIR</w:t>
            </w:r>
            <w:r>
              <w:rPr>
                <w:spacing w:val="-5"/>
                <w:sz w:val="16"/>
              </w:rPr>
              <w:t> </w:t>
            </w:r>
            <w:r>
              <w:rPr>
                <w:sz w:val="16"/>
              </w:rPr>
              <w:t>LOS</w:t>
            </w:r>
            <w:r>
              <w:rPr>
                <w:spacing w:val="-3"/>
                <w:sz w:val="16"/>
              </w:rPr>
              <w:t> </w:t>
            </w:r>
            <w:r>
              <w:rPr>
                <w:sz w:val="16"/>
              </w:rPr>
              <w:t>CONFLICTOS</w:t>
            </w:r>
            <w:r>
              <w:rPr>
                <w:spacing w:val="-5"/>
                <w:sz w:val="16"/>
              </w:rPr>
              <w:t> </w:t>
            </w:r>
            <w:r>
              <w:rPr>
                <w:sz w:val="16"/>
              </w:rPr>
              <w:t>EN</w:t>
            </w:r>
            <w:r>
              <w:rPr>
                <w:spacing w:val="-2"/>
                <w:sz w:val="16"/>
              </w:rPr>
              <w:t> </w:t>
            </w:r>
            <w:r>
              <w:rPr>
                <w:sz w:val="16"/>
              </w:rPr>
              <w:t>TU</w:t>
            </w:r>
            <w:r>
              <w:rPr>
                <w:spacing w:val="-2"/>
                <w:sz w:val="16"/>
              </w:rPr>
              <w:t> EMPRESA</w:t>
            </w:r>
          </w:p>
        </w:tc>
        <w:tc>
          <w:tcPr>
            <w:tcW w:w="873" w:type="dxa"/>
          </w:tcPr>
          <w:p>
            <w:pPr>
              <w:pStyle w:val="TableParagraph"/>
              <w:spacing w:line="180" w:lineRule="exact"/>
              <w:ind w:left="58" w:right="6"/>
              <w:jc w:val="center"/>
              <w:rPr>
                <w:sz w:val="16"/>
              </w:rPr>
            </w:pPr>
            <w:r>
              <w:rPr>
                <w:spacing w:val="-2"/>
                <w:sz w:val="16"/>
              </w:rPr>
              <w:t>20,00</w:t>
            </w:r>
          </w:p>
        </w:tc>
      </w:tr>
      <w:tr>
        <w:trPr>
          <w:trHeight w:val="366" w:hRule="atLeast"/>
        </w:trPr>
        <w:tc>
          <w:tcPr>
            <w:tcW w:w="854" w:type="dxa"/>
          </w:tcPr>
          <w:p>
            <w:pPr>
              <w:pStyle w:val="TableParagraph"/>
              <w:spacing w:line="166"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EL</w:t>
            </w:r>
            <w:r>
              <w:rPr>
                <w:spacing w:val="-5"/>
                <w:sz w:val="16"/>
              </w:rPr>
              <w:t> </w:t>
            </w:r>
            <w:r>
              <w:rPr>
                <w:sz w:val="16"/>
              </w:rPr>
              <w:t>ARTE</w:t>
            </w:r>
            <w:r>
              <w:rPr>
                <w:spacing w:val="-4"/>
                <w:sz w:val="16"/>
              </w:rPr>
              <w:t> </w:t>
            </w:r>
            <w:r>
              <w:rPr>
                <w:sz w:val="16"/>
              </w:rPr>
              <w:t>DE LA</w:t>
            </w:r>
            <w:r>
              <w:rPr>
                <w:spacing w:val="-1"/>
                <w:sz w:val="16"/>
              </w:rPr>
              <w:t> </w:t>
            </w:r>
            <w:r>
              <w:rPr>
                <w:sz w:val="16"/>
              </w:rPr>
              <w:t>MEDIACION</w:t>
            </w:r>
            <w:r>
              <w:rPr>
                <w:spacing w:val="-3"/>
                <w:sz w:val="16"/>
              </w:rPr>
              <w:t> </w:t>
            </w:r>
            <w:r>
              <w:rPr>
                <w:sz w:val="16"/>
              </w:rPr>
              <w:t>NIVEL</w:t>
            </w:r>
            <w:r>
              <w:rPr>
                <w:spacing w:val="-2"/>
                <w:sz w:val="16"/>
              </w:rPr>
              <w:t> </w:t>
            </w:r>
            <w:r>
              <w:rPr>
                <w:sz w:val="16"/>
              </w:rPr>
              <w:t>2</w:t>
            </w:r>
            <w:r>
              <w:rPr>
                <w:spacing w:val="-1"/>
                <w:sz w:val="16"/>
              </w:rPr>
              <w:t> </w:t>
            </w:r>
            <w:r>
              <w:rPr>
                <w:sz w:val="16"/>
              </w:rPr>
              <w:t>-</w:t>
            </w:r>
            <w:r>
              <w:rPr>
                <w:spacing w:val="-5"/>
                <w:sz w:val="16"/>
              </w:rPr>
              <w:t> </w:t>
            </w:r>
            <w:r>
              <w:rPr>
                <w:sz w:val="16"/>
              </w:rPr>
              <w:t>MEDIACION</w:t>
            </w:r>
            <w:r>
              <w:rPr>
                <w:spacing w:val="-4"/>
                <w:sz w:val="16"/>
              </w:rPr>
              <w:t> </w:t>
            </w:r>
            <w:r>
              <w:rPr>
                <w:sz w:val="16"/>
              </w:rPr>
              <w:t>EN</w:t>
            </w:r>
            <w:r>
              <w:rPr>
                <w:spacing w:val="-3"/>
                <w:sz w:val="16"/>
              </w:rPr>
              <w:t> </w:t>
            </w:r>
            <w:r>
              <w:rPr>
                <w:sz w:val="16"/>
              </w:rPr>
              <w:t>LA</w:t>
            </w:r>
            <w:r>
              <w:rPr>
                <w:spacing w:val="-4"/>
                <w:sz w:val="16"/>
              </w:rPr>
              <w:t> </w:t>
            </w:r>
            <w:r>
              <w:rPr>
                <w:sz w:val="16"/>
              </w:rPr>
              <w:t>EMPRESA</w:t>
            </w:r>
            <w:r>
              <w:rPr>
                <w:spacing w:val="-5"/>
                <w:sz w:val="16"/>
              </w:rPr>
              <w:t> </w:t>
            </w:r>
            <w:r>
              <w:rPr>
                <w:sz w:val="16"/>
              </w:rPr>
              <w:t>Y </w:t>
            </w:r>
            <w:r>
              <w:rPr>
                <w:spacing w:val="-2"/>
                <w:sz w:val="16"/>
              </w:rPr>
              <w:t>HERRAMIENTAS</w:t>
            </w:r>
          </w:p>
          <w:p>
            <w:pPr>
              <w:pStyle w:val="TableParagraph"/>
              <w:spacing w:line="166" w:lineRule="exact" w:before="1"/>
              <w:ind w:left="67"/>
              <w:rPr>
                <w:sz w:val="16"/>
              </w:rPr>
            </w:pPr>
            <w:r>
              <w:rPr>
                <w:sz w:val="16"/>
              </w:rPr>
              <w:t>EN</w:t>
            </w:r>
            <w:r>
              <w:rPr>
                <w:spacing w:val="-3"/>
                <w:sz w:val="16"/>
              </w:rPr>
              <w:t> </w:t>
            </w:r>
            <w:r>
              <w:rPr>
                <w:sz w:val="16"/>
              </w:rPr>
              <w:t>GESTION</w:t>
            </w:r>
            <w:r>
              <w:rPr>
                <w:spacing w:val="-3"/>
                <w:sz w:val="16"/>
              </w:rPr>
              <w:t> </w:t>
            </w:r>
            <w:r>
              <w:rPr>
                <w:sz w:val="16"/>
              </w:rPr>
              <w:t>DE</w:t>
            </w:r>
            <w:r>
              <w:rPr>
                <w:spacing w:val="-1"/>
                <w:sz w:val="16"/>
              </w:rPr>
              <w:t> </w:t>
            </w:r>
            <w:r>
              <w:rPr>
                <w:spacing w:val="-2"/>
                <w:sz w:val="16"/>
              </w:rPr>
              <w:t>CONFLICTOS</w:t>
            </w:r>
          </w:p>
        </w:tc>
        <w:tc>
          <w:tcPr>
            <w:tcW w:w="873" w:type="dxa"/>
          </w:tcPr>
          <w:p>
            <w:pPr>
              <w:pStyle w:val="TableParagraph"/>
              <w:spacing w:line="180" w:lineRule="exact"/>
              <w:ind w:left="58" w:right="6"/>
              <w:jc w:val="center"/>
              <w:rPr>
                <w:sz w:val="16"/>
              </w:rPr>
            </w:pPr>
            <w:r>
              <w:rPr>
                <w:spacing w:val="-2"/>
                <w:sz w:val="16"/>
              </w:rPr>
              <w:t>20,00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EL</w:t>
            </w:r>
            <w:r>
              <w:rPr>
                <w:spacing w:val="-5"/>
                <w:sz w:val="16"/>
              </w:rPr>
              <w:t> </w:t>
            </w:r>
            <w:r>
              <w:rPr>
                <w:sz w:val="16"/>
              </w:rPr>
              <w:t>ARTE</w:t>
            </w:r>
            <w:r>
              <w:rPr>
                <w:spacing w:val="-4"/>
                <w:sz w:val="16"/>
              </w:rPr>
              <w:t> </w:t>
            </w:r>
            <w:r>
              <w:rPr>
                <w:sz w:val="16"/>
              </w:rPr>
              <w:t>DE</w:t>
            </w:r>
            <w:r>
              <w:rPr>
                <w:spacing w:val="-1"/>
                <w:sz w:val="16"/>
              </w:rPr>
              <w:t> </w:t>
            </w:r>
            <w:r>
              <w:rPr>
                <w:sz w:val="16"/>
              </w:rPr>
              <w:t>LA</w:t>
            </w:r>
            <w:r>
              <w:rPr>
                <w:spacing w:val="-1"/>
                <w:sz w:val="16"/>
              </w:rPr>
              <w:t> </w:t>
            </w:r>
            <w:r>
              <w:rPr>
                <w:sz w:val="16"/>
              </w:rPr>
              <w:t>MEDIACION</w:t>
            </w:r>
            <w:r>
              <w:rPr>
                <w:spacing w:val="-4"/>
                <w:sz w:val="16"/>
              </w:rPr>
              <w:t> </w:t>
            </w:r>
            <w:r>
              <w:rPr>
                <w:sz w:val="16"/>
              </w:rPr>
              <w:t>NIVEL</w:t>
            </w:r>
            <w:r>
              <w:rPr>
                <w:spacing w:val="-2"/>
                <w:sz w:val="16"/>
              </w:rPr>
              <w:t> </w:t>
            </w:r>
            <w:r>
              <w:rPr>
                <w:sz w:val="16"/>
              </w:rPr>
              <w:t>3</w:t>
            </w:r>
            <w:r>
              <w:rPr>
                <w:spacing w:val="-4"/>
                <w:sz w:val="16"/>
              </w:rPr>
              <w:t> </w:t>
            </w:r>
            <w:r>
              <w:rPr>
                <w:sz w:val="16"/>
              </w:rPr>
              <w:t>-</w:t>
            </w:r>
            <w:r>
              <w:rPr>
                <w:spacing w:val="-4"/>
                <w:sz w:val="16"/>
              </w:rPr>
              <w:t> </w:t>
            </w:r>
            <w:r>
              <w:rPr>
                <w:sz w:val="16"/>
              </w:rPr>
              <w:t>UNIDAD</w:t>
            </w:r>
            <w:r>
              <w:rPr>
                <w:spacing w:val="-3"/>
                <w:sz w:val="16"/>
              </w:rPr>
              <w:t> </w:t>
            </w:r>
            <w:r>
              <w:rPr>
                <w:sz w:val="16"/>
              </w:rPr>
              <w:t>DE</w:t>
            </w:r>
            <w:r>
              <w:rPr>
                <w:spacing w:val="-3"/>
                <w:sz w:val="16"/>
              </w:rPr>
              <w:t> </w:t>
            </w:r>
            <w:r>
              <w:rPr>
                <w:sz w:val="16"/>
              </w:rPr>
              <w:t>MEDIACION</w:t>
            </w:r>
            <w:r>
              <w:rPr>
                <w:spacing w:val="-3"/>
                <w:sz w:val="16"/>
              </w:rPr>
              <w:t> </w:t>
            </w:r>
            <w:r>
              <w:rPr>
                <w:sz w:val="16"/>
              </w:rPr>
              <w:t>INTERNA</w:t>
            </w:r>
            <w:r>
              <w:rPr>
                <w:spacing w:val="-3"/>
                <w:sz w:val="16"/>
              </w:rPr>
              <w:t> </w:t>
            </w:r>
            <w:r>
              <w:rPr>
                <w:sz w:val="16"/>
              </w:rPr>
              <w:t>EN</w:t>
            </w:r>
            <w:r>
              <w:rPr>
                <w:spacing w:val="-2"/>
                <w:sz w:val="16"/>
              </w:rPr>
              <w:t> </w:t>
            </w:r>
            <w:r>
              <w:rPr>
                <w:spacing w:val="-5"/>
                <w:sz w:val="16"/>
              </w:rPr>
              <w:t>LAS</w:t>
            </w:r>
          </w:p>
          <w:p>
            <w:pPr>
              <w:pStyle w:val="TableParagraph"/>
              <w:spacing w:line="168" w:lineRule="exact" w:before="1"/>
              <w:ind w:left="67"/>
              <w:rPr>
                <w:sz w:val="16"/>
              </w:rPr>
            </w:pPr>
            <w:r>
              <w:rPr>
                <w:spacing w:val="-2"/>
                <w:sz w:val="16"/>
              </w:rPr>
              <w:t>ORGANIZACIONES</w:t>
            </w:r>
          </w:p>
        </w:tc>
        <w:tc>
          <w:tcPr>
            <w:tcW w:w="873" w:type="dxa"/>
          </w:tcPr>
          <w:p>
            <w:pPr>
              <w:pStyle w:val="TableParagraph"/>
              <w:spacing w:line="180" w:lineRule="exact"/>
              <w:ind w:left="58" w:right="6"/>
              <w:jc w:val="center"/>
              <w:rPr>
                <w:sz w:val="16"/>
              </w:rPr>
            </w:pPr>
            <w:r>
              <w:rPr>
                <w:spacing w:val="-2"/>
                <w:sz w:val="16"/>
              </w:rPr>
              <w:t>20,00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EL</w:t>
            </w:r>
            <w:r>
              <w:rPr>
                <w:spacing w:val="-5"/>
                <w:sz w:val="16"/>
              </w:rPr>
              <w:t> </w:t>
            </w:r>
            <w:r>
              <w:rPr>
                <w:sz w:val="16"/>
              </w:rPr>
              <w:t>NUEVO</w:t>
            </w:r>
            <w:r>
              <w:rPr>
                <w:spacing w:val="-6"/>
                <w:sz w:val="16"/>
              </w:rPr>
              <w:t> </w:t>
            </w:r>
            <w:r>
              <w:rPr>
                <w:sz w:val="16"/>
              </w:rPr>
              <w:t>ESTATUTO</w:t>
            </w:r>
            <w:r>
              <w:rPr>
                <w:spacing w:val="-4"/>
                <w:sz w:val="16"/>
              </w:rPr>
              <w:t> </w:t>
            </w:r>
            <w:r>
              <w:rPr>
                <w:sz w:val="16"/>
              </w:rPr>
              <w:t>JURIDICO</w:t>
            </w:r>
            <w:r>
              <w:rPr>
                <w:spacing w:val="-5"/>
                <w:sz w:val="16"/>
              </w:rPr>
              <w:t> </w:t>
            </w:r>
            <w:r>
              <w:rPr>
                <w:sz w:val="16"/>
              </w:rPr>
              <w:t>DE</w:t>
            </w:r>
            <w:r>
              <w:rPr>
                <w:spacing w:val="-2"/>
                <w:sz w:val="16"/>
              </w:rPr>
              <w:t> </w:t>
            </w:r>
            <w:r>
              <w:rPr>
                <w:sz w:val="16"/>
              </w:rPr>
              <w:t>LOS</w:t>
            </w:r>
            <w:r>
              <w:rPr>
                <w:spacing w:val="-5"/>
                <w:sz w:val="16"/>
              </w:rPr>
              <w:t> </w:t>
            </w:r>
            <w:r>
              <w:rPr>
                <w:sz w:val="16"/>
              </w:rPr>
              <w:t>DIRECTIVOS</w:t>
            </w:r>
            <w:r>
              <w:rPr>
                <w:spacing w:val="-5"/>
                <w:sz w:val="16"/>
              </w:rPr>
              <w:t> </w:t>
            </w:r>
            <w:r>
              <w:rPr>
                <w:spacing w:val="-2"/>
                <w:sz w:val="16"/>
              </w:rPr>
              <w:t>PUBLICOS</w:t>
            </w:r>
          </w:p>
        </w:tc>
        <w:tc>
          <w:tcPr>
            <w:tcW w:w="873" w:type="dxa"/>
          </w:tcPr>
          <w:p>
            <w:pPr>
              <w:pStyle w:val="TableParagraph"/>
              <w:spacing w:line="180" w:lineRule="exact"/>
              <w:ind w:left="58" w:right="6"/>
              <w:jc w:val="center"/>
              <w:rPr>
                <w:sz w:val="16"/>
              </w:rPr>
            </w:pPr>
            <w:r>
              <w:rPr>
                <w:spacing w:val="-2"/>
                <w:sz w:val="16"/>
              </w:rPr>
              <w:t>36,00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FORMACION</w:t>
            </w:r>
            <w:r>
              <w:rPr>
                <w:spacing w:val="-6"/>
                <w:sz w:val="16"/>
              </w:rPr>
              <w:t> </w:t>
            </w:r>
            <w:r>
              <w:rPr>
                <w:sz w:val="16"/>
              </w:rPr>
              <w:t>ADR</w:t>
            </w:r>
            <w:r>
              <w:rPr>
                <w:spacing w:val="-5"/>
                <w:sz w:val="16"/>
              </w:rPr>
              <w:t> </w:t>
            </w:r>
            <w:r>
              <w:rPr>
                <w:sz w:val="16"/>
              </w:rPr>
              <w:t>"DESCARGA</w:t>
            </w:r>
            <w:r>
              <w:rPr>
                <w:spacing w:val="-5"/>
                <w:sz w:val="16"/>
              </w:rPr>
              <w:t> </w:t>
            </w:r>
            <w:r>
              <w:rPr>
                <w:sz w:val="16"/>
              </w:rPr>
              <w:t>DE</w:t>
            </w:r>
            <w:r>
              <w:rPr>
                <w:spacing w:val="-1"/>
                <w:sz w:val="16"/>
              </w:rPr>
              <w:t> </w:t>
            </w:r>
            <w:r>
              <w:rPr>
                <w:spacing w:val="-2"/>
                <w:sz w:val="16"/>
              </w:rPr>
              <w:t>COMBUSTIBLE"</w:t>
            </w:r>
          </w:p>
        </w:tc>
        <w:tc>
          <w:tcPr>
            <w:tcW w:w="873" w:type="dxa"/>
          </w:tcPr>
          <w:p>
            <w:pPr>
              <w:pStyle w:val="TableParagraph"/>
              <w:spacing w:line="180" w:lineRule="exact"/>
              <w:ind w:left="61" w:right="6"/>
              <w:jc w:val="center"/>
              <w:rPr>
                <w:sz w:val="16"/>
              </w:rPr>
            </w:pPr>
            <w:r>
              <w:rPr>
                <w:spacing w:val="-4"/>
                <w:sz w:val="16"/>
              </w:rPr>
              <w:t>5,00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FORMACION</w:t>
            </w:r>
            <w:r>
              <w:rPr>
                <w:spacing w:val="-8"/>
                <w:sz w:val="16"/>
              </w:rPr>
              <w:t> </w:t>
            </w:r>
            <w:r>
              <w:rPr>
                <w:sz w:val="16"/>
              </w:rPr>
              <w:t>ART.</w:t>
            </w:r>
            <w:r>
              <w:rPr>
                <w:spacing w:val="-5"/>
                <w:sz w:val="16"/>
              </w:rPr>
              <w:t> </w:t>
            </w:r>
            <w:r>
              <w:rPr>
                <w:sz w:val="16"/>
              </w:rPr>
              <w:t>19</w:t>
            </w:r>
            <w:r>
              <w:rPr>
                <w:spacing w:val="-1"/>
                <w:sz w:val="16"/>
              </w:rPr>
              <w:t> </w:t>
            </w:r>
            <w:r>
              <w:rPr>
                <w:sz w:val="16"/>
              </w:rPr>
              <w:t>LPRL</w:t>
            </w:r>
            <w:r>
              <w:rPr>
                <w:spacing w:val="-6"/>
                <w:sz w:val="16"/>
              </w:rPr>
              <w:t> </w:t>
            </w:r>
            <w:r>
              <w:rPr>
                <w:sz w:val="16"/>
              </w:rPr>
              <w:t>JEFE</w:t>
            </w:r>
            <w:r>
              <w:rPr>
                <w:spacing w:val="-2"/>
                <w:sz w:val="16"/>
              </w:rPr>
              <w:t> </w:t>
            </w:r>
            <w:r>
              <w:rPr>
                <w:sz w:val="16"/>
              </w:rPr>
              <w:t>NEGOCIADO</w:t>
            </w:r>
            <w:r>
              <w:rPr>
                <w:spacing w:val="-7"/>
                <w:sz w:val="16"/>
              </w:rPr>
              <w:t> </w:t>
            </w:r>
            <w:r>
              <w:rPr>
                <w:sz w:val="16"/>
              </w:rPr>
              <w:t>PTO.</w:t>
            </w:r>
            <w:r>
              <w:rPr>
                <w:spacing w:val="-3"/>
                <w:sz w:val="16"/>
              </w:rPr>
              <w:t> </w:t>
            </w:r>
            <w:r>
              <w:rPr>
                <w:sz w:val="16"/>
              </w:rPr>
              <w:t>4</w:t>
            </w:r>
            <w:r>
              <w:rPr>
                <w:spacing w:val="-7"/>
                <w:sz w:val="16"/>
              </w:rPr>
              <w:t> </w:t>
            </w:r>
            <w:r>
              <w:rPr>
                <w:sz w:val="16"/>
              </w:rPr>
              <w:t>ACTA</w:t>
            </w:r>
            <w:r>
              <w:rPr>
                <w:spacing w:val="-4"/>
                <w:sz w:val="16"/>
              </w:rPr>
              <w:t> </w:t>
            </w:r>
            <w:r>
              <w:rPr>
                <w:sz w:val="16"/>
              </w:rPr>
              <w:t>10-10-</w:t>
            </w:r>
            <w:r>
              <w:rPr>
                <w:spacing w:val="-5"/>
                <w:sz w:val="16"/>
              </w:rPr>
              <w:t>18</w:t>
            </w:r>
          </w:p>
        </w:tc>
        <w:tc>
          <w:tcPr>
            <w:tcW w:w="873" w:type="dxa"/>
          </w:tcPr>
          <w:p>
            <w:pPr>
              <w:pStyle w:val="TableParagraph"/>
              <w:spacing w:line="180" w:lineRule="exact"/>
              <w:ind w:left="61" w:right="6"/>
              <w:jc w:val="center"/>
              <w:rPr>
                <w:sz w:val="16"/>
              </w:rPr>
            </w:pPr>
            <w:r>
              <w:rPr>
                <w:spacing w:val="-4"/>
                <w:sz w:val="16"/>
              </w:rPr>
              <w:t>2,00</w:t>
            </w:r>
          </w:p>
        </w:tc>
      </w:tr>
      <w:tr>
        <w:trPr>
          <w:trHeight w:val="299" w:hRule="atLeast"/>
        </w:trPr>
        <w:tc>
          <w:tcPr>
            <w:tcW w:w="854" w:type="dxa"/>
          </w:tcPr>
          <w:p>
            <w:pPr>
              <w:pStyle w:val="TableParagraph"/>
              <w:spacing w:line="166" w:lineRule="exact" w:before="113"/>
              <w:ind w:left="8"/>
              <w:jc w:val="center"/>
              <w:rPr>
                <w:sz w:val="16"/>
              </w:rPr>
            </w:pPr>
            <w:r>
              <w:rPr>
                <w:spacing w:val="-10"/>
                <w:sz w:val="16"/>
              </w:rPr>
              <w:t>2</w:t>
            </w:r>
          </w:p>
        </w:tc>
        <w:tc>
          <w:tcPr>
            <w:tcW w:w="6921" w:type="dxa"/>
          </w:tcPr>
          <w:p>
            <w:pPr>
              <w:pStyle w:val="TableParagraph"/>
              <w:spacing w:line="166" w:lineRule="exact" w:before="113"/>
              <w:ind w:left="67"/>
              <w:rPr>
                <w:sz w:val="16"/>
              </w:rPr>
            </w:pPr>
            <w:r>
              <w:rPr>
                <w:sz w:val="16"/>
              </w:rPr>
              <w:t>FORMACION</w:t>
            </w:r>
            <w:r>
              <w:rPr>
                <w:spacing w:val="-5"/>
                <w:sz w:val="16"/>
              </w:rPr>
              <w:t> </w:t>
            </w:r>
            <w:r>
              <w:rPr>
                <w:sz w:val="16"/>
              </w:rPr>
              <w:t>ART.</w:t>
            </w:r>
            <w:r>
              <w:rPr>
                <w:spacing w:val="-4"/>
                <w:sz w:val="16"/>
              </w:rPr>
              <w:t> </w:t>
            </w:r>
            <w:r>
              <w:rPr>
                <w:sz w:val="16"/>
              </w:rPr>
              <w:t>19 LPRL</w:t>
            </w:r>
            <w:r>
              <w:rPr>
                <w:spacing w:val="-6"/>
                <w:sz w:val="16"/>
              </w:rPr>
              <w:t> </w:t>
            </w:r>
            <w:r>
              <w:rPr>
                <w:sz w:val="16"/>
              </w:rPr>
              <w:t>JEFE</w:t>
            </w:r>
            <w:r>
              <w:rPr>
                <w:spacing w:val="-4"/>
                <w:sz w:val="16"/>
              </w:rPr>
              <w:t> </w:t>
            </w:r>
            <w:r>
              <w:rPr>
                <w:sz w:val="16"/>
              </w:rPr>
              <w:t>SECCION</w:t>
            </w:r>
            <w:r>
              <w:rPr>
                <w:spacing w:val="-5"/>
                <w:sz w:val="16"/>
              </w:rPr>
              <w:t> </w:t>
            </w:r>
            <w:r>
              <w:rPr>
                <w:sz w:val="16"/>
              </w:rPr>
              <w:t>PTO.</w:t>
            </w:r>
            <w:r>
              <w:rPr>
                <w:spacing w:val="-5"/>
                <w:sz w:val="16"/>
              </w:rPr>
              <w:t> </w:t>
            </w:r>
            <w:r>
              <w:rPr>
                <w:sz w:val="16"/>
              </w:rPr>
              <w:t>5</w:t>
            </w:r>
            <w:r>
              <w:rPr>
                <w:spacing w:val="-5"/>
                <w:sz w:val="16"/>
              </w:rPr>
              <w:t> </w:t>
            </w:r>
            <w:r>
              <w:rPr>
                <w:sz w:val="16"/>
              </w:rPr>
              <w:t>ACTA</w:t>
            </w:r>
            <w:r>
              <w:rPr>
                <w:spacing w:val="-3"/>
                <w:sz w:val="16"/>
              </w:rPr>
              <w:t> </w:t>
            </w:r>
            <w:r>
              <w:rPr>
                <w:sz w:val="16"/>
              </w:rPr>
              <w:t>10-10-</w:t>
            </w:r>
            <w:r>
              <w:rPr>
                <w:spacing w:val="-5"/>
                <w:sz w:val="16"/>
              </w:rPr>
              <w:t>18</w:t>
            </w:r>
          </w:p>
        </w:tc>
        <w:tc>
          <w:tcPr>
            <w:tcW w:w="873" w:type="dxa"/>
          </w:tcPr>
          <w:p>
            <w:pPr>
              <w:pStyle w:val="TableParagraph"/>
              <w:spacing w:line="180" w:lineRule="exact"/>
              <w:ind w:left="61" w:right="6"/>
              <w:jc w:val="center"/>
              <w:rPr>
                <w:sz w:val="16"/>
              </w:rPr>
            </w:pPr>
            <w:r>
              <w:rPr>
                <w:spacing w:val="-4"/>
                <w:sz w:val="16"/>
              </w:rPr>
              <w:t>9,00</w:t>
            </w:r>
          </w:p>
        </w:tc>
      </w:tr>
      <w:tr>
        <w:trPr>
          <w:trHeight w:val="302" w:hRule="atLeast"/>
        </w:trPr>
        <w:tc>
          <w:tcPr>
            <w:tcW w:w="854" w:type="dxa"/>
          </w:tcPr>
          <w:p>
            <w:pPr>
              <w:pStyle w:val="TableParagraph"/>
              <w:spacing w:line="168" w:lineRule="exact" w:before="113"/>
              <w:ind w:left="8"/>
              <w:jc w:val="center"/>
              <w:rPr>
                <w:sz w:val="16"/>
              </w:rPr>
            </w:pPr>
            <w:r>
              <w:rPr>
                <w:spacing w:val="-10"/>
                <w:sz w:val="16"/>
              </w:rPr>
              <w:t>2</w:t>
            </w:r>
          </w:p>
        </w:tc>
        <w:tc>
          <w:tcPr>
            <w:tcW w:w="6921" w:type="dxa"/>
          </w:tcPr>
          <w:p>
            <w:pPr>
              <w:pStyle w:val="TableParagraph"/>
              <w:spacing w:line="168" w:lineRule="exact" w:before="113"/>
              <w:ind w:left="67"/>
              <w:rPr>
                <w:sz w:val="16"/>
              </w:rPr>
            </w:pPr>
            <w:r>
              <w:rPr>
                <w:sz w:val="16"/>
              </w:rPr>
              <w:t>FORMACION</w:t>
            </w:r>
            <w:r>
              <w:rPr>
                <w:spacing w:val="-6"/>
                <w:sz w:val="16"/>
              </w:rPr>
              <w:t> </w:t>
            </w:r>
            <w:r>
              <w:rPr>
                <w:sz w:val="16"/>
              </w:rPr>
              <w:t>ART.</w:t>
            </w:r>
            <w:r>
              <w:rPr>
                <w:spacing w:val="-4"/>
                <w:sz w:val="16"/>
              </w:rPr>
              <w:t> </w:t>
            </w:r>
            <w:r>
              <w:rPr>
                <w:sz w:val="16"/>
              </w:rPr>
              <w:t>19 LPRL</w:t>
            </w:r>
            <w:r>
              <w:rPr>
                <w:spacing w:val="-6"/>
                <w:sz w:val="16"/>
              </w:rPr>
              <w:t> </w:t>
            </w:r>
            <w:r>
              <w:rPr>
                <w:sz w:val="16"/>
              </w:rPr>
              <w:t>MANDO</w:t>
            </w:r>
            <w:r>
              <w:rPr>
                <w:spacing w:val="-3"/>
                <w:sz w:val="16"/>
              </w:rPr>
              <w:t> </w:t>
            </w:r>
            <w:r>
              <w:rPr>
                <w:sz w:val="16"/>
              </w:rPr>
              <w:t>DE</w:t>
            </w:r>
            <w:r>
              <w:rPr>
                <w:spacing w:val="-4"/>
                <w:sz w:val="16"/>
              </w:rPr>
              <w:t> </w:t>
            </w:r>
            <w:r>
              <w:rPr>
                <w:spacing w:val="-2"/>
                <w:sz w:val="16"/>
              </w:rPr>
              <w:t>ADMINISTRACION</w:t>
            </w:r>
          </w:p>
        </w:tc>
        <w:tc>
          <w:tcPr>
            <w:tcW w:w="873" w:type="dxa"/>
          </w:tcPr>
          <w:p>
            <w:pPr>
              <w:pStyle w:val="TableParagraph"/>
              <w:spacing w:line="183" w:lineRule="exact"/>
              <w:ind w:left="61" w:right="6"/>
              <w:jc w:val="center"/>
              <w:rPr>
                <w:sz w:val="16"/>
              </w:rPr>
            </w:pPr>
            <w:r>
              <w:rPr>
                <w:spacing w:val="-4"/>
                <w:sz w:val="16"/>
              </w:rPr>
              <w:t>4,00</w:t>
            </w:r>
          </w:p>
        </w:tc>
      </w:tr>
      <w:tr>
        <w:trPr>
          <w:trHeight w:val="299" w:hRule="atLeast"/>
        </w:trPr>
        <w:tc>
          <w:tcPr>
            <w:tcW w:w="854" w:type="dxa"/>
          </w:tcPr>
          <w:p>
            <w:pPr>
              <w:pStyle w:val="TableParagraph"/>
              <w:spacing w:line="168" w:lineRule="exact" w:before="111"/>
              <w:ind w:left="8"/>
              <w:jc w:val="center"/>
              <w:rPr>
                <w:sz w:val="16"/>
              </w:rPr>
            </w:pPr>
            <w:r>
              <w:rPr>
                <w:spacing w:val="-10"/>
                <w:sz w:val="16"/>
              </w:rPr>
              <w:t>4</w:t>
            </w:r>
          </w:p>
        </w:tc>
        <w:tc>
          <w:tcPr>
            <w:tcW w:w="6921" w:type="dxa"/>
          </w:tcPr>
          <w:p>
            <w:pPr>
              <w:pStyle w:val="TableParagraph"/>
              <w:spacing w:line="168" w:lineRule="exact" w:before="111"/>
              <w:ind w:left="67"/>
              <w:rPr>
                <w:sz w:val="16"/>
              </w:rPr>
            </w:pPr>
            <w:r>
              <w:rPr>
                <w:sz w:val="16"/>
              </w:rPr>
              <w:t>FORMACION</w:t>
            </w:r>
            <w:r>
              <w:rPr>
                <w:spacing w:val="-6"/>
                <w:sz w:val="16"/>
              </w:rPr>
              <w:t> </w:t>
            </w:r>
            <w:r>
              <w:rPr>
                <w:sz w:val="16"/>
              </w:rPr>
              <w:t>ART.</w:t>
            </w:r>
            <w:r>
              <w:rPr>
                <w:spacing w:val="-4"/>
                <w:sz w:val="16"/>
              </w:rPr>
              <w:t> </w:t>
            </w:r>
            <w:r>
              <w:rPr>
                <w:sz w:val="16"/>
              </w:rPr>
              <w:t>19 LPRL</w:t>
            </w:r>
            <w:r>
              <w:rPr>
                <w:spacing w:val="-6"/>
                <w:sz w:val="16"/>
              </w:rPr>
              <w:t> </w:t>
            </w:r>
            <w:r>
              <w:rPr>
                <w:sz w:val="16"/>
              </w:rPr>
              <w:t>OFICIAL</w:t>
            </w:r>
            <w:r>
              <w:rPr>
                <w:spacing w:val="-5"/>
                <w:sz w:val="16"/>
              </w:rPr>
              <w:t> </w:t>
            </w:r>
            <w:r>
              <w:rPr>
                <w:spacing w:val="-2"/>
                <w:sz w:val="16"/>
              </w:rPr>
              <w:t>TALLER</w:t>
            </w:r>
          </w:p>
        </w:tc>
        <w:tc>
          <w:tcPr>
            <w:tcW w:w="873" w:type="dxa"/>
          </w:tcPr>
          <w:p>
            <w:pPr>
              <w:pStyle w:val="TableParagraph"/>
              <w:spacing w:line="180" w:lineRule="exact"/>
              <w:ind w:left="61" w:right="6"/>
              <w:jc w:val="center"/>
              <w:rPr>
                <w:sz w:val="16"/>
              </w:rPr>
            </w:pPr>
            <w:r>
              <w:rPr>
                <w:spacing w:val="-4"/>
                <w:sz w:val="16"/>
              </w:rPr>
              <w:t>4,00</w:t>
            </w:r>
          </w:p>
        </w:tc>
      </w:tr>
      <w:tr>
        <w:trPr>
          <w:trHeight w:val="366" w:hRule="atLeast"/>
        </w:trPr>
        <w:tc>
          <w:tcPr>
            <w:tcW w:w="854" w:type="dxa"/>
          </w:tcPr>
          <w:p>
            <w:pPr>
              <w:pStyle w:val="TableParagraph"/>
              <w:spacing w:line="166"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FORMACION</w:t>
            </w:r>
            <w:r>
              <w:rPr>
                <w:spacing w:val="-6"/>
                <w:sz w:val="16"/>
              </w:rPr>
              <w:t> </w:t>
            </w:r>
            <w:r>
              <w:rPr>
                <w:sz w:val="16"/>
              </w:rPr>
              <w:t>ART.</w:t>
            </w:r>
            <w:r>
              <w:rPr>
                <w:spacing w:val="-4"/>
                <w:sz w:val="16"/>
              </w:rPr>
              <w:t> </w:t>
            </w:r>
            <w:r>
              <w:rPr>
                <w:sz w:val="16"/>
              </w:rPr>
              <w:t>19</w:t>
            </w:r>
            <w:r>
              <w:rPr>
                <w:spacing w:val="-1"/>
                <w:sz w:val="16"/>
              </w:rPr>
              <w:t> </w:t>
            </w:r>
            <w:r>
              <w:rPr>
                <w:sz w:val="16"/>
              </w:rPr>
              <w:t>LPRL</w:t>
            </w:r>
            <w:r>
              <w:rPr>
                <w:spacing w:val="-6"/>
                <w:sz w:val="16"/>
              </w:rPr>
              <w:t> </w:t>
            </w:r>
            <w:r>
              <w:rPr>
                <w:sz w:val="16"/>
              </w:rPr>
              <w:t>OFICIAL</w:t>
            </w:r>
            <w:r>
              <w:rPr>
                <w:spacing w:val="-5"/>
                <w:sz w:val="16"/>
              </w:rPr>
              <w:t> </w:t>
            </w:r>
            <w:r>
              <w:rPr>
                <w:sz w:val="16"/>
              </w:rPr>
              <w:t>TALLER-ALMACENERO</w:t>
            </w:r>
            <w:r>
              <w:rPr>
                <w:spacing w:val="-6"/>
                <w:sz w:val="16"/>
              </w:rPr>
              <w:t> </w:t>
            </w:r>
            <w:r>
              <w:rPr>
                <w:sz w:val="16"/>
              </w:rPr>
              <w:t>Y</w:t>
            </w:r>
            <w:r>
              <w:rPr>
                <w:spacing w:val="-6"/>
                <w:sz w:val="16"/>
              </w:rPr>
              <w:t> </w:t>
            </w:r>
            <w:r>
              <w:rPr>
                <w:sz w:val="16"/>
              </w:rPr>
              <w:t>PLAN</w:t>
            </w:r>
            <w:r>
              <w:rPr>
                <w:spacing w:val="-3"/>
                <w:sz w:val="16"/>
              </w:rPr>
              <w:t> </w:t>
            </w:r>
            <w:r>
              <w:rPr>
                <w:spacing w:val="-5"/>
                <w:sz w:val="16"/>
              </w:rPr>
              <w:t>DE</w:t>
            </w:r>
          </w:p>
          <w:p>
            <w:pPr>
              <w:pStyle w:val="TableParagraph"/>
              <w:spacing w:line="166" w:lineRule="exact" w:before="1"/>
              <w:ind w:left="67"/>
              <w:rPr>
                <w:sz w:val="16"/>
              </w:rPr>
            </w:pPr>
            <w:r>
              <w:rPr>
                <w:sz w:val="16"/>
              </w:rPr>
              <w:t>AUTOPROTECCION</w:t>
            </w:r>
            <w:r>
              <w:rPr>
                <w:spacing w:val="-11"/>
                <w:sz w:val="16"/>
              </w:rPr>
              <w:t> </w:t>
            </w:r>
            <w:r>
              <w:rPr>
                <w:spacing w:val="-2"/>
                <w:sz w:val="16"/>
              </w:rPr>
              <w:t>AREQUIPA</w:t>
            </w:r>
          </w:p>
        </w:tc>
        <w:tc>
          <w:tcPr>
            <w:tcW w:w="873" w:type="dxa"/>
          </w:tcPr>
          <w:p>
            <w:pPr>
              <w:pStyle w:val="TableParagraph"/>
              <w:spacing w:line="180" w:lineRule="exact"/>
              <w:ind w:left="61" w:right="6"/>
              <w:jc w:val="center"/>
              <w:rPr>
                <w:sz w:val="16"/>
              </w:rPr>
            </w:pPr>
            <w:r>
              <w:rPr>
                <w:spacing w:val="-4"/>
                <w:sz w:val="16"/>
              </w:rPr>
              <w:t>1,00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FORMACION</w:t>
            </w:r>
            <w:r>
              <w:rPr>
                <w:spacing w:val="-10"/>
                <w:sz w:val="16"/>
              </w:rPr>
              <w:t> </w:t>
            </w:r>
            <w:r>
              <w:rPr>
                <w:sz w:val="16"/>
              </w:rPr>
              <w:t>ART.</w:t>
            </w:r>
            <w:r>
              <w:rPr>
                <w:spacing w:val="-6"/>
                <w:sz w:val="16"/>
              </w:rPr>
              <w:t> </w:t>
            </w:r>
            <w:r>
              <w:rPr>
                <w:sz w:val="16"/>
              </w:rPr>
              <w:t>19</w:t>
            </w:r>
            <w:r>
              <w:rPr>
                <w:spacing w:val="-2"/>
                <w:sz w:val="16"/>
              </w:rPr>
              <w:t> </w:t>
            </w:r>
            <w:r>
              <w:rPr>
                <w:sz w:val="16"/>
              </w:rPr>
              <w:t>LPRL</w:t>
            </w:r>
            <w:r>
              <w:rPr>
                <w:spacing w:val="-8"/>
                <w:sz w:val="16"/>
              </w:rPr>
              <w:t> </w:t>
            </w:r>
            <w:r>
              <w:rPr>
                <w:sz w:val="16"/>
              </w:rPr>
              <w:t>RESPONSABLE</w:t>
            </w:r>
            <w:r>
              <w:rPr>
                <w:spacing w:val="-4"/>
                <w:sz w:val="16"/>
              </w:rPr>
              <w:t> </w:t>
            </w:r>
            <w:r>
              <w:rPr>
                <w:sz w:val="16"/>
              </w:rPr>
              <w:t>DE</w:t>
            </w:r>
            <w:r>
              <w:rPr>
                <w:spacing w:val="-6"/>
                <w:sz w:val="16"/>
              </w:rPr>
              <w:t> </w:t>
            </w:r>
            <w:r>
              <w:rPr>
                <w:sz w:val="16"/>
              </w:rPr>
              <w:t>APROVISIONAMIENTO</w:t>
            </w:r>
            <w:r>
              <w:rPr>
                <w:spacing w:val="-7"/>
                <w:sz w:val="16"/>
              </w:rPr>
              <w:t> </w:t>
            </w:r>
            <w:r>
              <w:rPr>
                <w:sz w:val="16"/>
              </w:rPr>
              <w:t>Y</w:t>
            </w:r>
            <w:r>
              <w:rPr>
                <w:spacing w:val="-3"/>
                <w:sz w:val="16"/>
              </w:rPr>
              <w:t> </w:t>
            </w:r>
            <w:r>
              <w:rPr>
                <w:sz w:val="16"/>
              </w:rPr>
              <w:t>LOGISTICA</w:t>
            </w:r>
            <w:r>
              <w:rPr>
                <w:spacing w:val="-7"/>
                <w:sz w:val="16"/>
              </w:rPr>
              <w:t> </w:t>
            </w:r>
            <w:r>
              <w:rPr>
                <w:spacing w:val="-10"/>
                <w:sz w:val="16"/>
              </w:rPr>
              <w:t>Y</w:t>
            </w:r>
          </w:p>
          <w:p>
            <w:pPr>
              <w:pStyle w:val="TableParagraph"/>
              <w:spacing w:line="168" w:lineRule="exact" w:before="1"/>
              <w:ind w:left="67"/>
              <w:rPr>
                <w:sz w:val="16"/>
              </w:rPr>
            </w:pPr>
            <w:r>
              <w:rPr>
                <w:sz w:val="16"/>
              </w:rPr>
              <w:t>PLAN</w:t>
            </w:r>
            <w:r>
              <w:rPr>
                <w:spacing w:val="-4"/>
                <w:sz w:val="16"/>
              </w:rPr>
              <w:t> </w:t>
            </w:r>
            <w:r>
              <w:rPr>
                <w:sz w:val="16"/>
              </w:rPr>
              <w:t>DE</w:t>
            </w:r>
            <w:r>
              <w:rPr>
                <w:spacing w:val="-6"/>
                <w:sz w:val="16"/>
              </w:rPr>
              <w:t> </w:t>
            </w:r>
            <w:r>
              <w:rPr>
                <w:sz w:val="16"/>
              </w:rPr>
              <w:t>AUTOPROTECCION</w:t>
            </w:r>
            <w:r>
              <w:rPr>
                <w:spacing w:val="-3"/>
                <w:sz w:val="16"/>
              </w:rPr>
              <w:t> </w:t>
            </w:r>
            <w:r>
              <w:rPr>
                <w:spacing w:val="-2"/>
                <w:sz w:val="16"/>
              </w:rPr>
              <w:t>AREQUIPA</w:t>
            </w:r>
          </w:p>
        </w:tc>
        <w:tc>
          <w:tcPr>
            <w:tcW w:w="873" w:type="dxa"/>
          </w:tcPr>
          <w:p>
            <w:pPr>
              <w:pStyle w:val="TableParagraph"/>
              <w:spacing w:line="180" w:lineRule="exact"/>
              <w:ind w:left="61" w:right="6"/>
              <w:jc w:val="center"/>
              <w:rPr>
                <w:sz w:val="16"/>
              </w:rPr>
            </w:pPr>
            <w:r>
              <w:rPr>
                <w:spacing w:val="-4"/>
                <w:sz w:val="16"/>
              </w:rPr>
              <w:t>1,00</w:t>
            </w:r>
          </w:p>
        </w:tc>
      </w:tr>
      <w:tr>
        <w:trPr>
          <w:trHeight w:val="366" w:hRule="atLeast"/>
        </w:trPr>
        <w:tc>
          <w:tcPr>
            <w:tcW w:w="854" w:type="dxa"/>
          </w:tcPr>
          <w:p>
            <w:pPr>
              <w:pStyle w:val="TableParagraph"/>
              <w:spacing w:line="166"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FORMACION</w:t>
            </w:r>
            <w:r>
              <w:rPr>
                <w:spacing w:val="-6"/>
                <w:sz w:val="16"/>
              </w:rPr>
              <w:t> </w:t>
            </w:r>
            <w:r>
              <w:rPr>
                <w:sz w:val="16"/>
              </w:rPr>
              <w:t>ART.</w:t>
            </w:r>
            <w:r>
              <w:rPr>
                <w:spacing w:val="-4"/>
                <w:sz w:val="16"/>
              </w:rPr>
              <w:t> </w:t>
            </w:r>
            <w:r>
              <w:rPr>
                <w:sz w:val="16"/>
              </w:rPr>
              <w:t>19 LPRL</w:t>
            </w:r>
            <w:r>
              <w:rPr>
                <w:spacing w:val="-6"/>
                <w:sz w:val="16"/>
              </w:rPr>
              <w:t> </w:t>
            </w:r>
            <w:r>
              <w:rPr>
                <w:sz w:val="16"/>
              </w:rPr>
              <w:t>TECNICO</w:t>
            </w:r>
            <w:r>
              <w:rPr>
                <w:spacing w:val="-4"/>
                <w:sz w:val="16"/>
              </w:rPr>
              <w:t> </w:t>
            </w:r>
            <w:r>
              <w:rPr>
                <w:sz w:val="16"/>
              </w:rPr>
              <w:t>DE</w:t>
            </w:r>
            <w:r>
              <w:rPr>
                <w:spacing w:val="-2"/>
                <w:sz w:val="16"/>
              </w:rPr>
              <w:t> </w:t>
            </w:r>
            <w:r>
              <w:rPr>
                <w:sz w:val="16"/>
              </w:rPr>
              <w:t>CALIDAD</w:t>
            </w:r>
            <w:r>
              <w:rPr>
                <w:spacing w:val="-6"/>
                <w:sz w:val="16"/>
              </w:rPr>
              <w:t> </w:t>
            </w:r>
            <w:r>
              <w:rPr>
                <w:sz w:val="16"/>
              </w:rPr>
              <w:t>Y</w:t>
            </w:r>
            <w:r>
              <w:rPr>
                <w:spacing w:val="-2"/>
                <w:sz w:val="16"/>
              </w:rPr>
              <w:t> </w:t>
            </w:r>
            <w:r>
              <w:rPr>
                <w:sz w:val="16"/>
              </w:rPr>
              <w:t>COMERCIAL</w:t>
            </w:r>
            <w:r>
              <w:rPr>
                <w:spacing w:val="-2"/>
                <w:sz w:val="16"/>
              </w:rPr>
              <w:t> </w:t>
            </w:r>
            <w:r>
              <w:rPr>
                <w:sz w:val="16"/>
              </w:rPr>
              <w:t>Y</w:t>
            </w:r>
            <w:r>
              <w:rPr>
                <w:spacing w:val="-4"/>
                <w:sz w:val="16"/>
              </w:rPr>
              <w:t> </w:t>
            </w:r>
            <w:r>
              <w:rPr>
                <w:sz w:val="16"/>
              </w:rPr>
              <w:t>PLAN</w:t>
            </w:r>
            <w:r>
              <w:rPr>
                <w:spacing w:val="-3"/>
                <w:sz w:val="16"/>
              </w:rPr>
              <w:t> </w:t>
            </w:r>
            <w:r>
              <w:rPr>
                <w:spacing w:val="-5"/>
                <w:sz w:val="16"/>
              </w:rPr>
              <w:t>DE</w:t>
            </w:r>
          </w:p>
          <w:p>
            <w:pPr>
              <w:pStyle w:val="TableParagraph"/>
              <w:spacing w:line="166" w:lineRule="exact" w:before="1"/>
              <w:ind w:left="67"/>
              <w:rPr>
                <w:sz w:val="16"/>
              </w:rPr>
            </w:pPr>
            <w:r>
              <w:rPr>
                <w:sz w:val="16"/>
              </w:rPr>
              <w:t>AUTOPROTECCION</w:t>
            </w:r>
            <w:r>
              <w:rPr>
                <w:spacing w:val="-11"/>
                <w:sz w:val="16"/>
              </w:rPr>
              <w:t> </w:t>
            </w:r>
            <w:r>
              <w:rPr>
                <w:spacing w:val="-2"/>
                <w:sz w:val="16"/>
              </w:rPr>
              <w:t>AREQUIPA</w:t>
            </w:r>
          </w:p>
        </w:tc>
        <w:tc>
          <w:tcPr>
            <w:tcW w:w="873" w:type="dxa"/>
          </w:tcPr>
          <w:p>
            <w:pPr>
              <w:pStyle w:val="TableParagraph"/>
              <w:spacing w:line="180" w:lineRule="exact"/>
              <w:ind w:left="61" w:right="6"/>
              <w:jc w:val="center"/>
              <w:rPr>
                <w:sz w:val="16"/>
              </w:rPr>
            </w:pPr>
            <w:r>
              <w:rPr>
                <w:spacing w:val="-4"/>
                <w:sz w:val="16"/>
              </w:rPr>
              <w:t>1,00</w:t>
            </w:r>
          </w:p>
        </w:tc>
      </w:tr>
      <w:tr>
        <w:trPr>
          <w:trHeight w:val="299" w:hRule="atLeast"/>
        </w:trPr>
        <w:tc>
          <w:tcPr>
            <w:tcW w:w="854" w:type="dxa"/>
          </w:tcPr>
          <w:p>
            <w:pPr>
              <w:pStyle w:val="TableParagraph"/>
              <w:spacing w:line="166" w:lineRule="exact" w:before="113"/>
              <w:ind w:left="8"/>
              <w:jc w:val="center"/>
              <w:rPr>
                <w:sz w:val="16"/>
              </w:rPr>
            </w:pPr>
            <w:r>
              <w:rPr>
                <w:spacing w:val="-10"/>
                <w:sz w:val="16"/>
              </w:rPr>
              <w:t>2</w:t>
            </w:r>
          </w:p>
        </w:tc>
        <w:tc>
          <w:tcPr>
            <w:tcW w:w="6921" w:type="dxa"/>
          </w:tcPr>
          <w:p>
            <w:pPr>
              <w:pStyle w:val="TableParagraph"/>
              <w:spacing w:line="166" w:lineRule="exact" w:before="113"/>
              <w:ind w:left="67"/>
              <w:rPr>
                <w:sz w:val="16"/>
              </w:rPr>
            </w:pPr>
            <w:r>
              <w:rPr>
                <w:sz w:val="16"/>
              </w:rPr>
              <w:t>FORMACION</w:t>
            </w:r>
            <w:r>
              <w:rPr>
                <w:spacing w:val="-10"/>
                <w:sz w:val="16"/>
              </w:rPr>
              <w:t> </w:t>
            </w:r>
            <w:r>
              <w:rPr>
                <w:sz w:val="16"/>
              </w:rPr>
              <w:t>ARTICULO</w:t>
            </w:r>
            <w:r>
              <w:rPr>
                <w:spacing w:val="-4"/>
                <w:sz w:val="16"/>
              </w:rPr>
              <w:t> </w:t>
            </w:r>
            <w:r>
              <w:rPr>
                <w:sz w:val="16"/>
              </w:rPr>
              <w:t>19</w:t>
            </w:r>
            <w:r>
              <w:rPr>
                <w:spacing w:val="-8"/>
                <w:sz w:val="16"/>
              </w:rPr>
              <w:t> </w:t>
            </w:r>
            <w:r>
              <w:rPr>
                <w:sz w:val="16"/>
              </w:rPr>
              <w:t>L.P.R.L.</w:t>
            </w:r>
            <w:r>
              <w:rPr>
                <w:spacing w:val="-6"/>
                <w:sz w:val="16"/>
              </w:rPr>
              <w:t> </w:t>
            </w:r>
            <w:r>
              <w:rPr>
                <w:sz w:val="16"/>
              </w:rPr>
              <w:t>INFORMADOR/A</w:t>
            </w:r>
            <w:r>
              <w:rPr>
                <w:spacing w:val="-8"/>
                <w:sz w:val="16"/>
              </w:rPr>
              <w:t> </w:t>
            </w:r>
            <w:r>
              <w:rPr>
                <w:sz w:val="16"/>
              </w:rPr>
              <w:t>EVENTOS</w:t>
            </w:r>
            <w:r>
              <w:rPr>
                <w:spacing w:val="-6"/>
                <w:sz w:val="16"/>
              </w:rPr>
              <w:t> </w:t>
            </w:r>
            <w:r>
              <w:rPr>
                <w:spacing w:val="-2"/>
                <w:sz w:val="16"/>
              </w:rPr>
              <w:t>ESPECIALES</w:t>
            </w:r>
          </w:p>
        </w:tc>
        <w:tc>
          <w:tcPr>
            <w:tcW w:w="873" w:type="dxa"/>
          </w:tcPr>
          <w:p>
            <w:pPr>
              <w:pStyle w:val="TableParagraph"/>
              <w:spacing w:line="180" w:lineRule="exact"/>
              <w:ind w:left="61" w:right="6"/>
              <w:jc w:val="center"/>
              <w:rPr>
                <w:sz w:val="16"/>
              </w:rPr>
            </w:pPr>
            <w:r>
              <w:rPr>
                <w:spacing w:val="-4"/>
                <w:sz w:val="16"/>
              </w:rPr>
              <w:t>4,50</w:t>
            </w:r>
          </w:p>
        </w:tc>
      </w:tr>
      <w:tr>
        <w:trPr>
          <w:trHeight w:val="369" w:hRule="atLeast"/>
        </w:trPr>
        <w:tc>
          <w:tcPr>
            <w:tcW w:w="854" w:type="dxa"/>
          </w:tcPr>
          <w:p>
            <w:pPr>
              <w:pStyle w:val="TableParagraph"/>
              <w:spacing w:line="168" w:lineRule="exact" w:before="181"/>
              <w:ind w:left="8"/>
              <w:jc w:val="center"/>
              <w:rPr>
                <w:sz w:val="16"/>
              </w:rPr>
            </w:pPr>
            <w:r>
              <w:rPr>
                <w:spacing w:val="-10"/>
                <w:sz w:val="16"/>
              </w:rPr>
              <w:t>2</w:t>
            </w:r>
          </w:p>
        </w:tc>
        <w:tc>
          <w:tcPr>
            <w:tcW w:w="6921" w:type="dxa"/>
          </w:tcPr>
          <w:p>
            <w:pPr>
              <w:pStyle w:val="TableParagraph"/>
              <w:spacing w:line="182" w:lineRule="exact"/>
              <w:ind w:left="67"/>
              <w:rPr>
                <w:sz w:val="16"/>
              </w:rPr>
            </w:pPr>
            <w:r>
              <w:rPr>
                <w:sz w:val="16"/>
              </w:rPr>
              <w:t>FORMACION</w:t>
            </w:r>
            <w:r>
              <w:rPr>
                <w:spacing w:val="-6"/>
                <w:sz w:val="16"/>
              </w:rPr>
              <w:t> </w:t>
            </w:r>
            <w:r>
              <w:rPr>
                <w:sz w:val="16"/>
              </w:rPr>
              <w:t>ARTICULO</w:t>
            </w:r>
            <w:r>
              <w:rPr>
                <w:spacing w:val="-2"/>
                <w:sz w:val="16"/>
              </w:rPr>
              <w:t> </w:t>
            </w:r>
            <w:r>
              <w:rPr>
                <w:sz w:val="16"/>
              </w:rPr>
              <w:t>19</w:t>
            </w:r>
            <w:r>
              <w:rPr>
                <w:spacing w:val="-7"/>
                <w:sz w:val="16"/>
              </w:rPr>
              <w:t> </w:t>
            </w:r>
            <w:r>
              <w:rPr>
                <w:sz w:val="16"/>
              </w:rPr>
              <w:t>L.P.R.L.</w:t>
            </w:r>
            <w:r>
              <w:rPr>
                <w:spacing w:val="-2"/>
                <w:sz w:val="16"/>
              </w:rPr>
              <w:t> </w:t>
            </w:r>
            <w:r>
              <w:rPr>
                <w:sz w:val="16"/>
              </w:rPr>
              <w:t>OFICIAL</w:t>
            </w:r>
            <w:r>
              <w:rPr>
                <w:spacing w:val="-6"/>
                <w:sz w:val="16"/>
              </w:rPr>
              <w:t> </w:t>
            </w:r>
            <w:r>
              <w:rPr>
                <w:sz w:val="16"/>
              </w:rPr>
              <w:t>ADMINISTRACION</w:t>
            </w:r>
            <w:r>
              <w:rPr>
                <w:spacing w:val="-6"/>
                <w:sz w:val="16"/>
              </w:rPr>
              <w:t> </w:t>
            </w:r>
            <w:r>
              <w:rPr>
                <w:sz w:val="16"/>
              </w:rPr>
              <w:t>Y</w:t>
            </w:r>
            <w:r>
              <w:rPr>
                <w:spacing w:val="-6"/>
                <w:sz w:val="16"/>
              </w:rPr>
              <w:t> </w:t>
            </w:r>
            <w:r>
              <w:rPr>
                <w:sz w:val="16"/>
              </w:rPr>
              <w:t>PLAN</w:t>
            </w:r>
            <w:r>
              <w:rPr>
                <w:spacing w:val="-4"/>
                <w:sz w:val="16"/>
              </w:rPr>
              <w:t> </w:t>
            </w:r>
            <w:r>
              <w:rPr>
                <w:sz w:val="16"/>
              </w:rPr>
              <w:t>DE </w:t>
            </w:r>
            <w:r>
              <w:rPr>
                <w:spacing w:val="-2"/>
                <w:sz w:val="16"/>
              </w:rPr>
              <w:t>AUTOPROTECCION</w:t>
            </w:r>
          </w:p>
        </w:tc>
        <w:tc>
          <w:tcPr>
            <w:tcW w:w="873" w:type="dxa"/>
          </w:tcPr>
          <w:p>
            <w:pPr>
              <w:pStyle w:val="TableParagraph"/>
              <w:spacing w:line="183" w:lineRule="exact"/>
              <w:ind w:left="58" w:right="6"/>
              <w:jc w:val="center"/>
              <w:rPr>
                <w:sz w:val="16"/>
              </w:rPr>
            </w:pPr>
            <w:r>
              <w:rPr>
                <w:spacing w:val="-2"/>
                <w:sz w:val="16"/>
              </w:rPr>
              <w:t>19,50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FORMACION</w:t>
            </w:r>
            <w:r>
              <w:rPr>
                <w:spacing w:val="-8"/>
                <w:sz w:val="16"/>
              </w:rPr>
              <w:t> </w:t>
            </w:r>
            <w:r>
              <w:rPr>
                <w:sz w:val="16"/>
              </w:rPr>
              <w:t>ARTICULO</w:t>
            </w:r>
            <w:r>
              <w:rPr>
                <w:spacing w:val="-1"/>
                <w:sz w:val="16"/>
              </w:rPr>
              <w:t> </w:t>
            </w:r>
            <w:r>
              <w:rPr>
                <w:sz w:val="16"/>
              </w:rPr>
              <w:t>19</w:t>
            </w:r>
            <w:r>
              <w:rPr>
                <w:spacing w:val="-7"/>
                <w:sz w:val="16"/>
              </w:rPr>
              <w:t> </w:t>
            </w:r>
            <w:r>
              <w:rPr>
                <w:sz w:val="16"/>
              </w:rPr>
              <w:t>L.P.R.L.</w:t>
            </w:r>
            <w:r>
              <w:rPr>
                <w:spacing w:val="-1"/>
                <w:sz w:val="16"/>
              </w:rPr>
              <w:t> </w:t>
            </w:r>
            <w:r>
              <w:rPr>
                <w:sz w:val="16"/>
              </w:rPr>
              <w:t>OFICIAL</w:t>
            </w:r>
            <w:r>
              <w:rPr>
                <w:spacing w:val="-6"/>
                <w:sz w:val="16"/>
              </w:rPr>
              <w:t> </w:t>
            </w:r>
            <w:r>
              <w:rPr>
                <w:sz w:val="16"/>
              </w:rPr>
              <w:t>TALLER</w:t>
            </w:r>
            <w:r>
              <w:rPr>
                <w:spacing w:val="-3"/>
                <w:sz w:val="16"/>
              </w:rPr>
              <w:t> </w:t>
            </w:r>
            <w:r>
              <w:rPr>
                <w:sz w:val="16"/>
              </w:rPr>
              <w:t>Y</w:t>
            </w:r>
            <w:r>
              <w:rPr>
                <w:spacing w:val="-5"/>
                <w:sz w:val="16"/>
              </w:rPr>
              <w:t> </w:t>
            </w:r>
            <w:r>
              <w:rPr>
                <w:sz w:val="16"/>
              </w:rPr>
              <w:t>PLAN</w:t>
            </w:r>
            <w:r>
              <w:rPr>
                <w:spacing w:val="-3"/>
                <w:sz w:val="16"/>
              </w:rPr>
              <w:t> </w:t>
            </w:r>
            <w:r>
              <w:rPr>
                <w:sz w:val="16"/>
              </w:rPr>
              <w:t>DE</w:t>
            </w:r>
            <w:r>
              <w:rPr>
                <w:spacing w:val="-3"/>
                <w:sz w:val="16"/>
              </w:rPr>
              <w:t> </w:t>
            </w:r>
            <w:r>
              <w:rPr>
                <w:spacing w:val="-2"/>
                <w:sz w:val="16"/>
              </w:rPr>
              <w:t>AUTOPROTECCION</w:t>
            </w:r>
          </w:p>
        </w:tc>
        <w:tc>
          <w:tcPr>
            <w:tcW w:w="873" w:type="dxa"/>
          </w:tcPr>
          <w:p>
            <w:pPr>
              <w:pStyle w:val="TableParagraph"/>
              <w:spacing w:line="180" w:lineRule="exact"/>
              <w:ind w:left="58" w:right="6"/>
              <w:jc w:val="center"/>
              <w:rPr>
                <w:sz w:val="16"/>
              </w:rPr>
            </w:pPr>
            <w:r>
              <w:rPr>
                <w:spacing w:val="-2"/>
                <w:sz w:val="16"/>
              </w:rPr>
              <w:t>24,00</w:t>
            </w:r>
          </w:p>
        </w:tc>
      </w:tr>
      <w:tr>
        <w:trPr>
          <w:trHeight w:val="369" w:hRule="atLeast"/>
        </w:trPr>
        <w:tc>
          <w:tcPr>
            <w:tcW w:w="854" w:type="dxa"/>
          </w:tcPr>
          <w:p>
            <w:pPr>
              <w:pStyle w:val="TableParagraph"/>
              <w:spacing w:line="168" w:lineRule="exact" w:before="181"/>
              <w:ind w:left="8"/>
              <w:jc w:val="center"/>
              <w:rPr>
                <w:sz w:val="16"/>
              </w:rPr>
            </w:pPr>
            <w:r>
              <w:rPr>
                <w:spacing w:val="-10"/>
                <w:sz w:val="16"/>
              </w:rPr>
              <w:t>4</w:t>
            </w:r>
          </w:p>
        </w:tc>
        <w:tc>
          <w:tcPr>
            <w:tcW w:w="6921" w:type="dxa"/>
          </w:tcPr>
          <w:p>
            <w:pPr>
              <w:pStyle w:val="TableParagraph"/>
              <w:spacing w:line="180" w:lineRule="exact"/>
              <w:ind w:left="67"/>
              <w:rPr>
                <w:sz w:val="16"/>
              </w:rPr>
            </w:pPr>
            <w:r>
              <w:rPr>
                <w:sz w:val="16"/>
              </w:rPr>
              <w:t>FORMACION</w:t>
            </w:r>
            <w:r>
              <w:rPr>
                <w:spacing w:val="-6"/>
                <w:sz w:val="16"/>
              </w:rPr>
              <w:t> </w:t>
            </w:r>
            <w:r>
              <w:rPr>
                <w:sz w:val="16"/>
              </w:rPr>
              <w:t>CONDUCTORES/AS</w:t>
            </w:r>
            <w:r>
              <w:rPr>
                <w:spacing w:val="-4"/>
                <w:sz w:val="16"/>
              </w:rPr>
              <w:t> </w:t>
            </w:r>
            <w:r>
              <w:rPr>
                <w:sz w:val="16"/>
              </w:rPr>
              <w:t>MAN</w:t>
            </w:r>
            <w:r>
              <w:rPr>
                <w:spacing w:val="-5"/>
                <w:sz w:val="16"/>
              </w:rPr>
              <w:t> </w:t>
            </w:r>
            <w:r>
              <w:rPr>
                <w:sz w:val="16"/>
              </w:rPr>
              <w:t>LIONS</w:t>
            </w:r>
            <w:r>
              <w:rPr>
                <w:spacing w:val="-6"/>
                <w:sz w:val="16"/>
              </w:rPr>
              <w:t> </w:t>
            </w:r>
            <w:r>
              <w:rPr>
                <w:sz w:val="16"/>
              </w:rPr>
              <w:t>CITY</w:t>
            </w:r>
            <w:r>
              <w:rPr>
                <w:spacing w:val="-4"/>
                <w:sz w:val="16"/>
              </w:rPr>
              <w:t> </w:t>
            </w:r>
            <w:r>
              <w:rPr>
                <w:sz w:val="16"/>
              </w:rPr>
              <w:t>18C</w:t>
            </w:r>
            <w:r>
              <w:rPr>
                <w:spacing w:val="-10"/>
                <w:sz w:val="16"/>
              </w:rPr>
              <w:t> </w:t>
            </w:r>
            <w:r>
              <w:rPr>
                <w:sz w:val="16"/>
              </w:rPr>
              <w:t>EFFICIENT</w:t>
            </w:r>
            <w:r>
              <w:rPr>
                <w:spacing w:val="-6"/>
                <w:sz w:val="16"/>
              </w:rPr>
              <w:t> </w:t>
            </w:r>
            <w:r>
              <w:rPr>
                <w:sz w:val="16"/>
              </w:rPr>
              <w:t>HIBRID</w:t>
            </w:r>
            <w:r>
              <w:rPr>
                <w:spacing w:val="-5"/>
                <w:sz w:val="16"/>
              </w:rPr>
              <w:t> CON</w:t>
            </w:r>
          </w:p>
          <w:p>
            <w:pPr>
              <w:pStyle w:val="TableParagraph"/>
              <w:spacing w:line="168" w:lineRule="exact" w:before="1"/>
              <w:ind w:left="67"/>
              <w:rPr>
                <w:sz w:val="16"/>
              </w:rPr>
            </w:pPr>
            <w:r>
              <w:rPr>
                <w:sz w:val="16"/>
              </w:rPr>
              <w:t>SISTEMA</w:t>
            </w:r>
            <w:r>
              <w:rPr>
                <w:spacing w:val="-5"/>
                <w:sz w:val="16"/>
              </w:rPr>
              <w:t> </w:t>
            </w:r>
            <w:r>
              <w:rPr>
                <w:sz w:val="16"/>
              </w:rPr>
              <w:t>DE</w:t>
            </w:r>
            <w:r>
              <w:rPr>
                <w:spacing w:val="-2"/>
                <w:sz w:val="16"/>
              </w:rPr>
              <w:t> ALCOHOLIMETRO</w:t>
            </w:r>
          </w:p>
        </w:tc>
        <w:tc>
          <w:tcPr>
            <w:tcW w:w="873" w:type="dxa"/>
          </w:tcPr>
          <w:p>
            <w:pPr>
              <w:pStyle w:val="TableParagraph"/>
              <w:spacing w:line="180" w:lineRule="exact"/>
              <w:ind w:left="60" w:right="6"/>
              <w:jc w:val="center"/>
              <w:rPr>
                <w:sz w:val="16"/>
              </w:rPr>
            </w:pPr>
            <w:r>
              <w:rPr>
                <w:spacing w:val="-2"/>
                <w:sz w:val="16"/>
              </w:rPr>
              <w:t>108,00</w:t>
            </w:r>
          </w:p>
        </w:tc>
      </w:tr>
      <w:tr>
        <w:trPr>
          <w:trHeight w:val="366" w:hRule="atLeast"/>
        </w:trPr>
        <w:tc>
          <w:tcPr>
            <w:tcW w:w="854" w:type="dxa"/>
          </w:tcPr>
          <w:p>
            <w:pPr>
              <w:pStyle w:val="TableParagraph"/>
              <w:spacing w:line="168" w:lineRule="exact" w:before="178"/>
              <w:ind w:left="8"/>
              <w:jc w:val="center"/>
              <w:rPr>
                <w:sz w:val="16"/>
              </w:rPr>
            </w:pPr>
            <w:r>
              <w:rPr>
                <w:spacing w:val="-10"/>
                <w:sz w:val="16"/>
              </w:rPr>
              <w:t>2</w:t>
            </w:r>
          </w:p>
        </w:tc>
        <w:tc>
          <w:tcPr>
            <w:tcW w:w="6921" w:type="dxa"/>
          </w:tcPr>
          <w:p>
            <w:pPr>
              <w:pStyle w:val="TableParagraph"/>
              <w:spacing w:line="182" w:lineRule="exact"/>
              <w:ind w:left="67"/>
              <w:rPr>
                <w:sz w:val="16"/>
              </w:rPr>
            </w:pPr>
            <w:r>
              <w:rPr>
                <w:sz w:val="16"/>
              </w:rPr>
              <w:t>FORMACION</w:t>
            </w:r>
            <w:r>
              <w:rPr>
                <w:spacing w:val="-5"/>
                <w:sz w:val="16"/>
              </w:rPr>
              <w:t> </w:t>
            </w:r>
            <w:r>
              <w:rPr>
                <w:sz w:val="16"/>
              </w:rPr>
              <w:t>E</w:t>
            </w:r>
            <w:r>
              <w:rPr>
                <w:spacing w:val="-5"/>
                <w:sz w:val="16"/>
              </w:rPr>
              <w:t> </w:t>
            </w:r>
            <w:r>
              <w:rPr>
                <w:sz w:val="16"/>
              </w:rPr>
              <w:t>INFORMACION</w:t>
            </w:r>
            <w:r>
              <w:rPr>
                <w:spacing w:val="-6"/>
                <w:sz w:val="16"/>
              </w:rPr>
              <w:t> </w:t>
            </w:r>
            <w:r>
              <w:rPr>
                <w:sz w:val="16"/>
              </w:rPr>
              <w:t>ARTICULO</w:t>
            </w:r>
            <w:r>
              <w:rPr>
                <w:spacing w:val="-3"/>
                <w:sz w:val="16"/>
              </w:rPr>
              <w:t> </w:t>
            </w:r>
            <w:r>
              <w:rPr>
                <w:sz w:val="16"/>
              </w:rPr>
              <w:t>19</w:t>
            </w:r>
            <w:r>
              <w:rPr>
                <w:spacing w:val="-6"/>
                <w:sz w:val="16"/>
              </w:rPr>
              <w:t> </w:t>
            </w:r>
            <w:r>
              <w:rPr>
                <w:sz w:val="16"/>
              </w:rPr>
              <w:t>LPRL</w:t>
            </w:r>
            <w:r>
              <w:rPr>
                <w:spacing w:val="-4"/>
                <w:sz w:val="16"/>
              </w:rPr>
              <w:t> </w:t>
            </w:r>
            <w:r>
              <w:rPr>
                <w:sz w:val="16"/>
              </w:rPr>
              <w:t>MANDOS</w:t>
            </w:r>
            <w:r>
              <w:rPr>
                <w:spacing w:val="-1"/>
                <w:sz w:val="16"/>
              </w:rPr>
              <w:t> </w:t>
            </w:r>
            <w:r>
              <w:rPr>
                <w:sz w:val="16"/>
              </w:rPr>
              <w:t>DE</w:t>
            </w:r>
            <w:r>
              <w:rPr>
                <w:spacing w:val="-1"/>
                <w:sz w:val="16"/>
              </w:rPr>
              <w:t> </w:t>
            </w:r>
            <w:r>
              <w:rPr>
                <w:sz w:val="16"/>
              </w:rPr>
              <w:t>MOVIMIENTO</w:t>
            </w:r>
            <w:r>
              <w:rPr>
                <w:spacing w:val="-5"/>
                <w:sz w:val="16"/>
              </w:rPr>
              <w:t> </w:t>
            </w:r>
            <w:r>
              <w:rPr>
                <w:sz w:val="16"/>
              </w:rPr>
              <w:t>Y ACTUALIZACION FORMACION PLAN AUTOPROTECCION</w:t>
            </w:r>
          </w:p>
        </w:tc>
        <w:tc>
          <w:tcPr>
            <w:tcW w:w="873" w:type="dxa"/>
          </w:tcPr>
          <w:p>
            <w:pPr>
              <w:pStyle w:val="TableParagraph"/>
              <w:spacing w:line="180" w:lineRule="exact"/>
              <w:ind w:left="61" w:right="6"/>
              <w:jc w:val="center"/>
              <w:rPr>
                <w:sz w:val="16"/>
              </w:rPr>
            </w:pPr>
            <w:r>
              <w:rPr>
                <w:spacing w:val="-4"/>
                <w:sz w:val="16"/>
              </w:rPr>
              <w:t>9,00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FORMACION</w:t>
            </w:r>
            <w:r>
              <w:rPr>
                <w:spacing w:val="-7"/>
                <w:sz w:val="16"/>
              </w:rPr>
              <w:t> </w:t>
            </w:r>
            <w:r>
              <w:rPr>
                <w:sz w:val="16"/>
              </w:rPr>
              <w:t>EN</w:t>
            </w:r>
            <w:r>
              <w:rPr>
                <w:spacing w:val="-4"/>
                <w:sz w:val="16"/>
              </w:rPr>
              <w:t> </w:t>
            </w:r>
            <w:r>
              <w:rPr>
                <w:sz w:val="16"/>
              </w:rPr>
              <w:t>RUTA.</w:t>
            </w:r>
            <w:r>
              <w:rPr>
                <w:spacing w:val="-2"/>
                <w:sz w:val="16"/>
              </w:rPr>
              <w:t> </w:t>
            </w:r>
            <w:r>
              <w:rPr>
                <w:sz w:val="16"/>
              </w:rPr>
              <w:t>CONSEJOS</w:t>
            </w:r>
            <w:r>
              <w:rPr>
                <w:spacing w:val="-5"/>
                <w:sz w:val="16"/>
              </w:rPr>
              <w:t> </w:t>
            </w:r>
            <w:r>
              <w:rPr>
                <w:sz w:val="16"/>
              </w:rPr>
              <w:t>Y</w:t>
            </w:r>
            <w:r>
              <w:rPr>
                <w:spacing w:val="-6"/>
                <w:sz w:val="16"/>
              </w:rPr>
              <w:t> </w:t>
            </w:r>
            <w:r>
              <w:rPr>
                <w:sz w:val="16"/>
              </w:rPr>
              <w:t>RECOMENDACIONES</w:t>
            </w:r>
            <w:r>
              <w:rPr>
                <w:spacing w:val="-6"/>
                <w:sz w:val="16"/>
              </w:rPr>
              <w:t> </w:t>
            </w:r>
            <w:r>
              <w:rPr>
                <w:sz w:val="16"/>
              </w:rPr>
              <w:t>EN</w:t>
            </w:r>
            <w:r>
              <w:rPr>
                <w:spacing w:val="-8"/>
                <w:sz w:val="16"/>
              </w:rPr>
              <w:t> </w:t>
            </w:r>
            <w:r>
              <w:rPr>
                <w:sz w:val="16"/>
              </w:rPr>
              <w:t>SEGURIDAD</w:t>
            </w:r>
            <w:r>
              <w:rPr>
                <w:spacing w:val="-7"/>
                <w:sz w:val="16"/>
              </w:rPr>
              <w:t> </w:t>
            </w:r>
            <w:r>
              <w:rPr>
                <w:spacing w:val="-4"/>
                <w:sz w:val="16"/>
              </w:rPr>
              <w:t>VIAL</w:t>
            </w:r>
          </w:p>
        </w:tc>
        <w:tc>
          <w:tcPr>
            <w:tcW w:w="873" w:type="dxa"/>
          </w:tcPr>
          <w:p>
            <w:pPr>
              <w:pStyle w:val="TableParagraph"/>
              <w:spacing w:line="180" w:lineRule="exact"/>
              <w:ind w:left="61" w:right="6"/>
              <w:jc w:val="center"/>
              <w:rPr>
                <w:sz w:val="16"/>
              </w:rPr>
            </w:pPr>
            <w:r>
              <w:rPr>
                <w:spacing w:val="-4"/>
                <w:sz w:val="16"/>
              </w:rPr>
              <w:t>7,50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FORMACION</w:t>
            </w:r>
            <w:r>
              <w:rPr>
                <w:spacing w:val="-7"/>
                <w:sz w:val="16"/>
              </w:rPr>
              <w:t> </w:t>
            </w:r>
            <w:r>
              <w:rPr>
                <w:sz w:val="16"/>
              </w:rPr>
              <w:t>EN</w:t>
            </w:r>
            <w:r>
              <w:rPr>
                <w:spacing w:val="-4"/>
                <w:sz w:val="16"/>
              </w:rPr>
              <w:t> </w:t>
            </w:r>
            <w:r>
              <w:rPr>
                <w:sz w:val="16"/>
              </w:rPr>
              <w:t>RUTA.</w:t>
            </w:r>
            <w:r>
              <w:rPr>
                <w:spacing w:val="-3"/>
                <w:sz w:val="16"/>
              </w:rPr>
              <w:t> </w:t>
            </w:r>
            <w:r>
              <w:rPr>
                <w:sz w:val="16"/>
              </w:rPr>
              <w:t>CONSEJOS</w:t>
            </w:r>
            <w:r>
              <w:rPr>
                <w:spacing w:val="-5"/>
                <w:sz w:val="16"/>
              </w:rPr>
              <w:t> </w:t>
            </w:r>
            <w:r>
              <w:rPr>
                <w:sz w:val="16"/>
              </w:rPr>
              <w:t>Y</w:t>
            </w:r>
            <w:r>
              <w:rPr>
                <w:spacing w:val="-6"/>
                <w:sz w:val="16"/>
              </w:rPr>
              <w:t> </w:t>
            </w:r>
            <w:r>
              <w:rPr>
                <w:sz w:val="16"/>
              </w:rPr>
              <w:t>RECOMENDACIONES</w:t>
            </w:r>
            <w:r>
              <w:rPr>
                <w:spacing w:val="-6"/>
                <w:sz w:val="16"/>
              </w:rPr>
              <w:t> </w:t>
            </w:r>
            <w:r>
              <w:rPr>
                <w:sz w:val="16"/>
              </w:rPr>
              <w:t>PUNTOS</w:t>
            </w:r>
            <w:r>
              <w:rPr>
                <w:spacing w:val="-3"/>
                <w:sz w:val="16"/>
              </w:rPr>
              <w:t> </w:t>
            </w:r>
            <w:r>
              <w:rPr>
                <w:sz w:val="16"/>
              </w:rPr>
              <w:t>DE</w:t>
            </w:r>
            <w:r>
              <w:rPr>
                <w:spacing w:val="-2"/>
                <w:sz w:val="16"/>
              </w:rPr>
              <w:t> MAYOR</w:t>
            </w:r>
          </w:p>
          <w:p>
            <w:pPr>
              <w:pStyle w:val="TableParagraph"/>
              <w:spacing w:line="168" w:lineRule="exact" w:before="1"/>
              <w:ind w:left="67"/>
              <w:rPr>
                <w:sz w:val="16"/>
              </w:rPr>
            </w:pPr>
            <w:r>
              <w:rPr>
                <w:sz w:val="16"/>
              </w:rPr>
              <w:t>ATENCION</w:t>
            </w:r>
            <w:r>
              <w:rPr>
                <w:spacing w:val="-5"/>
                <w:sz w:val="16"/>
              </w:rPr>
              <w:t> </w:t>
            </w:r>
            <w:r>
              <w:rPr>
                <w:sz w:val="16"/>
              </w:rPr>
              <w:t>Y</w:t>
            </w:r>
            <w:r>
              <w:rPr>
                <w:spacing w:val="-3"/>
                <w:sz w:val="16"/>
              </w:rPr>
              <w:t> </w:t>
            </w:r>
            <w:r>
              <w:rPr>
                <w:spacing w:val="-2"/>
                <w:sz w:val="16"/>
              </w:rPr>
              <w:t>ACCIDENTES/INCIDENTES</w:t>
            </w:r>
          </w:p>
        </w:tc>
        <w:tc>
          <w:tcPr>
            <w:tcW w:w="873" w:type="dxa"/>
          </w:tcPr>
          <w:p>
            <w:pPr>
              <w:pStyle w:val="TableParagraph"/>
              <w:spacing w:line="180" w:lineRule="exact"/>
              <w:ind w:left="61" w:right="6"/>
              <w:jc w:val="center"/>
              <w:rPr>
                <w:sz w:val="16"/>
              </w:rPr>
            </w:pPr>
            <w:r>
              <w:rPr>
                <w:spacing w:val="-4"/>
                <w:sz w:val="16"/>
              </w:rPr>
              <w:t>7,50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FORMACION</w:t>
            </w:r>
            <w:r>
              <w:rPr>
                <w:spacing w:val="-7"/>
                <w:sz w:val="16"/>
              </w:rPr>
              <w:t> </w:t>
            </w:r>
            <w:r>
              <w:rPr>
                <w:sz w:val="16"/>
              </w:rPr>
              <w:t>EN</w:t>
            </w:r>
            <w:r>
              <w:rPr>
                <w:spacing w:val="-4"/>
                <w:sz w:val="16"/>
              </w:rPr>
              <w:t> </w:t>
            </w:r>
            <w:r>
              <w:rPr>
                <w:sz w:val="16"/>
              </w:rPr>
              <w:t>RUTA.</w:t>
            </w:r>
            <w:r>
              <w:rPr>
                <w:spacing w:val="-4"/>
                <w:sz w:val="16"/>
              </w:rPr>
              <w:t> </w:t>
            </w:r>
            <w:r>
              <w:rPr>
                <w:sz w:val="16"/>
              </w:rPr>
              <w:t>PERMUTAS</w:t>
            </w:r>
            <w:r>
              <w:rPr>
                <w:spacing w:val="-4"/>
                <w:sz w:val="16"/>
              </w:rPr>
              <w:t> </w:t>
            </w:r>
            <w:r>
              <w:rPr>
                <w:sz w:val="16"/>
              </w:rPr>
              <w:t>Y</w:t>
            </w:r>
            <w:r>
              <w:rPr>
                <w:spacing w:val="-5"/>
                <w:sz w:val="16"/>
              </w:rPr>
              <w:t> </w:t>
            </w:r>
            <w:r>
              <w:rPr>
                <w:sz w:val="16"/>
              </w:rPr>
              <w:t>CONSULTAS</w:t>
            </w:r>
            <w:r>
              <w:rPr>
                <w:spacing w:val="-4"/>
                <w:sz w:val="16"/>
              </w:rPr>
              <w:t> </w:t>
            </w:r>
            <w:r>
              <w:rPr>
                <w:sz w:val="16"/>
              </w:rPr>
              <w:t>DPTO.</w:t>
            </w:r>
            <w:r>
              <w:rPr>
                <w:spacing w:val="-4"/>
                <w:sz w:val="16"/>
              </w:rPr>
              <w:t> </w:t>
            </w:r>
            <w:r>
              <w:rPr>
                <w:spacing w:val="-2"/>
                <w:sz w:val="16"/>
              </w:rPr>
              <w:t>OPERACIONES</w:t>
            </w:r>
          </w:p>
        </w:tc>
        <w:tc>
          <w:tcPr>
            <w:tcW w:w="873" w:type="dxa"/>
          </w:tcPr>
          <w:p>
            <w:pPr>
              <w:pStyle w:val="TableParagraph"/>
              <w:spacing w:line="180" w:lineRule="exact"/>
              <w:ind w:left="61" w:right="6"/>
              <w:jc w:val="center"/>
              <w:rPr>
                <w:sz w:val="16"/>
              </w:rPr>
            </w:pPr>
            <w:r>
              <w:rPr>
                <w:spacing w:val="-4"/>
                <w:sz w:val="16"/>
              </w:rPr>
              <w:t>1,67</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FORMACION</w:t>
            </w:r>
            <w:r>
              <w:rPr>
                <w:spacing w:val="-8"/>
                <w:sz w:val="16"/>
              </w:rPr>
              <w:t> </w:t>
            </w:r>
            <w:r>
              <w:rPr>
                <w:sz w:val="16"/>
              </w:rPr>
              <w:t>EN</w:t>
            </w:r>
            <w:r>
              <w:rPr>
                <w:spacing w:val="-4"/>
                <w:sz w:val="16"/>
              </w:rPr>
              <w:t> </w:t>
            </w:r>
            <w:r>
              <w:rPr>
                <w:sz w:val="16"/>
              </w:rPr>
              <w:t>RUTA.</w:t>
            </w:r>
            <w:r>
              <w:rPr>
                <w:spacing w:val="-6"/>
                <w:sz w:val="16"/>
              </w:rPr>
              <w:t> </w:t>
            </w:r>
            <w:r>
              <w:rPr>
                <w:sz w:val="16"/>
              </w:rPr>
              <w:t>PORTAL</w:t>
            </w:r>
            <w:r>
              <w:rPr>
                <w:spacing w:val="-6"/>
                <w:sz w:val="16"/>
              </w:rPr>
              <w:t> </w:t>
            </w:r>
            <w:r>
              <w:rPr>
                <w:sz w:val="16"/>
              </w:rPr>
              <w:t>DEL</w:t>
            </w:r>
            <w:r>
              <w:rPr>
                <w:spacing w:val="-5"/>
                <w:sz w:val="16"/>
              </w:rPr>
              <w:t> </w:t>
            </w:r>
            <w:r>
              <w:rPr>
                <w:sz w:val="16"/>
              </w:rPr>
              <w:t>EMPLEADO,</w:t>
            </w:r>
            <w:r>
              <w:rPr>
                <w:spacing w:val="-5"/>
                <w:sz w:val="16"/>
              </w:rPr>
              <w:t> </w:t>
            </w:r>
            <w:r>
              <w:rPr>
                <w:sz w:val="16"/>
              </w:rPr>
              <w:t>CORREO</w:t>
            </w:r>
            <w:r>
              <w:rPr>
                <w:spacing w:val="-6"/>
                <w:sz w:val="16"/>
              </w:rPr>
              <w:t> </w:t>
            </w:r>
            <w:r>
              <w:rPr>
                <w:sz w:val="16"/>
              </w:rPr>
              <w:t>CORPORATIVO</w:t>
            </w:r>
            <w:r>
              <w:rPr>
                <w:spacing w:val="-7"/>
                <w:sz w:val="16"/>
              </w:rPr>
              <w:t> </w:t>
            </w:r>
            <w:r>
              <w:rPr>
                <w:sz w:val="16"/>
              </w:rPr>
              <w:t>E</w:t>
            </w:r>
            <w:r>
              <w:rPr>
                <w:spacing w:val="-2"/>
                <w:sz w:val="16"/>
              </w:rPr>
              <w:t> INTRANET</w:t>
            </w:r>
          </w:p>
        </w:tc>
        <w:tc>
          <w:tcPr>
            <w:tcW w:w="873" w:type="dxa"/>
          </w:tcPr>
          <w:p>
            <w:pPr>
              <w:pStyle w:val="TableParagraph"/>
              <w:spacing w:line="180" w:lineRule="exact"/>
              <w:ind w:left="61" w:right="6"/>
              <w:jc w:val="center"/>
              <w:rPr>
                <w:sz w:val="16"/>
              </w:rPr>
            </w:pPr>
            <w:r>
              <w:rPr>
                <w:spacing w:val="-4"/>
                <w:sz w:val="16"/>
              </w:rPr>
              <w:t>6,65</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FORO</w:t>
            </w:r>
            <w:r>
              <w:rPr>
                <w:spacing w:val="-6"/>
                <w:sz w:val="16"/>
              </w:rPr>
              <w:t> </w:t>
            </w:r>
            <w:r>
              <w:rPr>
                <w:sz w:val="16"/>
              </w:rPr>
              <w:t>RECURSOS</w:t>
            </w:r>
            <w:r>
              <w:rPr>
                <w:spacing w:val="-4"/>
                <w:sz w:val="16"/>
              </w:rPr>
              <w:t> </w:t>
            </w:r>
            <w:r>
              <w:rPr>
                <w:spacing w:val="-2"/>
                <w:sz w:val="16"/>
              </w:rPr>
              <w:t>HUMANOS</w:t>
            </w:r>
          </w:p>
        </w:tc>
        <w:tc>
          <w:tcPr>
            <w:tcW w:w="873" w:type="dxa"/>
          </w:tcPr>
          <w:p>
            <w:pPr>
              <w:pStyle w:val="TableParagraph"/>
              <w:spacing w:line="180" w:lineRule="exact"/>
              <w:ind w:left="58" w:right="6"/>
              <w:jc w:val="center"/>
              <w:rPr>
                <w:sz w:val="16"/>
              </w:rPr>
            </w:pPr>
            <w:r>
              <w:rPr>
                <w:spacing w:val="-2"/>
                <w:sz w:val="16"/>
              </w:rPr>
              <w:t>30,00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pacing w:val="-2"/>
                <w:sz w:val="16"/>
              </w:rPr>
              <w:t>FRENOMETRO</w:t>
            </w:r>
          </w:p>
        </w:tc>
        <w:tc>
          <w:tcPr>
            <w:tcW w:w="873" w:type="dxa"/>
          </w:tcPr>
          <w:p>
            <w:pPr>
              <w:pStyle w:val="TableParagraph"/>
              <w:spacing w:line="180" w:lineRule="exact"/>
              <w:ind w:left="58" w:right="6"/>
              <w:jc w:val="center"/>
              <w:rPr>
                <w:sz w:val="16"/>
              </w:rPr>
            </w:pPr>
            <w:r>
              <w:rPr>
                <w:spacing w:val="-2"/>
                <w:sz w:val="16"/>
              </w:rPr>
              <w:t>22,00</w:t>
            </w:r>
          </w:p>
        </w:tc>
      </w:tr>
      <w:tr>
        <w:trPr>
          <w:trHeight w:val="301"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GESTION</w:t>
            </w:r>
            <w:r>
              <w:rPr>
                <w:spacing w:val="-5"/>
                <w:sz w:val="16"/>
              </w:rPr>
              <w:t> </w:t>
            </w:r>
            <w:r>
              <w:rPr>
                <w:sz w:val="16"/>
              </w:rPr>
              <w:t>DE</w:t>
            </w:r>
            <w:r>
              <w:rPr>
                <w:spacing w:val="-5"/>
                <w:sz w:val="16"/>
              </w:rPr>
              <w:t> </w:t>
            </w:r>
            <w:r>
              <w:rPr>
                <w:sz w:val="16"/>
              </w:rPr>
              <w:t>SITUACIONES</w:t>
            </w:r>
            <w:r>
              <w:rPr>
                <w:spacing w:val="-2"/>
                <w:sz w:val="16"/>
              </w:rPr>
              <w:t> </w:t>
            </w:r>
            <w:r>
              <w:rPr>
                <w:sz w:val="16"/>
              </w:rPr>
              <w:t>DE</w:t>
            </w:r>
            <w:r>
              <w:rPr>
                <w:spacing w:val="-5"/>
                <w:sz w:val="16"/>
              </w:rPr>
              <w:t> </w:t>
            </w:r>
            <w:r>
              <w:rPr>
                <w:sz w:val="16"/>
              </w:rPr>
              <w:t>VIOLENCIA</w:t>
            </w:r>
            <w:r>
              <w:rPr>
                <w:spacing w:val="-4"/>
                <w:sz w:val="16"/>
              </w:rPr>
              <w:t> </w:t>
            </w:r>
            <w:r>
              <w:rPr>
                <w:sz w:val="16"/>
              </w:rPr>
              <w:t>LABORAL</w:t>
            </w:r>
            <w:r>
              <w:rPr>
                <w:spacing w:val="-5"/>
                <w:sz w:val="16"/>
              </w:rPr>
              <w:t> </w:t>
            </w:r>
            <w:r>
              <w:rPr>
                <w:sz w:val="16"/>
              </w:rPr>
              <w:t>EN</w:t>
            </w:r>
            <w:r>
              <w:rPr>
                <w:spacing w:val="-7"/>
                <w:sz w:val="16"/>
              </w:rPr>
              <w:t> </w:t>
            </w:r>
            <w:r>
              <w:rPr>
                <w:sz w:val="16"/>
              </w:rPr>
              <w:t>LA</w:t>
            </w:r>
            <w:r>
              <w:rPr>
                <w:spacing w:val="-4"/>
                <w:sz w:val="16"/>
              </w:rPr>
              <w:t> </w:t>
            </w:r>
            <w:r>
              <w:rPr>
                <w:sz w:val="16"/>
              </w:rPr>
              <w:t>ATENCION</w:t>
            </w:r>
            <w:r>
              <w:rPr>
                <w:spacing w:val="-6"/>
                <w:sz w:val="16"/>
              </w:rPr>
              <w:t> </w:t>
            </w:r>
            <w:r>
              <w:rPr>
                <w:sz w:val="16"/>
              </w:rPr>
              <w:t>AL</w:t>
            </w:r>
            <w:r>
              <w:rPr>
                <w:spacing w:val="-4"/>
                <w:sz w:val="16"/>
              </w:rPr>
              <w:t> </w:t>
            </w:r>
            <w:r>
              <w:rPr>
                <w:spacing w:val="-2"/>
                <w:sz w:val="16"/>
              </w:rPr>
              <w:t>PUBLICO</w:t>
            </w:r>
          </w:p>
        </w:tc>
        <w:tc>
          <w:tcPr>
            <w:tcW w:w="873" w:type="dxa"/>
          </w:tcPr>
          <w:p>
            <w:pPr>
              <w:pStyle w:val="TableParagraph"/>
              <w:spacing w:line="183" w:lineRule="exact"/>
              <w:ind w:left="61" w:right="6"/>
              <w:jc w:val="center"/>
              <w:rPr>
                <w:sz w:val="16"/>
              </w:rPr>
            </w:pPr>
            <w:r>
              <w:rPr>
                <w:spacing w:val="-4"/>
                <w:sz w:val="16"/>
              </w:rPr>
              <w:t>2,00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GESTION</w:t>
            </w:r>
            <w:r>
              <w:rPr>
                <w:spacing w:val="-3"/>
                <w:sz w:val="16"/>
              </w:rPr>
              <w:t> </w:t>
            </w:r>
            <w:r>
              <w:rPr>
                <w:sz w:val="16"/>
              </w:rPr>
              <w:t>DEL</w:t>
            </w:r>
            <w:r>
              <w:rPr>
                <w:spacing w:val="-2"/>
                <w:sz w:val="16"/>
              </w:rPr>
              <w:t> </w:t>
            </w:r>
            <w:r>
              <w:rPr>
                <w:sz w:val="16"/>
              </w:rPr>
              <w:t>CONFLICTO:</w:t>
            </w:r>
            <w:r>
              <w:rPr>
                <w:spacing w:val="-5"/>
                <w:sz w:val="16"/>
              </w:rPr>
              <w:t> </w:t>
            </w:r>
            <w:r>
              <w:rPr>
                <w:sz w:val="16"/>
              </w:rPr>
              <w:t>EL</w:t>
            </w:r>
            <w:r>
              <w:rPr>
                <w:spacing w:val="-5"/>
                <w:sz w:val="16"/>
              </w:rPr>
              <w:t> </w:t>
            </w:r>
            <w:r>
              <w:rPr>
                <w:sz w:val="16"/>
              </w:rPr>
              <w:t>IMPACTO</w:t>
            </w:r>
            <w:r>
              <w:rPr>
                <w:spacing w:val="-3"/>
                <w:sz w:val="16"/>
              </w:rPr>
              <w:t> </w:t>
            </w:r>
            <w:r>
              <w:rPr>
                <w:sz w:val="16"/>
              </w:rPr>
              <w:t>DEL</w:t>
            </w:r>
            <w:r>
              <w:rPr>
                <w:spacing w:val="-2"/>
                <w:sz w:val="16"/>
              </w:rPr>
              <w:t> </w:t>
            </w:r>
            <w:r>
              <w:rPr>
                <w:sz w:val="16"/>
              </w:rPr>
              <w:t>ROL</w:t>
            </w:r>
            <w:r>
              <w:rPr>
                <w:spacing w:val="-5"/>
                <w:sz w:val="16"/>
              </w:rPr>
              <w:t> </w:t>
            </w:r>
            <w:r>
              <w:rPr>
                <w:sz w:val="16"/>
              </w:rPr>
              <w:t>Y</w:t>
            </w:r>
            <w:r>
              <w:rPr>
                <w:spacing w:val="-1"/>
                <w:sz w:val="16"/>
              </w:rPr>
              <w:t> </w:t>
            </w:r>
            <w:r>
              <w:rPr>
                <w:sz w:val="16"/>
              </w:rPr>
              <w:t>LA</w:t>
            </w:r>
            <w:r>
              <w:rPr>
                <w:spacing w:val="-2"/>
                <w:sz w:val="16"/>
              </w:rPr>
              <w:t> FUNCION</w:t>
            </w:r>
          </w:p>
        </w:tc>
        <w:tc>
          <w:tcPr>
            <w:tcW w:w="873" w:type="dxa"/>
          </w:tcPr>
          <w:p>
            <w:pPr>
              <w:pStyle w:val="TableParagraph"/>
              <w:spacing w:line="180" w:lineRule="exact"/>
              <w:ind w:left="58" w:right="6"/>
              <w:jc w:val="center"/>
              <w:rPr>
                <w:sz w:val="16"/>
              </w:rPr>
            </w:pPr>
            <w:r>
              <w:rPr>
                <w:spacing w:val="-2"/>
                <w:sz w:val="16"/>
              </w:rPr>
              <w:t>36,00</w:t>
            </w:r>
          </w:p>
        </w:tc>
      </w:tr>
      <w:tr>
        <w:trPr>
          <w:trHeight w:val="299" w:hRule="atLeast"/>
        </w:trPr>
        <w:tc>
          <w:tcPr>
            <w:tcW w:w="854" w:type="dxa"/>
          </w:tcPr>
          <w:p>
            <w:pPr>
              <w:pStyle w:val="TableParagraph"/>
              <w:spacing w:line="168" w:lineRule="exact" w:before="111"/>
              <w:ind w:left="8"/>
              <w:jc w:val="center"/>
              <w:rPr>
                <w:sz w:val="16"/>
              </w:rPr>
            </w:pPr>
            <w:r>
              <w:rPr>
                <w:spacing w:val="-10"/>
                <w:sz w:val="16"/>
              </w:rPr>
              <w:t>2</w:t>
            </w:r>
          </w:p>
        </w:tc>
        <w:tc>
          <w:tcPr>
            <w:tcW w:w="6921" w:type="dxa"/>
          </w:tcPr>
          <w:p>
            <w:pPr>
              <w:pStyle w:val="TableParagraph"/>
              <w:spacing w:line="168" w:lineRule="exact" w:before="111"/>
              <w:ind w:left="67"/>
              <w:rPr>
                <w:sz w:val="16"/>
              </w:rPr>
            </w:pPr>
            <w:r>
              <w:rPr>
                <w:sz w:val="16"/>
              </w:rPr>
              <w:t>GESTION</w:t>
            </w:r>
            <w:r>
              <w:rPr>
                <w:spacing w:val="-3"/>
                <w:sz w:val="16"/>
              </w:rPr>
              <w:t> </w:t>
            </w:r>
            <w:r>
              <w:rPr>
                <w:sz w:val="16"/>
              </w:rPr>
              <w:t>DEL</w:t>
            </w:r>
            <w:r>
              <w:rPr>
                <w:spacing w:val="-5"/>
                <w:sz w:val="16"/>
              </w:rPr>
              <w:t> </w:t>
            </w:r>
            <w:r>
              <w:rPr>
                <w:spacing w:val="-2"/>
                <w:sz w:val="16"/>
              </w:rPr>
              <w:t>ESTRES</w:t>
            </w:r>
          </w:p>
        </w:tc>
        <w:tc>
          <w:tcPr>
            <w:tcW w:w="873" w:type="dxa"/>
          </w:tcPr>
          <w:p>
            <w:pPr>
              <w:pStyle w:val="TableParagraph"/>
              <w:spacing w:line="180" w:lineRule="exact"/>
              <w:ind w:left="58" w:right="6"/>
              <w:jc w:val="center"/>
              <w:rPr>
                <w:sz w:val="16"/>
              </w:rPr>
            </w:pPr>
            <w:r>
              <w:rPr>
                <w:spacing w:val="-2"/>
                <w:sz w:val="16"/>
              </w:rPr>
              <w:t>28,00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GRADO</w:t>
            </w:r>
            <w:r>
              <w:rPr>
                <w:spacing w:val="-7"/>
                <w:sz w:val="16"/>
              </w:rPr>
              <w:t> </w:t>
            </w:r>
            <w:r>
              <w:rPr>
                <w:sz w:val="16"/>
              </w:rPr>
              <w:t>ADMINISTRACION</w:t>
            </w:r>
            <w:r>
              <w:rPr>
                <w:spacing w:val="-7"/>
                <w:sz w:val="16"/>
              </w:rPr>
              <w:t> </w:t>
            </w:r>
            <w:r>
              <w:rPr>
                <w:sz w:val="16"/>
              </w:rPr>
              <w:t>Y</w:t>
            </w:r>
            <w:r>
              <w:rPr>
                <w:spacing w:val="-5"/>
                <w:sz w:val="16"/>
              </w:rPr>
              <w:t> </w:t>
            </w:r>
            <w:r>
              <w:rPr>
                <w:sz w:val="16"/>
              </w:rPr>
              <w:t>DIRECCION</w:t>
            </w:r>
            <w:r>
              <w:rPr>
                <w:spacing w:val="-5"/>
                <w:sz w:val="16"/>
              </w:rPr>
              <w:t> </w:t>
            </w:r>
            <w:r>
              <w:rPr>
                <w:sz w:val="16"/>
              </w:rPr>
              <w:t>DE</w:t>
            </w:r>
            <w:r>
              <w:rPr>
                <w:spacing w:val="-6"/>
                <w:sz w:val="16"/>
              </w:rPr>
              <w:t> </w:t>
            </w:r>
            <w:r>
              <w:rPr>
                <w:sz w:val="16"/>
              </w:rPr>
              <w:t>EMPRESAS</w:t>
            </w:r>
            <w:r>
              <w:rPr>
                <w:spacing w:val="-5"/>
                <w:sz w:val="16"/>
              </w:rPr>
              <w:t> </w:t>
            </w:r>
            <w:r>
              <w:rPr>
                <w:sz w:val="16"/>
              </w:rPr>
              <w:t>2024-</w:t>
            </w:r>
            <w:r>
              <w:rPr>
                <w:spacing w:val="-4"/>
                <w:sz w:val="16"/>
              </w:rPr>
              <w:t>2025</w:t>
            </w:r>
          </w:p>
        </w:tc>
        <w:tc>
          <w:tcPr>
            <w:tcW w:w="873" w:type="dxa"/>
          </w:tcPr>
          <w:p>
            <w:pPr>
              <w:pStyle w:val="TableParagraph"/>
              <w:spacing w:line="180" w:lineRule="exact"/>
              <w:ind w:left="60" w:right="6"/>
              <w:jc w:val="center"/>
              <w:rPr>
                <w:sz w:val="16"/>
              </w:rPr>
            </w:pPr>
            <w:r>
              <w:rPr>
                <w:spacing w:val="-2"/>
                <w:sz w:val="16"/>
              </w:rPr>
              <w:t>700,00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GRADO</w:t>
            </w:r>
            <w:r>
              <w:rPr>
                <w:spacing w:val="-7"/>
                <w:sz w:val="16"/>
              </w:rPr>
              <w:t> </w:t>
            </w:r>
            <w:r>
              <w:rPr>
                <w:sz w:val="16"/>
              </w:rPr>
              <w:t>ADMINISTRACION</w:t>
            </w:r>
            <w:r>
              <w:rPr>
                <w:spacing w:val="-7"/>
                <w:sz w:val="16"/>
              </w:rPr>
              <w:t> </w:t>
            </w:r>
            <w:r>
              <w:rPr>
                <w:sz w:val="16"/>
              </w:rPr>
              <w:t>Y</w:t>
            </w:r>
            <w:r>
              <w:rPr>
                <w:spacing w:val="-5"/>
                <w:sz w:val="16"/>
              </w:rPr>
              <w:t> </w:t>
            </w:r>
            <w:r>
              <w:rPr>
                <w:sz w:val="16"/>
              </w:rPr>
              <w:t>DIRECCION</w:t>
            </w:r>
            <w:r>
              <w:rPr>
                <w:spacing w:val="-5"/>
                <w:sz w:val="16"/>
              </w:rPr>
              <w:t> </w:t>
            </w:r>
            <w:r>
              <w:rPr>
                <w:sz w:val="16"/>
              </w:rPr>
              <w:t>DE</w:t>
            </w:r>
            <w:r>
              <w:rPr>
                <w:spacing w:val="-6"/>
                <w:sz w:val="16"/>
              </w:rPr>
              <w:t> </w:t>
            </w:r>
            <w:r>
              <w:rPr>
                <w:sz w:val="16"/>
              </w:rPr>
              <w:t>EMPRESAS</w:t>
            </w:r>
            <w:r>
              <w:rPr>
                <w:spacing w:val="-5"/>
                <w:sz w:val="16"/>
              </w:rPr>
              <w:t> </w:t>
            </w:r>
            <w:r>
              <w:rPr>
                <w:sz w:val="16"/>
              </w:rPr>
              <w:t>2025-</w:t>
            </w:r>
            <w:r>
              <w:rPr>
                <w:spacing w:val="-4"/>
                <w:sz w:val="16"/>
              </w:rPr>
              <w:t>2026</w:t>
            </w:r>
          </w:p>
        </w:tc>
        <w:tc>
          <w:tcPr>
            <w:tcW w:w="873" w:type="dxa"/>
          </w:tcPr>
          <w:p>
            <w:pPr>
              <w:pStyle w:val="TableParagraph"/>
              <w:spacing w:line="180" w:lineRule="exact"/>
              <w:ind w:left="60" w:right="6"/>
              <w:jc w:val="center"/>
              <w:rPr>
                <w:sz w:val="16"/>
              </w:rPr>
            </w:pPr>
            <w:r>
              <w:rPr>
                <w:spacing w:val="-2"/>
                <w:sz w:val="16"/>
              </w:rPr>
              <w:t>250,00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HABITOS</w:t>
            </w:r>
            <w:r>
              <w:rPr>
                <w:spacing w:val="-4"/>
                <w:sz w:val="16"/>
              </w:rPr>
              <w:t> </w:t>
            </w:r>
            <w:r>
              <w:rPr>
                <w:sz w:val="16"/>
              </w:rPr>
              <w:t>SALUDABLES</w:t>
            </w:r>
            <w:r>
              <w:rPr>
                <w:spacing w:val="-5"/>
                <w:sz w:val="16"/>
              </w:rPr>
              <w:t> </w:t>
            </w:r>
            <w:r>
              <w:rPr>
                <w:sz w:val="16"/>
              </w:rPr>
              <w:t>EN</w:t>
            </w:r>
            <w:r>
              <w:rPr>
                <w:spacing w:val="-2"/>
                <w:sz w:val="16"/>
              </w:rPr>
              <w:t> </w:t>
            </w:r>
            <w:r>
              <w:rPr>
                <w:sz w:val="16"/>
              </w:rPr>
              <w:t>EL</w:t>
            </w:r>
            <w:r>
              <w:rPr>
                <w:spacing w:val="-6"/>
                <w:sz w:val="16"/>
              </w:rPr>
              <w:t> </w:t>
            </w:r>
            <w:r>
              <w:rPr>
                <w:sz w:val="16"/>
              </w:rPr>
              <w:t>AMBITO</w:t>
            </w:r>
            <w:r>
              <w:rPr>
                <w:spacing w:val="-2"/>
                <w:sz w:val="16"/>
              </w:rPr>
              <w:t> LABORAL</w:t>
            </w:r>
          </w:p>
        </w:tc>
        <w:tc>
          <w:tcPr>
            <w:tcW w:w="873" w:type="dxa"/>
          </w:tcPr>
          <w:p>
            <w:pPr>
              <w:pStyle w:val="TableParagraph"/>
              <w:spacing w:line="180" w:lineRule="exact"/>
              <w:ind w:left="58" w:right="6"/>
              <w:jc w:val="center"/>
              <w:rPr>
                <w:sz w:val="16"/>
              </w:rPr>
            </w:pPr>
            <w:r>
              <w:rPr>
                <w:spacing w:val="-2"/>
                <w:sz w:val="16"/>
              </w:rPr>
              <w:t>22,00</w:t>
            </w:r>
          </w:p>
        </w:tc>
      </w:tr>
      <w:tr>
        <w:trPr>
          <w:trHeight w:val="301"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IA</w:t>
            </w:r>
            <w:r>
              <w:rPr>
                <w:spacing w:val="-3"/>
                <w:sz w:val="16"/>
              </w:rPr>
              <w:t> </w:t>
            </w:r>
            <w:r>
              <w:rPr>
                <w:sz w:val="16"/>
              </w:rPr>
              <w:t>Y CHATGPT</w:t>
            </w:r>
            <w:r>
              <w:rPr>
                <w:spacing w:val="-4"/>
                <w:sz w:val="16"/>
              </w:rPr>
              <w:t> </w:t>
            </w:r>
            <w:r>
              <w:rPr>
                <w:sz w:val="16"/>
              </w:rPr>
              <w:t>PARA</w:t>
            </w:r>
            <w:r>
              <w:rPr>
                <w:spacing w:val="1"/>
                <w:sz w:val="16"/>
              </w:rPr>
              <w:t> </w:t>
            </w:r>
            <w:r>
              <w:rPr>
                <w:spacing w:val="-4"/>
                <w:sz w:val="16"/>
              </w:rPr>
              <w:t>RRHH</w:t>
            </w:r>
          </w:p>
        </w:tc>
        <w:tc>
          <w:tcPr>
            <w:tcW w:w="873" w:type="dxa"/>
          </w:tcPr>
          <w:p>
            <w:pPr>
              <w:pStyle w:val="TableParagraph"/>
              <w:spacing w:line="183" w:lineRule="exact"/>
              <w:ind w:left="58" w:right="6"/>
              <w:jc w:val="center"/>
              <w:rPr>
                <w:sz w:val="16"/>
              </w:rPr>
            </w:pPr>
            <w:r>
              <w:rPr>
                <w:spacing w:val="-2"/>
                <w:sz w:val="16"/>
              </w:rPr>
              <w:t>15,00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IGUALDAD</w:t>
            </w:r>
            <w:r>
              <w:rPr>
                <w:spacing w:val="-8"/>
                <w:sz w:val="16"/>
              </w:rPr>
              <w:t> </w:t>
            </w:r>
            <w:r>
              <w:rPr>
                <w:sz w:val="16"/>
              </w:rPr>
              <w:t>DE</w:t>
            </w:r>
            <w:r>
              <w:rPr>
                <w:spacing w:val="-6"/>
                <w:sz w:val="16"/>
              </w:rPr>
              <w:t> </w:t>
            </w:r>
            <w:r>
              <w:rPr>
                <w:sz w:val="16"/>
              </w:rPr>
              <w:t>OPORTUNIDADES</w:t>
            </w:r>
            <w:r>
              <w:rPr>
                <w:spacing w:val="-5"/>
                <w:sz w:val="16"/>
              </w:rPr>
              <w:t> </w:t>
            </w:r>
            <w:r>
              <w:rPr>
                <w:sz w:val="16"/>
              </w:rPr>
              <w:t>EN</w:t>
            </w:r>
            <w:r>
              <w:rPr>
                <w:spacing w:val="-4"/>
                <w:sz w:val="16"/>
              </w:rPr>
              <w:t> </w:t>
            </w:r>
            <w:r>
              <w:rPr>
                <w:sz w:val="16"/>
              </w:rPr>
              <w:t>MATERIA</w:t>
            </w:r>
            <w:r>
              <w:rPr>
                <w:spacing w:val="-2"/>
                <w:sz w:val="16"/>
              </w:rPr>
              <w:t> </w:t>
            </w:r>
            <w:r>
              <w:rPr>
                <w:sz w:val="16"/>
              </w:rPr>
              <w:t>DE</w:t>
            </w:r>
            <w:r>
              <w:rPr>
                <w:spacing w:val="-4"/>
                <w:sz w:val="16"/>
              </w:rPr>
              <w:t> </w:t>
            </w:r>
            <w:r>
              <w:rPr>
                <w:spacing w:val="-2"/>
                <w:sz w:val="16"/>
              </w:rPr>
              <w:t>GENERO</w:t>
            </w:r>
          </w:p>
        </w:tc>
        <w:tc>
          <w:tcPr>
            <w:tcW w:w="873" w:type="dxa"/>
          </w:tcPr>
          <w:p>
            <w:pPr>
              <w:pStyle w:val="TableParagraph"/>
              <w:spacing w:line="180" w:lineRule="exact"/>
              <w:ind w:left="58" w:right="6"/>
              <w:jc w:val="center"/>
              <w:rPr>
                <w:sz w:val="16"/>
              </w:rPr>
            </w:pPr>
            <w:r>
              <w:rPr>
                <w:spacing w:val="-2"/>
                <w:sz w:val="16"/>
              </w:rPr>
              <w:t>22,00</w:t>
            </w:r>
          </w:p>
        </w:tc>
      </w:tr>
      <w:tr>
        <w:trPr>
          <w:trHeight w:val="299" w:hRule="atLeast"/>
        </w:trPr>
        <w:tc>
          <w:tcPr>
            <w:tcW w:w="854" w:type="dxa"/>
          </w:tcPr>
          <w:p>
            <w:pPr>
              <w:pStyle w:val="TableParagraph"/>
              <w:spacing w:line="168" w:lineRule="exact" w:before="111"/>
              <w:ind w:left="8"/>
              <w:jc w:val="center"/>
              <w:rPr>
                <w:sz w:val="16"/>
              </w:rPr>
            </w:pPr>
            <w:r>
              <w:rPr>
                <w:spacing w:val="-10"/>
                <w:sz w:val="16"/>
              </w:rPr>
              <w:t>2</w:t>
            </w:r>
          </w:p>
        </w:tc>
        <w:tc>
          <w:tcPr>
            <w:tcW w:w="6921" w:type="dxa"/>
          </w:tcPr>
          <w:p>
            <w:pPr>
              <w:pStyle w:val="TableParagraph"/>
              <w:spacing w:line="168" w:lineRule="exact" w:before="111"/>
              <w:ind w:left="67"/>
              <w:rPr>
                <w:sz w:val="16"/>
              </w:rPr>
            </w:pPr>
            <w:r>
              <w:rPr>
                <w:sz w:val="16"/>
              </w:rPr>
              <w:t>INICIALIZACION</w:t>
            </w:r>
            <w:r>
              <w:rPr>
                <w:spacing w:val="-8"/>
                <w:sz w:val="16"/>
              </w:rPr>
              <w:t> </w:t>
            </w:r>
            <w:r>
              <w:rPr>
                <w:sz w:val="16"/>
              </w:rPr>
              <w:t>MAN</w:t>
            </w:r>
            <w:r>
              <w:rPr>
                <w:spacing w:val="-4"/>
                <w:sz w:val="16"/>
              </w:rPr>
              <w:t> </w:t>
            </w:r>
            <w:r>
              <w:rPr>
                <w:spacing w:val="-2"/>
                <w:sz w:val="16"/>
              </w:rPr>
              <w:t>ELECTRICA</w:t>
            </w:r>
          </w:p>
        </w:tc>
        <w:tc>
          <w:tcPr>
            <w:tcW w:w="873" w:type="dxa"/>
          </w:tcPr>
          <w:p>
            <w:pPr>
              <w:pStyle w:val="TableParagraph"/>
              <w:spacing w:line="180" w:lineRule="exact"/>
              <w:ind w:left="58" w:right="6"/>
              <w:jc w:val="center"/>
              <w:rPr>
                <w:sz w:val="16"/>
              </w:rPr>
            </w:pPr>
            <w:r>
              <w:rPr>
                <w:spacing w:val="-2"/>
                <w:sz w:val="16"/>
              </w:rPr>
              <w:t>48,00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INTELIGENCIA</w:t>
            </w:r>
            <w:r>
              <w:rPr>
                <w:spacing w:val="-7"/>
                <w:sz w:val="16"/>
              </w:rPr>
              <w:t> </w:t>
            </w:r>
            <w:r>
              <w:rPr>
                <w:sz w:val="16"/>
              </w:rPr>
              <w:t>ARTIFICIAL</w:t>
            </w:r>
            <w:r>
              <w:rPr>
                <w:spacing w:val="-9"/>
                <w:sz w:val="16"/>
              </w:rPr>
              <w:t> </w:t>
            </w:r>
            <w:r>
              <w:rPr>
                <w:sz w:val="16"/>
              </w:rPr>
              <w:t>APLICADA</w:t>
            </w:r>
            <w:r>
              <w:rPr>
                <w:spacing w:val="-7"/>
                <w:sz w:val="16"/>
              </w:rPr>
              <w:t> </w:t>
            </w:r>
            <w:r>
              <w:rPr>
                <w:sz w:val="16"/>
              </w:rPr>
              <w:t>A</w:t>
            </w:r>
            <w:r>
              <w:rPr>
                <w:spacing w:val="-5"/>
                <w:sz w:val="16"/>
              </w:rPr>
              <w:t> </w:t>
            </w:r>
            <w:r>
              <w:rPr>
                <w:sz w:val="16"/>
              </w:rPr>
              <w:t>LA</w:t>
            </w:r>
            <w:r>
              <w:rPr>
                <w:spacing w:val="-4"/>
                <w:sz w:val="16"/>
              </w:rPr>
              <w:t> </w:t>
            </w:r>
            <w:r>
              <w:rPr>
                <w:sz w:val="16"/>
              </w:rPr>
              <w:t>CONTRATACION</w:t>
            </w:r>
            <w:r>
              <w:rPr>
                <w:spacing w:val="-7"/>
                <w:sz w:val="16"/>
              </w:rPr>
              <w:t> </w:t>
            </w:r>
            <w:r>
              <w:rPr>
                <w:spacing w:val="-2"/>
                <w:sz w:val="16"/>
              </w:rPr>
              <w:t>PUBLICA</w:t>
            </w:r>
          </w:p>
        </w:tc>
        <w:tc>
          <w:tcPr>
            <w:tcW w:w="873" w:type="dxa"/>
          </w:tcPr>
          <w:p>
            <w:pPr>
              <w:pStyle w:val="TableParagraph"/>
              <w:spacing w:line="180" w:lineRule="exact"/>
              <w:ind w:left="60" w:right="6"/>
              <w:jc w:val="center"/>
              <w:rPr>
                <w:sz w:val="16"/>
              </w:rPr>
            </w:pPr>
            <w:r>
              <w:rPr>
                <w:spacing w:val="-2"/>
                <w:sz w:val="16"/>
              </w:rPr>
              <w:t>840,00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INTELIGENCIA</w:t>
            </w:r>
            <w:r>
              <w:rPr>
                <w:spacing w:val="-8"/>
                <w:sz w:val="16"/>
              </w:rPr>
              <w:t> </w:t>
            </w:r>
            <w:r>
              <w:rPr>
                <w:sz w:val="16"/>
              </w:rPr>
              <w:t>ARTIFICIAL</w:t>
            </w:r>
            <w:r>
              <w:rPr>
                <w:spacing w:val="-7"/>
                <w:sz w:val="16"/>
              </w:rPr>
              <w:t> </w:t>
            </w:r>
            <w:r>
              <w:rPr>
                <w:sz w:val="16"/>
              </w:rPr>
              <w:t>Y</w:t>
            </w:r>
            <w:r>
              <w:rPr>
                <w:spacing w:val="-4"/>
                <w:sz w:val="16"/>
              </w:rPr>
              <w:t> </w:t>
            </w:r>
            <w:r>
              <w:rPr>
                <w:sz w:val="16"/>
              </w:rPr>
              <w:t>NUEVOS</w:t>
            </w:r>
            <w:r>
              <w:rPr>
                <w:spacing w:val="-3"/>
                <w:sz w:val="16"/>
              </w:rPr>
              <w:t> </w:t>
            </w:r>
            <w:r>
              <w:rPr>
                <w:sz w:val="16"/>
              </w:rPr>
              <w:t>RETOS</w:t>
            </w:r>
            <w:r>
              <w:rPr>
                <w:spacing w:val="-6"/>
                <w:sz w:val="16"/>
              </w:rPr>
              <w:t> </w:t>
            </w:r>
            <w:r>
              <w:rPr>
                <w:sz w:val="16"/>
              </w:rPr>
              <w:t>EN</w:t>
            </w:r>
            <w:r>
              <w:rPr>
                <w:spacing w:val="-4"/>
                <w:sz w:val="16"/>
              </w:rPr>
              <w:t> </w:t>
            </w:r>
            <w:r>
              <w:rPr>
                <w:sz w:val="16"/>
              </w:rPr>
              <w:t>TRANSPARENCIA</w:t>
            </w:r>
            <w:r>
              <w:rPr>
                <w:spacing w:val="-6"/>
                <w:sz w:val="16"/>
              </w:rPr>
              <w:t> </w:t>
            </w:r>
            <w:r>
              <w:rPr>
                <w:sz w:val="16"/>
              </w:rPr>
              <w:t>Y</w:t>
            </w:r>
            <w:r>
              <w:rPr>
                <w:spacing w:val="-4"/>
                <w:sz w:val="16"/>
              </w:rPr>
              <w:t> </w:t>
            </w:r>
            <w:r>
              <w:rPr>
                <w:sz w:val="16"/>
              </w:rPr>
              <w:t>PROTECCIÓN</w:t>
            </w:r>
            <w:r>
              <w:rPr>
                <w:spacing w:val="-4"/>
                <w:sz w:val="16"/>
              </w:rPr>
              <w:t> </w:t>
            </w:r>
            <w:r>
              <w:rPr>
                <w:spacing w:val="-5"/>
                <w:sz w:val="16"/>
              </w:rPr>
              <w:t>DE</w:t>
            </w:r>
          </w:p>
          <w:p>
            <w:pPr>
              <w:pStyle w:val="TableParagraph"/>
              <w:spacing w:line="168" w:lineRule="exact" w:before="1"/>
              <w:ind w:left="67"/>
              <w:rPr>
                <w:sz w:val="16"/>
              </w:rPr>
            </w:pPr>
            <w:r>
              <w:rPr>
                <w:spacing w:val="-2"/>
                <w:sz w:val="16"/>
              </w:rPr>
              <w:t>DATOS</w:t>
            </w:r>
          </w:p>
        </w:tc>
        <w:tc>
          <w:tcPr>
            <w:tcW w:w="873" w:type="dxa"/>
          </w:tcPr>
          <w:p>
            <w:pPr>
              <w:pStyle w:val="TableParagraph"/>
              <w:spacing w:line="180" w:lineRule="exact"/>
              <w:ind w:left="58" w:right="6"/>
              <w:jc w:val="center"/>
              <w:rPr>
                <w:sz w:val="16"/>
              </w:rPr>
            </w:pPr>
            <w:r>
              <w:rPr>
                <w:spacing w:val="-2"/>
                <w:sz w:val="16"/>
              </w:rPr>
              <w:t>11,00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IVECO</w:t>
            </w:r>
            <w:r>
              <w:rPr>
                <w:spacing w:val="-7"/>
                <w:sz w:val="16"/>
              </w:rPr>
              <w:t> </w:t>
            </w:r>
            <w:r>
              <w:rPr>
                <w:spacing w:val="-4"/>
                <w:sz w:val="16"/>
              </w:rPr>
              <w:t>EWAY</w:t>
            </w:r>
          </w:p>
        </w:tc>
        <w:tc>
          <w:tcPr>
            <w:tcW w:w="873" w:type="dxa"/>
          </w:tcPr>
          <w:p>
            <w:pPr>
              <w:pStyle w:val="TableParagraph"/>
              <w:spacing w:line="180" w:lineRule="exact"/>
              <w:ind w:left="58" w:right="6"/>
              <w:jc w:val="center"/>
              <w:rPr>
                <w:sz w:val="16"/>
              </w:rPr>
            </w:pPr>
            <w:r>
              <w:rPr>
                <w:spacing w:val="-2"/>
                <w:sz w:val="16"/>
              </w:rPr>
              <w:t>24,00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IVECO</w:t>
            </w:r>
            <w:r>
              <w:rPr>
                <w:spacing w:val="-6"/>
                <w:sz w:val="16"/>
              </w:rPr>
              <w:t> </w:t>
            </w:r>
            <w:r>
              <w:rPr>
                <w:sz w:val="16"/>
              </w:rPr>
              <w:t>E-WAY</w:t>
            </w:r>
            <w:r>
              <w:rPr>
                <w:spacing w:val="-3"/>
                <w:sz w:val="16"/>
              </w:rPr>
              <w:t> </w:t>
            </w:r>
            <w:r>
              <w:rPr>
                <w:sz w:val="16"/>
              </w:rPr>
              <w:t>9,5</w:t>
            </w:r>
            <w:r>
              <w:rPr>
                <w:spacing w:val="-2"/>
                <w:sz w:val="16"/>
              </w:rPr>
              <w:t> </w:t>
            </w:r>
            <w:r>
              <w:rPr>
                <w:spacing w:val="-4"/>
                <w:sz w:val="16"/>
              </w:rPr>
              <w:t>FREE</w:t>
            </w:r>
          </w:p>
        </w:tc>
        <w:tc>
          <w:tcPr>
            <w:tcW w:w="873" w:type="dxa"/>
          </w:tcPr>
          <w:p>
            <w:pPr>
              <w:pStyle w:val="TableParagraph"/>
              <w:spacing w:line="180" w:lineRule="exact"/>
              <w:ind w:left="60" w:right="6"/>
              <w:jc w:val="center"/>
              <w:rPr>
                <w:sz w:val="16"/>
              </w:rPr>
            </w:pPr>
            <w:r>
              <w:rPr>
                <w:spacing w:val="-2"/>
                <w:sz w:val="16"/>
              </w:rPr>
              <w:t>175,00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JORNADA</w:t>
            </w:r>
            <w:r>
              <w:rPr>
                <w:spacing w:val="-5"/>
                <w:sz w:val="16"/>
              </w:rPr>
              <w:t> </w:t>
            </w:r>
            <w:r>
              <w:rPr>
                <w:sz w:val="16"/>
              </w:rPr>
              <w:t>GESTION</w:t>
            </w:r>
            <w:r>
              <w:rPr>
                <w:spacing w:val="-4"/>
                <w:sz w:val="16"/>
              </w:rPr>
              <w:t> </w:t>
            </w:r>
            <w:r>
              <w:rPr>
                <w:sz w:val="16"/>
              </w:rPr>
              <w:t>DEL</w:t>
            </w:r>
            <w:r>
              <w:rPr>
                <w:spacing w:val="-3"/>
                <w:sz w:val="16"/>
              </w:rPr>
              <w:t> </w:t>
            </w:r>
            <w:r>
              <w:rPr>
                <w:sz w:val="16"/>
              </w:rPr>
              <w:t>CREDITO</w:t>
            </w:r>
            <w:r>
              <w:rPr>
                <w:spacing w:val="-2"/>
                <w:sz w:val="16"/>
              </w:rPr>
              <w:t> </w:t>
            </w:r>
            <w:r>
              <w:rPr>
                <w:sz w:val="16"/>
              </w:rPr>
              <w:t>EN</w:t>
            </w:r>
            <w:r>
              <w:rPr>
                <w:spacing w:val="-6"/>
                <w:sz w:val="16"/>
              </w:rPr>
              <w:t> </w:t>
            </w:r>
            <w:r>
              <w:rPr>
                <w:sz w:val="16"/>
              </w:rPr>
              <w:t>LAS</w:t>
            </w:r>
            <w:r>
              <w:rPr>
                <w:spacing w:val="-4"/>
                <w:sz w:val="16"/>
              </w:rPr>
              <w:t> </w:t>
            </w:r>
            <w:r>
              <w:rPr>
                <w:spacing w:val="-2"/>
                <w:sz w:val="16"/>
              </w:rPr>
              <w:t>EMPRESAS</w:t>
            </w:r>
          </w:p>
        </w:tc>
        <w:tc>
          <w:tcPr>
            <w:tcW w:w="873" w:type="dxa"/>
          </w:tcPr>
          <w:p>
            <w:pPr>
              <w:pStyle w:val="TableParagraph"/>
              <w:spacing w:line="180" w:lineRule="exact"/>
              <w:ind w:left="61" w:right="6"/>
              <w:jc w:val="center"/>
              <w:rPr>
                <w:sz w:val="16"/>
              </w:rPr>
            </w:pPr>
            <w:r>
              <w:rPr>
                <w:spacing w:val="-4"/>
                <w:sz w:val="16"/>
              </w:rPr>
              <w:t>3,00</w:t>
            </w:r>
          </w:p>
        </w:tc>
      </w:tr>
      <w:tr>
        <w:trPr>
          <w:trHeight w:val="299" w:hRule="atLeast"/>
        </w:trPr>
        <w:tc>
          <w:tcPr>
            <w:tcW w:w="854" w:type="dxa"/>
          </w:tcPr>
          <w:p>
            <w:pPr>
              <w:pStyle w:val="TableParagraph"/>
              <w:spacing w:line="166" w:lineRule="exact" w:before="113"/>
              <w:ind w:left="8" w:right="3"/>
              <w:jc w:val="center"/>
              <w:rPr>
                <w:sz w:val="16"/>
              </w:rPr>
            </w:pPr>
            <w:r>
              <w:rPr>
                <w:spacing w:val="-5"/>
                <w:sz w:val="16"/>
              </w:rPr>
              <w:t>12</w:t>
            </w:r>
          </w:p>
        </w:tc>
        <w:tc>
          <w:tcPr>
            <w:tcW w:w="6921" w:type="dxa"/>
          </w:tcPr>
          <w:p>
            <w:pPr>
              <w:pStyle w:val="TableParagraph"/>
              <w:spacing w:line="166" w:lineRule="exact" w:before="113"/>
              <w:ind w:left="67"/>
              <w:rPr>
                <w:sz w:val="16"/>
              </w:rPr>
            </w:pPr>
            <w:r>
              <w:rPr>
                <w:sz w:val="16"/>
              </w:rPr>
              <w:t>LA</w:t>
            </w:r>
            <w:r>
              <w:rPr>
                <w:spacing w:val="-3"/>
                <w:sz w:val="16"/>
              </w:rPr>
              <w:t> </w:t>
            </w:r>
            <w:r>
              <w:rPr>
                <w:sz w:val="16"/>
              </w:rPr>
              <w:t>IGUALDAD</w:t>
            </w:r>
            <w:r>
              <w:rPr>
                <w:spacing w:val="-6"/>
                <w:sz w:val="16"/>
              </w:rPr>
              <w:t> </w:t>
            </w:r>
            <w:r>
              <w:rPr>
                <w:sz w:val="16"/>
              </w:rPr>
              <w:t>EN LA</w:t>
            </w:r>
            <w:r>
              <w:rPr>
                <w:spacing w:val="-2"/>
                <w:sz w:val="16"/>
              </w:rPr>
              <w:t> EMPRESA</w:t>
            </w:r>
          </w:p>
        </w:tc>
        <w:tc>
          <w:tcPr>
            <w:tcW w:w="873" w:type="dxa"/>
          </w:tcPr>
          <w:p>
            <w:pPr>
              <w:pStyle w:val="TableParagraph"/>
              <w:spacing w:line="180" w:lineRule="exact"/>
              <w:ind w:left="60" w:right="6"/>
              <w:jc w:val="center"/>
              <w:rPr>
                <w:sz w:val="16"/>
              </w:rPr>
            </w:pPr>
            <w:r>
              <w:rPr>
                <w:spacing w:val="-2"/>
                <w:sz w:val="16"/>
              </w:rPr>
              <w:t>328,00</w:t>
            </w:r>
          </w:p>
        </w:tc>
      </w:tr>
    </w:tbl>
    <w:p>
      <w:pPr>
        <w:pStyle w:val="TableParagraph"/>
        <w:spacing w:after="0" w:line="180" w:lineRule="exact"/>
        <w:jc w:val="center"/>
        <w:rPr>
          <w:sz w:val="16"/>
        </w:rPr>
        <w:sectPr>
          <w:pgSz w:w="11910" w:h="16840"/>
          <w:pgMar w:header="384" w:footer="1060" w:top="1200" w:bottom="1260" w:left="360" w:right="360"/>
        </w:sectPr>
      </w:pPr>
    </w:p>
    <w:p>
      <w:pPr>
        <w:pStyle w:val="BodyText"/>
        <w:spacing w:before="6"/>
        <w:rPr>
          <w:sz w:val="18"/>
        </w:rPr>
      </w:pPr>
      <w:r>
        <w:rPr>
          <w:sz w:val="18"/>
        </w:rPr>
        <mc:AlternateContent>
          <mc:Choice Requires="wps">
            <w:drawing>
              <wp:anchor distT="0" distB="0" distL="0" distR="0" allowOverlap="1" layoutInCell="1" locked="0" behindDoc="0" simplePos="0" relativeHeight="15823872">
                <wp:simplePos x="0" y="0"/>
                <wp:positionH relativeFrom="page">
                  <wp:posOffset>6966436</wp:posOffset>
                </wp:positionH>
                <wp:positionV relativeFrom="page">
                  <wp:posOffset>6553363</wp:posOffset>
                </wp:positionV>
                <wp:extent cx="263525" cy="327596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23872" type="#_x0000_t202" id="docshape254"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55</w:t>
                      </w:r>
                      <w:r>
                        <w:rPr>
                          <w:spacing w:val="-6"/>
                          <w:sz w:val="12"/>
                        </w:rPr>
                        <w:t> </w:t>
                      </w:r>
                      <w:r>
                        <w:rPr>
                          <w:sz w:val="12"/>
                        </w:rPr>
                        <w:t>de</w:t>
                      </w:r>
                      <w:r>
                        <w:rPr>
                          <w:spacing w:val="-6"/>
                          <w:sz w:val="12"/>
                        </w:rPr>
                        <w:t> </w:t>
                      </w:r>
                      <w:r>
                        <w:rPr>
                          <w:spacing w:val="-5"/>
                          <w:sz w:val="12"/>
                        </w:rPr>
                        <w:t>69</w:t>
                      </w:r>
                    </w:p>
                  </w:txbxContent>
                </v:textbox>
                <w10:wrap type="none"/>
              </v:shape>
            </w:pict>
          </mc:Fallback>
        </mc:AlternateContent>
      </w:r>
    </w:p>
    <w:tbl>
      <w:tblPr>
        <w:tblW w:w="0" w:type="auto"/>
        <w:jc w:val="left"/>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
        <w:gridCol w:w="6921"/>
        <w:gridCol w:w="873"/>
      </w:tblGrid>
      <w:tr>
        <w:trPr>
          <w:trHeight w:val="299" w:hRule="atLeast"/>
        </w:trPr>
        <w:tc>
          <w:tcPr>
            <w:tcW w:w="854" w:type="dxa"/>
            <w:tcBorders>
              <w:top w:val="nil"/>
            </w:tcBorders>
          </w:tcPr>
          <w:p>
            <w:pPr>
              <w:pStyle w:val="TableParagraph"/>
              <w:spacing w:line="168" w:lineRule="exact" w:before="111"/>
              <w:ind w:left="8"/>
              <w:jc w:val="center"/>
              <w:rPr>
                <w:sz w:val="16"/>
              </w:rPr>
            </w:pPr>
            <w:r>
              <w:rPr>
                <w:spacing w:val="-10"/>
                <w:sz w:val="16"/>
              </w:rPr>
              <w:t>1</w:t>
            </w:r>
          </w:p>
        </w:tc>
        <w:tc>
          <w:tcPr>
            <w:tcW w:w="6921" w:type="dxa"/>
            <w:tcBorders>
              <w:top w:val="nil"/>
            </w:tcBorders>
          </w:tcPr>
          <w:p>
            <w:pPr>
              <w:pStyle w:val="TableParagraph"/>
              <w:spacing w:line="168" w:lineRule="exact" w:before="111"/>
              <w:ind w:left="67"/>
              <w:rPr>
                <w:sz w:val="16"/>
              </w:rPr>
            </w:pPr>
            <w:r>
              <w:rPr>
                <w:sz w:val="16"/>
              </w:rPr>
              <w:t>LIDERAZGO</w:t>
            </w:r>
            <w:r>
              <w:rPr>
                <w:spacing w:val="-6"/>
                <w:sz w:val="16"/>
              </w:rPr>
              <w:t> </w:t>
            </w:r>
            <w:r>
              <w:rPr>
                <w:sz w:val="16"/>
              </w:rPr>
              <w:t>Y</w:t>
            </w:r>
            <w:r>
              <w:rPr>
                <w:spacing w:val="-1"/>
                <w:sz w:val="16"/>
              </w:rPr>
              <w:t> </w:t>
            </w:r>
            <w:r>
              <w:rPr>
                <w:sz w:val="16"/>
              </w:rPr>
              <w:t>RESOLUCION</w:t>
            </w:r>
            <w:r>
              <w:rPr>
                <w:spacing w:val="-5"/>
                <w:sz w:val="16"/>
              </w:rPr>
              <w:t> </w:t>
            </w:r>
            <w:r>
              <w:rPr>
                <w:sz w:val="16"/>
              </w:rPr>
              <w:t>DE</w:t>
            </w:r>
            <w:r>
              <w:rPr>
                <w:spacing w:val="-4"/>
                <w:sz w:val="16"/>
              </w:rPr>
              <w:t> </w:t>
            </w:r>
            <w:r>
              <w:rPr>
                <w:spacing w:val="-2"/>
                <w:sz w:val="16"/>
              </w:rPr>
              <w:t>CONFLICTOS</w:t>
            </w:r>
          </w:p>
        </w:tc>
        <w:tc>
          <w:tcPr>
            <w:tcW w:w="873" w:type="dxa"/>
            <w:tcBorders>
              <w:top w:val="nil"/>
            </w:tcBorders>
          </w:tcPr>
          <w:p>
            <w:pPr>
              <w:pStyle w:val="TableParagraph"/>
              <w:spacing w:line="180" w:lineRule="exact"/>
              <w:ind w:left="60" w:right="6"/>
              <w:jc w:val="center"/>
              <w:rPr>
                <w:sz w:val="16"/>
              </w:rPr>
            </w:pPr>
            <w:r>
              <w:rPr>
                <w:spacing w:val="-2"/>
                <w:sz w:val="16"/>
              </w:rPr>
              <w:t>150,00</w:t>
            </w:r>
          </w:p>
        </w:tc>
      </w:tr>
      <w:tr>
        <w:trPr>
          <w:trHeight w:val="366" w:hRule="atLeast"/>
        </w:trPr>
        <w:tc>
          <w:tcPr>
            <w:tcW w:w="854" w:type="dxa"/>
          </w:tcPr>
          <w:p>
            <w:pPr>
              <w:pStyle w:val="TableParagraph"/>
              <w:spacing w:line="166"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LIDERAZGO,</w:t>
            </w:r>
            <w:r>
              <w:rPr>
                <w:spacing w:val="-7"/>
                <w:sz w:val="16"/>
              </w:rPr>
              <w:t> </w:t>
            </w:r>
            <w:r>
              <w:rPr>
                <w:sz w:val="16"/>
              </w:rPr>
              <w:t>GESTION</w:t>
            </w:r>
            <w:r>
              <w:rPr>
                <w:spacing w:val="-4"/>
                <w:sz w:val="16"/>
              </w:rPr>
              <w:t> </w:t>
            </w:r>
            <w:r>
              <w:rPr>
                <w:sz w:val="16"/>
              </w:rPr>
              <w:t>DE</w:t>
            </w:r>
            <w:r>
              <w:rPr>
                <w:spacing w:val="-5"/>
                <w:sz w:val="16"/>
              </w:rPr>
              <w:t> </w:t>
            </w:r>
            <w:r>
              <w:rPr>
                <w:sz w:val="16"/>
              </w:rPr>
              <w:t>EQUIPOS</w:t>
            </w:r>
            <w:r>
              <w:rPr>
                <w:spacing w:val="-5"/>
                <w:sz w:val="16"/>
              </w:rPr>
              <w:t> </w:t>
            </w:r>
            <w:r>
              <w:rPr>
                <w:sz w:val="16"/>
              </w:rPr>
              <w:t>Y</w:t>
            </w:r>
            <w:r>
              <w:rPr>
                <w:spacing w:val="-4"/>
                <w:sz w:val="16"/>
              </w:rPr>
              <w:t> </w:t>
            </w:r>
            <w:r>
              <w:rPr>
                <w:sz w:val="16"/>
              </w:rPr>
              <w:t>COMPETENCIAS</w:t>
            </w:r>
            <w:r>
              <w:rPr>
                <w:spacing w:val="-3"/>
                <w:sz w:val="16"/>
              </w:rPr>
              <w:t> </w:t>
            </w:r>
            <w:r>
              <w:rPr>
                <w:sz w:val="16"/>
              </w:rPr>
              <w:t>PERSONALES</w:t>
            </w:r>
            <w:r>
              <w:rPr>
                <w:spacing w:val="-5"/>
                <w:sz w:val="16"/>
              </w:rPr>
              <w:t> </w:t>
            </w:r>
            <w:r>
              <w:rPr>
                <w:sz w:val="16"/>
              </w:rPr>
              <w:t>EN</w:t>
            </w:r>
            <w:r>
              <w:rPr>
                <w:spacing w:val="-7"/>
                <w:sz w:val="16"/>
              </w:rPr>
              <w:t> </w:t>
            </w:r>
            <w:r>
              <w:rPr>
                <w:spacing w:val="-2"/>
                <w:sz w:val="16"/>
              </w:rPr>
              <w:t>COMPRA</w:t>
            </w:r>
          </w:p>
          <w:p>
            <w:pPr>
              <w:pStyle w:val="TableParagraph"/>
              <w:spacing w:line="166" w:lineRule="exact" w:before="1"/>
              <w:ind w:left="67"/>
              <w:rPr>
                <w:sz w:val="16"/>
              </w:rPr>
            </w:pPr>
            <w:r>
              <w:rPr>
                <w:spacing w:val="-2"/>
                <w:sz w:val="16"/>
              </w:rPr>
              <w:t>PUBLICA</w:t>
            </w:r>
          </w:p>
        </w:tc>
        <w:tc>
          <w:tcPr>
            <w:tcW w:w="873" w:type="dxa"/>
          </w:tcPr>
          <w:p>
            <w:pPr>
              <w:pStyle w:val="TableParagraph"/>
              <w:spacing w:line="180" w:lineRule="exact"/>
              <w:ind w:left="61" w:right="6"/>
              <w:jc w:val="center"/>
              <w:rPr>
                <w:sz w:val="16"/>
              </w:rPr>
            </w:pPr>
            <w:r>
              <w:rPr>
                <w:spacing w:val="-4"/>
                <w:sz w:val="16"/>
              </w:rPr>
              <w:t>7,00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MASTER</w:t>
            </w:r>
            <w:r>
              <w:rPr>
                <w:spacing w:val="-8"/>
                <w:sz w:val="16"/>
              </w:rPr>
              <w:t> </w:t>
            </w:r>
            <w:r>
              <w:rPr>
                <w:sz w:val="16"/>
              </w:rPr>
              <w:t>UNIVERSITARIO</w:t>
            </w:r>
            <w:r>
              <w:rPr>
                <w:spacing w:val="-6"/>
                <w:sz w:val="16"/>
              </w:rPr>
              <w:t> </w:t>
            </w:r>
            <w:r>
              <w:rPr>
                <w:sz w:val="16"/>
              </w:rPr>
              <w:t>EN</w:t>
            </w:r>
            <w:r>
              <w:rPr>
                <w:spacing w:val="-6"/>
                <w:sz w:val="16"/>
              </w:rPr>
              <w:t> </w:t>
            </w:r>
            <w:r>
              <w:rPr>
                <w:sz w:val="16"/>
              </w:rPr>
              <w:t>PEOPLE</w:t>
            </w:r>
            <w:r>
              <w:rPr>
                <w:spacing w:val="-5"/>
                <w:sz w:val="16"/>
              </w:rPr>
              <w:t> </w:t>
            </w:r>
            <w:r>
              <w:rPr>
                <w:sz w:val="16"/>
              </w:rPr>
              <w:t>ANALYTICS</w:t>
            </w:r>
            <w:r>
              <w:rPr>
                <w:spacing w:val="-6"/>
                <w:sz w:val="16"/>
              </w:rPr>
              <w:t> </w:t>
            </w:r>
            <w:r>
              <w:rPr>
                <w:sz w:val="16"/>
              </w:rPr>
              <w:t>Y</w:t>
            </w:r>
            <w:r>
              <w:rPr>
                <w:spacing w:val="-2"/>
                <w:sz w:val="16"/>
              </w:rPr>
              <w:t> </w:t>
            </w:r>
            <w:r>
              <w:rPr>
                <w:sz w:val="16"/>
              </w:rPr>
              <w:t>GESTION</w:t>
            </w:r>
            <w:r>
              <w:rPr>
                <w:spacing w:val="-9"/>
                <w:sz w:val="16"/>
              </w:rPr>
              <w:t> </w:t>
            </w:r>
            <w:r>
              <w:rPr>
                <w:sz w:val="16"/>
              </w:rPr>
              <w:t>DE</w:t>
            </w:r>
            <w:r>
              <w:rPr>
                <w:spacing w:val="-2"/>
                <w:sz w:val="16"/>
              </w:rPr>
              <w:t> </w:t>
            </w:r>
            <w:r>
              <w:rPr>
                <w:sz w:val="16"/>
              </w:rPr>
              <w:t>TALENTO</w:t>
            </w:r>
            <w:r>
              <w:rPr>
                <w:spacing w:val="-4"/>
                <w:sz w:val="16"/>
              </w:rPr>
              <w:t> </w:t>
            </w:r>
            <w:r>
              <w:rPr>
                <w:spacing w:val="-2"/>
                <w:sz w:val="16"/>
              </w:rPr>
              <w:t>DIGITAL</w:t>
            </w:r>
          </w:p>
        </w:tc>
        <w:tc>
          <w:tcPr>
            <w:tcW w:w="873" w:type="dxa"/>
          </w:tcPr>
          <w:p>
            <w:pPr>
              <w:pStyle w:val="TableParagraph"/>
              <w:spacing w:line="180" w:lineRule="exact"/>
              <w:ind w:left="56"/>
              <w:jc w:val="center"/>
              <w:rPr>
                <w:sz w:val="16"/>
              </w:rPr>
            </w:pPr>
            <w:r>
              <w:rPr>
                <w:spacing w:val="-2"/>
                <w:sz w:val="16"/>
              </w:rPr>
              <w:t>1.650,00</w:t>
            </w:r>
          </w:p>
        </w:tc>
      </w:tr>
      <w:tr>
        <w:trPr>
          <w:trHeight w:val="302" w:hRule="atLeast"/>
        </w:trPr>
        <w:tc>
          <w:tcPr>
            <w:tcW w:w="854" w:type="dxa"/>
          </w:tcPr>
          <w:p>
            <w:pPr>
              <w:pStyle w:val="TableParagraph"/>
              <w:spacing w:line="168" w:lineRule="exact" w:before="113"/>
              <w:ind w:left="8" w:right="3"/>
              <w:jc w:val="center"/>
              <w:rPr>
                <w:sz w:val="16"/>
              </w:rPr>
            </w:pPr>
            <w:r>
              <w:rPr>
                <w:spacing w:val="-5"/>
                <w:sz w:val="16"/>
              </w:rPr>
              <w:t>53</w:t>
            </w:r>
          </w:p>
        </w:tc>
        <w:tc>
          <w:tcPr>
            <w:tcW w:w="6921" w:type="dxa"/>
          </w:tcPr>
          <w:p>
            <w:pPr>
              <w:pStyle w:val="TableParagraph"/>
              <w:spacing w:line="168" w:lineRule="exact" w:before="113"/>
              <w:ind w:left="67"/>
              <w:rPr>
                <w:sz w:val="16"/>
              </w:rPr>
            </w:pPr>
            <w:r>
              <w:rPr>
                <w:sz w:val="16"/>
              </w:rPr>
              <w:t>MEJORA</w:t>
            </w:r>
            <w:r>
              <w:rPr>
                <w:spacing w:val="-6"/>
                <w:sz w:val="16"/>
              </w:rPr>
              <w:t> </w:t>
            </w:r>
            <w:r>
              <w:rPr>
                <w:sz w:val="16"/>
              </w:rPr>
              <w:t>DESTREZAS</w:t>
            </w:r>
            <w:r>
              <w:rPr>
                <w:spacing w:val="-1"/>
                <w:sz w:val="16"/>
              </w:rPr>
              <w:t> </w:t>
            </w:r>
            <w:r>
              <w:rPr>
                <w:sz w:val="16"/>
              </w:rPr>
              <w:t>COND</w:t>
            </w:r>
            <w:r>
              <w:rPr>
                <w:spacing w:val="-4"/>
                <w:sz w:val="16"/>
              </w:rPr>
              <w:t> </w:t>
            </w:r>
            <w:r>
              <w:rPr>
                <w:sz w:val="16"/>
              </w:rPr>
              <w:t>GUAGUAS</w:t>
            </w:r>
            <w:r>
              <w:rPr>
                <w:spacing w:val="-5"/>
                <w:sz w:val="16"/>
              </w:rPr>
              <w:t> </w:t>
            </w:r>
            <w:r>
              <w:rPr>
                <w:sz w:val="16"/>
              </w:rPr>
              <w:t>MAN</w:t>
            </w:r>
            <w:r>
              <w:rPr>
                <w:spacing w:val="-7"/>
                <w:sz w:val="16"/>
              </w:rPr>
              <w:t> </w:t>
            </w:r>
            <w:r>
              <w:rPr>
                <w:spacing w:val="-2"/>
                <w:sz w:val="16"/>
              </w:rPr>
              <w:t>ELECTRICAS</w:t>
            </w:r>
          </w:p>
        </w:tc>
        <w:tc>
          <w:tcPr>
            <w:tcW w:w="873" w:type="dxa"/>
          </w:tcPr>
          <w:p>
            <w:pPr>
              <w:pStyle w:val="TableParagraph"/>
              <w:spacing w:line="183" w:lineRule="exact"/>
              <w:ind w:left="56"/>
              <w:jc w:val="center"/>
              <w:rPr>
                <w:sz w:val="16"/>
              </w:rPr>
            </w:pPr>
            <w:r>
              <w:rPr>
                <w:spacing w:val="-2"/>
                <w:sz w:val="16"/>
              </w:rPr>
              <w:t>1.194,89</w:t>
            </w:r>
          </w:p>
        </w:tc>
      </w:tr>
      <w:tr>
        <w:trPr>
          <w:trHeight w:val="299" w:hRule="atLeast"/>
        </w:trPr>
        <w:tc>
          <w:tcPr>
            <w:tcW w:w="854" w:type="dxa"/>
          </w:tcPr>
          <w:p>
            <w:pPr>
              <w:pStyle w:val="TableParagraph"/>
              <w:spacing w:line="168" w:lineRule="exact" w:before="111"/>
              <w:ind w:left="8" w:right="3"/>
              <w:jc w:val="center"/>
              <w:rPr>
                <w:sz w:val="16"/>
              </w:rPr>
            </w:pPr>
            <w:r>
              <w:rPr>
                <w:spacing w:val="-5"/>
                <w:sz w:val="16"/>
              </w:rPr>
              <w:t>30</w:t>
            </w:r>
          </w:p>
        </w:tc>
        <w:tc>
          <w:tcPr>
            <w:tcW w:w="6921" w:type="dxa"/>
          </w:tcPr>
          <w:p>
            <w:pPr>
              <w:pStyle w:val="TableParagraph"/>
              <w:spacing w:line="168" w:lineRule="exact" w:before="111"/>
              <w:ind w:left="67"/>
              <w:rPr>
                <w:sz w:val="16"/>
              </w:rPr>
            </w:pPr>
            <w:r>
              <w:rPr>
                <w:sz w:val="16"/>
              </w:rPr>
              <w:t>MEJORA</w:t>
            </w:r>
            <w:r>
              <w:rPr>
                <w:spacing w:val="-8"/>
                <w:sz w:val="16"/>
              </w:rPr>
              <w:t> </w:t>
            </w:r>
            <w:r>
              <w:rPr>
                <w:sz w:val="16"/>
              </w:rPr>
              <w:t>DESTREZAS</w:t>
            </w:r>
            <w:r>
              <w:rPr>
                <w:spacing w:val="-4"/>
                <w:sz w:val="16"/>
              </w:rPr>
              <w:t> </w:t>
            </w:r>
            <w:r>
              <w:rPr>
                <w:sz w:val="16"/>
              </w:rPr>
              <w:t>PARA</w:t>
            </w:r>
            <w:r>
              <w:rPr>
                <w:spacing w:val="-8"/>
                <w:sz w:val="16"/>
              </w:rPr>
              <w:t> </w:t>
            </w:r>
            <w:r>
              <w:rPr>
                <w:sz w:val="16"/>
              </w:rPr>
              <w:t>LA</w:t>
            </w:r>
            <w:r>
              <w:rPr>
                <w:spacing w:val="-6"/>
                <w:sz w:val="16"/>
              </w:rPr>
              <w:t> </w:t>
            </w:r>
            <w:r>
              <w:rPr>
                <w:sz w:val="16"/>
              </w:rPr>
              <w:t>CONDUCCION</w:t>
            </w:r>
            <w:r>
              <w:rPr>
                <w:spacing w:val="-5"/>
                <w:sz w:val="16"/>
              </w:rPr>
              <w:t> </w:t>
            </w:r>
            <w:r>
              <w:rPr>
                <w:sz w:val="16"/>
              </w:rPr>
              <w:t>DE</w:t>
            </w:r>
            <w:r>
              <w:rPr>
                <w:spacing w:val="-5"/>
                <w:sz w:val="16"/>
              </w:rPr>
              <w:t> </w:t>
            </w:r>
            <w:r>
              <w:rPr>
                <w:sz w:val="16"/>
              </w:rPr>
              <w:t>GUAGUAS</w:t>
            </w:r>
            <w:r>
              <w:rPr>
                <w:spacing w:val="-5"/>
                <w:sz w:val="16"/>
              </w:rPr>
              <w:t> </w:t>
            </w:r>
            <w:r>
              <w:rPr>
                <w:sz w:val="16"/>
              </w:rPr>
              <w:t>ARTICULADAS</w:t>
            </w:r>
            <w:r>
              <w:rPr>
                <w:spacing w:val="-3"/>
                <w:sz w:val="16"/>
              </w:rPr>
              <w:t> </w:t>
            </w:r>
            <w:r>
              <w:rPr>
                <w:sz w:val="16"/>
              </w:rPr>
              <w:t>18</w:t>
            </w:r>
            <w:r>
              <w:rPr>
                <w:spacing w:val="-4"/>
                <w:sz w:val="16"/>
              </w:rPr>
              <w:t> </w:t>
            </w:r>
            <w:r>
              <w:rPr>
                <w:spacing w:val="-2"/>
                <w:sz w:val="16"/>
              </w:rPr>
              <w:t>METROS</w:t>
            </w:r>
          </w:p>
        </w:tc>
        <w:tc>
          <w:tcPr>
            <w:tcW w:w="873" w:type="dxa"/>
          </w:tcPr>
          <w:p>
            <w:pPr>
              <w:pStyle w:val="TableParagraph"/>
              <w:spacing w:line="180" w:lineRule="exact"/>
              <w:ind w:left="60" w:right="6"/>
              <w:jc w:val="center"/>
              <w:rPr>
                <w:sz w:val="16"/>
              </w:rPr>
            </w:pPr>
            <w:r>
              <w:rPr>
                <w:spacing w:val="-2"/>
                <w:sz w:val="16"/>
              </w:rPr>
              <w:t>670,50</w:t>
            </w:r>
          </w:p>
        </w:tc>
      </w:tr>
      <w:tr>
        <w:trPr>
          <w:trHeight w:val="366" w:hRule="atLeast"/>
        </w:trPr>
        <w:tc>
          <w:tcPr>
            <w:tcW w:w="854" w:type="dxa"/>
          </w:tcPr>
          <w:p>
            <w:pPr>
              <w:pStyle w:val="TableParagraph"/>
              <w:spacing w:line="166" w:lineRule="exact" w:before="181"/>
              <w:ind w:left="8" w:right="1"/>
              <w:jc w:val="center"/>
              <w:rPr>
                <w:sz w:val="16"/>
              </w:rPr>
            </w:pPr>
            <w:r>
              <w:rPr>
                <w:spacing w:val="-5"/>
                <w:sz w:val="16"/>
              </w:rPr>
              <w:t>113</w:t>
            </w:r>
          </w:p>
        </w:tc>
        <w:tc>
          <w:tcPr>
            <w:tcW w:w="6921" w:type="dxa"/>
          </w:tcPr>
          <w:p>
            <w:pPr>
              <w:pStyle w:val="TableParagraph"/>
              <w:spacing w:line="180" w:lineRule="exact"/>
              <w:ind w:left="67"/>
              <w:rPr>
                <w:sz w:val="16"/>
              </w:rPr>
            </w:pPr>
            <w:r>
              <w:rPr>
                <w:sz w:val="16"/>
              </w:rPr>
              <w:t>MEJORA</w:t>
            </w:r>
            <w:r>
              <w:rPr>
                <w:spacing w:val="-8"/>
                <w:sz w:val="16"/>
              </w:rPr>
              <w:t> </w:t>
            </w:r>
            <w:r>
              <w:rPr>
                <w:sz w:val="16"/>
              </w:rPr>
              <w:t>DESTREZAS</w:t>
            </w:r>
            <w:r>
              <w:rPr>
                <w:spacing w:val="-4"/>
                <w:sz w:val="16"/>
              </w:rPr>
              <w:t> </w:t>
            </w:r>
            <w:r>
              <w:rPr>
                <w:sz w:val="16"/>
              </w:rPr>
              <w:t>PARA</w:t>
            </w:r>
            <w:r>
              <w:rPr>
                <w:spacing w:val="-7"/>
                <w:sz w:val="16"/>
              </w:rPr>
              <w:t> </w:t>
            </w:r>
            <w:r>
              <w:rPr>
                <w:sz w:val="16"/>
              </w:rPr>
              <w:t>LA</w:t>
            </w:r>
            <w:r>
              <w:rPr>
                <w:spacing w:val="-8"/>
                <w:sz w:val="16"/>
              </w:rPr>
              <w:t> </w:t>
            </w:r>
            <w:r>
              <w:rPr>
                <w:sz w:val="16"/>
              </w:rPr>
              <w:t>CONDUCCION</w:t>
            </w:r>
            <w:r>
              <w:rPr>
                <w:spacing w:val="-4"/>
                <w:sz w:val="16"/>
              </w:rPr>
              <w:t> </w:t>
            </w:r>
            <w:r>
              <w:rPr>
                <w:sz w:val="16"/>
              </w:rPr>
              <w:t>DE</w:t>
            </w:r>
            <w:r>
              <w:rPr>
                <w:spacing w:val="-5"/>
                <w:sz w:val="16"/>
              </w:rPr>
              <w:t> </w:t>
            </w:r>
            <w:r>
              <w:rPr>
                <w:sz w:val="16"/>
              </w:rPr>
              <w:t>GUAGUAS</w:t>
            </w:r>
            <w:r>
              <w:rPr>
                <w:spacing w:val="-7"/>
                <w:sz w:val="16"/>
              </w:rPr>
              <w:t> </w:t>
            </w:r>
            <w:r>
              <w:rPr>
                <w:sz w:val="16"/>
              </w:rPr>
              <w:t>ARTICULADAS</w:t>
            </w:r>
            <w:r>
              <w:rPr>
                <w:spacing w:val="-2"/>
                <w:sz w:val="16"/>
              </w:rPr>
              <w:t> MERCEDES</w:t>
            </w:r>
          </w:p>
          <w:p>
            <w:pPr>
              <w:pStyle w:val="TableParagraph"/>
              <w:spacing w:line="166" w:lineRule="exact" w:before="1"/>
              <w:ind w:left="67"/>
              <w:rPr>
                <w:sz w:val="16"/>
              </w:rPr>
            </w:pPr>
            <w:r>
              <w:rPr>
                <w:sz w:val="16"/>
              </w:rPr>
              <w:t>CAPACITY</w:t>
            </w:r>
            <w:r>
              <w:rPr>
                <w:spacing w:val="-2"/>
                <w:sz w:val="16"/>
              </w:rPr>
              <w:t> </w:t>
            </w:r>
            <w:r>
              <w:rPr>
                <w:sz w:val="16"/>
              </w:rPr>
              <w:t>21</w:t>
            </w:r>
            <w:r>
              <w:rPr>
                <w:spacing w:val="-1"/>
                <w:sz w:val="16"/>
              </w:rPr>
              <w:t> </w:t>
            </w:r>
            <w:r>
              <w:rPr>
                <w:spacing w:val="-2"/>
                <w:sz w:val="16"/>
              </w:rPr>
              <w:t>METROS</w:t>
            </w:r>
          </w:p>
        </w:tc>
        <w:tc>
          <w:tcPr>
            <w:tcW w:w="873" w:type="dxa"/>
          </w:tcPr>
          <w:p>
            <w:pPr>
              <w:pStyle w:val="TableParagraph"/>
              <w:spacing w:line="180" w:lineRule="exact"/>
              <w:ind w:left="56"/>
              <w:jc w:val="center"/>
              <w:rPr>
                <w:sz w:val="16"/>
              </w:rPr>
            </w:pPr>
            <w:r>
              <w:rPr>
                <w:spacing w:val="-2"/>
                <w:sz w:val="16"/>
              </w:rPr>
              <w:t>1.595,08</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NEGOCIAR</w:t>
            </w:r>
            <w:r>
              <w:rPr>
                <w:spacing w:val="-3"/>
                <w:sz w:val="16"/>
              </w:rPr>
              <w:t> </w:t>
            </w:r>
            <w:r>
              <w:rPr>
                <w:sz w:val="16"/>
              </w:rPr>
              <w:t>CON</w:t>
            </w:r>
            <w:r>
              <w:rPr>
                <w:spacing w:val="-6"/>
                <w:sz w:val="16"/>
              </w:rPr>
              <w:t> </w:t>
            </w:r>
            <w:r>
              <w:rPr>
                <w:sz w:val="16"/>
              </w:rPr>
              <w:t>EFICACIA</w:t>
            </w:r>
            <w:r>
              <w:rPr>
                <w:spacing w:val="-5"/>
                <w:sz w:val="16"/>
              </w:rPr>
              <w:t> </w:t>
            </w:r>
            <w:r>
              <w:rPr>
                <w:sz w:val="16"/>
              </w:rPr>
              <w:t>Y </w:t>
            </w:r>
            <w:r>
              <w:rPr>
                <w:spacing w:val="-2"/>
                <w:sz w:val="16"/>
              </w:rPr>
              <w:t>CREATIVIDAD</w:t>
            </w:r>
          </w:p>
        </w:tc>
        <w:tc>
          <w:tcPr>
            <w:tcW w:w="873" w:type="dxa"/>
          </w:tcPr>
          <w:p>
            <w:pPr>
              <w:pStyle w:val="TableParagraph"/>
              <w:spacing w:line="180" w:lineRule="exact"/>
              <w:ind w:left="58" w:right="6"/>
              <w:jc w:val="center"/>
              <w:rPr>
                <w:sz w:val="16"/>
              </w:rPr>
            </w:pPr>
            <w:r>
              <w:rPr>
                <w:spacing w:val="-2"/>
                <w:sz w:val="16"/>
              </w:rPr>
              <w:t>30,00</w:t>
            </w:r>
          </w:p>
        </w:tc>
      </w:tr>
      <w:tr>
        <w:trPr>
          <w:trHeight w:val="302" w:hRule="atLeast"/>
        </w:trPr>
        <w:tc>
          <w:tcPr>
            <w:tcW w:w="854" w:type="dxa"/>
          </w:tcPr>
          <w:p>
            <w:pPr>
              <w:pStyle w:val="TableParagraph"/>
              <w:spacing w:line="168" w:lineRule="exact" w:before="113"/>
              <w:ind w:left="8"/>
              <w:jc w:val="center"/>
              <w:rPr>
                <w:sz w:val="16"/>
              </w:rPr>
            </w:pPr>
            <w:r>
              <w:rPr>
                <w:spacing w:val="-10"/>
                <w:sz w:val="16"/>
              </w:rPr>
              <w:t>4</w:t>
            </w:r>
          </w:p>
        </w:tc>
        <w:tc>
          <w:tcPr>
            <w:tcW w:w="6921" w:type="dxa"/>
          </w:tcPr>
          <w:p>
            <w:pPr>
              <w:pStyle w:val="TableParagraph"/>
              <w:spacing w:line="168" w:lineRule="exact" w:before="113"/>
              <w:ind w:left="67"/>
              <w:rPr>
                <w:sz w:val="16"/>
              </w:rPr>
            </w:pPr>
            <w:r>
              <w:rPr>
                <w:sz w:val="16"/>
              </w:rPr>
              <w:t>OFIMATICA:</w:t>
            </w:r>
            <w:r>
              <w:rPr>
                <w:spacing w:val="-7"/>
                <w:sz w:val="16"/>
              </w:rPr>
              <w:t> </w:t>
            </w:r>
            <w:r>
              <w:rPr>
                <w:sz w:val="16"/>
              </w:rPr>
              <w:t>WORD,</w:t>
            </w:r>
            <w:r>
              <w:rPr>
                <w:spacing w:val="-3"/>
                <w:sz w:val="16"/>
              </w:rPr>
              <w:t> </w:t>
            </w:r>
            <w:r>
              <w:rPr>
                <w:sz w:val="16"/>
              </w:rPr>
              <w:t>EXCEL</w:t>
            </w:r>
            <w:r>
              <w:rPr>
                <w:spacing w:val="-2"/>
                <w:sz w:val="16"/>
              </w:rPr>
              <w:t> </w:t>
            </w:r>
            <w:r>
              <w:rPr>
                <w:sz w:val="16"/>
              </w:rPr>
              <w:t>Y</w:t>
            </w:r>
            <w:r>
              <w:rPr>
                <w:spacing w:val="-3"/>
                <w:sz w:val="16"/>
              </w:rPr>
              <w:t> </w:t>
            </w:r>
            <w:r>
              <w:rPr>
                <w:spacing w:val="-2"/>
                <w:sz w:val="16"/>
              </w:rPr>
              <w:t>ZIMBRA</w:t>
            </w:r>
          </w:p>
        </w:tc>
        <w:tc>
          <w:tcPr>
            <w:tcW w:w="873" w:type="dxa"/>
          </w:tcPr>
          <w:p>
            <w:pPr>
              <w:pStyle w:val="TableParagraph"/>
              <w:spacing w:line="183" w:lineRule="exact"/>
              <w:ind w:left="58" w:right="6"/>
              <w:jc w:val="center"/>
              <w:rPr>
                <w:sz w:val="16"/>
              </w:rPr>
            </w:pPr>
            <w:r>
              <w:rPr>
                <w:spacing w:val="-2"/>
                <w:sz w:val="16"/>
              </w:rPr>
              <w:t>40,00</w:t>
            </w:r>
          </w:p>
        </w:tc>
      </w:tr>
      <w:tr>
        <w:trPr>
          <w:trHeight w:val="366" w:hRule="atLeast"/>
        </w:trPr>
        <w:tc>
          <w:tcPr>
            <w:tcW w:w="854" w:type="dxa"/>
          </w:tcPr>
          <w:p>
            <w:pPr>
              <w:pStyle w:val="TableParagraph"/>
              <w:spacing w:line="168" w:lineRule="exact" w:before="178"/>
              <w:ind w:left="8"/>
              <w:jc w:val="center"/>
              <w:rPr>
                <w:sz w:val="16"/>
              </w:rPr>
            </w:pPr>
            <w:r>
              <w:rPr>
                <w:spacing w:val="-10"/>
                <w:sz w:val="16"/>
              </w:rPr>
              <w:t>1</w:t>
            </w:r>
          </w:p>
        </w:tc>
        <w:tc>
          <w:tcPr>
            <w:tcW w:w="6921" w:type="dxa"/>
          </w:tcPr>
          <w:p>
            <w:pPr>
              <w:pStyle w:val="TableParagraph"/>
              <w:spacing w:line="182" w:lineRule="exact"/>
              <w:ind w:left="67"/>
              <w:rPr>
                <w:sz w:val="16"/>
              </w:rPr>
            </w:pPr>
            <w:r>
              <w:rPr>
                <w:sz w:val="16"/>
              </w:rPr>
              <w:t>OPERADOR</w:t>
            </w:r>
            <w:r>
              <w:rPr>
                <w:spacing w:val="-4"/>
                <w:sz w:val="16"/>
              </w:rPr>
              <w:t> </w:t>
            </w:r>
            <w:r>
              <w:rPr>
                <w:sz w:val="16"/>
              </w:rPr>
              <w:t>DE</w:t>
            </w:r>
            <w:r>
              <w:rPr>
                <w:spacing w:val="-5"/>
                <w:sz w:val="16"/>
              </w:rPr>
              <w:t> </w:t>
            </w:r>
            <w:r>
              <w:rPr>
                <w:sz w:val="16"/>
              </w:rPr>
              <w:t>CARRETILLAS</w:t>
            </w:r>
            <w:r>
              <w:rPr>
                <w:spacing w:val="-7"/>
                <w:sz w:val="16"/>
              </w:rPr>
              <w:t> </w:t>
            </w:r>
            <w:r>
              <w:rPr>
                <w:sz w:val="16"/>
              </w:rPr>
              <w:t>DE</w:t>
            </w:r>
            <w:r>
              <w:rPr>
                <w:spacing w:val="-4"/>
                <w:sz w:val="16"/>
              </w:rPr>
              <w:t> </w:t>
            </w:r>
            <w:r>
              <w:rPr>
                <w:sz w:val="16"/>
              </w:rPr>
              <w:t>MANUTENCION</w:t>
            </w:r>
            <w:r>
              <w:rPr>
                <w:spacing w:val="-4"/>
                <w:sz w:val="16"/>
              </w:rPr>
              <w:t> </w:t>
            </w:r>
            <w:r>
              <w:rPr>
                <w:sz w:val="16"/>
              </w:rPr>
              <w:t>HASTA</w:t>
            </w:r>
            <w:r>
              <w:rPr>
                <w:spacing w:val="-2"/>
                <w:sz w:val="16"/>
              </w:rPr>
              <w:t> </w:t>
            </w:r>
            <w:r>
              <w:rPr>
                <w:sz w:val="16"/>
              </w:rPr>
              <w:t>10.000</w:t>
            </w:r>
            <w:r>
              <w:rPr>
                <w:spacing w:val="-3"/>
                <w:sz w:val="16"/>
              </w:rPr>
              <w:t> </w:t>
            </w:r>
            <w:r>
              <w:rPr>
                <w:sz w:val="16"/>
              </w:rPr>
              <w:t>KG</w:t>
            </w:r>
            <w:r>
              <w:rPr>
                <w:spacing w:val="-4"/>
                <w:sz w:val="16"/>
              </w:rPr>
              <w:t> </w:t>
            </w:r>
            <w:r>
              <w:rPr>
                <w:sz w:val="16"/>
              </w:rPr>
              <w:t>NORMA</w:t>
            </w:r>
            <w:r>
              <w:rPr>
                <w:spacing w:val="-5"/>
                <w:sz w:val="16"/>
              </w:rPr>
              <w:t> </w:t>
            </w:r>
            <w:r>
              <w:rPr>
                <w:sz w:val="16"/>
              </w:rPr>
              <w:t>UNE</w:t>
            </w:r>
            <w:r>
              <w:rPr>
                <w:spacing w:val="-2"/>
                <w:sz w:val="16"/>
              </w:rPr>
              <w:t> </w:t>
            </w:r>
            <w:r>
              <w:rPr>
                <w:sz w:val="16"/>
              </w:rPr>
              <w:t>58451 CATEGORIA II - TIPO 4</w:t>
            </w:r>
          </w:p>
        </w:tc>
        <w:tc>
          <w:tcPr>
            <w:tcW w:w="873" w:type="dxa"/>
          </w:tcPr>
          <w:p>
            <w:pPr>
              <w:pStyle w:val="TableParagraph"/>
              <w:spacing w:line="180" w:lineRule="exact"/>
              <w:ind w:left="58" w:right="6"/>
              <w:jc w:val="center"/>
              <w:rPr>
                <w:sz w:val="16"/>
              </w:rPr>
            </w:pPr>
            <w:r>
              <w:rPr>
                <w:spacing w:val="-2"/>
                <w:sz w:val="16"/>
              </w:rPr>
              <w:t>36,00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PREVENCION</w:t>
            </w:r>
            <w:r>
              <w:rPr>
                <w:spacing w:val="-8"/>
                <w:sz w:val="16"/>
              </w:rPr>
              <w:t> </w:t>
            </w:r>
            <w:r>
              <w:rPr>
                <w:sz w:val="16"/>
              </w:rPr>
              <w:t>DE</w:t>
            </w:r>
            <w:r>
              <w:rPr>
                <w:spacing w:val="-2"/>
                <w:sz w:val="16"/>
              </w:rPr>
              <w:t> </w:t>
            </w:r>
            <w:r>
              <w:rPr>
                <w:sz w:val="16"/>
              </w:rPr>
              <w:t>LOS</w:t>
            </w:r>
            <w:r>
              <w:rPr>
                <w:spacing w:val="-4"/>
                <w:sz w:val="16"/>
              </w:rPr>
              <w:t> </w:t>
            </w:r>
            <w:r>
              <w:rPr>
                <w:sz w:val="16"/>
              </w:rPr>
              <w:t>RIESGOS</w:t>
            </w:r>
            <w:r>
              <w:rPr>
                <w:spacing w:val="-5"/>
                <w:sz w:val="16"/>
              </w:rPr>
              <w:t> </w:t>
            </w:r>
            <w:r>
              <w:rPr>
                <w:spacing w:val="-2"/>
                <w:sz w:val="16"/>
              </w:rPr>
              <w:t>PSICOSOCIALES</w:t>
            </w:r>
          </w:p>
        </w:tc>
        <w:tc>
          <w:tcPr>
            <w:tcW w:w="873" w:type="dxa"/>
          </w:tcPr>
          <w:p>
            <w:pPr>
              <w:pStyle w:val="TableParagraph"/>
              <w:spacing w:line="180" w:lineRule="exact"/>
              <w:ind w:left="61" w:right="6"/>
              <w:jc w:val="center"/>
              <w:rPr>
                <w:sz w:val="16"/>
              </w:rPr>
            </w:pPr>
            <w:r>
              <w:rPr>
                <w:spacing w:val="-4"/>
                <w:sz w:val="16"/>
              </w:rPr>
              <w:t>2,00</w:t>
            </w:r>
          </w:p>
        </w:tc>
      </w:tr>
      <w:tr>
        <w:trPr>
          <w:trHeight w:val="299" w:hRule="atLeast"/>
        </w:trPr>
        <w:tc>
          <w:tcPr>
            <w:tcW w:w="854" w:type="dxa"/>
          </w:tcPr>
          <w:p>
            <w:pPr>
              <w:pStyle w:val="TableParagraph"/>
              <w:spacing w:line="166" w:lineRule="exact" w:before="113"/>
              <w:ind w:left="8"/>
              <w:jc w:val="center"/>
              <w:rPr>
                <w:sz w:val="16"/>
              </w:rPr>
            </w:pPr>
            <w:r>
              <w:rPr>
                <w:spacing w:val="-10"/>
                <w:sz w:val="16"/>
              </w:rPr>
              <w:t>2</w:t>
            </w:r>
          </w:p>
        </w:tc>
        <w:tc>
          <w:tcPr>
            <w:tcW w:w="6921" w:type="dxa"/>
          </w:tcPr>
          <w:p>
            <w:pPr>
              <w:pStyle w:val="TableParagraph"/>
              <w:spacing w:line="166" w:lineRule="exact" w:before="113"/>
              <w:ind w:left="67"/>
              <w:rPr>
                <w:sz w:val="16"/>
              </w:rPr>
            </w:pPr>
            <w:r>
              <w:rPr>
                <w:sz w:val="16"/>
              </w:rPr>
              <w:t>PREVENCION</w:t>
            </w:r>
            <w:r>
              <w:rPr>
                <w:spacing w:val="-7"/>
                <w:sz w:val="16"/>
              </w:rPr>
              <w:t> </w:t>
            </w:r>
            <w:r>
              <w:rPr>
                <w:sz w:val="16"/>
              </w:rPr>
              <w:t>DE RIESGOS</w:t>
            </w:r>
            <w:r>
              <w:rPr>
                <w:spacing w:val="-5"/>
                <w:sz w:val="16"/>
              </w:rPr>
              <w:t> </w:t>
            </w:r>
            <w:r>
              <w:rPr>
                <w:sz w:val="16"/>
              </w:rPr>
              <w:t>EN</w:t>
            </w:r>
            <w:r>
              <w:rPr>
                <w:spacing w:val="-4"/>
                <w:sz w:val="16"/>
              </w:rPr>
              <w:t> </w:t>
            </w:r>
            <w:r>
              <w:rPr>
                <w:sz w:val="16"/>
              </w:rPr>
              <w:t>LA </w:t>
            </w:r>
            <w:r>
              <w:rPr>
                <w:spacing w:val="-2"/>
                <w:sz w:val="16"/>
              </w:rPr>
              <w:t>CONDUCCION</w:t>
            </w:r>
          </w:p>
        </w:tc>
        <w:tc>
          <w:tcPr>
            <w:tcW w:w="873" w:type="dxa"/>
          </w:tcPr>
          <w:p>
            <w:pPr>
              <w:pStyle w:val="TableParagraph"/>
              <w:spacing w:line="180" w:lineRule="exact"/>
              <w:ind w:left="58" w:right="6"/>
              <w:jc w:val="center"/>
              <w:rPr>
                <w:sz w:val="16"/>
              </w:rPr>
            </w:pPr>
            <w:r>
              <w:rPr>
                <w:spacing w:val="-2"/>
                <w:sz w:val="16"/>
              </w:rPr>
              <w:t>20,00</w:t>
            </w:r>
          </w:p>
        </w:tc>
      </w:tr>
      <w:tr>
        <w:trPr>
          <w:trHeight w:val="302" w:hRule="atLeast"/>
        </w:trPr>
        <w:tc>
          <w:tcPr>
            <w:tcW w:w="854" w:type="dxa"/>
          </w:tcPr>
          <w:p>
            <w:pPr>
              <w:pStyle w:val="TableParagraph"/>
              <w:spacing w:line="168" w:lineRule="exact" w:before="113"/>
              <w:ind w:left="8"/>
              <w:jc w:val="center"/>
              <w:rPr>
                <w:sz w:val="16"/>
              </w:rPr>
            </w:pPr>
            <w:r>
              <w:rPr>
                <w:spacing w:val="-10"/>
                <w:sz w:val="16"/>
              </w:rPr>
              <w:t>4</w:t>
            </w:r>
          </w:p>
        </w:tc>
        <w:tc>
          <w:tcPr>
            <w:tcW w:w="6921" w:type="dxa"/>
          </w:tcPr>
          <w:p>
            <w:pPr>
              <w:pStyle w:val="TableParagraph"/>
              <w:spacing w:line="168" w:lineRule="exact" w:before="113"/>
              <w:ind w:left="67"/>
              <w:rPr>
                <w:sz w:val="16"/>
              </w:rPr>
            </w:pPr>
            <w:r>
              <w:rPr>
                <w:sz w:val="16"/>
              </w:rPr>
              <w:t>PRIMEROS</w:t>
            </w:r>
            <w:r>
              <w:rPr>
                <w:spacing w:val="-5"/>
                <w:sz w:val="16"/>
              </w:rPr>
              <w:t> </w:t>
            </w:r>
            <w:r>
              <w:rPr>
                <w:spacing w:val="-2"/>
                <w:sz w:val="16"/>
              </w:rPr>
              <w:t>AUXILIOS</w:t>
            </w:r>
          </w:p>
        </w:tc>
        <w:tc>
          <w:tcPr>
            <w:tcW w:w="873" w:type="dxa"/>
          </w:tcPr>
          <w:p>
            <w:pPr>
              <w:pStyle w:val="TableParagraph"/>
              <w:spacing w:line="183" w:lineRule="exact"/>
              <w:ind w:left="58" w:right="6"/>
              <w:jc w:val="center"/>
              <w:rPr>
                <w:sz w:val="16"/>
              </w:rPr>
            </w:pPr>
            <w:r>
              <w:rPr>
                <w:spacing w:val="-2"/>
                <w:sz w:val="16"/>
              </w:rPr>
              <w:t>44,00</w:t>
            </w:r>
          </w:p>
        </w:tc>
      </w:tr>
      <w:tr>
        <w:trPr>
          <w:trHeight w:val="299" w:hRule="atLeast"/>
        </w:trPr>
        <w:tc>
          <w:tcPr>
            <w:tcW w:w="854" w:type="dxa"/>
          </w:tcPr>
          <w:p>
            <w:pPr>
              <w:pStyle w:val="TableParagraph"/>
              <w:spacing w:line="168" w:lineRule="exact" w:before="111"/>
              <w:ind w:left="8"/>
              <w:jc w:val="center"/>
              <w:rPr>
                <w:sz w:val="16"/>
              </w:rPr>
            </w:pPr>
            <w:r>
              <w:rPr>
                <w:spacing w:val="-10"/>
                <w:sz w:val="16"/>
              </w:rPr>
              <w:t>2</w:t>
            </w:r>
          </w:p>
        </w:tc>
        <w:tc>
          <w:tcPr>
            <w:tcW w:w="6921" w:type="dxa"/>
          </w:tcPr>
          <w:p>
            <w:pPr>
              <w:pStyle w:val="TableParagraph"/>
              <w:spacing w:line="168" w:lineRule="exact" w:before="111"/>
              <w:ind w:left="67"/>
              <w:rPr>
                <w:sz w:val="16"/>
              </w:rPr>
            </w:pPr>
            <w:r>
              <w:rPr>
                <w:sz w:val="16"/>
              </w:rPr>
              <w:t>PRL EN</w:t>
            </w:r>
            <w:r>
              <w:rPr>
                <w:spacing w:val="-3"/>
                <w:sz w:val="16"/>
              </w:rPr>
              <w:t> </w:t>
            </w:r>
            <w:r>
              <w:rPr>
                <w:sz w:val="16"/>
              </w:rPr>
              <w:t>EL</w:t>
            </w:r>
            <w:r>
              <w:rPr>
                <w:spacing w:val="-2"/>
                <w:sz w:val="16"/>
              </w:rPr>
              <w:t> TELETRABAJO</w:t>
            </w:r>
          </w:p>
        </w:tc>
        <w:tc>
          <w:tcPr>
            <w:tcW w:w="873" w:type="dxa"/>
          </w:tcPr>
          <w:p>
            <w:pPr>
              <w:pStyle w:val="TableParagraph"/>
              <w:spacing w:line="180" w:lineRule="exact"/>
              <w:ind w:left="61" w:right="6"/>
              <w:jc w:val="center"/>
              <w:rPr>
                <w:sz w:val="16"/>
              </w:rPr>
            </w:pPr>
            <w:r>
              <w:rPr>
                <w:spacing w:val="-4"/>
                <w:sz w:val="16"/>
              </w:rPr>
              <w:t>4,00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PROGRAMA</w:t>
            </w:r>
            <w:r>
              <w:rPr>
                <w:spacing w:val="-7"/>
                <w:sz w:val="16"/>
              </w:rPr>
              <w:t> </w:t>
            </w:r>
            <w:r>
              <w:rPr>
                <w:sz w:val="16"/>
              </w:rPr>
              <w:t>GESTION</w:t>
            </w:r>
            <w:r>
              <w:rPr>
                <w:spacing w:val="-2"/>
                <w:sz w:val="16"/>
              </w:rPr>
              <w:t> </w:t>
            </w:r>
            <w:r>
              <w:rPr>
                <w:sz w:val="16"/>
              </w:rPr>
              <w:t>DE</w:t>
            </w:r>
            <w:r>
              <w:rPr>
                <w:spacing w:val="-5"/>
                <w:sz w:val="16"/>
              </w:rPr>
              <w:t> </w:t>
            </w:r>
            <w:r>
              <w:rPr>
                <w:sz w:val="16"/>
              </w:rPr>
              <w:t>LA</w:t>
            </w:r>
            <w:r>
              <w:rPr>
                <w:spacing w:val="-5"/>
                <w:sz w:val="16"/>
              </w:rPr>
              <w:t> </w:t>
            </w:r>
            <w:r>
              <w:rPr>
                <w:sz w:val="16"/>
              </w:rPr>
              <w:t>INNOVACION</w:t>
            </w:r>
            <w:r>
              <w:rPr>
                <w:spacing w:val="-4"/>
                <w:sz w:val="16"/>
              </w:rPr>
              <w:t> </w:t>
            </w:r>
            <w:r>
              <w:rPr>
                <w:sz w:val="16"/>
              </w:rPr>
              <w:t>EN</w:t>
            </w:r>
            <w:r>
              <w:rPr>
                <w:spacing w:val="-5"/>
                <w:sz w:val="16"/>
              </w:rPr>
              <w:t> </w:t>
            </w:r>
            <w:r>
              <w:rPr>
                <w:sz w:val="16"/>
              </w:rPr>
              <w:t>EMPRESAS</w:t>
            </w:r>
            <w:r>
              <w:rPr>
                <w:spacing w:val="-3"/>
                <w:sz w:val="16"/>
              </w:rPr>
              <w:t> </w:t>
            </w:r>
            <w:r>
              <w:rPr>
                <w:sz w:val="16"/>
              </w:rPr>
              <w:t>DE</w:t>
            </w:r>
            <w:r>
              <w:rPr>
                <w:spacing w:val="-7"/>
                <w:sz w:val="16"/>
              </w:rPr>
              <w:t> </w:t>
            </w:r>
            <w:r>
              <w:rPr>
                <w:sz w:val="16"/>
              </w:rPr>
              <w:t>SERVICIOS</w:t>
            </w:r>
            <w:r>
              <w:rPr>
                <w:spacing w:val="-5"/>
                <w:sz w:val="16"/>
              </w:rPr>
              <w:t> </w:t>
            </w:r>
            <w:r>
              <w:rPr>
                <w:spacing w:val="-2"/>
                <w:sz w:val="16"/>
              </w:rPr>
              <w:t>PUBLICOS</w:t>
            </w:r>
          </w:p>
        </w:tc>
        <w:tc>
          <w:tcPr>
            <w:tcW w:w="873" w:type="dxa"/>
          </w:tcPr>
          <w:p>
            <w:pPr>
              <w:pStyle w:val="TableParagraph"/>
              <w:spacing w:line="180" w:lineRule="exact"/>
              <w:ind w:left="58" w:right="6"/>
              <w:jc w:val="center"/>
              <w:rPr>
                <w:sz w:val="16"/>
              </w:rPr>
            </w:pPr>
            <w:r>
              <w:rPr>
                <w:spacing w:val="-2"/>
                <w:sz w:val="16"/>
              </w:rPr>
              <w:t>60,00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PROTECCION</w:t>
            </w:r>
            <w:r>
              <w:rPr>
                <w:spacing w:val="-8"/>
                <w:sz w:val="16"/>
              </w:rPr>
              <w:t> </w:t>
            </w:r>
            <w:r>
              <w:rPr>
                <w:sz w:val="16"/>
              </w:rPr>
              <w:t>CONTRA</w:t>
            </w:r>
            <w:r>
              <w:rPr>
                <w:spacing w:val="-6"/>
                <w:sz w:val="16"/>
              </w:rPr>
              <w:t> </w:t>
            </w:r>
            <w:r>
              <w:rPr>
                <w:sz w:val="16"/>
              </w:rPr>
              <w:t>INCENDIOS</w:t>
            </w:r>
            <w:r>
              <w:rPr>
                <w:spacing w:val="-6"/>
                <w:sz w:val="16"/>
              </w:rPr>
              <w:t> </w:t>
            </w:r>
            <w:r>
              <w:rPr>
                <w:sz w:val="16"/>
              </w:rPr>
              <w:t>PARA</w:t>
            </w:r>
            <w:r>
              <w:rPr>
                <w:spacing w:val="-6"/>
                <w:sz w:val="16"/>
              </w:rPr>
              <w:t> </w:t>
            </w:r>
            <w:r>
              <w:rPr>
                <w:sz w:val="16"/>
              </w:rPr>
              <w:t>EQUIPOS</w:t>
            </w:r>
            <w:r>
              <w:rPr>
                <w:spacing w:val="-4"/>
                <w:sz w:val="16"/>
              </w:rPr>
              <w:t> </w:t>
            </w:r>
            <w:r>
              <w:rPr>
                <w:sz w:val="16"/>
              </w:rPr>
              <w:t>DE</w:t>
            </w:r>
            <w:r>
              <w:rPr>
                <w:spacing w:val="-5"/>
                <w:sz w:val="16"/>
              </w:rPr>
              <w:t> </w:t>
            </w:r>
            <w:r>
              <w:rPr>
                <w:sz w:val="16"/>
              </w:rPr>
              <w:t>PRIMERA</w:t>
            </w:r>
            <w:r>
              <w:rPr>
                <w:spacing w:val="-5"/>
                <w:sz w:val="16"/>
              </w:rPr>
              <w:t> </w:t>
            </w:r>
            <w:r>
              <w:rPr>
                <w:spacing w:val="-2"/>
                <w:sz w:val="16"/>
              </w:rPr>
              <w:t>INTERVENCION</w:t>
            </w:r>
          </w:p>
        </w:tc>
        <w:tc>
          <w:tcPr>
            <w:tcW w:w="873" w:type="dxa"/>
          </w:tcPr>
          <w:p>
            <w:pPr>
              <w:pStyle w:val="TableParagraph"/>
              <w:spacing w:line="180" w:lineRule="exact"/>
              <w:ind w:left="58" w:right="6"/>
              <w:jc w:val="center"/>
              <w:rPr>
                <w:sz w:val="16"/>
              </w:rPr>
            </w:pPr>
            <w:r>
              <w:rPr>
                <w:spacing w:val="-2"/>
                <w:sz w:val="16"/>
              </w:rPr>
              <w:t>48,00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REANIMACION</w:t>
            </w:r>
            <w:r>
              <w:rPr>
                <w:spacing w:val="-6"/>
                <w:sz w:val="16"/>
              </w:rPr>
              <w:t> </w:t>
            </w:r>
            <w:r>
              <w:rPr>
                <w:sz w:val="16"/>
              </w:rPr>
              <w:t>CARDIO</w:t>
            </w:r>
            <w:r>
              <w:rPr>
                <w:spacing w:val="-7"/>
                <w:sz w:val="16"/>
              </w:rPr>
              <w:t> </w:t>
            </w:r>
            <w:r>
              <w:rPr>
                <w:sz w:val="16"/>
              </w:rPr>
              <w:t>PULMONAR</w:t>
            </w:r>
            <w:r>
              <w:rPr>
                <w:spacing w:val="-6"/>
                <w:sz w:val="16"/>
              </w:rPr>
              <w:t> </w:t>
            </w:r>
            <w:r>
              <w:rPr>
                <w:sz w:val="16"/>
              </w:rPr>
              <w:t>Y</w:t>
            </w:r>
            <w:r>
              <w:rPr>
                <w:spacing w:val="-4"/>
                <w:sz w:val="16"/>
              </w:rPr>
              <w:t> </w:t>
            </w:r>
            <w:r>
              <w:rPr>
                <w:sz w:val="16"/>
              </w:rPr>
              <w:t>PRIMEROS</w:t>
            </w:r>
            <w:r>
              <w:rPr>
                <w:spacing w:val="-6"/>
                <w:sz w:val="16"/>
              </w:rPr>
              <w:t> </w:t>
            </w:r>
            <w:r>
              <w:rPr>
                <w:spacing w:val="-2"/>
                <w:sz w:val="16"/>
              </w:rPr>
              <w:t>AUXILIOS</w:t>
            </w:r>
          </w:p>
        </w:tc>
        <w:tc>
          <w:tcPr>
            <w:tcW w:w="873" w:type="dxa"/>
          </w:tcPr>
          <w:p>
            <w:pPr>
              <w:pStyle w:val="TableParagraph"/>
              <w:spacing w:line="180" w:lineRule="exact"/>
              <w:ind w:left="61" w:right="6"/>
              <w:jc w:val="center"/>
              <w:rPr>
                <w:sz w:val="16"/>
              </w:rPr>
            </w:pPr>
            <w:r>
              <w:rPr>
                <w:spacing w:val="-4"/>
                <w:sz w:val="16"/>
              </w:rPr>
              <w:t>3,00</w:t>
            </w:r>
          </w:p>
        </w:tc>
      </w:tr>
      <w:tr>
        <w:trPr>
          <w:trHeight w:val="299" w:hRule="atLeast"/>
        </w:trPr>
        <w:tc>
          <w:tcPr>
            <w:tcW w:w="854" w:type="dxa"/>
          </w:tcPr>
          <w:p>
            <w:pPr>
              <w:pStyle w:val="TableParagraph"/>
              <w:spacing w:line="166" w:lineRule="exact" w:before="113"/>
              <w:ind w:left="8"/>
              <w:jc w:val="center"/>
              <w:rPr>
                <w:sz w:val="16"/>
              </w:rPr>
            </w:pPr>
            <w:r>
              <w:rPr>
                <w:spacing w:val="-10"/>
                <w:sz w:val="16"/>
              </w:rPr>
              <w:t>7</w:t>
            </w:r>
          </w:p>
        </w:tc>
        <w:tc>
          <w:tcPr>
            <w:tcW w:w="6921" w:type="dxa"/>
          </w:tcPr>
          <w:p>
            <w:pPr>
              <w:pStyle w:val="TableParagraph"/>
              <w:spacing w:line="166" w:lineRule="exact" w:before="113"/>
              <w:ind w:left="67"/>
              <w:rPr>
                <w:sz w:val="16"/>
              </w:rPr>
            </w:pPr>
            <w:r>
              <w:rPr>
                <w:sz w:val="16"/>
              </w:rPr>
              <w:t>REGLAMENTO</w:t>
            </w:r>
            <w:r>
              <w:rPr>
                <w:spacing w:val="-9"/>
                <w:sz w:val="16"/>
              </w:rPr>
              <w:t> </w:t>
            </w:r>
            <w:r>
              <w:rPr>
                <w:sz w:val="16"/>
              </w:rPr>
              <w:t>GENERAL</w:t>
            </w:r>
            <w:r>
              <w:rPr>
                <w:spacing w:val="-5"/>
                <w:sz w:val="16"/>
              </w:rPr>
              <w:t> </w:t>
            </w:r>
            <w:r>
              <w:rPr>
                <w:sz w:val="16"/>
              </w:rPr>
              <w:t>DE</w:t>
            </w:r>
            <w:r>
              <w:rPr>
                <w:spacing w:val="-5"/>
                <w:sz w:val="16"/>
              </w:rPr>
              <w:t> </w:t>
            </w:r>
            <w:r>
              <w:rPr>
                <w:sz w:val="16"/>
              </w:rPr>
              <w:t>PROTECCION</w:t>
            </w:r>
            <w:r>
              <w:rPr>
                <w:spacing w:val="-5"/>
                <w:sz w:val="16"/>
              </w:rPr>
              <w:t> </w:t>
            </w:r>
            <w:r>
              <w:rPr>
                <w:sz w:val="16"/>
              </w:rPr>
              <w:t>DE</w:t>
            </w:r>
            <w:r>
              <w:rPr>
                <w:spacing w:val="-2"/>
                <w:sz w:val="16"/>
              </w:rPr>
              <w:t> </w:t>
            </w:r>
            <w:r>
              <w:rPr>
                <w:sz w:val="16"/>
              </w:rPr>
              <w:t>DATOS</w:t>
            </w:r>
            <w:r>
              <w:rPr>
                <w:spacing w:val="-7"/>
                <w:sz w:val="16"/>
              </w:rPr>
              <w:t> </w:t>
            </w:r>
            <w:r>
              <w:rPr>
                <w:sz w:val="16"/>
              </w:rPr>
              <w:t>E</w:t>
            </w:r>
            <w:r>
              <w:rPr>
                <w:spacing w:val="-4"/>
                <w:sz w:val="16"/>
              </w:rPr>
              <w:t> </w:t>
            </w:r>
            <w:r>
              <w:rPr>
                <w:sz w:val="16"/>
              </w:rPr>
              <w:t>INTELIGENCIA</w:t>
            </w:r>
            <w:r>
              <w:rPr>
                <w:spacing w:val="-5"/>
                <w:sz w:val="16"/>
              </w:rPr>
              <w:t> </w:t>
            </w:r>
            <w:r>
              <w:rPr>
                <w:spacing w:val="-2"/>
                <w:sz w:val="16"/>
              </w:rPr>
              <w:t>ARTIFICIAL</w:t>
            </w:r>
          </w:p>
        </w:tc>
        <w:tc>
          <w:tcPr>
            <w:tcW w:w="873" w:type="dxa"/>
          </w:tcPr>
          <w:p>
            <w:pPr>
              <w:pStyle w:val="TableParagraph"/>
              <w:spacing w:line="180" w:lineRule="exact"/>
              <w:ind w:left="58" w:right="6"/>
              <w:jc w:val="center"/>
              <w:rPr>
                <w:sz w:val="16"/>
              </w:rPr>
            </w:pPr>
            <w:r>
              <w:rPr>
                <w:spacing w:val="-2"/>
                <w:sz w:val="16"/>
              </w:rPr>
              <w:t>41,25</w:t>
            </w:r>
          </w:p>
        </w:tc>
      </w:tr>
      <w:tr>
        <w:trPr>
          <w:trHeight w:val="301"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RESPONSABILIDADES</w:t>
            </w:r>
            <w:r>
              <w:rPr>
                <w:spacing w:val="-5"/>
                <w:sz w:val="16"/>
              </w:rPr>
              <w:t> </w:t>
            </w:r>
            <w:r>
              <w:rPr>
                <w:sz w:val="16"/>
              </w:rPr>
              <w:t>EN</w:t>
            </w:r>
            <w:r>
              <w:rPr>
                <w:spacing w:val="-7"/>
                <w:sz w:val="16"/>
              </w:rPr>
              <w:t> </w:t>
            </w:r>
            <w:r>
              <w:rPr>
                <w:sz w:val="16"/>
              </w:rPr>
              <w:t>EL</w:t>
            </w:r>
            <w:r>
              <w:rPr>
                <w:spacing w:val="-6"/>
                <w:sz w:val="16"/>
              </w:rPr>
              <w:t> </w:t>
            </w:r>
            <w:r>
              <w:rPr>
                <w:sz w:val="16"/>
              </w:rPr>
              <w:t>AMBITO</w:t>
            </w:r>
            <w:r>
              <w:rPr>
                <w:spacing w:val="-3"/>
                <w:sz w:val="16"/>
              </w:rPr>
              <w:t> </w:t>
            </w:r>
            <w:r>
              <w:rPr>
                <w:sz w:val="16"/>
              </w:rPr>
              <w:t>DE</w:t>
            </w:r>
            <w:r>
              <w:rPr>
                <w:spacing w:val="-1"/>
                <w:sz w:val="16"/>
              </w:rPr>
              <w:t> </w:t>
            </w:r>
            <w:r>
              <w:rPr>
                <w:sz w:val="16"/>
              </w:rPr>
              <w:t>LA</w:t>
            </w:r>
            <w:r>
              <w:rPr>
                <w:spacing w:val="-3"/>
                <w:sz w:val="16"/>
              </w:rPr>
              <w:t> </w:t>
            </w:r>
            <w:r>
              <w:rPr>
                <w:sz w:val="16"/>
              </w:rPr>
              <w:t>PREVENCION</w:t>
            </w:r>
            <w:r>
              <w:rPr>
                <w:spacing w:val="-5"/>
                <w:sz w:val="16"/>
              </w:rPr>
              <w:t> </w:t>
            </w:r>
            <w:r>
              <w:rPr>
                <w:sz w:val="16"/>
              </w:rPr>
              <w:t>DE</w:t>
            </w:r>
            <w:r>
              <w:rPr>
                <w:spacing w:val="-7"/>
                <w:sz w:val="16"/>
              </w:rPr>
              <w:t> </w:t>
            </w:r>
            <w:r>
              <w:rPr>
                <w:sz w:val="16"/>
              </w:rPr>
              <w:t>RIESGOS</w:t>
            </w:r>
            <w:r>
              <w:rPr>
                <w:spacing w:val="-4"/>
                <w:sz w:val="16"/>
              </w:rPr>
              <w:t> </w:t>
            </w:r>
            <w:r>
              <w:rPr>
                <w:spacing w:val="-2"/>
                <w:sz w:val="16"/>
              </w:rPr>
              <w:t>LABORALES</w:t>
            </w:r>
          </w:p>
        </w:tc>
        <w:tc>
          <w:tcPr>
            <w:tcW w:w="873" w:type="dxa"/>
          </w:tcPr>
          <w:p>
            <w:pPr>
              <w:pStyle w:val="TableParagraph"/>
              <w:spacing w:line="183" w:lineRule="exact"/>
              <w:ind w:left="58" w:right="6"/>
              <w:jc w:val="center"/>
              <w:rPr>
                <w:sz w:val="16"/>
              </w:rPr>
            </w:pPr>
            <w:r>
              <w:rPr>
                <w:spacing w:val="-2"/>
                <w:sz w:val="16"/>
              </w:rPr>
              <w:t>20,00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RIESGOS</w:t>
            </w:r>
            <w:r>
              <w:rPr>
                <w:spacing w:val="-5"/>
                <w:sz w:val="16"/>
              </w:rPr>
              <w:t> </w:t>
            </w:r>
            <w:r>
              <w:rPr>
                <w:sz w:val="16"/>
              </w:rPr>
              <w:t>LABORALES</w:t>
            </w:r>
            <w:r>
              <w:rPr>
                <w:spacing w:val="-3"/>
                <w:sz w:val="16"/>
              </w:rPr>
              <w:t> </w:t>
            </w:r>
            <w:r>
              <w:rPr>
                <w:sz w:val="16"/>
              </w:rPr>
              <w:t>EN</w:t>
            </w:r>
            <w:r>
              <w:rPr>
                <w:spacing w:val="-6"/>
                <w:sz w:val="16"/>
              </w:rPr>
              <w:t> </w:t>
            </w:r>
            <w:r>
              <w:rPr>
                <w:sz w:val="16"/>
              </w:rPr>
              <w:t>EL</w:t>
            </w:r>
            <w:r>
              <w:rPr>
                <w:spacing w:val="-2"/>
                <w:sz w:val="16"/>
              </w:rPr>
              <w:t> </w:t>
            </w:r>
            <w:r>
              <w:rPr>
                <w:sz w:val="16"/>
              </w:rPr>
              <w:t>CENTRO</w:t>
            </w:r>
            <w:r>
              <w:rPr>
                <w:spacing w:val="-4"/>
                <w:sz w:val="16"/>
              </w:rPr>
              <w:t> </w:t>
            </w:r>
            <w:r>
              <w:rPr>
                <w:sz w:val="16"/>
              </w:rPr>
              <w:t>DE</w:t>
            </w:r>
            <w:r>
              <w:rPr>
                <w:spacing w:val="-5"/>
                <w:sz w:val="16"/>
              </w:rPr>
              <w:t> </w:t>
            </w:r>
            <w:r>
              <w:rPr>
                <w:sz w:val="16"/>
              </w:rPr>
              <w:t>AREQUIPA</w:t>
            </w:r>
            <w:r>
              <w:rPr>
                <w:spacing w:val="-5"/>
                <w:sz w:val="16"/>
              </w:rPr>
              <w:t> </w:t>
            </w:r>
            <w:r>
              <w:rPr>
                <w:sz w:val="16"/>
              </w:rPr>
              <w:t>(VISITA</w:t>
            </w:r>
            <w:r>
              <w:rPr>
                <w:spacing w:val="-5"/>
                <w:sz w:val="16"/>
              </w:rPr>
              <w:t> </w:t>
            </w:r>
            <w:r>
              <w:rPr>
                <w:spacing w:val="-2"/>
                <w:sz w:val="16"/>
              </w:rPr>
              <w:t>GUIADA)</w:t>
            </w:r>
          </w:p>
        </w:tc>
        <w:tc>
          <w:tcPr>
            <w:tcW w:w="873" w:type="dxa"/>
          </w:tcPr>
          <w:p>
            <w:pPr>
              <w:pStyle w:val="TableParagraph"/>
              <w:spacing w:line="180" w:lineRule="exact"/>
              <w:ind w:left="58" w:right="6"/>
              <w:jc w:val="center"/>
              <w:rPr>
                <w:sz w:val="16"/>
              </w:rPr>
            </w:pPr>
            <w:r>
              <w:rPr>
                <w:spacing w:val="-2"/>
                <w:sz w:val="16"/>
              </w:rPr>
              <w:t>19,50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SALUD</w:t>
            </w:r>
            <w:r>
              <w:rPr>
                <w:spacing w:val="-1"/>
                <w:sz w:val="16"/>
              </w:rPr>
              <w:t> </w:t>
            </w:r>
            <w:r>
              <w:rPr>
                <w:spacing w:val="-2"/>
                <w:sz w:val="16"/>
              </w:rPr>
              <w:t>CARDIOVASCULAR</w:t>
            </w:r>
          </w:p>
        </w:tc>
        <w:tc>
          <w:tcPr>
            <w:tcW w:w="873" w:type="dxa"/>
          </w:tcPr>
          <w:p>
            <w:pPr>
              <w:pStyle w:val="TableParagraph"/>
              <w:spacing w:line="180" w:lineRule="exact"/>
              <w:ind w:left="58" w:right="6"/>
              <w:jc w:val="center"/>
              <w:rPr>
                <w:sz w:val="16"/>
              </w:rPr>
            </w:pPr>
            <w:r>
              <w:rPr>
                <w:spacing w:val="-2"/>
                <w:sz w:val="16"/>
              </w:rPr>
              <w:t>15,00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SCANIA</w:t>
            </w:r>
            <w:r>
              <w:rPr>
                <w:spacing w:val="-5"/>
                <w:sz w:val="16"/>
              </w:rPr>
              <w:t> </w:t>
            </w:r>
            <w:r>
              <w:rPr>
                <w:sz w:val="16"/>
              </w:rPr>
              <w:t>NEW</w:t>
            </w:r>
            <w:r>
              <w:rPr>
                <w:spacing w:val="-2"/>
                <w:sz w:val="16"/>
              </w:rPr>
              <w:t> </w:t>
            </w:r>
            <w:r>
              <w:rPr>
                <w:sz w:val="16"/>
              </w:rPr>
              <w:t>CITY</w:t>
            </w:r>
            <w:r>
              <w:rPr>
                <w:spacing w:val="-5"/>
                <w:sz w:val="16"/>
              </w:rPr>
              <w:t> </w:t>
            </w:r>
            <w:r>
              <w:rPr>
                <w:sz w:val="16"/>
              </w:rPr>
              <w:t>M321</w:t>
            </w:r>
            <w:r>
              <w:rPr>
                <w:spacing w:val="-4"/>
                <w:sz w:val="16"/>
              </w:rPr>
              <w:t> </w:t>
            </w:r>
            <w:r>
              <w:rPr>
                <w:sz w:val="16"/>
              </w:rPr>
              <w:t>(WIO/SWS</w:t>
            </w:r>
            <w:r>
              <w:rPr>
                <w:spacing w:val="-9"/>
                <w:sz w:val="16"/>
              </w:rPr>
              <w:t> </w:t>
            </w:r>
            <w:r>
              <w:rPr>
                <w:sz w:val="16"/>
              </w:rPr>
              <w:t>Y</w:t>
            </w:r>
            <w:r>
              <w:rPr>
                <w:spacing w:val="-3"/>
                <w:sz w:val="16"/>
              </w:rPr>
              <w:t> </w:t>
            </w:r>
            <w:r>
              <w:rPr>
                <w:sz w:val="16"/>
              </w:rPr>
              <w:t>MANTENIMIENTO</w:t>
            </w:r>
            <w:r>
              <w:rPr>
                <w:spacing w:val="-6"/>
                <w:sz w:val="16"/>
              </w:rPr>
              <w:t> </w:t>
            </w:r>
            <w:r>
              <w:rPr>
                <w:spacing w:val="-4"/>
                <w:sz w:val="16"/>
              </w:rPr>
              <w:t>BUS)</w:t>
            </w:r>
          </w:p>
        </w:tc>
        <w:tc>
          <w:tcPr>
            <w:tcW w:w="873" w:type="dxa"/>
          </w:tcPr>
          <w:p>
            <w:pPr>
              <w:pStyle w:val="TableParagraph"/>
              <w:spacing w:line="180" w:lineRule="exact"/>
              <w:ind w:left="58" w:right="6"/>
              <w:jc w:val="center"/>
              <w:rPr>
                <w:sz w:val="16"/>
              </w:rPr>
            </w:pPr>
            <w:r>
              <w:rPr>
                <w:spacing w:val="-2"/>
                <w:sz w:val="16"/>
              </w:rPr>
              <w:t>48,00</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SCANIA</w:t>
            </w:r>
            <w:r>
              <w:rPr>
                <w:spacing w:val="-7"/>
                <w:sz w:val="16"/>
              </w:rPr>
              <w:t> </w:t>
            </w:r>
            <w:r>
              <w:rPr>
                <w:sz w:val="16"/>
              </w:rPr>
              <w:t>NEW</w:t>
            </w:r>
            <w:r>
              <w:rPr>
                <w:spacing w:val="-1"/>
                <w:sz w:val="16"/>
              </w:rPr>
              <w:t> </w:t>
            </w:r>
            <w:r>
              <w:rPr>
                <w:sz w:val="16"/>
              </w:rPr>
              <w:t>CITY</w:t>
            </w:r>
            <w:r>
              <w:rPr>
                <w:spacing w:val="-5"/>
                <w:sz w:val="16"/>
              </w:rPr>
              <w:t> </w:t>
            </w:r>
            <w:r>
              <w:rPr>
                <w:sz w:val="16"/>
              </w:rPr>
              <w:t>M321.</w:t>
            </w:r>
            <w:r>
              <w:rPr>
                <w:spacing w:val="-2"/>
                <w:sz w:val="16"/>
              </w:rPr>
              <w:t> </w:t>
            </w:r>
            <w:r>
              <w:rPr>
                <w:sz w:val="16"/>
              </w:rPr>
              <w:t>FORMACION</w:t>
            </w:r>
            <w:r>
              <w:rPr>
                <w:spacing w:val="-5"/>
                <w:sz w:val="16"/>
              </w:rPr>
              <w:t> </w:t>
            </w:r>
            <w:r>
              <w:rPr>
                <w:sz w:val="16"/>
              </w:rPr>
              <w:t>DE</w:t>
            </w:r>
            <w:r>
              <w:rPr>
                <w:spacing w:val="-6"/>
                <w:sz w:val="16"/>
              </w:rPr>
              <w:t> </w:t>
            </w:r>
            <w:r>
              <w:rPr>
                <w:sz w:val="16"/>
              </w:rPr>
              <w:t>INSTALACIONES</w:t>
            </w:r>
            <w:r>
              <w:rPr>
                <w:spacing w:val="-4"/>
                <w:sz w:val="16"/>
              </w:rPr>
              <w:t> </w:t>
            </w:r>
            <w:r>
              <w:rPr>
                <w:sz w:val="16"/>
              </w:rPr>
              <w:t>Y</w:t>
            </w:r>
            <w:r>
              <w:rPr>
                <w:spacing w:val="-6"/>
                <w:sz w:val="16"/>
              </w:rPr>
              <w:t> </w:t>
            </w:r>
            <w:r>
              <w:rPr>
                <w:spacing w:val="-2"/>
                <w:sz w:val="16"/>
              </w:rPr>
              <w:t>ARQUITECTURA</w:t>
            </w:r>
          </w:p>
          <w:p>
            <w:pPr>
              <w:pStyle w:val="TableParagraph"/>
              <w:spacing w:line="168" w:lineRule="exact" w:before="1"/>
              <w:ind w:left="67"/>
              <w:rPr>
                <w:sz w:val="16"/>
              </w:rPr>
            </w:pPr>
            <w:r>
              <w:rPr>
                <w:sz w:val="16"/>
              </w:rPr>
              <w:t>ELECTRICA,</w:t>
            </w:r>
            <w:r>
              <w:rPr>
                <w:spacing w:val="-6"/>
                <w:sz w:val="16"/>
              </w:rPr>
              <w:t> </w:t>
            </w:r>
            <w:r>
              <w:rPr>
                <w:sz w:val="16"/>
              </w:rPr>
              <w:t>MULTIPLEXADO</w:t>
            </w:r>
            <w:r>
              <w:rPr>
                <w:spacing w:val="-5"/>
                <w:sz w:val="16"/>
              </w:rPr>
              <w:t> </w:t>
            </w:r>
            <w:r>
              <w:rPr>
                <w:sz w:val="16"/>
              </w:rPr>
              <w:t>Y</w:t>
            </w:r>
            <w:r>
              <w:rPr>
                <w:spacing w:val="-4"/>
                <w:sz w:val="16"/>
              </w:rPr>
              <w:t> </w:t>
            </w:r>
            <w:r>
              <w:rPr>
                <w:sz w:val="16"/>
              </w:rPr>
              <w:t>RESOLUCION</w:t>
            </w:r>
            <w:r>
              <w:rPr>
                <w:spacing w:val="-7"/>
                <w:sz w:val="16"/>
              </w:rPr>
              <w:t> </w:t>
            </w:r>
            <w:r>
              <w:rPr>
                <w:sz w:val="16"/>
              </w:rPr>
              <w:t>DE</w:t>
            </w:r>
            <w:r>
              <w:rPr>
                <w:spacing w:val="-5"/>
                <w:sz w:val="16"/>
              </w:rPr>
              <w:t> </w:t>
            </w:r>
            <w:r>
              <w:rPr>
                <w:spacing w:val="-2"/>
                <w:sz w:val="16"/>
              </w:rPr>
              <w:t>AVERIAS</w:t>
            </w:r>
          </w:p>
        </w:tc>
        <w:tc>
          <w:tcPr>
            <w:tcW w:w="873" w:type="dxa"/>
          </w:tcPr>
          <w:p>
            <w:pPr>
              <w:pStyle w:val="TableParagraph"/>
              <w:spacing w:line="180" w:lineRule="exact"/>
              <w:ind w:left="58" w:right="6"/>
              <w:jc w:val="center"/>
              <w:rPr>
                <w:sz w:val="16"/>
              </w:rPr>
            </w:pPr>
            <w:r>
              <w:rPr>
                <w:spacing w:val="-2"/>
                <w:sz w:val="16"/>
              </w:rPr>
              <w:t>28,00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SEGURIDAD</w:t>
            </w:r>
            <w:r>
              <w:rPr>
                <w:spacing w:val="-5"/>
                <w:sz w:val="16"/>
              </w:rPr>
              <w:t> </w:t>
            </w:r>
            <w:r>
              <w:rPr>
                <w:sz w:val="16"/>
              </w:rPr>
              <w:t>EN</w:t>
            </w:r>
            <w:r>
              <w:rPr>
                <w:spacing w:val="-3"/>
                <w:sz w:val="16"/>
              </w:rPr>
              <w:t> </w:t>
            </w:r>
            <w:r>
              <w:rPr>
                <w:sz w:val="16"/>
              </w:rPr>
              <w:t>EL</w:t>
            </w:r>
            <w:r>
              <w:rPr>
                <w:spacing w:val="-3"/>
                <w:sz w:val="16"/>
              </w:rPr>
              <w:t> </w:t>
            </w:r>
            <w:r>
              <w:rPr>
                <w:sz w:val="16"/>
              </w:rPr>
              <w:t>MANEJO</w:t>
            </w:r>
            <w:r>
              <w:rPr>
                <w:spacing w:val="-6"/>
                <w:sz w:val="16"/>
              </w:rPr>
              <w:t> </w:t>
            </w:r>
            <w:r>
              <w:rPr>
                <w:sz w:val="16"/>
              </w:rPr>
              <w:t>DE</w:t>
            </w:r>
            <w:r>
              <w:rPr>
                <w:spacing w:val="-3"/>
                <w:sz w:val="16"/>
              </w:rPr>
              <w:t> </w:t>
            </w:r>
            <w:r>
              <w:rPr>
                <w:sz w:val="16"/>
              </w:rPr>
              <w:t>TRANSPALETAS</w:t>
            </w:r>
            <w:r>
              <w:rPr>
                <w:spacing w:val="-2"/>
                <w:sz w:val="16"/>
              </w:rPr>
              <w:t> </w:t>
            </w:r>
            <w:r>
              <w:rPr>
                <w:sz w:val="16"/>
              </w:rPr>
              <w:t>Y</w:t>
            </w:r>
            <w:r>
              <w:rPr>
                <w:spacing w:val="-3"/>
                <w:sz w:val="16"/>
              </w:rPr>
              <w:t> </w:t>
            </w:r>
            <w:r>
              <w:rPr>
                <w:spacing w:val="-2"/>
                <w:sz w:val="16"/>
              </w:rPr>
              <w:t>APILADORES</w:t>
            </w:r>
          </w:p>
        </w:tc>
        <w:tc>
          <w:tcPr>
            <w:tcW w:w="873" w:type="dxa"/>
          </w:tcPr>
          <w:p>
            <w:pPr>
              <w:pStyle w:val="TableParagraph"/>
              <w:spacing w:line="180" w:lineRule="exact"/>
              <w:ind w:left="61" w:right="6"/>
              <w:jc w:val="center"/>
              <w:rPr>
                <w:sz w:val="16"/>
              </w:rPr>
            </w:pPr>
            <w:r>
              <w:rPr>
                <w:spacing w:val="-4"/>
                <w:sz w:val="16"/>
              </w:rPr>
              <w:t>8,00</w:t>
            </w:r>
          </w:p>
        </w:tc>
      </w:tr>
      <w:tr>
        <w:trPr>
          <w:trHeight w:val="299" w:hRule="atLeast"/>
        </w:trPr>
        <w:tc>
          <w:tcPr>
            <w:tcW w:w="854" w:type="dxa"/>
          </w:tcPr>
          <w:p>
            <w:pPr>
              <w:pStyle w:val="TableParagraph"/>
              <w:spacing w:line="168" w:lineRule="exact" w:before="111"/>
              <w:ind w:left="8" w:right="3"/>
              <w:jc w:val="center"/>
              <w:rPr>
                <w:sz w:val="16"/>
              </w:rPr>
            </w:pPr>
            <w:r>
              <w:rPr>
                <w:spacing w:val="-5"/>
                <w:sz w:val="16"/>
              </w:rPr>
              <w:t>12</w:t>
            </w:r>
          </w:p>
        </w:tc>
        <w:tc>
          <w:tcPr>
            <w:tcW w:w="6921" w:type="dxa"/>
          </w:tcPr>
          <w:p>
            <w:pPr>
              <w:pStyle w:val="TableParagraph"/>
              <w:spacing w:line="168" w:lineRule="exact" w:before="111"/>
              <w:ind w:left="67"/>
              <w:rPr>
                <w:sz w:val="16"/>
              </w:rPr>
            </w:pPr>
            <w:r>
              <w:rPr>
                <w:sz w:val="16"/>
              </w:rPr>
              <w:t>SENSIBILIZACION</w:t>
            </w:r>
            <w:r>
              <w:rPr>
                <w:spacing w:val="-6"/>
                <w:sz w:val="16"/>
              </w:rPr>
              <w:t> </w:t>
            </w:r>
            <w:r>
              <w:rPr>
                <w:sz w:val="16"/>
              </w:rPr>
              <w:t>DE</w:t>
            </w:r>
            <w:r>
              <w:rPr>
                <w:spacing w:val="-4"/>
                <w:sz w:val="16"/>
              </w:rPr>
              <w:t> </w:t>
            </w:r>
            <w:r>
              <w:rPr>
                <w:sz w:val="16"/>
              </w:rPr>
              <w:t>ACCESIBILIDAD</w:t>
            </w:r>
            <w:r>
              <w:rPr>
                <w:spacing w:val="-7"/>
                <w:sz w:val="16"/>
              </w:rPr>
              <w:t> </w:t>
            </w:r>
            <w:r>
              <w:rPr>
                <w:sz w:val="16"/>
              </w:rPr>
              <w:t>EN</w:t>
            </w:r>
            <w:r>
              <w:rPr>
                <w:spacing w:val="-5"/>
                <w:sz w:val="16"/>
              </w:rPr>
              <w:t> </w:t>
            </w:r>
            <w:r>
              <w:rPr>
                <w:sz w:val="16"/>
              </w:rPr>
              <w:t>EL</w:t>
            </w:r>
            <w:r>
              <w:rPr>
                <w:spacing w:val="-8"/>
                <w:sz w:val="16"/>
              </w:rPr>
              <w:t> </w:t>
            </w:r>
            <w:r>
              <w:rPr>
                <w:sz w:val="16"/>
              </w:rPr>
              <w:t>TRANSPORTE</w:t>
            </w:r>
            <w:r>
              <w:rPr>
                <w:spacing w:val="-6"/>
                <w:sz w:val="16"/>
              </w:rPr>
              <w:t> </w:t>
            </w:r>
            <w:r>
              <w:rPr>
                <w:sz w:val="16"/>
              </w:rPr>
              <w:t>PUBLICO</w:t>
            </w:r>
            <w:r>
              <w:rPr>
                <w:spacing w:val="-7"/>
                <w:sz w:val="16"/>
              </w:rPr>
              <w:t> </w:t>
            </w:r>
            <w:r>
              <w:rPr>
                <w:spacing w:val="-5"/>
                <w:sz w:val="16"/>
              </w:rPr>
              <w:t>PMR</w:t>
            </w:r>
          </w:p>
        </w:tc>
        <w:tc>
          <w:tcPr>
            <w:tcW w:w="873" w:type="dxa"/>
          </w:tcPr>
          <w:p>
            <w:pPr>
              <w:pStyle w:val="TableParagraph"/>
              <w:spacing w:line="180" w:lineRule="exact"/>
              <w:ind w:left="60" w:right="6"/>
              <w:jc w:val="center"/>
              <w:rPr>
                <w:sz w:val="16"/>
              </w:rPr>
            </w:pPr>
            <w:r>
              <w:rPr>
                <w:spacing w:val="-2"/>
                <w:sz w:val="16"/>
              </w:rPr>
              <w:t>164,00</w:t>
            </w:r>
          </w:p>
        </w:tc>
      </w:tr>
      <w:tr>
        <w:trPr>
          <w:trHeight w:val="299" w:hRule="atLeast"/>
        </w:trPr>
        <w:tc>
          <w:tcPr>
            <w:tcW w:w="854" w:type="dxa"/>
          </w:tcPr>
          <w:p>
            <w:pPr>
              <w:pStyle w:val="TableParagraph"/>
              <w:spacing w:line="168" w:lineRule="exact" w:before="111"/>
              <w:ind w:left="8"/>
              <w:jc w:val="center"/>
              <w:rPr>
                <w:sz w:val="16"/>
              </w:rPr>
            </w:pPr>
            <w:r>
              <w:rPr>
                <w:spacing w:val="-10"/>
                <w:sz w:val="16"/>
              </w:rPr>
              <w:t>2</w:t>
            </w:r>
          </w:p>
        </w:tc>
        <w:tc>
          <w:tcPr>
            <w:tcW w:w="6921" w:type="dxa"/>
          </w:tcPr>
          <w:p>
            <w:pPr>
              <w:pStyle w:val="TableParagraph"/>
              <w:spacing w:line="168" w:lineRule="exact" w:before="111"/>
              <w:ind w:left="67"/>
              <w:rPr>
                <w:sz w:val="16"/>
              </w:rPr>
            </w:pPr>
            <w:r>
              <w:rPr>
                <w:sz w:val="16"/>
              </w:rPr>
              <w:t>SESION</w:t>
            </w:r>
            <w:r>
              <w:rPr>
                <w:spacing w:val="-13"/>
                <w:sz w:val="16"/>
              </w:rPr>
              <w:t> </w:t>
            </w:r>
            <w:r>
              <w:rPr>
                <w:sz w:val="16"/>
              </w:rPr>
              <w:t>PREPARATORIA</w:t>
            </w:r>
            <w:r>
              <w:rPr>
                <w:spacing w:val="-6"/>
                <w:sz w:val="16"/>
              </w:rPr>
              <w:t> </w:t>
            </w:r>
            <w:r>
              <w:rPr>
                <w:sz w:val="16"/>
              </w:rPr>
              <w:t>SIMULACRO</w:t>
            </w:r>
            <w:r>
              <w:rPr>
                <w:spacing w:val="-9"/>
                <w:sz w:val="16"/>
              </w:rPr>
              <w:t> </w:t>
            </w:r>
            <w:r>
              <w:rPr>
                <w:sz w:val="16"/>
              </w:rPr>
              <w:t>EMERGENCIA</w:t>
            </w:r>
            <w:r>
              <w:rPr>
                <w:spacing w:val="-5"/>
                <w:sz w:val="16"/>
              </w:rPr>
              <w:t> </w:t>
            </w:r>
            <w:r>
              <w:rPr>
                <w:spacing w:val="-4"/>
                <w:sz w:val="16"/>
              </w:rPr>
              <w:t>2025</w:t>
            </w:r>
          </w:p>
        </w:tc>
        <w:tc>
          <w:tcPr>
            <w:tcW w:w="873" w:type="dxa"/>
          </w:tcPr>
          <w:p>
            <w:pPr>
              <w:pStyle w:val="TableParagraph"/>
              <w:spacing w:line="180" w:lineRule="exact"/>
              <w:ind w:left="58" w:right="6"/>
              <w:jc w:val="center"/>
              <w:rPr>
                <w:sz w:val="16"/>
              </w:rPr>
            </w:pPr>
            <w:r>
              <w:rPr>
                <w:spacing w:val="-2"/>
                <w:sz w:val="16"/>
              </w:rPr>
              <w:t>13,50</w:t>
            </w:r>
          </w:p>
        </w:tc>
      </w:tr>
      <w:tr>
        <w:trPr>
          <w:trHeight w:val="299" w:hRule="atLeast"/>
        </w:trPr>
        <w:tc>
          <w:tcPr>
            <w:tcW w:w="854" w:type="dxa"/>
          </w:tcPr>
          <w:p>
            <w:pPr>
              <w:pStyle w:val="TableParagraph"/>
              <w:spacing w:line="166" w:lineRule="exact" w:before="113"/>
              <w:ind w:left="8"/>
              <w:jc w:val="center"/>
              <w:rPr>
                <w:sz w:val="16"/>
              </w:rPr>
            </w:pPr>
            <w:r>
              <w:rPr>
                <w:spacing w:val="-10"/>
                <w:sz w:val="16"/>
              </w:rPr>
              <w:t>1</w:t>
            </w:r>
          </w:p>
        </w:tc>
        <w:tc>
          <w:tcPr>
            <w:tcW w:w="6921" w:type="dxa"/>
          </w:tcPr>
          <w:p>
            <w:pPr>
              <w:pStyle w:val="TableParagraph"/>
              <w:spacing w:line="166" w:lineRule="exact" w:before="113"/>
              <w:ind w:left="67"/>
              <w:rPr>
                <w:sz w:val="16"/>
              </w:rPr>
            </w:pPr>
            <w:r>
              <w:rPr>
                <w:sz w:val="16"/>
              </w:rPr>
              <w:t>SUMANDO</w:t>
            </w:r>
            <w:r>
              <w:rPr>
                <w:spacing w:val="-7"/>
                <w:sz w:val="16"/>
              </w:rPr>
              <w:t> </w:t>
            </w:r>
            <w:r>
              <w:rPr>
                <w:sz w:val="16"/>
              </w:rPr>
              <w:t>RECURSOS</w:t>
            </w:r>
            <w:r>
              <w:rPr>
                <w:spacing w:val="-5"/>
                <w:sz w:val="16"/>
              </w:rPr>
              <w:t> </w:t>
            </w:r>
            <w:r>
              <w:rPr>
                <w:sz w:val="16"/>
              </w:rPr>
              <w:t>PARA</w:t>
            </w:r>
            <w:r>
              <w:rPr>
                <w:spacing w:val="-3"/>
                <w:sz w:val="16"/>
              </w:rPr>
              <w:t> </w:t>
            </w:r>
            <w:r>
              <w:rPr>
                <w:sz w:val="16"/>
              </w:rPr>
              <w:t>UNA</w:t>
            </w:r>
            <w:r>
              <w:rPr>
                <w:spacing w:val="-5"/>
                <w:sz w:val="16"/>
              </w:rPr>
              <w:t> </w:t>
            </w:r>
            <w:r>
              <w:rPr>
                <w:sz w:val="16"/>
              </w:rPr>
              <w:t>SOCIEDAD</w:t>
            </w:r>
            <w:r>
              <w:rPr>
                <w:spacing w:val="-4"/>
                <w:sz w:val="16"/>
              </w:rPr>
              <w:t> </w:t>
            </w:r>
            <w:r>
              <w:rPr>
                <w:spacing w:val="-2"/>
                <w:sz w:val="16"/>
              </w:rPr>
              <w:t>DIGITAL</w:t>
            </w:r>
          </w:p>
        </w:tc>
        <w:tc>
          <w:tcPr>
            <w:tcW w:w="873" w:type="dxa"/>
          </w:tcPr>
          <w:p>
            <w:pPr>
              <w:pStyle w:val="TableParagraph"/>
              <w:spacing w:line="180" w:lineRule="exact"/>
              <w:ind w:left="60" w:right="6"/>
              <w:jc w:val="center"/>
              <w:rPr>
                <w:sz w:val="16"/>
              </w:rPr>
            </w:pPr>
            <w:r>
              <w:rPr>
                <w:spacing w:val="-2"/>
                <w:sz w:val="16"/>
              </w:rPr>
              <w:t>180,00</w:t>
            </w:r>
          </w:p>
        </w:tc>
      </w:tr>
      <w:tr>
        <w:trPr>
          <w:trHeight w:val="299" w:hRule="atLeast"/>
        </w:trPr>
        <w:tc>
          <w:tcPr>
            <w:tcW w:w="854" w:type="dxa"/>
          </w:tcPr>
          <w:p>
            <w:pPr>
              <w:pStyle w:val="TableParagraph"/>
              <w:spacing w:line="166" w:lineRule="exact" w:before="113"/>
              <w:ind w:left="8"/>
              <w:jc w:val="center"/>
              <w:rPr>
                <w:sz w:val="16"/>
              </w:rPr>
            </w:pPr>
            <w:r>
              <w:rPr>
                <w:spacing w:val="-10"/>
                <w:sz w:val="16"/>
              </w:rPr>
              <w:t>4</w:t>
            </w:r>
          </w:p>
        </w:tc>
        <w:tc>
          <w:tcPr>
            <w:tcW w:w="6921" w:type="dxa"/>
          </w:tcPr>
          <w:p>
            <w:pPr>
              <w:pStyle w:val="TableParagraph"/>
              <w:spacing w:line="166" w:lineRule="exact" w:before="113"/>
              <w:ind w:left="67"/>
              <w:rPr>
                <w:sz w:val="16"/>
              </w:rPr>
            </w:pPr>
            <w:r>
              <w:rPr>
                <w:sz w:val="16"/>
              </w:rPr>
              <w:t>TEORICO</w:t>
            </w:r>
            <w:r>
              <w:rPr>
                <w:spacing w:val="-6"/>
                <w:sz w:val="16"/>
              </w:rPr>
              <w:t> </w:t>
            </w:r>
            <w:r>
              <w:rPr>
                <w:sz w:val="16"/>
              </w:rPr>
              <w:t>PRACTICO</w:t>
            </w:r>
            <w:r>
              <w:rPr>
                <w:spacing w:val="-4"/>
                <w:sz w:val="16"/>
              </w:rPr>
              <w:t> </w:t>
            </w:r>
            <w:r>
              <w:rPr>
                <w:sz w:val="16"/>
              </w:rPr>
              <w:t>PARA</w:t>
            </w:r>
            <w:r>
              <w:rPr>
                <w:spacing w:val="-3"/>
                <w:sz w:val="16"/>
              </w:rPr>
              <w:t> </w:t>
            </w:r>
            <w:r>
              <w:rPr>
                <w:sz w:val="16"/>
              </w:rPr>
              <w:t>TRABAJOS</w:t>
            </w:r>
            <w:r>
              <w:rPr>
                <w:spacing w:val="-4"/>
                <w:sz w:val="16"/>
              </w:rPr>
              <w:t> </w:t>
            </w:r>
            <w:r>
              <w:rPr>
                <w:sz w:val="16"/>
              </w:rPr>
              <w:t>EN</w:t>
            </w:r>
            <w:r>
              <w:rPr>
                <w:spacing w:val="-6"/>
                <w:sz w:val="16"/>
              </w:rPr>
              <w:t> </w:t>
            </w:r>
            <w:r>
              <w:rPr>
                <w:spacing w:val="-2"/>
                <w:sz w:val="16"/>
              </w:rPr>
              <w:t>ALTURA</w:t>
            </w:r>
          </w:p>
        </w:tc>
        <w:tc>
          <w:tcPr>
            <w:tcW w:w="873" w:type="dxa"/>
          </w:tcPr>
          <w:p>
            <w:pPr>
              <w:pStyle w:val="TableParagraph"/>
              <w:spacing w:line="180" w:lineRule="exact"/>
              <w:ind w:left="60" w:right="6"/>
              <w:jc w:val="center"/>
              <w:rPr>
                <w:sz w:val="16"/>
              </w:rPr>
            </w:pPr>
            <w:r>
              <w:rPr>
                <w:spacing w:val="-2"/>
                <w:sz w:val="16"/>
              </w:rPr>
              <w:t>156,00</w:t>
            </w:r>
          </w:p>
        </w:tc>
      </w:tr>
      <w:tr>
        <w:trPr>
          <w:trHeight w:val="302" w:hRule="atLeast"/>
        </w:trPr>
        <w:tc>
          <w:tcPr>
            <w:tcW w:w="854" w:type="dxa"/>
          </w:tcPr>
          <w:p>
            <w:pPr>
              <w:pStyle w:val="TableParagraph"/>
              <w:spacing w:line="168" w:lineRule="exact" w:before="113"/>
              <w:ind w:left="8"/>
              <w:jc w:val="center"/>
              <w:rPr>
                <w:sz w:val="16"/>
              </w:rPr>
            </w:pPr>
            <w:r>
              <w:rPr>
                <w:spacing w:val="-10"/>
                <w:sz w:val="16"/>
              </w:rPr>
              <w:t>1</w:t>
            </w:r>
          </w:p>
        </w:tc>
        <w:tc>
          <w:tcPr>
            <w:tcW w:w="6921" w:type="dxa"/>
          </w:tcPr>
          <w:p>
            <w:pPr>
              <w:pStyle w:val="TableParagraph"/>
              <w:spacing w:line="168" w:lineRule="exact" w:before="113"/>
              <w:ind w:left="67"/>
              <w:rPr>
                <w:sz w:val="16"/>
              </w:rPr>
            </w:pPr>
            <w:r>
              <w:rPr>
                <w:sz w:val="16"/>
              </w:rPr>
              <w:t>TFM</w:t>
            </w:r>
            <w:r>
              <w:rPr>
                <w:spacing w:val="-5"/>
                <w:sz w:val="16"/>
              </w:rPr>
              <w:t> </w:t>
            </w:r>
            <w:r>
              <w:rPr>
                <w:sz w:val="16"/>
              </w:rPr>
              <w:t>MASTER</w:t>
            </w:r>
            <w:r>
              <w:rPr>
                <w:spacing w:val="-4"/>
                <w:sz w:val="16"/>
              </w:rPr>
              <w:t> </w:t>
            </w:r>
            <w:r>
              <w:rPr>
                <w:sz w:val="16"/>
              </w:rPr>
              <w:t>CONTRATACION</w:t>
            </w:r>
            <w:r>
              <w:rPr>
                <w:spacing w:val="-6"/>
                <w:sz w:val="16"/>
              </w:rPr>
              <w:t> </w:t>
            </w:r>
            <w:r>
              <w:rPr>
                <w:sz w:val="16"/>
              </w:rPr>
              <w:t>PUBLICA</w:t>
            </w:r>
            <w:r>
              <w:rPr>
                <w:spacing w:val="-1"/>
                <w:sz w:val="16"/>
              </w:rPr>
              <w:t> </w:t>
            </w:r>
            <w:r>
              <w:rPr>
                <w:spacing w:val="-4"/>
                <w:sz w:val="16"/>
              </w:rPr>
              <w:t>LOCAL</w:t>
            </w:r>
          </w:p>
        </w:tc>
        <w:tc>
          <w:tcPr>
            <w:tcW w:w="873" w:type="dxa"/>
          </w:tcPr>
          <w:p>
            <w:pPr>
              <w:pStyle w:val="TableParagraph"/>
              <w:spacing w:line="183" w:lineRule="exact"/>
              <w:ind w:left="60" w:right="6"/>
              <w:jc w:val="center"/>
              <w:rPr>
                <w:sz w:val="16"/>
              </w:rPr>
            </w:pPr>
            <w:r>
              <w:rPr>
                <w:spacing w:val="-2"/>
                <w:sz w:val="16"/>
              </w:rPr>
              <w:t>150,00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TRASTORNOS</w:t>
            </w:r>
            <w:r>
              <w:rPr>
                <w:spacing w:val="-4"/>
                <w:sz w:val="16"/>
              </w:rPr>
              <w:t> </w:t>
            </w:r>
            <w:r>
              <w:rPr>
                <w:spacing w:val="-2"/>
                <w:sz w:val="16"/>
              </w:rPr>
              <w:t>MUSCULOESQUELETICOS</w:t>
            </w:r>
          </w:p>
        </w:tc>
        <w:tc>
          <w:tcPr>
            <w:tcW w:w="873" w:type="dxa"/>
          </w:tcPr>
          <w:p>
            <w:pPr>
              <w:pStyle w:val="TableParagraph"/>
              <w:spacing w:line="180" w:lineRule="exact"/>
              <w:ind w:left="58" w:right="6"/>
              <w:jc w:val="center"/>
              <w:rPr>
                <w:sz w:val="16"/>
              </w:rPr>
            </w:pPr>
            <w:r>
              <w:rPr>
                <w:spacing w:val="-2"/>
                <w:sz w:val="16"/>
              </w:rPr>
              <w:t>66,00</w:t>
            </w:r>
          </w:p>
        </w:tc>
      </w:tr>
      <w:tr>
        <w:trPr>
          <w:trHeight w:val="299" w:hRule="atLeast"/>
        </w:trPr>
        <w:tc>
          <w:tcPr>
            <w:tcW w:w="854" w:type="dxa"/>
          </w:tcPr>
          <w:p>
            <w:pPr>
              <w:pStyle w:val="TableParagraph"/>
              <w:spacing w:line="168" w:lineRule="exact" w:before="111"/>
              <w:ind w:left="8"/>
              <w:jc w:val="center"/>
              <w:rPr>
                <w:sz w:val="16"/>
              </w:rPr>
            </w:pPr>
            <w:r>
              <w:rPr>
                <w:spacing w:val="-10"/>
                <w:sz w:val="16"/>
              </w:rPr>
              <w:t>3</w:t>
            </w:r>
          </w:p>
        </w:tc>
        <w:tc>
          <w:tcPr>
            <w:tcW w:w="6921" w:type="dxa"/>
          </w:tcPr>
          <w:p>
            <w:pPr>
              <w:pStyle w:val="TableParagraph"/>
              <w:spacing w:line="168" w:lineRule="exact" w:before="111"/>
              <w:ind w:left="67"/>
              <w:rPr>
                <w:sz w:val="16"/>
              </w:rPr>
            </w:pPr>
            <w:r>
              <w:rPr>
                <w:sz w:val="16"/>
              </w:rPr>
              <w:t>TRENES</w:t>
            </w:r>
            <w:r>
              <w:rPr>
                <w:spacing w:val="-2"/>
                <w:sz w:val="16"/>
              </w:rPr>
              <w:t> </w:t>
            </w:r>
            <w:r>
              <w:rPr>
                <w:sz w:val="16"/>
              </w:rPr>
              <w:t>DE</w:t>
            </w:r>
            <w:r>
              <w:rPr>
                <w:spacing w:val="-5"/>
                <w:sz w:val="16"/>
              </w:rPr>
              <w:t> </w:t>
            </w:r>
            <w:r>
              <w:rPr>
                <w:spacing w:val="-2"/>
                <w:sz w:val="16"/>
              </w:rPr>
              <w:t>LAVADO</w:t>
            </w:r>
          </w:p>
        </w:tc>
        <w:tc>
          <w:tcPr>
            <w:tcW w:w="873" w:type="dxa"/>
          </w:tcPr>
          <w:p>
            <w:pPr>
              <w:pStyle w:val="TableParagraph"/>
              <w:spacing w:line="180" w:lineRule="exact"/>
              <w:ind w:left="58" w:right="6"/>
              <w:jc w:val="center"/>
              <w:rPr>
                <w:sz w:val="16"/>
              </w:rPr>
            </w:pPr>
            <w:r>
              <w:rPr>
                <w:spacing w:val="-2"/>
                <w:sz w:val="16"/>
              </w:rPr>
              <w:t>35,00</w:t>
            </w:r>
          </w:p>
        </w:tc>
      </w:tr>
      <w:tr>
        <w:trPr>
          <w:trHeight w:val="299" w:hRule="atLeast"/>
        </w:trPr>
        <w:tc>
          <w:tcPr>
            <w:tcW w:w="854" w:type="dxa"/>
          </w:tcPr>
          <w:p>
            <w:pPr>
              <w:pStyle w:val="TableParagraph"/>
              <w:spacing w:line="168" w:lineRule="exact" w:before="111"/>
              <w:ind w:left="8"/>
              <w:jc w:val="center"/>
              <w:rPr>
                <w:sz w:val="16"/>
              </w:rPr>
            </w:pPr>
            <w:r>
              <w:rPr>
                <w:spacing w:val="-10"/>
                <w:sz w:val="16"/>
              </w:rPr>
              <w:t>4</w:t>
            </w:r>
          </w:p>
        </w:tc>
        <w:tc>
          <w:tcPr>
            <w:tcW w:w="6921" w:type="dxa"/>
          </w:tcPr>
          <w:p>
            <w:pPr>
              <w:pStyle w:val="TableParagraph"/>
              <w:spacing w:line="168" w:lineRule="exact" w:before="111"/>
              <w:ind w:left="67"/>
              <w:rPr>
                <w:sz w:val="16"/>
              </w:rPr>
            </w:pPr>
            <w:r>
              <w:rPr>
                <w:sz w:val="16"/>
              </w:rPr>
              <w:t>USO</w:t>
            </w:r>
            <w:r>
              <w:rPr>
                <w:spacing w:val="-12"/>
                <w:sz w:val="16"/>
              </w:rPr>
              <w:t> </w:t>
            </w:r>
            <w:r>
              <w:rPr>
                <w:sz w:val="16"/>
              </w:rPr>
              <w:t>ALCOHOLIMETRO</w:t>
            </w:r>
            <w:r>
              <w:rPr>
                <w:spacing w:val="-7"/>
                <w:sz w:val="16"/>
              </w:rPr>
              <w:t> </w:t>
            </w:r>
            <w:r>
              <w:rPr>
                <w:sz w:val="16"/>
              </w:rPr>
              <w:t>ANTIARRANQUE</w:t>
            </w:r>
            <w:r>
              <w:rPr>
                <w:spacing w:val="-7"/>
                <w:sz w:val="16"/>
              </w:rPr>
              <w:t> </w:t>
            </w:r>
            <w:r>
              <w:rPr>
                <w:sz w:val="16"/>
              </w:rPr>
              <w:t>DRÄGER</w:t>
            </w:r>
            <w:r>
              <w:rPr>
                <w:spacing w:val="-8"/>
                <w:sz w:val="16"/>
              </w:rPr>
              <w:t> </w:t>
            </w:r>
            <w:r>
              <w:rPr>
                <w:sz w:val="16"/>
              </w:rPr>
              <w:t>INTERLOCK</w:t>
            </w:r>
            <w:r>
              <w:rPr>
                <w:spacing w:val="-8"/>
                <w:sz w:val="16"/>
              </w:rPr>
              <w:t> </w:t>
            </w:r>
            <w:r>
              <w:rPr>
                <w:spacing w:val="-4"/>
                <w:sz w:val="16"/>
              </w:rPr>
              <w:t>7500</w:t>
            </w:r>
          </w:p>
        </w:tc>
        <w:tc>
          <w:tcPr>
            <w:tcW w:w="873" w:type="dxa"/>
          </w:tcPr>
          <w:p>
            <w:pPr>
              <w:pStyle w:val="TableParagraph"/>
              <w:spacing w:line="180" w:lineRule="exact"/>
              <w:ind w:left="61" w:right="6"/>
              <w:jc w:val="center"/>
              <w:rPr>
                <w:sz w:val="16"/>
              </w:rPr>
            </w:pPr>
            <w:r>
              <w:rPr>
                <w:spacing w:val="-4"/>
                <w:sz w:val="16"/>
              </w:rPr>
              <w:t>8,91</w:t>
            </w:r>
          </w:p>
        </w:tc>
      </w:tr>
      <w:tr>
        <w:trPr>
          <w:trHeight w:val="369" w:hRule="atLeast"/>
        </w:trPr>
        <w:tc>
          <w:tcPr>
            <w:tcW w:w="854" w:type="dxa"/>
          </w:tcPr>
          <w:p>
            <w:pPr>
              <w:pStyle w:val="TableParagraph"/>
              <w:spacing w:line="168" w:lineRule="exact" w:before="181"/>
              <w:ind w:left="8"/>
              <w:jc w:val="center"/>
              <w:rPr>
                <w:sz w:val="16"/>
              </w:rPr>
            </w:pPr>
            <w:r>
              <w:rPr>
                <w:spacing w:val="-10"/>
                <w:sz w:val="16"/>
              </w:rPr>
              <w:t>1</w:t>
            </w:r>
          </w:p>
        </w:tc>
        <w:tc>
          <w:tcPr>
            <w:tcW w:w="6921" w:type="dxa"/>
          </w:tcPr>
          <w:p>
            <w:pPr>
              <w:pStyle w:val="TableParagraph"/>
              <w:spacing w:line="180" w:lineRule="exact"/>
              <w:ind w:left="67"/>
              <w:rPr>
                <w:sz w:val="16"/>
              </w:rPr>
            </w:pPr>
            <w:r>
              <w:rPr>
                <w:sz w:val="16"/>
              </w:rPr>
              <w:t>XLIII</w:t>
            </w:r>
            <w:r>
              <w:rPr>
                <w:spacing w:val="-7"/>
                <w:sz w:val="16"/>
              </w:rPr>
              <w:t> </w:t>
            </w:r>
            <w:r>
              <w:rPr>
                <w:sz w:val="16"/>
              </w:rPr>
              <w:t>JORNADAS</w:t>
            </w:r>
            <w:r>
              <w:rPr>
                <w:spacing w:val="-4"/>
                <w:sz w:val="16"/>
              </w:rPr>
              <w:t> </w:t>
            </w:r>
            <w:r>
              <w:rPr>
                <w:sz w:val="16"/>
              </w:rPr>
              <w:t>DE</w:t>
            </w:r>
            <w:r>
              <w:rPr>
                <w:spacing w:val="-4"/>
                <w:sz w:val="16"/>
              </w:rPr>
              <w:t> </w:t>
            </w:r>
            <w:r>
              <w:rPr>
                <w:sz w:val="16"/>
              </w:rPr>
              <w:t>DERECHO</w:t>
            </w:r>
            <w:r>
              <w:rPr>
                <w:spacing w:val="-9"/>
                <w:sz w:val="16"/>
              </w:rPr>
              <w:t> </w:t>
            </w:r>
            <w:r>
              <w:rPr>
                <w:sz w:val="16"/>
              </w:rPr>
              <w:t>DEL</w:t>
            </w:r>
            <w:r>
              <w:rPr>
                <w:spacing w:val="-3"/>
                <w:sz w:val="16"/>
              </w:rPr>
              <w:t> </w:t>
            </w:r>
            <w:r>
              <w:rPr>
                <w:sz w:val="16"/>
              </w:rPr>
              <w:t>TRABAJO,</w:t>
            </w:r>
            <w:r>
              <w:rPr>
                <w:spacing w:val="-3"/>
                <w:sz w:val="16"/>
              </w:rPr>
              <w:t> </w:t>
            </w:r>
            <w:r>
              <w:rPr>
                <w:sz w:val="16"/>
              </w:rPr>
              <w:t>SEGURIDAD</w:t>
            </w:r>
            <w:r>
              <w:rPr>
                <w:spacing w:val="-5"/>
                <w:sz w:val="16"/>
              </w:rPr>
              <w:t> </w:t>
            </w:r>
            <w:r>
              <w:rPr>
                <w:sz w:val="16"/>
              </w:rPr>
              <w:t>SOCIAL</w:t>
            </w:r>
            <w:r>
              <w:rPr>
                <w:spacing w:val="-5"/>
                <w:sz w:val="16"/>
              </w:rPr>
              <w:t> </w:t>
            </w:r>
            <w:r>
              <w:rPr>
                <w:sz w:val="16"/>
              </w:rPr>
              <w:t>Y</w:t>
            </w:r>
            <w:r>
              <w:rPr>
                <w:spacing w:val="-3"/>
                <w:sz w:val="16"/>
              </w:rPr>
              <w:t> </w:t>
            </w:r>
            <w:r>
              <w:rPr>
                <w:spacing w:val="-2"/>
                <w:sz w:val="16"/>
              </w:rPr>
              <w:t>RECURSOS</w:t>
            </w:r>
          </w:p>
          <w:p>
            <w:pPr>
              <w:pStyle w:val="TableParagraph"/>
              <w:spacing w:line="168" w:lineRule="exact" w:before="1"/>
              <w:ind w:left="67"/>
              <w:rPr>
                <w:sz w:val="16"/>
              </w:rPr>
            </w:pPr>
            <w:r>
              <w:rPr>
                <w:spacing w:val="-2"/>
                <w:sz w:val="16"/>
              </w:rPr>
              <w:t>HUMANOS</w:t>
            </w:r>
          </w:p>
        </w:tc>
        <w:tc>
          <w:tcPr>
            <w:tcW w:w="873" w:type="dxa"/>
          </w:tcPr>
          <w:p>
            <w:pPr>
              <w:pStyle w:val="TableParagraph"/>
              <w:spacing w:line="180" w:lineRule="exact"/>
              <w:ind w:left="58" w:right="6"/>
              <w:jc w:val="center"/>
              <w:rPr>
                <w:sz w:val="16"/>
              </w:rPr>
            </w:pPr>
            <w:r>
              <w:rPr>
                <w:spacing w:val="-2"/>
                <w:sz w:val="16"/>
              </w:rPr>
              <w:t>32,00</w:t>
            </w:r>
          </w:p>
        </w:tc>
      </w:tr>
      <w:tr>
        <w:trPr>
          <w:trHeight w:val="299" w:hRule="atLeast"/>
        </w:trPr>
        <w:tc>
          <w:tcPr>
            <w:tcW w:w="854" w:type="dxa"/>
          </w:tcPr>
          <w:p>
            <w:pPr>
              <w:pStyle w:val="TableParagraph"/>
              <w:spacing w:line="168" w:lineRule="exact" w:before="111"/>
              <w:ind w:left="8"/>
              <w:jc w:val="center"/>
              <w:rPr>
                <w:sz w:val="16"/>
              </w:rPr>
            </w:pPr>
            <w:r>
              <w:rPr>
                <w:spacing w:val="-10"/>
                <w:sz w:val="16"/>
              </w:rPr>
              <w:t>1</w:t>
            </w:r>
          </w:p>
        </w:tc>
        <w:tc>
          <w:tcPr>
            <w:tcW w:w="6921" w:type="dxa"/>
          </w:tcPr>
          <w:p>
            <w:pPr>
              <w:pStyle w:val="TableParagraph"/>
              <w:spacing w:line="168" w:lineRule="exact" w:before="111"/>
              <w:ind w:left="67"/>
              <w:rPr>
                <w:sz w:val="16"/>
              </w:rPr>
            </w:pPr>
            <w:r>
              <w:rPr>
                <w:sz w:val="16"/>
              </w:rPr>
              <w:t>XVIII</w:t>
            </w:r>
            <w:r>
              <w:rPr>
                <w:spacing w:val="-3"/>
                <w:sz w:val="16"/>
              </w:rPr>
              <w:t> </w:t>
            </w:r>
            <w:r>
              <w:rPr>
                <w:sz w:val="16"/>
              </w:rPr>
              <w:t>FORO</w:t>
            </w:r>
            <w:r>
              <w:rPr>
                <w:spacing w:val="-7"/>
                <w:sz w:val="16"/>
              </w:rPr>
              <w:t> </w:t>
            </w:r>
            <w:r>
              <w:rPr>
                <w:sz w:val="16"/>
              </w:rPr>
              <w:t>ARANZADI</w:t>
            </w:r>
            <w:r>
              <w:rPr>
                <w:spacing w:val="-4"/>
                <w:sz w:val="16"/>
              </w:rPr>
              <w:t> </w:t>
            </w:r>
            <w:r>
              <w:rPr>
                <w:sz w:val="16"/>
              </w:rPr>
              <w:t>SOCIAL</w:t>
            </w:r>
            <w:r>
              <w:rPr>
                <w:spacing w:val="-7"/>
                <w:sz w:val="16"/>
              </w:rPr>
              <w:t> </w:t>
            </w:r>
            <w:r>
              <w:rPr>
                <w:sz w:val="16"/>
              </w:rPr>
              <w:t>LAS</w:t>
            </w:r>
            <w:r>
              <w:rPr>
                <w:spacing w:val="-4"/>
                <w:sz w:val="16"/>
              </w:rPr>
              <w:t> </w:t>
            </w:r>
            <w:r>
              <w:rPr>
                <w:sz w:val="16"/>
              </w:rPr>
              <w:t>PALMAS</w:t>
            </w:r>
            <w:r>
              <w:rPr>
                <w:spacing w:val="-2"/>
                <w:sz w:val="16"/>
              </w:rPr>
              <w:t> </w:t>
            </w:r>
            <w:r>
              <w:rPr>
                <w:sz w:val="16"/>
              </w:rPr>
              <w:t>2024-</w:t>
            </w:r>
            <w:r>
              <w:rPr>
                <w:spacing w:val="-4"/>
                <w:sz w:val="16"/>
              </w:rPr>
              <w:t>2025</w:t>
            </w:r>
          </w:p>
        </w:tc>
        <w:tc>
          <w:tcPr>
            <w:tcW w:w="873" w:type="dxa"/>
          </w:tcPr>
          <w:p>
            <w:pPr>
              <w:pStyle w:val="TableParagraph"/>
              <w:spacing w:line="180" w:lineRule="exact"/>
              <w:ind w:left="58" w:right="6"/>
              <w:jc w:val="center"/>
              <w:rPr>
                <w:sz w:val="16"/>
              </w:rPr>
            </w:pPr>
            <w:r>
              <w:rPr>
                <w:spacing w:val="-2"/>
                <w:sz w:val="16"/>
              </w:rPr>
              <w:t>27,00</w:t>
            </w:r>
          </w:p>
        </w:tc>
      </w:tr>
      <w:tr>
        <w:trPr>
          <w:trHeight w:val="366" w:hRule="atLeast"/>
        </w:trPr>
        <w:tc>
          <w:tcPr>
            <w:tcW w:w="854" w:type="dxa"/>
          </w:tcPr>
          <w:p>
            <w:pPr>
              <w:pStyle w:val="TableParagraph"/>
              <w:spacing w:line="168" w:lineRule="exact" w:before="178"/>
              <w:ind w:left="8" w:right="1"/>
              <w:jc w:val="center"/>
              <w:rPr>
                <w:b/>
                <w:sz w:val="16"/>
              </w:rPr>
            </w:pPr>
            <w:r>
              <w:rPr>
                <w:b/>
                <w:spacing w:val="-5"/>
                <w:sz w:val="16"/>
              </w:rPr>
              <w:t>523</w:t>
            </w:r>
          </w:p>
        </w:tc>
        <w:tc>
          <w:tcPr>
            <w:tcW w:w="6921" w:type="dxa"/>
            <w:shd w:val="clear" w:color="auto" w:fill="BEBEBE"/>
          </w:tcPr>
          <w:p>
            <w:pPr>
              <w:pStyle w:val="TableParagraph"/>
              <w:rPr>
                <w:rFonts w:ascii="Times New Roman"/>
                <w:sz w:val="14"/>
              </w:rPr>
            </w:pPr>
          </w:p>
        </w:tc>
        <w:tc>
          <w:tcPr>
            <w:tcW w:w="873" w:type="dxa"/>
          </w:tcPr>
          <w:p>
            <w:pPr>
              <w:pStyle w:val="TableParagraph"/>
              <w:spacing w:line="168" w:lineRule="exact" w:before="178"/>
              <w:ind w:left="56" w:right="62"/>
              <w:jc w:val="center"/>
              <w:rPr>
                <w:b/>
                <w:sz w:val="16"/>
              </w:rPr>
            </w:pPr>
            <w:r>
              <w:rPr>
                <w:b/>
                <w:spacing w:val="-2"/>
                <w:sz w:val="16"/>
              </w:rPr>
              <w:t>21.872,34</w:t>
            </w:r>
          </w:p>
        </w:tc>
      </w:tr>
    </w:tbl>
    <w:p>
      <w:pPr>
        <w:pStyle w:val="TableParagraph"/>
        <w:spacing w:after="0" w:line="168" w:lineRule="exact"/>
        <w:jc w:val="center"/>
        <w:rPr>
          <w:b/>
          <w:sz w:val="16"/>
        </w:rPr>
        <w:sectPr>
          <w:pgSz w:w="11910" w:h="16840"/>
          <w:pgMar w:header="384" w:footer="1060" w:top="1200" w:bottom="1260" w:left="360" w:right="360"/>
        </w:sectPr>
      </w:pPr>
    </w:p>
    <w:p>
      <w:pPr>
        <w:pStyle w:val="Heading3"/>
        <w:numPr>
          <w:ilvl w:val="1"/>
          <w:numId w:val="31"/>
        </w:numPr>
        <w:tabs>
          <w:tab w:pos="1675" w:val="left" w:leader="none"/>
        </w:tabs>
        <w:spacing w:line="240" w:lineRule="auto" w:before="213" w:after="0"/>
        <w:ind w:left="1675" w:right="0" w:hanging="334"/>
        <w:jc w:val="left"/>
      </w:pPr>
      <w:bookmarkStart w:name="_TOC_250017" w:id="35"/>
      <w:r>
        <w:rPr/>
        <w:t>Accesibilidad</w:t>
      </w:r>
      <w:r>
        <w:rPr>
          <w:spacing w:val="-5"/>
        </w:rPr>
        <w:t> </w:t>
      </w:r>
      <w:r>
        <w:rPr/>
        <w:t>Universal</w:t>
      </w:r>
      <w:r>
        <w:rPr>
          <w:spacing w:val="-7"/>
        </w:rPr>
        <w:t> </w:t>
      </w:r>
      <w:r>
        <w:rPr/>
        <w:t>de</w:t>
      </w:r>
      <w:r>
        <w:rPr>
          <w:spacing w:val="-10"/>
        </w:rPr>
        <w:t> </w:t>
      </w:r>
      <w:r>
        <w:rPr/>
        <w:t>las</w:t>
      </w:r>
      <w:r>
        <w:rPr>
          <w:spacing w:val="-9"/>
        </w:rPr>
        <w:t> </w:t>
      </w:r>
      <w:r>
        <w:rPr/>
        <w:t>personas</w:t>
      </w:r>
      <w:r>
        <w:rPr>
          <w:spacing w:val="-10"/>
        </w:rPr>
        <w:t> </w:t>
      </w:r>
      <w:r>
        <w:rPr/>
        <w:t>con</w:t>
      </w:r>
      <w:r>
        <w:rPr>
          <w:spacing w:val="-9"/>
        </w:rPr>
        <w:t> </w:t>
      </w:r>
      <w:bookmarkEnd w:id="35"/>
      <w:r>
        <w:rPr>
          <w:spacing w:val="-2"/>
        </w:rPr>
        <w:t>discapacidad</w:t>
      </w:r>
    </w:p>
    <w:p>
      <w:pPr>
        <w:pStyle w:val="BodyText"/>
        <w:spacing w:before="46"/>
        <w:rPr>
          <w:b/>
        </w:rPr>
      </w:pPr>
    </w:p>
    <w:p>
      <w:pPr>
        <w:pStyle w:val="BodyText"/>
        <w:spacing w:line="360" w:lineRule="auto"/>
        <w:ind w:left="1341" w:right="1334"/>
        <w:jc w:val="both"/>
      </w:pPr>
      <w:r>
        <w:rPr/>
        <w:t>En el</w:t>
      </w:r>
      <w:r>
        <w:rPr>
          <w:spacing w:val="40"/>
        </w:rPr>
        <w:t> </w:t>
      </w:r>
      <w:r>
        <w:rPr/>
        <w:t>2021 se concedió mediante resolución del expediente 21-35/05158 del 27-07-2021 del Servicio Canario de Empleo y atendiendo al carácter de empresa pública de Guaguas Municipales, S.A., se reconoció que para la contratación de personas con discapacidad, se estará a lo recogido en el artículo 59 de RD Legislativo 5/2015, que dispone que en las ofertas de empleo público se reservará un cupo no inferior al 7% de sus vacantes para ser cubiertas por</w:t>
      </w:r>
      <w:r>
        <w:rPr>
          <w:spacing w:val="55"/>
        </w:rPr>
        <w:t> </w:t>
      </w:r>
      <w:r>
        <w:rPr/>
        <w:t>personas</w:t>
      </w:r>
      <w:r>
        <w:rPr>
          <w:spacing w:val="56"/>
        </w:rPr>
        <w:t> </w:t>
      </w:r>
      <w:r>
        <w:rPr/>
        <w:t>con</w:t>
      </w:r>
      <w:r>
        <w:rPr>
          <w:spacing w:val="57"/>
        </w:rPr>
        <w:t> </w:t>
      </w:r>
      <w:r>
        <w:rPr/>
        <w:t>discapacidad,</w:t>
      </w:r>
      <w:r>
        <w:rPr>
          <w:spacing w:val="57"/>
        </w:rPr>
        <w:t> </w:t>
      </w:r>
      <w:r>
        <w:rPr/>
        <w:t>con</w:t>
      </w:r>
      <w:r>
        <w:rPr>
          <w:spacing w:val="57"/>
        </w:rPr>
        <w:t> </w:t>
      </w:r>
      <w:r>
        <w:rPr/>
        <w:t>la</w:t>
      </w:r>
      <w:r>
        <w:rPr>
          <w:spacing w:val="54"/>
        </w:rPr>
        <w:t> </w:t>
      </w:r>
      <w:r>
        <w:rPr/>
        <w:t>condición</w:t>
      </w:r>
      <w:r>
        <w:rPr>
          <w:spacing w:val="59"/>
        </w:rPr>
        <w:t> </w:t>
      </w:r>
      <w:r>
        <w:rPr/>
        <w:t>que</w:t>
      </w:r>
      <w:r>
        <w:rPr>
          <w:spacing w:val="55"/>
        </w:rPr>
        <w:t> </w:t>
      </w:r>
      <w:r>
        <w:rPr/>
        <w:t>superen</w:t>
      </w:r>
      <w:r>
        <w:rPr>
          <w:spacing w:val="53"/>
        </w:rPr>
        <w:t> </w:t>
      </w:r>
      <w:r>
        <w:rPr/>
        <w:t>los</w:t>
      </w:r>
      <w:r>
        <w:rPr>
          <w:spacing w:val="56"/>
        </w:rPr>
        <w:t> </w:t>
      </w:r>
      <w:r>
        <w:rPr/>
        <w:t>procesos</w:t>
      </w:r>
      <w:r>
        <w:rPr>
          <w:spacing w:val="57"/>
        </w:rPr>
        <w:t> </w:t>
      </w:r>
      <w:r>
        <w:rPr/>
        <w:t>selectivos</w:t>
      </w:r>
      <w:r>
        <w:rPr>
          <w:spacing w:val="60"/>
        </w:rPr>
        <w:t> </w:t>
      </w:r>
      <w:r>
        <w:rPr>
          <w:spacing w:val="-10"/>
        </w:rPr>
        <w:t>y</w:t>
      </w:r>
    </w:p>
    <w:p>
      <w:pPr>
        <w:pStyle w:val="BodyText"/>
        <w:spacing w:line="362" w:lineRule="auto"/>
        <w:ind w:left="1341" w:right="1308"/>
      </w:pPr>
      <w:r>
        <w:rPr/>
        <w:t>acrediten</w:t>
      </w:r>
      <w:r>
        <w:rPr>
          <w:spacing w:val="40"/>
        </w:rPr>
        <w:t> </w:t>
      </w:r>
      <w:r>
        <w:rPr/>
        <w:t>dicha</w:t>
      </w:r>
      <w:r>
        <w:rPr>
          <w:spacing w:val="40"/>
        </w:rPr>
        <w:t> </w:t>
      </w:r>
      <w:r>
        <w:rPr/>
        <w:t>discapacidad.</w:t>
      </w:r>
      <w:r>
        <w:rPr>
          <w:spacing w:val="40"/>
        </w:rPr>
        <w:t> </w:t>
      </w:r>
      <w:r>
        <w:rPr/>
        <w:t>En</w:t>
      </w:r>
      <w:r>
        <w:rPr>
          <w:spacing w:val="40"/>
        </w:rPr>
        <w:t> </w:t>
      </w:r>
      <w:r>
        <w:rPr/>
        <w:t>el</w:t>
      </w:r>
      <w:r>
        <w:rPr>
          <w:spacing w:val="40"/>
        </w:rPr>
        <w:t> </w:t>
      </w:r>
      <w:r>
        <w:rPr/>
        <w:t>año</w:t>
      </w:r>
      <w:r>
        <w:rPr>
          <w:spacing w:val="40"/>
        </w:rPr>
        <w:t> </w:t>
      </w:r>
      <w:r>
        <w:rPr/>
        <w:t>2025</w:t>
      </w:r>
      <w:r>
        <w:rPr>
          <w:spacing w:val="40"/>
        </w:rPr>
        <w:t> </w:t>
      </w:r>
      <w:r>
        <w:rPr/>
        <w:t>se</w:t>
      </w:r>
      <w:r>
        <w:rPr>
          <w:spacing w:val="40"/>
        </w:rPr>
        <w:t> </w:t>
      </w:r>
      <w:r>
        <w:rPr/>
        <w:t>sigue</w:t>
      </w:r>
      <w:r>
        <w:rPr>
          <w:spacing w:val="40"/>
        </w:rPr>
        <w:t> </w:t>
      </w:r>
      <w:r>
        <w:rPr/>
        <w:t>reservando</w:t>
      </w:r>
      <w:r>
        <w:rPr>
          <w:spacing w:val="40"/>
        </w:rPr>
        <w:t> </w:t>
      </w:r>
      <w:r>
        <w:rPr/>
        <w:t>ese</w:t>
      </w:r>
      <w:r>
        <w:rPr>
          <w:spacing w:val="40"/>
        </w:rPr>
        <w:t> </w:t>
      </w:r>
      <w:r>
        <w:rPr/>
        <w:t>porcentaje</w:t>
      </w:r>
      <w:r>
        <w:rPr>
          <w:spacing w:val="40"/>
        </w:rPr>
        <w:t> </w:t>
      </w:r>
      <w:r>
        <w:rPr/>
        <w:t>en</w:t>
      </w:r>
      <w:r>
        <w:rPr>
          <w:spacing w:val="40"/>
        </w:rPr>
        <w:t> </w:t>
      </w:r>
      <w:r>
        <w:rPr/>
        <w:t>las convocatorias de selección.</w:t>
      </w:r>
    </w:p>
    <w:p>
      <w:pPr>
        <w:pStyle w:val="BodyText"/>
        <w:spacing w:line="360" w:lineRule="auto" w:before="195"/>
        <w:ind w:left="1341" w:right="1308"/>
      </w:pPr>
      <w:r>
        <w:rPr/>
        <w:t>Asimismo,</w:t>
      </w:r>
      <w:r>
        <w:rPr>
          <w:spacing w:val="33"/>
        </w:rPr>
        <w:t> </w:t>
      </w:r>
      <w:r>
        <w:rPr/>
        <w:t>en</w:t>
      </w:r>
      <w:r>
        <w:rPr>
          <w:spacing w:val="33"/>
        </w:rPr>
        <w:t> </w:t>
      </w:r>
      <w:r>
        <w:rPr/>
        <w:t>el</w:t>
      </w:r>
      <w:r>
        <w:rPr>
          <w:spacing w:val="33"/>
        </w:rPr>
        <w:t> </w:t>
      </w:r>
      <w:r>
        <w:rPr/>
        <w:t>año</w:t>
      </w:r>
      <w:r>
        <w:rPr>
          <w:spacing w:val="35"/>
        </w:rPr>
        <w:t> </w:t>
      </w:r>
      <w:r>
        <w:rPr/>
        <w:t>2025</w:t>
      </w:r>
      <w:r>
        <w:rPr>
          <w:spacing w:val="34"/>
        </w:rPr>
        <w:t> </w:t>
      </w:r>
      <w:r>
        <w:rPr/>
        <w:t>los</w:t>
      </w:r>
      <w:r>
        <w:rPr>
          <w:spacing w:val="33"/>
        </w:rPr>
        <w:t> </w:t>
      </w:r>
      <w:r>
        <w:rPr/>
        <w:t>trabajadores</w:t>
      </w:r>
      <w:r>
        <w:rPr>
          <w:spacing w:val="34"/>
        </w:rPr>
        <w:t> </w:t>
      </w:r>
      <w:r>
        <w:rPr/>
        <w:t>recibieron</w:t>
      </w:r>
      <w:r>
        <w:rPr>
          <w:spacing w:val="33"/>
        </w:rPr>
        <w:t> </w:t>
      </w:r>
      <w:r>
        <w:rPr/>
        <w:t>164</w:t>
      </w:r>
      <w:r>
        <w:rPr>
          <w:spacing w:val="32"/>
        </w:rPr>
        <w:t> </w:t>
      </w:r>
      <w:r>
        <w:rPr/>
        <w:t>horas</w:t>
      </w:r>
      <w:r>
        <w:rPr>
          <w:spacing w:val="35"/>
        </w:rPr>
        <w:t> </w:t>
      </w:r>
      <w:r>
        <w:rPr/>
        <w:t>de</w:t>
      </w:r>
      <w:r>
        <w:rPr>
          <w:spacing w:val="33"/>
        </w:rPr>
        <w:t> </w:t>
      </w:r>
      <w:r>
        <w:rPr/>
        <w:t>formación</w:t>
      </w:r>
      <w:r>
        <w:rPr>
          <w:spacing w:val="32"/>
        </w:rPr>
        <w:t> </w:t>
      </w:r>
      <w:r>
        <w:rPr/>
        <w:t>de</w:t>
      </w:r>
      <w:r>
        <w:rPr>
          <w:spacing w:val="34"/>
        </w:rPr>
        <w:t> </w:t>
      </w:r>
      <w:r>
        <w:rPr/>
        <w:t>la</w:t>
      </w:r>
      <w:r>
        <w:rPr>
          <w:spacing w:val="34"/>
        </w:rPr>
        <w:t> </w:t>
      </w:r>
      <w:r>
        <w:rPr/>
        <w:t>acción formativa</w:t>
      </w:r>
      <w:r>
        <w:rPr>
          <w:spacing w:val="67"/>
          <w:w w:val="150"/>
        </w:rPr>
        <w:t> </w:t>
      </w:r>
      <w:r>
        <w:rPr/>
        <w:t>denominada</w:t>
      </w:r>
      <w:r>
        <w:rPr>
          <w:spacing w:val="65"/>
          <w:w w:val="150"/>
        </w:rPr>
        <w:t> </w:t>
      </w:r>
      <w:r>
        <w:rPr/>
        <w:t>“SENSIBILIZACIÓN</w:t>
      </w:r>
      <w:r>
        <w:rPr>
          <w:spacing w:val="67"/>
          <w:w w:val="150"/>
        </w:rPr>
        <w:t> </w:t>
      </w:r>
      <w:r>
        <w:rPr/>
        <w:t>DE</w:t>
      </w:r>
      <w:r>
        <w:rPr>
          <w:spacing w:val="65"/>
          <w:w w:val="150"/>
        </w:rPr>
        <w:t> </w:t>
      </w:r>
      <w:r>
        <w:rPr/>
        <w:t>ACCESIBILIDAD</w:t>
      </w:r>
      <w:r>
        <w:rPr>
          <w:spacing w:val="71"/>
          <w:w w:val="150"/>
        </w:rPr>
        <w:t> </w:t>
      </w:r>
      <w:r>
        <w:rPr/>
        <w:t>EN</w:t>
      </w:r>
      <w:r>
        <w:rPr>
          <w:spacing w:val="70"/>
          <w:w w:val="150"/>
        </w:rPr>
        <w:t> </w:t>
      </w:r>
      <w:r>
        <w:rPr/>
        <w:t>EL</w:t>
      </w:r>
      <w:r>
        <w:rPr>
          <w:spacing w:val="68"/>
          <w:w w:val="150"/>
        </w:rPr>
        <w:t> </w:t>
      </w:r>
      <w:r>
        <w:rPr>
          <w:spacing w:val="-2"/>
        </w:rPr>
        <w:t>TRANSPORTE</w:t>
      </w:r>
    </w:p>
    <w:p>
      <w:pPr>
        <w:pStyle w:val="BodyText"/>
        <w:spacing w:before="4"/>
        <w:ind w:left="1341"/>
      </w:pPr>
      <w:r>
        <w:rPr/>
        <w:t>PÚBLICO</w:t>
      </w:r>
      <w:r>
        <w:rPr>
          <w:spacing w:val="-4"/>
        </w:rPr>
        <w:t> </w:t>
      </w:r>
      <w:r>
        <w:rPr/>
        <w:t>PMR</w:t>
      </w:r>
      <w:r>
        <w:rPr>
          <w:spacing w:val="-9"/>
        </w:rPr>
        <w:t> </w:t>
      </w:r>
      <w:r>
        <w:rPr/>
        <w:t>(Personas</w:t>
      </w:r>
      <w:r>
        <w:rPr>
          <w:spacing w:val="-7"/>
        </w:rPr>
        <w:t> </w:t>
      </w:r>
      <w:r>
        <w:rPr/>
        <w:t>con</w:t>
      </w:r>
      <w:r>
        <w:rPr>
          <w:spacing w:val="-9"/>
        </w:rPr>
        <w:t> </w:t>
      </w:r>
      <w:r>
        <w:rPr/>
        <w:t>movilidad</w:t>
      </w:r>
      <w:r>
        <w:rPr>
          <w:spacing w:val="-9"/>
        </w:rPr>
        <w:t> </w:t>
      </w:r>
      <w:r>
        <w:rPr>
          <w:spacing w:val="-2"/>
        </w:rPr>
        <w:t>reducida).</w:t>
      </w:r>
    </w:p>
    <w:p>
      <w:pPr>
        <w:pStyle w:val="BodyText"/>
        <w:spacing w:before="82"/>
      </w:pPr>
    </w:p>
    <w:p>
      <w:pPr>
        <w:pStyle w:val="Heading3"/>
        <w:numPr>
          <w:ilvl w:val="1"/>
          <w:numId w:val="31"/>
        </w:numPr>
        <w:tabs>
          <w:tab w:pos="1670" w:val="left" w:leader="none"/>
        </w:tabs>
        <w:spacing w:line="240" w:lineRule="auto" w:before="0" w:after="0"/>
        <w:ind w:left="1670" w:right="0" w:hanging="329"/>
        <w:jc w:val="left"/>
      </w:pPr>
      <w:bookmarkStart w:name="_TOC_250016" w:id="36"/>
      <w:r>
        <w:rPr/>
        <w:t>Integración</w:t>
      </w:r>
      <w:r>
        <w:rPr>
          <w:spacing w:val="-5"/>
        </w:rPr>
        <w:t> </w:t>
      </w:r>
      <w:r>
        <w:rPr/>
        <w:t>e</w:t>
      </w:r>
      <w:r>
        <w:rPr>
          <w:spacing w:val="-8"/>
        </w:rPr>
        <w:t> </w:t>
      </w:r>
      <w:bookmarkEnd w:id="36"/>
      <w:r>
        <w:rPr>
          <w:spacing w:val="-2"/>
        </w:rPr>
        <w:t>igualdad</w:t>
      </w:r>
    </w:p>
    <w:p>
      <w:pPr>
        <w:pStyle w:val="BodyText"/>
        <w:spacing w:before="44"/>
        <w:rPr>
          <w:b/>
        </w:rPr>
      </w:pPr>
    </w:p>
    <w:p>
      <w:pPr>
        <w:spacing w:before="0"/>
        <w:ind w:left="1341" w:right="0" w:firstLine="0"/>
        <w:jc w:val="left"/>
        <w:rPr>
          <w:b/>
          <w:sz w:val="20"/>
        </w:rPr>
      </w:pPr>
      <w:r>
        <w:rPr>
          <w:b/>
          <w:sz w:val="20"/>
        </w:rPr>
        <w:t>4.8.1</w:t>
      </w:r>
      <w:r>
        <w:rPr>
          <w:b/>
          <w:spacing w:val="57"/>
          <w:sz w:val="20"/>
        </w:rPr>
        <w:t> </w:t>
      </w:r>
      <w:r>
        <w:rPr>
          <w:b/>
          <w:sz w:val="20"/>
        </w:rPr>
        <w:t>Igualdad</w:t>
      </w:r>
      <w:r>
        <w:rPr>
          <w:b/>
          <w:spacing w:val="59"/>
          <w:sz w:val="20"/>
        </w:rPr>
        <w:t> </w:t>
      </w:r>
      <w:r>
        <w:rPr>
          <w:b/>
          <w:sz w:val="20"/>
        </w:rPr>
        <w:t>de</w:t>
      </w:r>
      <w:r>
        <w:rPr>
          <w:b/>
          <w:spacing w:val="57"/>
          <w:sz w:val="20"/>
        </w:rPr>
        <w:t> </w:t>
      </w:r>
      <w:r>
        <w:rPr>
          <w:b/>
          <w:sz w:val="20"/>
        </w:rPr>
        <w:t>género,</w:t>
      </w:r>
      <w:r>
        <w:rPr>
          <w:b/>
          <w:spacing w:val="59"/>
          <w:sz w:val="20"/>
        </w:rPr>
        <w:t> </w:t>
      </w:r>
      <w:r>
        <w:rPr>
          <w:b/>
          <w:sz w:val="20"/>
        </w:rPr>
        <w:t>protocolos</w:t>
      </w:r>
      <w:r>
        <w:rPr>
          <w:b/>
          <w:spacing w:val="58"/>
          <w:sz w:val="20"/>
        </w:rPr>
        <w:t> </w:t>
      </w:r>
      <w:r>
        <w:rPr>
          <w:b/>
          <w:sz w:val="20"/>
        </w:rPr>
        <w:t>contra</w:t>
      </w:r>
      <w:r>
        <w:rPr>
          <w:b/>
          <w:spacing w:val="58"/>
          <w:sz w:val="20"/>
        </w:rPr>
        <w:t> </w:t>
      </w:r>
      <w:r>
        <w:rPr>
          <w:b/>
          <w:sz w:val="20"/>
        </w:rPr>
        <w:t>el</w:t>
      </w:r>
      <w:r>
        <w:rPr>
          <w:b/>
          <w:spacing w:val="59"/>
          <w:sz w:val="20"/>
        </w:rPr>
        <w:t> </w:t>
      </w:r>
      <w:r>
        <w:rPr>
          <w:b/>
          <w:sz w:val="20"/>
        </w:rPr>
        <w:t>acoso</w:t>
      </w:r>
      <w:r>
        <w:rPr>
          <w:b/>
          <w:spacing w:val="59"/>
          <w:sz w:val="20"/>
        </w:rPr>
        <w:t> </w:t>
      </w:r>
      <w:r>
        <w:rPr>
          <w:b/>
          <w:sz w:val="20"/>
        </w:rPr>
        <w:t>sexual</w:t>
      </w:r>
      <w:r>
        <w:rPr>
          <w:b/>
          <w:spacing w:val="59"/>
          <w:sz w:val="20"/>
        </w:rPr>
        <w:t> </w:t>
      </w:r>
      <w:r>
        <w:rPr>
          <w:b/>
          <w:sz w:val="20"/>
        </w:rPr>
        <w:t>y</w:t>
      </w:r>
      <w:r>
        <w:rPr>
          <w:b/>
          <w:spacing w:val="56"/>
          <w:sz w:val="20"/>
        </w:rPr>
        <w:t> </w:t>
      </w:r>
      <w:r>
        <w:rPr>
          <w:b/>
          <w:sz w:val="20"/>
        </w:rPr>
        <w:t>por</w:t>
      </w:r>
      <w:r>
        <w:rPr>
          <w:b/>
          <w:spacing w:val="56"/>
          <w:sz w:val="20"/>
        </w:rPr>
        <w:t> </w:t>
      </w:r>
      <w:r>
        <w:rPr>
          <w:b/>
          <w:sz w:val="20"/>
        </w:rPr>
        <w:t>razón</w:t>
      </w:r>
      <w:r>
        <w:rPr>
          <w:b/>
          <w:spacing w:val="59"/>
          <w:sz w:val="20"/>
        </w:rPr>
        <w:t> </w:t>
      </w:r>
      <w:r>
        <w:rPr>
          <w:b/>
          <w:sz w:val="20"/>
        </w:rPr>
        <w:t>de</w:t>
      </w:r>
      <w:r>
        <w:rPr>
          <w:b/>
          <w:spacing w:val="58"/>
          <w:sz w:val="20"/>
        </w:rPr>
        <w:t> </w:t>
      </w:r>
      <w:r>
        <w:rPr>
          <w:b/>
          <w:spacing w:val="-2"/>
          <w:sz w:val="20"/>
        </w:rPr>
        <w:t>sexo;</w:t>
      </w:r>
    </w:p>
    <w:p>
      <w:pPr>
        <w:spacing w:line="276" w:lineRule="auto" w:before="34"/>
        <w:ind w:left="1341" w:right="1308" w:firstLine="0"/>
        <w:jc w:val="left"/>
        <w:rPr>
          <w:b/>
          <w:sz w:val="20"/>
        </w:rPr>
      </w:pPr>
      <w:r>
        <w:rPr>
          <w:b/>
          <w:sz w:val="20"/>
        </w:rPr>
        <w:t>integración y</w:t>
      </w:r>
      <w:r>
        <w:rPr>
          <w:b/>
          <w:spacing w:val="-6"/>
          <w:sz w:val="20"/>
        </w:rPr>
        <w:t> </w:t>
      </w:r>
      <w:r>
        <w:rPr>
          <w:b/>
          <w:sz w:val="20"/>
        </w:rPr>
        <w:t>accesibilidad</w:t>
      </w:r>
      <w:r>
        <w:rPr>
          <w:b/>
          <w:spacing w:val="-1"/>
          <w:sz w:val="20"/>
        </w:rPr>
        <w:t> </w:t>
      </w:r>
      <w:r>
        <w:rPr>
          <w:b/>
          <w:sz w:val="20"/>
        </w:rPr>
        <w:t>universal</w:t>
      </w:r>
      <w:r>
        <w:rPr>
          <w:b/>
          <w:spacing w:val="-3"/>
          <w:sz w:val="20"/>
        </w:rPr>
        <w:t> </w:t>
      </w:r>
      <w:r>
        <w:rPr>
          <w:b/>
          <w:sz w:val="20"/>
        </w:rPr>
        <w:t>de</w:t>
      </w:r>
      <w:r>
        <w:rPr>
          <w:b/>
          <w:spacing w:val="-3"/>
          <w:sz w:val="20"/>
        </w:rPr>
        <w:t> </w:t>
      </w:r>
      <w:r>
        <w:rPr>
          <w:b/>
          <w:sz w:val="20"/>
        </w:rPr>
        <w:t>las</w:t>
      </w:r>
      <w:r>
        <w:rPr>
          <w:b/>
          <w:spacing w:val="-3"/>
          <w:sz w:val="20"/>
        </w:rPr>
        <w:t> </w:t>
      </w:r>
      <w:r>
        <w:rPr>
          <w:b/>
          <w:sz w:val="20"/>
        </w:rPr>
        <w:t>personas</w:t>
      </w:r>
      <w:r>
        <w:rPr>
          <w:b/>
          <w:spacing w:val="-4"/>
          <w:sz w:val="20"/>
        </w:rPr>
        <w:t> </w:t>
      </w:r>
      <w:r>
        <w:rPr>
          <w:b/>
          <w:sz w:val="20"/>
        </w:rPr>
        <w:t>con</w:t>
      </w:r>
      <w:r>
        <w:rPr>
          <w:b/>
          <w:spacing w:val="-3"/>
          <w:sz w:val="20"/>
        </w:rPr>
        <w:t> </w:t>
      </w:r>
      <w:r>
        <w:rPr>
          <w:b/>
          <w:sz w:val="20"/>
        </w:rPr>
        <w:t>discapacidad y</w:t>
      </w:r>
      <w:r>
        <w:rPr>
          <w:b/>
          <w:spacing w:val="-6"/>
          <w:sz w:val="20"/>
        </w:rPr>
        <w:t> </w:t>
      </w:r>
      <w:r>
        <w:rPr>
          <w:b/>
          <w:sz w:val="20"/>
        </w:rPr>
        <w:t>políticas</w:t>
      </w:r>
      <w:r>
        <w:rPr>
          <w:b/>
          <w:spacing w:val="-2"/>
          <w:sz w:val="20"/>
        </w:rPr>
        <w:t> </w:t>
      </w:r>
      <w:r>
        <w:rPr>
          <w:b/>
          <w:sz w:val="20"/>
        </w:rPr>
        <w:t>contra todo tipo de discriminación; gestión de la diversidad</w:t>
      </w:r>
    </w:p>
    <w:p>
      <w:pPr>
        <w:pStyle w:val="BodyText"/>
        <w:spacing w:before="12"/>
        <w:rPr>
          <w:b/>
        </w:rPr>
      </w:pPr>
    </w:p>
    <w:p>
      <w:pPr>
        <w:pStyle w:val="BodyText"/>
        <w:ind w:left="5"/>
        <w:jc w:val="center"/>
      </w:pPr>
      <w:r>
        <w:rPr/>
        <w:t>Estos</w:t>
      </w:r>
      <w:r>
        <w:rPr>
          <w:spacing w:val="75"/>
        </w:rPr>
        <w:t> </w:t>
      </w:r>
      <w:r>
        <w:rPr/>
        <w:t>puntos</w:t>
      </w:r>
      <w:r>
        <w:rPr>
          <w:spacing w:val="77"/>
        </w:rPr>
        <w:t> </w:t>
      </w:r>
      <w:r>
        <w:rPr/>
        <w:t>se</w:t>
      </w:r>
      <w:r>
        <w:rPr>
          <w:spacing w:val="76"/>
        </w:rPr>
        <w:t> </w:t>
      </w:r>
      <w:r>
        <w:rPr/>
        <w:t>recogen</w:t>
      </w:r>
      <w:r>
        <w:rPr>
          <w:spacing w:val="78"/>
        </w:rPr>
        <w:t> </w:t>
      </w:r>
      <w:r>
        <w:rPr/>
        <w:t>en</w:t>
      </w:r>
      <w:r>
        <w:rPr>
          <w:spacing w:val="75"/>
        </w:rPr>
        <w:t> </w:t>
      </w:r>
      <w:r>
        <w:rPr/>
        <w:t>el</w:t>
      </w:r>
      <w:r>
        <w:rPr>
          <w:spacing w:val="74"/>
        </w:rPr>
        <w:t> </w:t>
      </w:r>
      <w:r>
        <w:rPr/>
        <w:t>2º</w:t>
      </w:r>
      <w:r>
        <w:rPr>
          <w:spacing w:val="74"/>
        </w:rPr>
        <w:t> </w:t>
      </w:r>
      <w:r>
        <w:rPr/>
        <w:t>PLAN</w:t>
      </w:r>
      <w:r>
        <w:rPr>
          <w:spacing w:val="74"/>
        </w:rPr>
        <w:t> </w:t>
      </w:r>
      <w:r>
        <w:rPr/>
        <w:t>DE</w:t>
      </w:r>
      <w:r>
        <w:rPr>
          <w:spacing w:val="74"/>
        </w:rPr>
        <w:t> </w:t>
      </w:r>
      <w:r>
        <w:rPr/>
        <w:t>IGUALDAD</w:t>
      </w:r>
      <w:r>
        <w:rPr>
          <w:spacing w:val="75"/>
        </w:rPr>
        <w:t> </w:t>
      </w:r>
      <w:r>
        <w:rPr/>
        <w:t>NEGOCIADO</w:t>
      </w:r>
      <w:r>
        <w:rPr>
          <w:spacing w:val="76"/>
        </w:rPr>
        <w:t> </w:t>
      </w:r>
      <w:r>
        <w:rPr/>
        <w:t>DE</w:t>
      </w:r>
      <w:r>
        <w:rPr>
          <w:spacing w:val="73"/>
        </w:rPr>
        <w:t> </w:t>
      </w:r>
      <w:r>
        <w:rPr/>
        <w:t>TRATO</w:t>
      </w:r>
      <w:r>
        <w:rPr>
          <w:spacing w:val="76"/>
        </w:rPr>
        <w:t> </w:t>
      </w:r>
      <w:r>
        <w:rPr>
          <w:spacing w:val="-10"/>
        </w:rPr>
        <w:t>Y</w:t>
      </w:r>
    </w:p>
    <w:p>
      <w:pPr>
        <w:pStyle w:val="BodyText"/>
        <w:spacing w:before="113"/>
        <w:ind w:left="1"/>
        <w:jc w:val="center"/>
      </w:pPr>
      <w:r>
        <w:rPr/>
        <w:t>OPORTUNIDADES</w:t>
      </w:r>
      <w:r>
        <w:rPr>
          <w:spacing w:val="2"/>
        </w:rPr>
        <w:t> </w:t>
      </w:r>
      <w:r>
        <w:rPr/>
        <w:t>ENTRE</w:t>
      </w:r>
      <w:r>
        <w:rPr>
          <w:spacing w:val="4"/>
        </w:rPr>
        <w:t> </w:t>
      </w:r>
      <w:r>
        <w:rPr/>
        <w:t>HOMBRES</w:t>
      </w:r>
      <w:r>
        <w:rPr>
          <w:spacing w:val="6"/>
        </w:rPr>
        <w:t> </w:t>
      </w:r>
      <w:r>
        <w:rPr/>
        <w:t>Y</w:t>
      </w:r>
      <w:r>
        <w:rPr>
          <w:spacing w:val="2"/>
        </w:rPr>
        <w:t> </w:t>
      </w:r>
      <w:r>
        <w:rPr/>
        <w:t>MUJERES,</w:t>
      </w:r>
      <w:r>
        <w:rPr>
          <w:spacing w:val="4"/>
        </w:rPr>
        <w:t> </w:t>
      </w:r>
      <w:r>
        <w:rPr/>
        <w:t>en</w:t>
      </w:r>
      <w:r>
        <w:rPr>
          <w:spacing w:val="2"/>
        </w:rPr>
        <w:t> </w:t>
      </w:r>
      <w:r>
        <w:rPr/>
        <w:t>el</w:t>
      </w:r>
      <w:r>
        <w:rPr>
          <w:spacing w:val="1"/>
        </w:rPr>
        <w:t> </w:t>
      </w:r>
      <w:r>
        <w:rPr/>
        <w:t>que</w:t>
      </w:r>
      <w:r>
        <w:rPr>
          <w:spacing w:val="2"/>
        </w:rPr>
        <w:t> </w:t>
      </w:r>
      <w:r>
        <w:rPr/>
        <w:t>se</w:t>
      </w:r>
      <w:r>
        <w:rPr>
          <w:spacing w:val="4"/>
        </w:rPr>
        <w:t> </w:t>
      </w:r>
      <w:r>
        <w:rPr/>
        <w:t>establece</w:t>
      </w:r>
      <w:r>
        <w:rPr>
          <w:spacing w:val="2"/>
        </w:rPr>
        <w:t> </w:t>
      </w:r>
      <w:r>
        <w:rPr/>
        <w:t>el</w:t>
      </w:r>
      <w:r>
        <w:rPr>
          <w:spacing w:val="3"/>
        </w:rPr>
        <w:t> </w:t>
      </w:r>
      <w:r>
        <w:rPr>
          <w:spacing w:val="-2"/>
        </w:rPr>
        <w:t>PROTOCOLO</w:t>
      </w:r>
    </w:p>
    <w:p>
      <w:pPr>
        <w:pStyle w:val="BodyText"/>
        <w:spacing w:line="362" w:lineRule="auto" w:before="116"/>
        <w:ind w:left="1341" w:right="1308"/>
      </w:pPr>
      <w:r>
        <w:rPr/>
        <w:t>DE</w:t>
      </w:r>
      <w:r>
        <w:rPr>
          <w:spacing w:val="80"/>
        </w:rPr>
        <w:t> </w:t>
      </w:r>
      <w:r>
        <w:rPr/>
        <w:t>PREVENCIÓN</w:t>
      </w:r>
      <w:r>
        <w:rPr>
          <w:spacing w:val="80"/>
        </w:rPr>
        <w:t> </w:t>
      </w:r>
      <w:r>
        <w:rPr/>
        <w:t>DE</w:t>
      </w:r>
      <w:r>
        <w:rPr>
          <w:spacing w:val="80"/>
          <w:w w:val="150"/>
        </w:rPr>
        <w:t> </w:t>
      </w:r>
      <w:r>
        <w:rPr/>
        <w:t>RIESGOS</w:t>
      </w:r>
      <w:r>
        <w:rPr>
          <w:spacing w:val="80"/>
        </w:rPr>
        <w:t> </w:t>
      </w:r>
      <w:r>
        <w:rPr/>
        <w:t>PSICOSOCIALES</w:t>
      </w:r>
      <w:r>
        <w:rPr>
          <w:spacing w:val="80"/>
          <w:w w:val="150"/>
        </w:rPr>
        <w:t> </w:t>
      </w:r>
      <w:r>
        <w:rPr/>
        <w:t>y</w:t>
      </w:r>
      <w:r>
        <w:rPr>
          <w:spacing w:val="80"/>
        </w:rPr>
        <w:t> </w:t>
      </w:r>
      <w:r>
        <w:rPr/>
        <w:t>en</w:t>
      </w:r>
      <w:r>
        <w:rPr>
          <w:spacing w:val="79"/>
          <w:w w:val="150"/>
        </w:rPr>
        <w:t> </w:t>
      </w:r>
      <w:r>
        <w:rPr/>
        <w:t>cuanto</w:t>
      </w:r>
      <w:r>
        <w:rPr>
          <w:spacing w:val="79"/>
          <w:w w:val="150"/>
        </w:rPr>
        <w:t> </w:t>
      </w:r>
      <w:r>
        <w:rPr/>
        <w:t>a</w:t>
      </w:r>
      <w:r>
        <w:rPr>
          <w:spacing w:val="80"/>
        </w:rPr>
        <w:t> </w:t>
      </w:r>
      <w:r>
        <w:rPr/>
        <w:t>la</w:t>
      </w:r>
      <w:r>
        <w:rPr>
          <w:spacing w:val="79"/>
          <w:w w:val="150"/>
        </w:rPr>
        <w:t> </w:t>
      </w:r>
      <w:r>
        <w:rPr/>
        <w:t>Integración</w:t>
      </w:r>
      <w:r>
        <w:rPr>
          <w:spacing w:val="80"/>
          <w:w w:val="150"/>
        </w:rPr>
        <w:t> </w:t>
      </w:r>
      <w:r>
        <w:rPr/>
        <w:t>y Accesibilidad Universal se especifica en el punto 4.6 de este informe.</w:t>
      </w:r>
    </w:p>
    <w:p>
      <w:pPr>
        <w:pStyle w:val="BodyText"/>
        <w:spacing w:line="360" w:lineRule="auto" w:before="195"/>
        <w:ind w:left="1341" w:right="1337"/>
        <w:jc w:val="both"/>
      </w:pPr>
      <w:r>
        <w:rPr/>
        <mc:AlternateContent>
          <mc:Choice Requires="wps">
            <w:drawing>
              <wp:anchor distT="0" distB="0" distL="0" distR="0" allowOverlap="1" layoutInCell="1" locked="0" behindDoc="0" simplePos="0" relativeHeight="15824384">
                <wp:simplePos x="0" y="0"/>
                <wp:positionH relativeFrom="page">
                  <wp:posOffset>6966436</wp:posOffset>
                </wp:positionH>
                <wp:positionV relativeFrom="paragraph">
                  <wp:posOffset>815117</wp:posOffset>
                </wp:positionV>
                <wp:extent cx="263525" cy="327596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64.182487pt;width:20.75pt;height:257.95pt;mso-position-horizontal-relative:page;mso-position-vertical-relative:paragraph;z-index:15824384" type="#_x0000_t202" id="docshape255"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Ampliando</w:t>
      </w:r>
      <w:r>
        <w:rPr>
          <w:spacing w:val="-2"/>
        </w:rPr>
        <w:t> </w:t>
      </w:r>
      <w:r>
        <w:rPr/>
        <w:t>lo indicado</w:t>
      </w:r>
      <w:r>
        <w:rPr>
          <w:spacing w:val="-2"/>
        </w:rPr>
        <w:t> </w:t>
      </w:r>
      <w:r>
        <w:rPr/>
        <w:t>en el</w:t>
      </w:r>
      <w:r>
        <w:rPr>
          <w:spacing w:val="-1"/>
        </w:rPr>
        <w:t> </w:t>
      </w:r>
      <w:r>
        <w:rPr/>
        <w:t>punto</w:t>
      </w:r>
      <w:r>
        <w:rPr>
          <w:spacing w:val="-2"/>
        </w:rPr>
        <w:t> </w:t>
      </w:r>
      <w:r>
        <w:rPr/>
        <w:t>4.2.3 de</w:t>
      </w:r>
      <w:r>
        <w:rPr>
          <w:spacing w:val="-2"/>
        </w:rPr>
        <w:t> </w:t>
      </w:r>
      <w:r>
        <w:rPr/>
        <w:t>este</w:t>
      </w:r>
      <w:r>
        <w:rPr>
          <w:spacing w:val="-2"/>
        </w:rPr>
        <w:t> </w:t>
      </w:r>
      <w:r>
        <w:rPr/>
        <w:t>informe</w:t>
      </w:r>
      <w:r>
        <w:rPr>
          <w:spacing w:val="-2"/>
        </w:rPr>
        <w:t> </w:t>
      </w:r>
      <w:r>
        <w:rPr/>
        <w:t>sobre</w:t>
      </w:r>
      <w:r>
        <w:rPr>
          <w:spacing w:val="-2"/>
        </w:rPr>
        <w:t> </w:t>
      </w:r>
      <w:r>
        <w:rPr/>
        <w:t>Igualdad y</w:t>
      </w:r>
      <w:r>
        <w:rPr>
          <w:spacing w:val="-4"/>
        </w:rPr>
        <w:t> </w:t>
      </w:r>
      <w:r>
        <w:rPr/>
        <w:t>Conciliación,</w:t>
      </w:r>
      <w:r>
        <w:rPr>
          <w:spacing w:val="40"/>
        </w:rPr>
        <w:t> </w:t>
      </w:r>
      <w:r>
        <w:rPr/>
        <w:t>además de las actuaciones llevadas a cabo hasta la fecha en esta materia somos conscientes de la oportunidad</w:t>
      </w:r>
      <w:r>
        <w:rPr>
          <w:spacing w:val="-2"/>
        </w:rPr>
        <w:t> </w:t>
      </w:r>
      <w:r>
        <w:rPr/>
        <w:t>de</w:t>
      </w:r>
      <w:r>
        <w:rPr>
          <w:spacing w:val="-2"/>
        </w:rPr>
        <w:t> </w:t>
      </w:r>
      <w:r>
        <w:rPr/>
        <w:t>mejora</w:t>
      </w:r>
      <w:r>
        <w:rPr>
          <w:spacing w:val="-2"/>
        </w:rPr>
        <w:t> </w:t>
      </w:r>
      <w:r>
        <w:rPr/>
        <w:t>que</w:t>
      </w:r>
      <w:r>
        <w:rPr>
          <w:spacing w:val="-3"/>
        </w:rPr>
        <w:t> </w:t>
      </w:r>
      <w:r>
        <w:rPr/>
        <w:t>tenemos y</w:t>
      </w:r>
      <w:r>
        <w:rPr>
          <w:spacing w:val="-6"/>
        </w:rPr>
        <w:t> </w:t>
      </w:r>
      <w:r>
        <w:rPr/>
        <w:t>que</w:t>
      </w:r>
      <w:r>
        <w:rPr>
          <w:spacing w:val="-2"/>
        </w:rPr>
        <w:t> </w:t>
      </w:r>
      <w:r>
        <w:rPr/>
        <w:t>está en línea</w:t>
      </w:r>
      <w:r>
        <w:rPr>
          <w:spacing w:val="-2"/>
        </w:rPr>
        <w:t> </w:t>
      </w:r>
      <w:r>
        <w:rPr/>
        <w:t>con el impulso que las autoridades han dado a</w:t>
      </w:r>
      <w:r>
        <w:rPr>
          <w:spacing w:val="-2"/>
        </w:rPr>
        <w:t> </w:t>
      </w:r>
      <w:r>
        <w:rPr/>
        <w:t>través</w:t>
      </w:r>
      <w:r>
        <w:rPr>
          <w:spacing w:val="2"/>
        </w:rPr>
        <w:t> </w:t>
      </w:r>
      <w:r>
        <w:rPr/>
        <w:t>del RD</w:t>
      </w:r>
      <w:r>
        <w:rPr>
          <w:spacing w:val="-1"/>
        </w:rPr>
        <w:t> </w:t>
      </w:r>
      <w:r>
        <w:rPr/>
        <w:t>901/2020,</w:t>
      </w:r>
      <w:r>
        <w:rPr>
          <w:spacing w:val="-2"/>
        </w:rPr>
        <w:t> </w:t>
      </w:r>
      <w:r>
        <w:rPr/>
        <w:t>de</w:t>
      </w:r>
      <w:r>
        <w:rPr>
          <w:spacing w:val="1"/>
        </w:rPr>
        <w:t> </w:t>
      </w:r>
      <w:r>
        <w:rPr/>
        <w:t>13</w:t>
      </w:r>
      <w:r>
        <w:rPr>
          <w:spacing w:val="2"/>
        </w:rPr>
        <w:t> </w:t>
      </w:r>
      <w:r>
        <w:rPr/>
        <w:t>de</w:t>
      </w:r>
      <w:r>
        <w:rPr>
          <w:spacing w:val="1"/>
        </w:rPr>
        <w:t> </w:t>
      </w:r>
      <w:r>
        <w:rPr/>
        <w:t>octubre,</w:t>
      </w:r>
      <w:r>
        <w:rPr>
          <w:spacing w:val="1"/>
        </w:rPr>
        <w:t> </w:t>
      </w:r>
      <w:r>
        <w:rPr/>
        <w:t>por</w:t>
      </w:r>
      <w:r>
        <w:rPr>
          <w:spacing w:val="-1"/>
        </w:rPr>
        <w:t> </w:t>
      </w:r>
      <w:r>
        <w:rPr/>
        <w:t>el</w:t>
      </w:r>
      <w:r>
        <w:rPr>
          <w:spacing w:val="-1"/>
        </w:rPr>
        <w:t> </w:t>
      </w:r>
      <w:r>
        <w:rPr/>
        <w:t>que</w:t>
      </w:r>
      <w:r>
        <w:rPr>
          <w:spacing w:val="-1"/>
        </w:rPr>
        <w:t> </w:t>
      </w:r>
      <w:r>
        <w:rPr/>
        <w:t>se</w:t>
      </w:r>
      <w:r>
        <w:rPr>
          <w:spacing w:val="-1"/>
        </w:rPr>
        <w:t> </w:t>
      </w:r>
      <w:r>
        <w:rPr/>
        <w:t>regulan</w:t>
      </w:r>
      <w:r>
        <w:rPr>
          <w:spacing w:val="1"/>
        </w:rPr>
        <w:t> </w:t>
      </w:r>
      <w:r>
        <w:rPr/>
        <w:t>los</w:t>
      </w:r>
      <w:r>
        <w:rPr>
          <w:spacing w:val="3"/>
        </w:rPr>
        <w:t> </w:t>
      </w:r>
      <w:r>
        <w:rPr/>
        <w:t>planes</w:t>
      </w:r>
      <w:r>
        <w:rPr>
          <w:spacing w:val="1"/>
        </w:rPr>
        <w:t> </w:t>
      </w:r>
      <w:r>
        <w:rPr/>
        <w:t>de</w:t>
      </w:r>
      <w:r>
        <w:rPr>
          <w:spacing w:val="1"/>
        </w:rPr>
        <w:t> </w:t>
      </w:r>
      <w:r>
        <w:rPr>
          <w:spacing w:val="-2"/>
        </w:rPr>
        <w:t>igualdad</w:t>
      </w:r>
    </w:p>
    <w:p>
      <w:pPr>
        <w:pStyle w:val="BodyText"/>
        <w:spacing w:before="1"/>
        <w:ind w:left="1"/>
        <w:jc w:val="center"/>
      </w:pPr>
      <w:r>
        <w:rPr/>
        <w:t>y</w:t>
      </w:r>
      <w:r>
        <w:rPr>
          <w:spacing w:val="35"/>
        </w:rPr>
        <w:t> </w:t>
      </w:r>
      <w:r>
        <w:rPr/>
        <w:t>su</w:t>
      </w:r>
      <w:r>
        <w:rPr>
          <w:spacing w:val="39"/>
        </w:rPr>
        <w:t> </w:t>
      </w:r>
      <w:r>
        <w:rPr/>
        <w:t>registro</w:t>
      </w:r>
      <w:r>
        <w:rPr>
          <w:spacing w:val="41"/>
        </w:rPr>
        <w:t> </w:t>
      </w:r>
      <w:r>
        <w:rPr/>
        <w:t>y</w:t>
      </w:r>
      <w:r>
        <w:rPr>
          <w:spacing w:val="36"/>
        </w:rPr>
        <w:t> </w:t>
      </w:r>
      <w:r>
        <w:rPr/>
        <w:t>se</w:t>
      </w:r>
      <w:r>
        <w:rPr>
          <w:spacing w:val="37"/>
        </w:rPr>
        <w:t> </w:t>
      </w:r>
      <w:r>
        <w:rPr/>
        <w:t>modifica</w:t>
      </w:r>
      <w:r>
        <w:rPr>
          <w:spacing w:val="40"/>
        </w:rPr>
        <w:t> </w:t>
      </w:r>
      <w:r>
        <w:rPr/>
        <w:t>el</w:t>
      </w:r>
      <w:r>
        <w:rPr>
          <w:spacing w:val="39"/>
        </w:rPr>
        <w:t> </w:t>
      </w:r>
      <w:r>
        <w:rPr/>
        <w:t>RD</w:t>
      </w:r>
      <w:r>
        <w:rPr>
          <w:spacing w:val="38"/>
        </w:rPr>
        <w:t> </w:t>
      </w:r>
      <w:r>
        <w:rPr/>
        <w:t>713/2010,</w:t>
      </w:r>
      <w:r>
        <w:rPr>
          <w:spacing w:val="38"/>
        </w:rPr>
        <w:t> </w:t>
      </w:r>
      <w:r>
        <w:rPr/>
        <w:t>de</w:t>
      </w:r>
      <w:r>
        <w:rPr>
          <w:spacing w:val="38"/>
        </w:rPr>
        <w:t> </w:t>
      </w:r>
      <w:r>
        <w:rPr/>
        <w:t>28</w:t>
      </w:r>
      <w:r>
        <w:rPr>
          <w:spacing w:val="39"/>
        </w:rPr>
        <w:t> </w:t>
      </w:r>
      <w:r>
        <w:rPr/>
        <w:t>de</w:t>
      </w:r>
      <w:r>
        <w:rPr>
          <w:spacing w:val="38"/>
        </w:rPr>
        <w:t> </w:t>
      </w:r>
      <w:r>
        <w:rPr/>
        <w:t>mayo,</w:t>
      </w:r>
      <w:r>
        <w:rPr>
          <w:spacing w:val="38"/>
        </w:rPr>
        <w:t> </w:t>
      </w:r>
      <w:r>
        <w:rPr/>
        <w:t>sobre</w:t>
      </w:r>
      <w:r>
        <w:rPr>
          <w:spacing w:val="39"/>
        </w:rPr>
        <w:t> </w:t>
      </w:r>
      <w:r>
        <w:rPr/>
        <w:t>registro</w:t>
      </w:r>
      <w:r>
        <w:rPr>
          <w:spacing w:val="40"/>
        </w:rPr>
        <w:t> </w:t>
      </w:r>
      <w:r>
        <w:rPr/>
        <w:t>y</w:t>
      </w:r>
      <w:r>
        <w:rPr>
          <w:spacing w:val="36"/>
        </w:rPr>
        <w:t> </w:t>
      </w:r>
      <w:r>
        <w:rPr/>
        <w:t>depósito</w:t>
      </w:r>
      <w:r>
        <w:rPr>
          <w:spacing w:val="38"/>
        </w:rPr>
        <w:t> </w:t>
      </w:r>
      <w:r>
        <w:rPr>
          <w:spacing w:val="-5"/>
        </w:rPr>
        <w:t>de</w:t>
      </w:r>
    </w:p>
    <w:p>
      <w:pPr>
        <w:pStyle w:val="BodyText"/>
        <w:spacing w:line="360" w:lineRule="auto" w:before="115"/>
        <w:ind w:left="1341" w:right="1308"/>
      </w:pPr>
      <w:r>
        <w:rPr/>
        <w:t>convenios y acuerdos colectivos de trabajo. En base a ello, El 27 de junio de 2023 se firma el acta de aprobación del</w:t>
      </w:r>
      <w:r>
        <w:rPr>
          <w:spacing w:val="40"/>
        </w:rPr>
        <w:t> </w:t>
      </w:r>
      <w:r>
        <w:rPr/>
        <w:t>2º Plan de Igualdad de Guaguas Municipales.</w:t>
      </w:r>
    </w:p>
    <w:p>
      <w:pPr>
        <w:pStyle w:val="Heading3"/>
        <w:numPr>
          <w:ilvl w:val="1"/>
          <w:numId w:val="31"/>
        </w:numPr>
        <w:tabs>
          <w:tab w:pos="1673" w:val="left" w:leader="none"/>
        </w:tabs>
        <w:spacing w:line="240" w:lineRule="auto" w:before="198" w:after="0"/>
        <w:ind w:left="1673" w:right="0" w:hanging="332"/>
        <w:jc w:val="left"/>
      </w:pPr>
      <w:bookmarkStart w:name="_TOC_250015" w:id="37"/>
      <w:r>
        <w:rPr/>
        <w:t>Salud</w:t>
      </w:r>
      <w:r>
        <w:rPr>
          <w:spacing w:val="-1"/>
        </w:rPr>
        <w:t> </w:t>
      </w:r>
      <w:r>
        <w:rPr/>
        <w:t>y</w:t>
      </w:r>
      <w:r>
        <w:rPr>
          <w:spacing w:val="-7"/>
        </w:rPr>
        <w:t> </w:t>
      </w:r>
      <w:r>
        <w:rPr/>
        <w:t>seguridad</w:t>
      </w:r>
      <w:r>
        <w:rPr>
          <w:spacing w:val="-6"/>
        </w:rPr>
        <w:t> </w:t>
      </w:r>
      <w:r>
        <w:rPr/>
        <w:t>de</w:t>
      </w:r>
      <w:r>
        <w:rPr>
          <w:spacing w:val="-4"/>
        </w:rPr>
        <w:t> </w:t>
      </w:r>
      <w:r>
        <w:rPr/>
        <w:t>los</w:t>
      </w:r>
      <w:r>
        <w:rPr>
          <w:spacing w:val="-6"/>
        </w:rPr>
        <w:t> </w:t>
      </w:r>
      <w:bookmarkEnd w:id="37"/>
      <w:r>
        <w:rPr>
          <w:spacing w:val="-2"/>
        </w:rPr>
        <w:t>clientes</w:t>
      </w:r>
    </w:p>
    <w:p>
      <w:pPr>
        <w:pStyle w:val="BodyText"/>
        <w:spacing w:before="47"/>
        <w:rPr>
          <w:b/>
        </w:rPr>
      </w:pPr>
    </w:p>
    <w:p>
      <w:pPr>
        <w:pStyle w:val="BodyText"/>
        <w:spacing w:line="360" w:lineRule="auto"/>
        <w:ind w:left="1341" w:right="1308"/>
      </w:pPr>
      <w:r>
        <w:rPr/>
        <w:t>GMSA establece las condiciones de</w:t>
      </w:r>
      <w:r>
        <w:rPr>
          <w:spacing w:val="-3"/>
        </w:rPr>
        <w:t> </w:t>
      </w:r>
      <w:r>
        <w:rPr/>
        <w:t>seguridad y</w:t>
      </w:r>
      <w:r>
        <w:rPr>
          <w:spacing w:val="-5"/>
        </w:rPr>
        <w:t> </w:t>
      </w:r>
      <w:r>
        <w:rPr/>
        <w:t>salud</w:t>
      </w:r>
      <w:r>
        <w:rPr>
          <w:spacing w:val="-1"/>
        </w:rPr>
        <w:t> </w:t>
      </w:r>
      <w:r>
        <w:rPr/>
        <w:t>necesarias para</w:t>
      </w:r>
      <w:r>
        <w:rPr>
          <w:spacing w:val="-1"/>
        </w:rPr>
        <w:t> </w:t>
      </w:r>
      <w:r>
        <w:rPr/>
        <w:t>la</w:t>
      </w:r>
      <w:r>
        <w:rPr>
          <w:spacing w:val="-1"/>
        </w:rPr>
        <w:t> </w:t>
      </w:r>
      <w:r>
        <w:rPr/>
        <w:t>óptima</w:t>
      </w:r>
      <w:r>
        <w:rPr>
          <w:spacing w:val="-3"/>
        </w:rPr>
        <w:t> </w:t>
      </w:r>
      <w:r>
        <w:rPr/>
        <w:t>prestación</w:t>
      </w:r>
      <w:r>
        <w:rPr>
          <w:spacing w:val="-1"/>
        </w:rPr>
        <w:t> </w:t>
      </w:r>
      <w:r>
        <w:rPr/>
        <w:t>del servicio, tanto para sus trabajadores como para sus clientes.</w:t>
      </w:r>
    </w:p>
    <w:p>
      <w:pPr>
        <w:pStyle w:val="BodyText"/>
        <w:spacing w:line="362" w:lineRule="auto" w:before="198"/>
        <w:ind w:left="1341" w:right="1308"/>
      </w:pPr>
      <w:r>
        <w:rPr/>
        <w:t>La</w:t>
      </w:r>
      <w:r>
        <w:rPr>
          <w:spacing w:val="40"/>
        </w:rPr>
        <w:t> </w:t>
      </w:r>
      <w:r>
        <w:rPr/>
        <w:t>empresa</w:t>
      </w:r>
      <w:r>
        <w:rPr>
          <w:spacing w:val="40"/>
        </w:rPr>
        <w:t> </w:t>
      </w:r>
      <w:r>
        <w:rPr/>
        <w:t>no</w:t>
      </w:r>
      <w:r>
        <w:rPr>
          <w:spacing w:val="40"/>
        </w:rPr>
        <w:t> </w:t>
      </w:r>
      <w:r>
        <w:rPr/>
        <w:t>ha</w:t>
      </w:r>
      <w:r>
        <w:rPr>
          <w:spacing w:val="40"/>
        </w:rPr>
        <w:t> </w:t>
      </w:r>
      <w:r>
        <w:rPr/>
        <w:t>identificado</w:t>
      </w:r>
      <w:r>
        <w:rPr>
          <w:spacing w:val="40"/>
        </w:rPr>
        <w:t> </w:t>
      </w:r>
      <w:r>
        <w:rPr/>
        <w:t>incumplimientos</w:t>
      </w:r>
      <w:r>
        <w:rPr>
          <w:spacing w:val="40"/>
        </w:rPr>
        <w:t> </w:t>
      </w:r>
      <w:r>
        <w:rPr/>
        <w:t>de</w:t>
      </w:r>
      <w:r>
        <w:rPr>
          <w:spacing w:val="40"/>
        </w:rPr>
        <w:t> </w:t>
      </w:r>
      <w:r>
        <w:rPr/>
        <w:t>las</w:t>
      </w:r>
      <w:r>
        <w:rPr>
          <w:spacing w:val="40"/>
        </w:rPr>
        <w:t> </w:t>
      </w:r>
      <w:r>
        <w:rPr/>
        <w:t>normativas</w:t>
      </w:r>
      <w:r>
        <w:rPr>
          <w:spacing w:val="40"/>
        </w:rPr>
        <w:t> </w:t>
      </w:r>
      <w:r>
        <w:rPr/>
        <w:t>o</w:t>
      </w:r>
      <w:r>
        <w:rPr>
          <w:spacing w:val="40"/>
        </w:rPr>
        <w:t> </w:t>
      </w:r>
      <w:r>
        <w:rPr/>
        <w:t>códigos</w:t>
      </w:r>
      <w:r>
        <w:rPr>
          <w:spacing w:val="40"/>
        </w:rPr>
        <w:t> </w:t>
      </w:r>
      <w:r>
        <w:rPr/>
        <w:t>voluntarios,</w:t>
      </w:r>
      <w:r>
        <w:rPr>
          <w:spacing w:val="40"/>
        </w:rPr>
        <w:t> </w:t>
      </w:r>
      <w:r>
        <w:rPr/>
        <w:t>relativos a los impactos en la salud y seguridad en la prestación del servicio.</w:t>
      </w:r>
    </w:p>
    <w:p>
      <w:pPr>
        <w:pStyle w:val="Heading3"/>
        <w:numPr>
          <w:ilvl w:val="1"/>
          <w:numId w:val="31"/>
        </w:numPr>
        <w:tabs>
          <w:tab w:pos="1783" w:val="left" w:leader="none"/>
        </w:tabs>
        <w:spacing w:line="240" w:lineRule="auto" w:before="196" w:after="0"/>
        <w:ind w:left="1783" w:right="0" w:hanging="442"/>
        <w:jc w:val="left"/>
      </w:pPr>
      <w:bookmarkStart w:name="_TOC_250014" w:id="38"/>
      <w:r>
        <w:rPr/>
        <w:t>Privacidad</w:t>
      </w:r>
      <w:r>
        <w:rPr>
          <w:spacing w:val="-11"/>
        </w:rPr>
        <w:t> </w:t>
      </w:r>
      <w:r>
        <w:rPr/>
        <w:t>del</w:t>
      </w:r>
      <w:r>
        <w:rPr>
          <w:spacing w:val="-7"/>
        </w:rPr>
        <w:t> </w:t>
      </w:r>
      <w:bookmarkEnd w:id="38"/>
      <w:r>
        <w:rPr>
          <w:spacing w:val="-2"/>
        </w:rPr>
        <w:t>cliente</w:t>
      </w:r>
    </w:p>
    <w:p>
      <w:pPr>
        <w:pStyle w:val="BodyText"/>
        <w:spacing w:before="43"/>
        <w:rPr>
          <w:b/>
        </w:rPr>
      </w:pPr>
    </w:p>
    <w:p>
      <w:pPr>
        <w:pStyle w:val="BodyText"/>
        <w:spacing w:line="362" w:lineRule="auto" w:before="1"/>
        <w:ind w:left="1341" w:right="1308"/>
      </w:pPr>
      <w:r>
        <w:rPr/>
        <w:t>La empresa no ha identificado ninguna reclamación fundamentada relativa a violaciones de la privacidad del cliente y pérdida de datos del cliente.</w:t>
      </w:r>
    </w:p>
    <w:p>
      <w:pPr>
        <w:pStyle w:val="BodyText"/>
        <w:spacing w:after="0" w:line="362" w:lineRule="auto"/>
        <w:sectPr>
          <w:pgSz w:w="11910" w:h="16840"/>
          <w:pgMar w:header="384" w:footer="1060" w:top="1200" w:bottom="1260" w:left="360" w:right="360"/>
        </w:sectPr>
      </w:pPr>
    </w:p>
    <w:p>
      <w:pPr>
        <w:pStyle w:val="Heading3"/>
        <w:numPr>
          <w:ilvl w:val="0"/>
          <w:numId w:val="31"/>
        </w:numPr>
        <w:tabs>
          <w:tab w:pos="1559" w:val="left" w:leader="none"/>
        </w:tabs>
        <w:spacing w:line="240" w:lineRule="auto" w:before="213" w:after="0"/>
        <w:ind w:left="1559" w:right="0" w:hanging="218"/>
        <w:jc w:val="left"/>
      </w:pPr>
      <w:bookmarkStart w:name="_TOC_250013" w:id="39"/>
      <w:r>
        <w:rPr/>
        <w:t>Respeto</w:t>
      </w:r>
      <w:r>
        <w:rPr>
          <w:spacing w:val="-7"/>
        </w:rPr>
        <w:t> </w:t>
      </w:r>
      <w:r>
        <w:rPr/>
        <w:t>de</w:t>
      </w:r>
      <w:r>
        <w:rPr>
          <w:spacing w:val="-7"/>
        </w:rPr>
        <w:t> </w:t>
      </w:r>
      <w:r>
        <w:rPr/>
        <w:t>los</w:t>
      </w:r>
      <w:r>
        <w:rPr>
          <w:spacing w:val="-4"/>
        </w:rPr>
        <w:t> </w:t>
      </w:r>
      <w:r>
        <w:rPr/>
        <w:t>Derechos</w:t>
      </w:r>
      <w:r>
        <w:rPr>
          <w:spacing w:val="-6"/>
        </w:rPr>
        <w:t> </w:t>
      </w:r>
      <w:bookmarkEnd w:id="39"/>
      <w:r>
        <w:rPr>
          <w:spacing w:val="-2"/>
        </w:rPr>
        <w:t>Humanos</w:t>
      </w:r>
    </w:p>
    <w:p>
      <w:pPr>
        <w:pStyle w:val="BodyText"/>
        <w:spacing w:before="46"/>
        <w:rPr>
          <w:b/>
        </w:rPr>
      </w:pPr>
    </w:p>
    <w:p>
      <w:pPr>
        <w:pStyle w:val="BodyText"/>
        <w:spacing w:line="362" w:lineRule="auto"/>
        <w:ind w:left="1341" w:right="1339"/>
        <w:jc w:val="both"/>
      </w:pPr>
      <w:r>
        <w:rPr/>
        <w:t>GMSA se alinea con los Principios del Pacto Mundial, queriendo manifestar el respeto por los derechos humanos, que obviamente son seguidos escrupulosamente por los propios valores</w:t>
      </w:r>
      <w:r>
        <w:rPr>
          <w:spacing w:val="80"/>
        </w:rPr>
        <w:t> </w:t>
      </w:r>
      <w:r>
        <w:rPr/>
        <w:t>de la empresa.</w:t>
      </w:r>
    </w:p>
    <w:p>
      <w:pPr>
        <w:pStyle w:val="Heading3"/>
        <w:numPr>
          <w:ilvl w:val="1"/>
          <w:numId w:val="44"/>
        </w:numPr>
        <w:tabs>
          <w:tab w:pos="1727" w:val="left" w:leader="none"/>
        </w:tabs>
        <w:spacing w:line="240" w:lineRule="auto" w:before="195" w:after="0"/>
        <w:ind w:left="1727" w:right="0" w:hanging="386"/>
        <w:jc w:val="left"/>
      </w:pPr>
      <w:bookmarkStart w:name="_TOC_250012" w:id="40"/>
      <w:r>
        <w:rPr/>
        <w:t>Procedimientos</w:t>
      </w:r>
      <w:r>
        <w:rPr>
          <w:spacing w:val="-5"/>
        </w:rPr>
        <w:t> </w:t>
      </w:r>
      <w:r>
        <w:rPr/>
        <w:t>de</w:t>
      </w:r>
      <w:r>
        <w:rPr>
          <w:spacing w:val="-8"/>
        </w:rPr>
        <w:t> </w:t>
      </w:r>
      <w:r>
        <w:rPr/>
        <w:t>due</w:t>
      </w:r>
      <w:r>
        <w:rPr>
          <w:spacing w:val="-6"/>
        </w:rPr>
        <w:t> </w:t>
      </w:r>
      <w:r>
        <w:rPr/>
        <w:t>diligence</w:t>
      </w:r>
      <w:r>
        <w:rPr>
          <w:spacing w:val="-6"/>
        </w:rPr>
        <w:t> </w:t>
      </w:r>
      <w:r>
        <w:rPr/>
        <w:t>en</w:t>
      </w:r>
      <w:r>
        <w:rPr>
          <w:spacing w:val="-6"/>
        </w:rPr>
        <w:t> </w:t>
      </w:r>
      <w:r>
        <w:rPr/>
        <w:t>materia</w:t>
      </w:r>
      <w:r>
        <w:rPr>
          <w:spacing w:val="-8"/>
        </w:rPr>
        <w:t> </w:t>
      </w:r>
      <w:r>
        <w:rPr/>
        <w:t>de</w:t>
      </w:r>
      <w:r>
        <w:rPr>
          <w:spacing w:val="-8"/>
        </w:rPr>
        <w:t> </w:t>
      </w:r>
      <w:r>
        <w:rPr/>
        <w:t>derechos</w:t>
      </w:r>
      <w:r>
        <w:rPr>
          <w:spacing w:val="-9"/>
        </w:rPr>
        <w:t> </w:t>
      </w:r>
      <w:bookmarkEnd w:id="40"/>
      <w:r>
        <w:rPr>
          <w:spacing w:val="-2"/>
        </w:rPr>
        <w:t>humanos</w:t>
      </w:r>
    </w:p>
    <w:p>
      <w:pPr>
        <w:pStyle w:val="BodyText"/>
        <w:spacing w:before="43"/>
        <w:rPr>
          <w:b/>
        </w:rPr>
      </w:pPr>
    </w:p>
    <w:p>
      <w:pPr>
        <w:pStyle w:val="BodyText"/>
        <w:spacing w:before="1"/>
        <w:ind w:left="1"/>
        <w:jc w:val="center"/>
      </w:pPr>
      <w:r>
        <w:rPr/>
        <w:t>En</w:t>
      </w:r>
      <w:r>
        <w:rPr>
          <w:spacing w:val="39"/>
        </w:rPr>
        <w:t> </w:t>
      </w:r>
      <w:r>
        <w:rPr/>
        <w:t>GMSA</w:t>
      </w:r>
      <w:r>
        <w:rPr>
          <w:spacing w:val="39"/>
        </w:rPr>
        <w:t> </w:t>
      </w:r>
      <w:r>
        <w:rPr/>
        <w:t>no</w:t>
      </w:r>
      <w:r>
        <w:rPr>
          <w:spacing w:val="39"/>
        </w:rPr>
        <w:t> </w:t>
      </w:r>
      <w:r>
        <w:rPr/>
        <w:t>realizamos</w:t>
      </w:r>
      <w:r>
        <w:rPr>
          <w:spacing w:val="37"/>
        </w:rPr>
        <w:t> </w:t>
      </w:r>
      <w:r>
        <w:rPr/>
        <w:t>auditorias</w:t>
      </w:r>
      <w:r>
        <w:rPr>
          <w:spacing w:val="39"/>
        </w:rPr>
        <w:t> </w:t>
      </w:r>
      <w:r>
        <w:rPr/>
        <w:t>en</w:t>
      </w:r>
      <w:r>
        <w:rPr>
          <w:spacing w:val="38"/>
        </w:rPr>
        <w:t> </w:t>
      </w:r>
      <w:r>
        <w:rPr/>
        <w:t>materia</w:t>
      </w:r>
      <w:r>
        <w:rPr>
          <w:spacing w:val="39"/>
        </w:rPr>
        <w:t> </w:t>
      </w:r>
      <w:r>
        <w:rPr/>
        <w:t>de</w:t>
      </w:r>
      <w:r>
        <w:rPr>
          <w:spacing w:val="38"/>
        </w:rPr>
        <w:t> </w:t>
      </w:r>
      <w:r>
        <w:rPr/>
        <w:t>derechos</w:t>
      </w:r>
      <w:r>
        <w:rPr>
          <w:spacing w:val="39"/>
        </w:rPr>
        <w:t> </w:t>
      </w:r>
      <w:r>
        <w:rPr/>
        <w:t>humanos,</w:t>
      </w:r>
      <w:r>
        <w:rPr>
          <w:spacing w:val="41"/>
        </w:rPr>
        <w:t> </w:t>
      </w:r>
      <w:r>
        <w:rPr/>
        <w:t>ya</w:t>
      </w:r>
      <w:r>
        <w:rPr>
          <w:spacing w:val="38"/>
        </w:rPr>
        <w:t> </w:t>
      </w:r>
      <w:r>
        <w:rPr/>
        <w:t>que</w:t>
      </w:r>
      <w:r>
        <w:rPr>
          <w:spacing w:val="39"/>
        </w:rPr>
        <w:t> </w:t>
      </w:r>
      <w:r>
        <w:rPr/>
        <w:t>la</w:t>
      </w:r>
      <w:r>
        <w:rPr>
          <w:spacing w:val="39"/>
        </w:rPr>
        <w:t> </w:t>
      </w:r>
      <w:r>
        <w:rPr>
          <w:spacing w:val="-2"/>
        </w:rPr>
        <w:t>sociedad</w:t>
      </w:r>
    </w:p>
    <w:p>
      <w:pPr>
        <w:pStyle w:val="BodyText"/>
        <w:spacing w:line="360" w:lineRule="auto" w:before="115"/>
        <w:ind w:left="1341" w:right="1339"/>
        <w:jc w:val="both"/>
      </w:pPr>
      <w:r>
        <w:rPr/>
        <w:t>desarrolla su actividad en España exclusivamente, donde están garantizados estos derechos por nuestro ordenamiento jurídico, tomando como base la Declaración Universal de Derechos Humanos de formulada por la Asamblea General de las Naciones Unidas.</w:t>
      </w:r>
    </w:p>
    <w:p>
      <w:pPr>
        <w:pStyle w:val="Heading3"/>
        <w:numPr>
          <w:ilvl w:val="1"/>
          <w:numId w:val="45"/>
        </w:numPr>
        <w:tabs>
          <w:tab w:pos="1751" w:val="left" w:leader="none"/>
        </w:tabs>
        <w:spacing w:line="276" w:lineRule="auto" w:before="199" w:after="0"/>
        <w:ind w:left="1341" w:right="1338" w:firstLine="0"/>
        <w:jc w:val="left"/>
      </w:pPr>
      <w:bookmarkStart w:name="_TOC_250011" w:id="41"/>
      <w:r>
        <w:rPr/>
        <w:t>Gestión</w:t>
      </w:r>
      <w:r>
        <w:rPr>
          <w:spacing w:val="76"/>
        </w:rPr>
        <w:t> </w:t>
      </w:r>
      <w:r>
        <w:rPr/>
        <w:t>de</w:t>
      </w:r>
      <w:r>
        <w:rPr>
          <w:spacing w:val="76"/>
        </w:rPr>
        <w:t> </w:t>
      </w:r>
      <w:r>
        <w:rPr/>
        <w:t>los</w:t>
      </w:r>
      <w:r>
        <w:rPr>
          <w:spacing w:val="76"/>
        </w:rPr>
        <w:t> </w:t>
      </w:r>
      <w:r>
        <w:rPr/>
        <w:t>riesgos</w:t>
      </w:r>
      <w:r>
        <w:rPr>
          <w:spacing w:val="76"/>
        </w:rPr>
        <w:t> </w:t>
      </w:r>
      <w:r>
        <w:rPr/>
        <w:t>vinculados</w:t>
      </w:r>
      <w:r>
        <w:rPr>
          <w:spacing w:val="77"/>
        </w:rPr>
        <w:t> </w:t>
      </w:r>
      <w:r>
        <w:rPr/>
        <w:t>con</w:t>
      </w:r>
      <w:r>
        <w:rPr>
          <w:spacing w:val="76"/>
        </w:rPr>
        <w:t> </w:t>
      </w:r>
      <w:r>
        <w:rPr/>
        <w:t>la</w:t>
      </w:r>
      <w:r>
        <w:rPr>
          <w:spacing w:val="77"/>
        </w:rPr>
        <w:t> </w:t>
      </w:r>
      <w:r>
        <w:rPr/>
        <w:t>vulneración</w:t>
      </w:r>
      <w:r>
        <w:rPr>
          <w:spacing w:val="78"/>
        </w:rPr>
        <w:t> </w:t>
      </w:r>
      <w:r>
        <w:rPr/>
        <w:t>de</w:t>
      </w:r>
      <w:r>
        <w:rPr>
          <w:spacing w:val="76"/>
        </w:rPr>
        <w:t> </w:t>
      </w:r>
      <w:r>
        <w:rPr/>
        <w:t>derechos</w:t>
      </w:r>
      <w:r>
        <w:rPr>
          <w:spacing w:val="73"/>
        </w:rPr>
        <w:t> </w:t>
      </w:r>
      <w:bookmarkEnd w:id="41"/>
      <w:r>
        <w:rPr/>
        <w:t>humanos, denuncias por casos de vulneración de estos</w:t>
      </w:r>
    </w:p>
    <w:p>
      <w:pPr>
        <w:pStyle w:val="BodyText"/>
        <w:spacing w:before="11"/>
        <w:rPr>
          <w:b/>
        </w:rPr>
      </w:pPr>
    </w:p>
    <w:p>
      <w:pPr>
        <w:pStyle w:val="BodyText"/>
        <w:ind w:left="1341"/>
      </w:pPr>
      <w:r>
        <w:rPr/>
        <w:t>No</w:t>
      </w:r>
      <w:r>
        <w:rPr>
          <w:spacing w:val="-8"/>
        </w:rPr>
        <w:t> </w:t>
      </w:r>
      <w:r>
        <w:rPr/>
        <w:t>existen</w:t>
      </w:r>
      <w:r>
        <w:rPr>
          <w:spacing w:val="-7"/>
        </w:rPr>
        <w:t> </w:t>
      </w:r>
      <w:r>
        <w:rPr/>
        <w:t>denuncias</w:t>
      </w:r>
      <w:r>
        <w:rPr>
          <w:spacing w:val="-6"/>
        </w:rPr>
        <w:t> </w:t>
      </w:r>
      <w:r>
        <w:rPr/>
        <w:t>al</w:t>
      </w:r>
      <w:r>
        <w:rPr>
          <w:spacing w:val="-7"/>
        </w:rPr>
        <w:t> </w:t>
      </w:r>
      <w:r>
        <w:rPr/>
        <w:t>no</w:t>
      </w:r>
      <w:r>
        <w:rPr>
          <w:spacing w:val="-7"/>
        </w:rPr>
        <w:t> </w:t>
      </w:r>
      <w:r>
        <w:rPr/>
        <w:t>producirse</w:t>
      </w:r>
      <w:r>
        <w:rPr>
          <w:spacing w:val="-8"/>
        </w:rPr>
        <w:t> </w:t>
      </w:r>
      <w:r>
        <w:rPr/>
        <w:t>casos</w:t>
      </w:r>
      <w:r>
        <w:rPr>
          <w:spacing w:val="-2"/>
        </w:rPr>
        <w:t> </w:t>
      </w:r>
      <w:r>
        <w:rPr/>
        <w:t>de</w:t>
      </w:r>
      <w:r>
        <w:rPr>
          <w:spacing w:val="-4"/>
        </w:rPr>
        <w:t> </w:t>
      </w:r>
      <w:r>
        <w:rPr/>
        <w:t>vulneración</w:t>
      </w:r>
      <w:r>
        <w:rPr>
          <w:spacing w:val="-4"/>
        </w:rPr>
        <w:t> </w:t>
      </w:r>
      <w:r>
        <w:rPr/>
        <w:t>en</w:t>
      </w:r>
      <w:r>
        <w:rPr>
          <w:spacing w:val="-7"/>
        </w:rPr>
        <w:t> </w:t>
      </w:r>
      <w:r>
        <w:rPr>
          <w:spacing w:val="-2"/>
        </w:rPr>
        <w:t>GMSA.</w:t>
      </w:r>
    </w:p>
    <w:p>
      <w:pPr>
        <w:pStyle w:val="BodyText"/>
        <w:spacing w:before="85"/>
      </w:pPr>
    </w:p>
    <w:p>
      <w:pPr>
        <w:pStyle w:val="Heading3"/>
        <w:numPr>
          <w:ilvl w:val="1"/>
          <w:numId w:val="45"/>
        </w:numPr>
        <w:tabs>
          <w:tab w:pos="1687" w:val="left" w:leader="none"/>
        </w:tabs>
        <w:spacing w:line="276" w:lineRule="auto" w:before="0" w:after="0"/>
        <w:ind w:left="1341" w:right="1339" w:firstLine="0"/>
        <w:jc w:val="both"/>
      </w:pPr>
      <w:bookmarkStart w:name="_TOC_250010" w:id="42"/>
      <w:bookmarkEnd w:id="42"/>
      <w:r>
        <w:rPr/>
        <w:t>Promoción y cumplimiento de las disposiciones de los convenios fundamentales de la organización internacional del trabajo relacionadas con el respeto por la libertad de asociación y el derecho a la negociación colectiva</w:t>
      </w:r>
    </w:p>
    <w:p>
      <w:pPr>
        <w:pStyle w:val="BodyText"/>
        <w:spacing w:before="9"/>
        <w:rPr>
          <w:b/>
        </w:rPr>
      </w:pPr>
    </w:p>
    <w:p>
      <w:pPr>
        <w:pStyle w:val="BodyText"/>
        <w:spacing w:line="362" w:lineRule="auto"/>
        <w:ind w:left="1341" w:right="1337"/>
        <w:jc w:val="both"/>
      </w:pPr>
      <w:r>
        <w:rPr/>
        <w:t>GMSA cumple con la legislación vigente, Real Decreto Legislativo 2/2015, de 23 de octubre,</w:t>
      </w:r>
      <w:r>
        <w:rPr>
          <w:spacing w:val="40"/>
        </w:rPr>
        <w:t> </w:t>
      </w:r>
      <w:r>
        <w:rPr/>
        <w:t>por el que se aprueba el texto refundido de la ley del estatuto de los trabajadores y demás normas de desarrollo.</w:t>
      </w:r>
    </w:p>
    <w:p>
      <w:pPr>
        <w:pStyle w:val="Heading3"/>
        <w:numPr>
          <w:ilvl w:val="1"/>
          <w:numId w:val="46"/>
        </w:numPr>
        <w:tabs>
          <w:tab w:pos="1727" w:val="left" w:leader="none"/>
        </w:tabs>
        <w:spacing w:line="240" w:lineRule="auto" w:before="194" w:after="0"/>
        <w:ind w:left="1727" w:right="0" w:hanging="386"/>
        <w:jc w:val="left"/>
      </w:pPr>
      <w:bookmarkStart w:name="_TOC_250009" w:id="43"/>
      <w:r>
        <w:rPr/>
        <w:t>Eliminación</w:t>
      </w:r>
      <w:r>
        <w:rPr>
          <w:spacing w:val="-7"/>
        </w:rPr>
        <w:t> </w:t>
      </w:r>
      <w:r>
        <w:rPr/>
        <w:t>de</w:t>
      </w:r>
      <w:r>
        <w:rPr>
          <w:spacing w:val="-4"/>
        </w:rPr>
        <w:t> </w:t>
      </w:r>
      <w:r>
        <w:rPr/>
        <w:t>la</w:t>
      </w:r>
      <w:r>
        <w:rPr>
          <w:spacing w:val="-7"/>
        </w:rPr>
        <w:t> </w:t>
      </w:r>
      <w:r>
        <w:rPr/>
        <w:t>discriminación</w:t>
      </w:r>
      <w:r>
        <w:rPr>
          <w:spacing w:val="-5"/>
        </w:rPr>
        <w:t> </w:t>
      </w:r>
      <w:r>
        <w:rPr/>
        <w:t>en</w:t>
      </w:r>
      <w:r>
        <w:rPr>
          <w:spacing w:val="-2"/>
        </w:rPr>
        <w:t> </w:t>
      </w:r>
      <w:r>
        <w:rPr/>
        <w:t>el</w:t>
      </w:r>
      <w:r>
        <w:rPr>
          <w:spacing w:val="-6"/>
        </w:rPr>
        <w:t> </w:t>
      </w:r>
      <w:r>
        <w:rPr/>
        <w:t>empleo</w:t>
      </w:r>
      <w:r>
        <w:rPr>
          <w:spacing w:val="-2"/>
        </w:rPr>
        <w:t> </w:t>
      </w:r>
      <w:r>
        <w:rPr/>
        <w:t>y</w:t>
      </w:r>
      <w:r>
        <w:rPr>
          <w:spacing w:val="-7"/>
        </w:rPr>
        <w:t> </w:t>
      </w:r>
      <w:r>
        <w:rPr/>
        <w:t>la</w:t>
      </w:r>
      <w:r>
        <w:rPr>
          <w:spacing w:val="-8"/>
        </w:rPr>
        <w:t> </w:t>
      </w:r>
      <w:bookmarkEnd w:id="43"/>
      <w:r>
        <w:rPr>
          <w:spacing w:val="-2"/>
        </w:rPr>
        <w:t>ocupación</w:t>
      </w:r>
    </w:p>
    <w:p>
      <w:pPr>
        <w:pStyle w:val="BodyText"/>
        <w:spacing w:before="44"/>
        <w:rPr>
          <w:b/>
        </w:rPr>
      </w:pPr>
    </w:p>
    <w:p>
      <w:pPr>
        <w:pStyle w:val="BodyText"/>
        <w:spacing w:line="360" w:lineRule="auto"/>
        <w:ind w:left="1341" w:right="1338"/>
        <w:jc w:val="both"/>
      </w:pPr>
      <w:r>
        <w:rPr/>
        <mc:AlternateContent>
          <mc:Choice Requires="wps">
            <w:drawing>
              <wp:anchor distT="0" distB="0" distL="0" distR="0" allowOverlap="1" layoutInCell="1" locked="0" behindDoc="0" simplePos="0" relativeHeight="15824896">
                <wp:simplePos x="0" y="0"/>
                <wp:positionH relativeFrom="page">
                  <wp:posOffset>6966436</wp:posOffset>
                </wp:positionH>
                <wp:positionV relativeFrom="paragraph">
                  <wp:posOffset>631538</wp:posOffset>
                </wp:positionV>
                <wp:extent cx="263525" cy="327596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9.727459pt;width:20.75pt;height:257.95pt;mso-position-horizontal-relative:page;mso-position-vertical-relative:paragraph;z-index:15824896" type="#_x0000_t202" id="docshape256"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 eliminación de la discriminación en el empleo y la ocupación se recoge en el plan de igualdad de</w:t>
      </w:r>
      <w:r>
        <w:rPr>
          <w:spacing w:val="-3"/>
        </w:rPr>
        <w:t> </w:t>
      </w:r>
      <w:r>
        <w:rPr/>
        <w:t>trato y</w:t>
      </w:r>
      <w:r>
        <w:rPr>
          <w:spacing w:val="-3"/>
        </w:rPr>
        <w:t> </w:t>
      </w:r>
      <w:r>
        <w:rPr/>
        <w:t>oportunidades entre</w:t>
      </w:r>
      <w:r>
        <w:rPr>
          <w:spacing w:val="-1"/>
        </w:rPr>
        <w:t> </w:t>
      </w:r>
      <w:r>
        <w:rPr/>
        <w:t>hombres y</w:t>
      </w:r>
      <w:r>
        <w:rPr>
          <w:spacing w:val="-5"/>
        </w:rPr>
        <w:t> </w:t>
      </w:r>
      <w:r>
        <w:rPr/>
        <w:t>mujeres, ya mencionado</w:t>
      </w:r>
      <w:r>
        <w:rPr>
          <w:spacing w:val="-3"/>
        </w:rPr>
        <w:t> </w:t>
      </w:r>
      <w:r>
        <w:rPr/>
        <w:t>con anterioridad</w:t>
      </w:r>
      <w:r>
        <w:rPr>
          <w:spacing w:val="-3"/>
        </w:rPr>
        <w:t> </w:t>
      </w:r>
      <w:r>
        <w:rPr/>
        <w:t>en el punto 4.7.</w:t>
      </w:r>
    </w:p>
    <w:p>
      <w:pPr>
        <w:pStyle w:val="Heading3"/>
        <w:numPr>
          <w:ilvl w:val="1"/>
          <w:numId w:val="46"/>
        </w:numPr>
        <w:tabs>
          <w:tab w:pos="1727" w:val="left" w:leader="none"/>
        </w:tabs>
        <w:spacing w:line="240" w:lineRule="auto" w:before="199" w:after="0"/>
        <w:ind w:left="1727" w:right="0" w:hanging="386"/>
        <w:jc w:val="left"/>
      </w:pPr>
      <w:bookmarkStart w:name="_TOC_250008" w:id="44"/>
      <w:r>
        <w:rPr/>
        <w:t>Eliminación</w:t>
      </w:r>
      <w:r>
        <w:rPr>
          <w:spacing w:val="-8"/>
        </w:rPr>
        <w:t> </w:t>
      </w:r>
      <w:r>
        <w:rPr/>
        <w:t>del</w:t>
      </w:r>
      <w:r>
        <w:rPr>
          <w:spacing w:val="-5"/>
        </w:rPr>
        <w:t> </w:t>
      </w:r>
      <w:r>
        <w:rPr/>
        <w:t>trabajo</w:t>
      </w:r>
      <w:r>
        <w:rPr>
          <w:spacing w:val="-4"/>
        </w:rPr>
        <w:t> </w:t>
      </w:r>
      <w:r>
        <w:rPr/>
        <w:t>forzoso</w:t>
      </w:r>
      <w:r>
        <w:rPr>
          <w:spacing w:val="-7"/>
        </w:rPr>
        <w:t> </w:t>
      </w:r>
      <w:r>
        <w:rPr/>
        <w:t>u</w:t>
      </w:r>
      <w:r>
        <w:rPr>
          <w:spacing w:val="-5"/>
        </w:rPr>
        <w:t> </w:t>
      </w:r>
      <w:r>
        <w:rPr/>
        <w:t>obligatorio</w:t>
      </w:r>
      <w:r>
        <w:rPr>
          <w:spacing w:val="-5"/>
        </w:rPr>
        <w:t> </w:t>
      </w:r>
      <w:r>
        <w:rPr/>
        <w:t>y</w:t>
      </w:r>
      <w:r>
        <w:rPr>
          <w:spacing w:val="-5"/>
        </w:rPr>
        <w:t> </w:t>
      </w:r>
      <w:r>
        <w:rPr/>
        <w:t>abolición</w:t>
      </w:r>
      <w:r>
        <w:rPr>
          <w:spacing w:val="-7"/>
        </w:rPr>
        <w:t> </w:t>
      </w:r>
      <w:r>
        <w:rPr/>
        <w:t>efectiva</w:t>
      </w:r>
      <w:r>
        <w:rPr>
          <w:spacing w:val="-8"/>
        </w:rPr>
        <w:t> </w:t>
      </w:r>
      <w:r>
        <w:rPr/>
        <w:t>del</w:t>
      </w:r>
      <w:r>
        <w:rPr>
          <w:spacing w:val="-8"/>
        </w:rPr>
        <w:t> </w:t>
      </w:r>
      <w:r>
        <w:rPr/>
        <w:t>trabajo</w:t>
      </w:r>
      <w:r>
        <w:rPr>
          <w:spacing w:val="-7"/>
        </w:rPr>
        <w:t> </w:t>
      </w:r>
      <w:bookmarkEnd w:id="44"/>
      <w:r>
        <w:rPr>
          <w:spacing w:val="-2"/>
        </w:rPr>
        <w:t>infantil</w:t>
      </w:r>
    </w:p>
    <w:p>
      <w:pPr>
        <w:pStyle w:val="BodyText"/>
        <w:spacing w:before="46"/>
        <w:rPr>
          <w:b/>
        </w:rPr>
      </w:pPr>
    </w:p>
    <w:p>
      <w:pPr>
        <w:pStyle w:val="BodyText"/>
        <w:spacing w:line="360" w:lineRule="auto"/>
        <w:ind w:left="1341" w:right="1339"/>
      </w:pPr>
      <w:r>
        <w:rPr/>
        <w:t>En GMSA no se produce este tipo de situaciones, por la propia legislación laboral y social que se aplica en España.</w:t>
      </w:r>
    </w:p>
    <w:p>
      <w:pPr>
        <w:pStyle w:val="BodyText"/>
      </w:pPr>
    </w:p>
    <w:p>
      <w:pPr>
        <w:pStyle w:val="BodyText"/>
        <w:spacing w:before="16"/>
      </w:pPr>
    </w:p>
    <w:p>
      <w:pPr>
        <w:pStyle w:val="Heading3"/>
        <w:numPr>
          <w:ilvl w:val="0"/>
          <w:numId w:val="31"/>
        </w:numPr>
        <w:tabs>
          <w:tab w:pos="1559" w:val="left" w:leader="none"/>
        </w:tabs>
        <w:spacing w:line="240" w:lineRule="auto" w:before="1" w:after="0"/>
        <w:ind w:left="1559" w:right="0" w:hanging="218"/>
        <w:jc w:val="left"/>
      </w:pPr>
      <w:bookmarkStart w:name="_TOC_250007" w:id="45"/>
      <w:r>
        <w:rPr/>
        <w:t>Lucha</w:t>
      </w:r>
      <w:r>
        <w:rPr>
          <w:spacing w:val="-5"/>
        </w:rPr>
        <w:t> </w:t>
      </w:r>
      <w:r>
        <w:rPr/>
        <w:t>contra</w:t>
      </w:r>
      <w:r>
        <w:rPr>
          <w:spacing w:val="-4"/>
        </w:rPr>
        <w:t> </w:t>
      </w:r>
      <w:r>
        <w:rPr/>
        <w:t>la</w:t>
      </w:r>
      <w:r>
        <w:rPr>
          <w:spacing w:val="-6"/>
        </w:rPr>
        <w:t> </w:t>
      </w:r>
      <w:r>
        <w:rPr/>
        <w:t>corrupción</w:t>
      </w:r>
      <w:r>
        <w:rPr>
          <w:spacing w:val="-2"/>
        </w:rPr>
        <w:t> </w:t>
      </w:r>
      <w:r>
        <w:rPr/>
        <w:t>y</w:t>
      </w:r>
      <w:r>
        <w:rPr>
          <w:spacing w:val="-8"/>
        </w:rPr>
        <w:t> </w:t>
      </w:r>
      <w:r>
        <w:rPr/>
        <w:t>el</w:t>
      </w:r>
      <w:bookmarkEnd w:id="45"/>
      <w:r>
        <w:rPr>
          <w:spacing w:val="-2"/>
        </w:rPr>
        <w:t> soborno</w:t>
      </w:r>
    </w:p>
    <w:p>
      <w:pPr>
        <w:pStyle w:val="BodyText"/>
        <w:spacing w:before="46"/>
        <w:rPr>
          <w:b/>
        </w:rPr>
      </w:pPr>
    </w:p>
    <w:p>
      <w:pPr>
        <w:pStyle w:val="BodyText"/>
        <w:spacing w:line="360" w:lineRule="auto"/>
        <w:ind w:left="1341" w:right="1337"/>
        <w:jc w:val="both"/>
      </w:pPr>
      <w:r>
        <w:rPr/>
        <w:t>En 2019 se inicia el proyecto de establecer un Modelo de Prevención de Riesgos Penales (MPRP) en GMSA. En GMSA se realiza un apoyo de los más altos niveles de la organización en la</w:t>
      </w:r>
      <w:r>
        <w:rPr>
          <w:spacing w:val="-1"/>
        </w:rPr>
        <w:t> </w:t>
      </w:r>
      <w:r>
        <w:rPr/>
        <w:t>adopción</w:t>
      </w:r>
      <w:r>
        <w:rPr>
          <w:spacing w:val="-1"/>
        </w:rPr>
        <w:t> </w:t>
      </w:r>
      <w:r>
        <w:rPr/>
        <w:t>de</w:t>
      </w:r>
      <w:r>
        <w:rPr>
          <w:spacing w:val="-1"/>
        </w:rPr>
        <w:t> </w:t>
      </w:r>
      <w:r>
        <w:rPr/>
        <w:t>medidas de control interno y</w:t>
      </w:r>
      <w:r>
        <w:rPr>
          <w:spacing w:val="-3"/>
        </w:rPr>
        <w:t> </w:t>
      </w:r>
      <w:r>
        <w:rPr/>
        <w:t>compromiso</w:t>
      </w:r>
      <w:r>
        <w:rPr>
          <w:spacing w:val="-1"/>
        </w:rPr>
        <w:t> </w:t>
      </w:r>
      <w:r>
        <w:rPr/>
        <w:t>ético en lucha contra la corrupción. En</w:t>
      </w:r>
      <w:r>
        <w:rPr>
          <w:spacing w:val="5"/>
        </w:rPr>
        <w:t> </w:t>
      </w:r>
      <w:r>
        <w:rPr/>
        <w:t>concreto,</w:t>
      </w:r>
      <w:r>
        <w:rPr>
          <w:spacing w:val="5"/>
        </w:rPr>
        <w:t> </w:t>
      </w:r>
      <w:r>
        <w:rPr/>
        <w:t>la</w:t>
      </w:r>
      <w:r>
        <w:rPr>
          <w:spacing w:val="4"/>
        </w:rPr>
        <w:t> </w:t>
      </w:r>
      <w:r>
        <w:rPr/>
        <w:t>responsabilidad</w:t>
      </w:r>
      <w:r>
        <w:rPr>
          <w:spacing w:val="3"/>
        </w:rPr>
        <w:t> </w:t>
      </w:r>
      <w:r>
        <w:rPr/>
        <w:t>del</w:t>
      </w:r>
      <w:r>
        <w:rPr>
          <w:spacing w:val="4"/>
        </w:rPr>
        <w:t> </w:t>
      </w:r>
      <w:r>
        <w:rPr/>
        <w:t>control</w:t>
      </w:r>
      <w:r>
        <w:rPr>
          <w:spacing w:val="9"/>
        </w:rPr>
        <w:t> </w:t>
      </w:r>
      <w:r>
        <w:rPr/>
        <w:t>y</w:t>
      </w:r>
      <w:r>
        <w:rPr>
          <w:spacing w:val="3"/>
        </w:rPr>
        <w:t> </w:t>
      </w:r>
      <w:r>
        <w:rPr/>
        <w:t>vigilancia</w:t>
      </w:r>
      <w:r>
        <w:rPr>
          <w:spacing w:val="6"/>
        </w:rPr>
        <w:t> </w:t>
      </w:r>
      <w:r>
        <w:rPr/>
        <w:t>de</w:t>
      </w:r>
      <w:r>
        <w:rPr>
          <w:spacing w:val="5"/>
        </w:rPr>
        <w:t> </w:t>
      </w:r>
      <w:r>
        <w:rPr/>
        <w:t>las</w:t>
      </w:r>
      <w:r>
        <w:rPr>
          <w:spacing w:val="7"/>
        </w:rPr>
        <w:t> </w:t>
      </w:r>
      <w:r>
        <w:rPr/>
        <w:t>medidas</w:t>
      </w:r>
      <w:r>
        <w:rPr>
          <w:spacing w:val="6"/>
        </w:rPr>
        <w:t> </w:t>
      </w:r>
      <w:r>
        <w:rPr/>
        <w:t>anticorrupción</w:t>
      </w:r>
      <w:r>
        <w:rPr>
          <w:spacing w:val="5"/>
        </w:rPr>
        <w:t> </w:t>
      </w:r>
      <w:r>
        <w:rPr/>
        <w:t>recae</w:t>
      </w:r>
      <w:r>
        <w:rPr>
          <w:spacing w:val="5"/>
        </w:rPr>
        <w:t> </w:t>
      </w:r>
      <w:r>
        <w:rPr>
          <w:spacing w:val="-5"/>
        </w:rPr>
        <w:t>en</w:t>
      </w:r>
    </w:p>
    <w:p>
      <w:pPr>
        <w:pStyle w:val="BodyText"/>
        <w:spacing w:line="362" w:lineRule="auto"/>
        <w:ind w:left="1341" w:right="1308"/>
      </w:pPr>
      <w:r>
        <w:rPr/>
        <w:t>personal</w:t>
      </w:r>
      <w:r>
        <w:rPr>
          <w:spacing w:val="40"/>
        </w:rPr>
        <w:t> </w:t>
      </w:r>
      <w:r>
        <w:rPr/>
        <w:t>y</w:t>
      </w:r>
      <w:r>
        <w:rPr>
          <w:spacing w:val="40"/>
        </w:rPr>
        <w:t> </w:t>
      </w:r>
      <w:r>
        <w:rPr/>
        <w:t>órganos</w:t>
      </w:r>
      <w:r>
        <w:rPr>
          <w:spacing w:val="40"/>
        </w:rPr>
        <w:t> </w:t>
      </w:r>
      <w:r>
        <w:rPr/>
        <w:t>autónomos,</w:t>
      </w:r>
      <w:r>
        <w:rPr>
          <w:spacing w:val="40"/>
        </w:rPr>
        <w:t> </w:t>
      </w:r>
      <w:r>
        <w:rPr/>
        <w:t>con</w:t>
      </w:r>
      <w:r>
        <w:rPr>
          <w:spacing w:val="40"/>
        </w:rPr>
        <w:t> </w:t>
      </w:r>
      <w:r>
        <w:rPr/>
        <w:t>recursos</w:t>
      </w:r>
      <w:r>
        <w:rPr>
          <w:spacing w:val="40"/>
        </w:rPr>
        <w:t> </w:t>
      </w:r>
      <w:r>
        <w:rPr/>
        <w:t>suficientes</w:t>
      </w:r>
      <w:r>
        <w:rPr>
          <w:spacing w:val="40"/>
        </w:rPr>
        <w:t> </w:t>
      </w:r>
      <w:r>
        <w:rPr/>
        <w:t>y</w:t>
      </w:r>
      <w:r>
        <w:rPr>
          <w:spacing w:val="40"/>
        </w:rPr>
        <w:t> </w:t>
      </w:r>
      <w:r>
        <w:rPr/>
        <w:t>con</w:t>
      </w:r>
      <w:r>
        <w:rPr>
          <w:spacing w:val="40"/>
        </w:rPr>
        <w:t> </w:t>
      </w:r>
      <w:r>
        <w:rPr/>
        <w:t>facultad</w:t>
      </w:r>
      <w:r>
        <w:rPr>
          <w:spacing w:val="40"/>
        </w:rPr>
        <w:t> </w:t>
      </w:r>
      <w:r>
        <w:rPr/>
        <w:t>de</w:t>
      </w:r>
      <w:r>
        <w:rPr>
          <w:spacing w:val="40"/>
        </w:rPr>
        <w:t> </w:t>
      </w:r>
      <w:r>
        <w:rPr/>
        <w:t>informar</w:t>
      </w:r>
      <w:r>
        <w:rPr>
          <w:spacing w:val="40"/>
        </w:rPr>
        <w:t> </w:t>
      </w:r>
      <w:r>
        <w:rPr/>
        <w:t>a</w:t>
      </w:r>
      <w:r>
        <w:rPr>
          <w:spacing w:val="40"/>
        </w:rPr>
        <w:t> </w:t>
      </w:r>
      <w:r>
        <w:rPr/>
        <w:t>la Gerencia de la compañía.</w:t>
      </w:r>
    </w:p>
    <w:p>
      <w:pPr>
        <w:pStyle w:val="BodyText"/>
        <w:spacing w:after="0" w:line="362" w:lineRule="auto"/>
        <w:sectPr>
          <w:pgSz w:w="11910" w:h="16840"/>
          <w:pgMar w:header="384" w:footer="1060" w:top="1200" w:bottom="1260" w:left="360" w:right="360"/>
        </w:sectPr>
      </w:pPr>
    </w:p>
    <w:p>
      <w:pPr>
        <w:pStyle w:val="BodyText"/>
        <w:spacing w:line="360" w:lineRule="auto" w:before="215"/>
        <w:ind w:left="1341" w:right="1308"/>
      </w:pPr>
      <w:r>
        <w:rPr/>
        <w:t>La aprobación de este Modelo se hizo en 2020, un hito que marcó un antes y</w:t>
      </w:r>
      <w:r>
        <w:rPr>
          <w:spacing w:val="-2"/>
        </w:rPr>
        <w:t> </w:t>
      </w:r>
      <w:r>
        <w:rPr/>
        <w:t>un después en la empresa,</w:t>
      </w:r>
      <w:r>
        <w:rPr>
          <w:spacing w:val="-6"/>
        </w:rPr>
        <w:t> </w:t>
      </w:r>
      <w:r>
        <w:rPr/>
        <w:t>facilitando</w:t>
      </w:r>
      <w:r>
        <w:rPr>
          <w:spacing w:val="-5"/>
        </w:rPr>
        <w:t> </w:t>
      </w:r>
      <w:r>
        <w:rPr/>
        <w:t>la</w:t>
      </w:r>
      <w:r>
        <w:rPr>
          <w:spacing w:val="-3"/>
        </w:rPr>
        <w:t> </w:t>
      </w:r>
      <w:r>
        <w:rPr/>
        <w:t>organ</w:t>
      </w:r>
      <w:r>
        <w:rPr>
          <w:b/>
        </w:rPr>
        <w:t>i</w:t>
      </w:r>
      <w:r>
        <w:rPr/>
        <w:t>zación,</w:t>
      </w:r>
      <w:r>
        <w:rPr>
          <w:spacing w:val="-3"/>
        </w:rPr>
        <w:t> </w:t>
      </w:r>
      <w:r>
        <w:rPr/>
        <w:t>control y</w:t>
      </w:r>
      <w:r>
        <w:rPr>
          <w:spacing w:val="-5"/>
        </w:rPr>
        <w:t> </w:t>
      </w:r>
      <w:r>
        <w:rPr/>
        <w:t>seguimiento</w:t>
      </w:r>
      <w:r>
        <w:rPr>
          <w:spacing w:val="-4"/>
        </w:rPr>
        <w:t> </w:t>
      </w:r>
      <w:r>
        <w:rPr/>
        <w:t>de</w:t>
      </w:r>
      <w:r>
        <w:rPr>
          <w:spacing w:val="-1"/>
        </w:rPr>
        <w:t> </w:t>
      </w:r>
      <w:r>
        <w:rPr/>
        <w:t>la</w:t>
      </w:r>
      <w:r>
        <w:rPr>
          <w:spacing w:val="-4"/>
        </w:rPr>
        <w:t> </w:t>
      </w:r>
      <w:r>
        <w:rPr/>
        <w:t>actuación</w:t>
      </w:r>
      <w:r>
        <w:rPr>
          <w:spacing w:val="-3"/>
        </w:rPr>
        <w:t> </w:t>
      </w:r>
      <w:r>
        <w:rPr/>
        <w:t>interna</w:t>
      </w:r>
      <w:r>
        <w:rPr>
          <w:spacing w:val="-2"/>
        </w:rPr>
        <w:t> </w:t>
      </w:r>
      <w:r>
        <w:rPr/>
        <w:t>en</w:t>
      </w:r>
      <w:r>
        <w:rPr>
          <w:spacing w:val="-3"/>
        </w:rPr>
        <w:t> </w:t>
      </w:r>
      <w:r>
        <w:rPr/>
        <w:t>lo</w:t>
      </w:r>
      <w:r>
        <w:rPr>
          <w:spacing w:val="-4"/>
        </w:rPr>
        <w:t> </w:t>
      </w:r>
      <w:r>
        <w:rPr>
          <w:spacing w:val="-2"/>
        </w:rPr>
        <w:t>relativo</w:t>
      </w:r>
    </w:p>
    <w:p>
      <w:pPr>
        <w:pStyle w:val="BodyText"/>
        <w:spacing w:line="229" w:lineRule="exact"/>
        <w:jc w:val="center"/>
      </w:pPr>
      <w:r>
        <w:rPr/>
        <w:t>al</w:t>
      </w:r>
      <w:r>
        <w:rPr>
          <w:spacing w:val="51"/>
        </w:rPr>
        <w:t> </w:t>
      </w:r>
      <w:r>
        <w:rPr/>
        <w:t>gobierno</w:t>
      </w:r>
      <w:r>
        <w:rPr>
          <w:spacing w:val="50"/>
        </w:rPr>
        <w:t> </w:t>
      </w:r>
      <w:r>
        <w:rPr/>
        <w:t>corporativo.</w:t>
      </w:r>
      <w:r>
        <w:rPr>
          <w:spacing w:val="51"/>
        </w:rPr>
        <w:t> </w:t>
      </w:r>
      <w:r>
        <w:rPr/>
        <w:t>La</w:t>
      </w:r>
      <w:r>
        <w:rPr>
          <w:spacing w:val="52"/>
        </w:rPr>
        <w:t> </w:t>
      </w:r>
      <w:r>
        <w:rPr/>
        <w:t>finalidad</w:t>
      </w:r>
      <w:r>
        <w:rPr>
          <w:spacing w:val="51"/>
        </w:rPr>
        <w:t> </w:t>
      </w:r>
      <w:r>
        <w:rPr/>
        <w:t>de</w:t>
      </w:r>
      <w:r>
        <w:rPr>
          <w:spacing w:val="51"/>
        </w:rPr>
        <w:t> </w:t>
      </w:r>
      <w:r>
        <w:rPr/>
        <w:t>dicho</w:t>
      </w:r>
      <w:r>
        <w:rPr>
          <w:spacing w:val="50"/>
        </w:rPr>
        <w:t> </w:t>
      </w:r>
      <w:r>
        <w:rPr/>
        <w:t>Modelo</w:t>
      </w:r>
      <w:r>
        <w:rPr>
          <w:spacing w:val="50"/>
        </w:rPr>
        <w:t> </w:t>
      </w:r>
      <w:r>
        <w:rPr/>
        <w:t>de</w:t>
      </w:r>
      <w:r>
        <w:rPr>
          <w:spacing w:val="50"/>
        </w:rPr>
        <w:t> </w:t>
      </w:r>
      <w:r>
        <w:rPr/>
        <w:t>prevención</w:t>
      </w:r>
      <w:r>
        <w:rPr>
          <w:spacing w:val="51"/>
        </w:rPr>
        <w:t> </w:t>
      </w:r>
      <w:r>
        <w:rPr/>
        <w:t>ha</w:t>
      </w:r>
      <w:r>
        <w:rPr>
          <w:spacing w:val="50"/>
        </w:rPr>
        <w:t> </w:t>
      </w:r>
      <w:r>
        <w:rPr/>
        <w:t>sido</w:t>
      </w:r>
      <w:r>
        <w:rPr>
          <w:spacing w:val="50"/>
        </w:rPr>
        <w:t> </w:t>
      </w:r>
      <w:r>
        <w:rPr/>
        <w:t>contribuir</w:t>
      </w:r>
      <w:r>
        <w:rPr>
          <w:spacing w:val="50"/>
        </w:rPr>
        <w:t> </w:t>
      </w:r>
      <w:r>
        <w:rPr>
          <w:spacing w:val="-10"/>
        </w:rPr>
        <w:t>a</w:t>
      </w:r>
    </w:p>
    <w:p>
      <w:pPr>
        <w:pStyle w:val="BodyText"/>
        <w:spacing w:line="360" w:lineRule="auto" w:before="115"/>
        <w:ind w:left="1341" w:right="1308"/>
      </w:pPr>
      <w:r>
        <w:rPr/>
        <w:t>eliminar o reducir el riesgo de que se pudieran cometer actuaciones delictivas en su seno. El</w:t>
      </w:r>
      <w:r>
        <w:rPr>
          <w:spacing w:val="40"/>
        </w:rPr>
        <w:t> </w:t>
      </w:r>
      <w:r>
        <w:rPr/>
        <w:t>órgano</w:t>
      </w:r>
      <w:r>
        <w:rPr>
          <w:spacing w:val="35"/>
        </w:rPr>
        <w:t> </w:t>
      </w:r>
      <w:r>
        <w:rPr/>
        <w:t>de</w:t>
      </w:r>
      <w:r>
        <w:rPr>
          <w:spacing w:val="34"/>
        </w:rPr>
        <w:t> </w:t>
      </w:r>
      <w:r>
        <w:rPr/>
        <w:t>gobierno</w:t>
      </w:r>
      <w:r>
        <w:rPr>
          <w:spacing w:val="34"/>
        </w:rPr>
        <w:t> </w:t>
      </w:r>
      <w:r>
        <w:rPr/>
        <w:t>de</w:t>
      </w:r>
      <w:r>
        <w:rPr>
          <w:spacing w:val="34"/>
        </w:rPr>
        <w:t> </w:t>
      </w:r>
      <w:r>
        <w:rPr/>
        <w:t>GMSA</w:t>
      </w:r>
      <w:r>
        <w:rPr>
          <w:spacing w:val="35"/>
        </w:rPr>
        <w:t> </w:t>
      </w:r>
      <w:r>
        <w:rPr/>
        <w:t>ha</w:t>
      </w:r>
      <w:r>
        <w:rPr>
          <w:spacing w:val="35"/>
        </w:rPr>
        <w:t> </w:t>
      </w:r>
      <w:r>
        <w:rPr/>
        <w:t>delegado</w:t>
      </w:r>
      <w:r>
        <w:rPr>
          <w:spacing w:val="36"/>
        </w:rPr>
        <w:t> </w:t>
      </w:r>
      <w:r>
        <w:rPr/>
        <w:t>la</w:t>
      </w:r>
      <w:r>
        <w:rPr>
          <w:spacing w:val="35"/>
        </w:rPr>
        <w:t> </w:t>
      </w:r>
      <w:r>
        <w:rPr/>
        <w:t>función</w:t>
      </w:r>
      <w:r>
        <w:rPr>
          <w:spacing w:val="34"/>
        </w:rPr>
        <w:t> </w:t>
      </w:r>
      <w:r>
        <w:rPr/>
        <w:t>de</w:t>
      </w:r>
      <w:r>
        <w:rPr>
          <w:spacing w:val="34"/>
        </w:rPr>
        <w:t> </w:t>
      </w:r>
      <w:r>
        <w:rPr/>
        <w:t>supervisión</w:t>
      </w:r>
      <w:r>
        <w:rPr>
          <w:spacing w:val="36"/>
        </w:rPr>
        <w:t> </w:t>
      </w:r>
      <w:r>
        <w:rPr/>
        <w:t>del</w:t>
      </w:r>
      <w:r>
        <w:rPr>
          <w:spacing w:val="34"/>
        </w:rPr>
        <w:t> </w:t>
      </w:r>
      <w:r>
        <w:rPr/>
        <w:t>funcionamiento</w:t>
      </w:r>
      <w:r>
        <w:rPr>
          <w:spacing w:val="39"/>
        </w:rPr>
        <w:t> </w:t>
      </w:r>
      <w:r>
        <w:rPr>
          <w:spacing w:val="-10"/>
        </w:rPr>
        <w:t>y</w:t>
      </w:r>
    </w:p>
    <w:p>
      <w:pPr>
        <w:pStyle w:val="BodyText"/>
        <w:spacing w:before="2"/>
        <w:jc w:val="center"/>
      </w:pPr>
      <w:r>
        <w:rPr/>
        <w:t>cumplimiento</w:t>
      </w:r>
      <w:r>
        <w:rPr>
          <w:spacing w:val="44"/>
        </w:rPr>
        <w:t> </w:t>
      </w:r>
      <w:r>
        <w:rPr/>
        <w:t>del</w:t>
      </w:r>
      <w:r>
        <w:rPr>
          <w:spacing w:val="45"/>
        </w:rPr>
        <w:t> </w:t>
      </w:r>
      <w:r>
        <w:rPr/>
        <w:t>Modelo</w:t>
      </w:r>
      <w:r>
        <w:rPr>
          <w:spacing w:val="46"/>
        </w:rPr>
        <w:t> </w:t>
      </w:r>
      <w:r>
        <w:rPr/>
        <w:t>de</w:t>
      </w:r>
      <w:r>
        <w:rPr>
          <w:spacing w:val="48"/>
        </w:rPr>
        <w:t> </w:t>
      </w:r>
      <w:r>
        <w:rPr/>
        <w:t>Prevención</w:t>
      </w:r>
      <w:r>
        <w:rPr>
          <w:spacing w:val="46"/>
        </w:rPr>
        <w:t> </w:t>
      </w:r>
      <w:r>
        <w:rPr/>
        <w:t>de</w:t>
      </w:r>
      <w:r>
        <w:rPr>
          <w:spacing w:val="47"/>
        </w:rPr>
        <w:t> </w:t>
      </w:r>
      <w:r>
        <w:rPr/>
        <w:t>Riesgos</w:t>
      </w:r>
      <w:r>
        <w:rPr>
          <w:spacing w:val="47"/>
        </w:rPr>
        <w:t> </w:t>
      </w:r>
      <w:r>
        <w:rPr/>
        <w:t>Penales</w:t>
      </w:r>
      <w:r>
        <w:rPr>
          <w:spacing w:val="48"/>
        </w:rPr>
        <w:t> </w:t>
      </w:r>
      <w:r>
        <w:rPr/>
        <w:t>(en</w:t>
      </w:r>
      <w:r>
        <w:rPr>
          <w:spacing w:val="47"/>
        </w:rPr>
        <w:t> </w:t>
      </w:r>
      <w:r>
        <w:rPr/>
        <w:t>adelante</w:t>
      </w:r>
      <w:r>
        <w:rPr>
          <w:spacing w:val="47"/>
        </w:rPr>
        <w:t> </w:t>
      </w:r>
      <w:r>
        <w:rPr/>
        <w:t>MPRP),</w:t>
      </w:r>
      <w:r>
        <w:rPr>
          <w:spacing w:val="45"/>
        </w:rPr>
        <w:t> </w:t>
      </w:r>
      <w:r>
        <w:rPr/>
        <w:t>en</w:t>
      </w:r>
      <w:r>
        <w:rPr>
          <w:spacing w:val="45"/>
        </w:rPr>
        <w:t> </w:t>
      </w:r>
      <w:r>
        <w:rPr>
          <w:spacing w:val="-5"/>
        </w:rPr>
        <w:t>un</w:t>
      </w:r>
    </w:p>
    <w:p>
      <w:pPr>
        <w:pStyle w:val="BodyText"/>
        <w:spacing w:line="362" w:lineRule="auto" w:before="113"/>
        <w:ind w:left="1341" w:right="1336"/>
        <w:jc w:val="both"/>
      </w:pPr>
      <w:r>
        <w:rPr/>
        <w:t>órgano colegiado (Órgano de Cumplimiento) con poderes autónomos de iniciativa y de control,</w:t>
      </w:r>
      <w:r>
        <w:rPr>
          <w:spacing w:val="40"/>
        </w:rPr>
        <w:t> </w:t>
      </w:r>
      <w:r>
        <w:rPr/>
        <w:t>y formado por los responsables de las áreas jurídica, económica-financiera, control interno y gestión y desarrollo de personas.</w:t>
      </w:r>
    </w:p>
    <w:p>
      <w:pPr>
        <w:pStyle w:val="BodyText"/>
        <w:spacing w:line="362" w:lineRule="auto" w:before="194"/>
        <w:ind w:left="1341" w:right="1308"/>
      </w:pPr>
      <w:r>
        <w:rPr/>
        <w:t>El Modelo reúne además diversos documentos que regulan aspectos del buen gobierno, entre los que destacan los siguientes:</w:t>
      </w:r>
    </w:p>
    <w:p>
      <w:pPr>
        <w:pStyle w:val="ListParagraph"/>
        <w:numPr>
          <w:ilvl w:val="0"/>
          <w:numId w:val="47"/>
        </w:numPr>
        <w:tabs>
          <w:tab w:pos="2061" w:val="left" w:leader="none"/>
        </w:tabs>
        <w:spacing w:line="360" w:lineRule="auto" w:before="196" w:after="0"/>
        <w:ind w:left="2061" w:right="1335" w:hanging="360"/>
        <w:jc w:val="both"/>
        <w:rPr>
          <w:sz w:val="20"/>
        </w:rPr>
      </w:pPr>
      <w:r>
        <w:rPr>
          <w:sz w:val="20"/>
        </w:rPr>
        <w:t>El Código Ético, que ya existía y se actualizó en 2020, para incorporar medidas preventivas contra los casos relacionados con la corrupción y soborno. En términos generales, GMSA se alinea con los principios sobre corrupción y</w:t>
      </w:r>
      <w:r>
        <w:rPr>
          <w:spacing w:val="-1"/>
          <w:sz w:val="20"/>
        </w:rPr>
        <w:t> </w:t>
      </w:r>
      <w:r>
        <w:rPr>
          <w:sz w:val="20"/>
        </w:rPr>
        <w:t>soborno de iniciativas internacionales como el Pacto Mundial de la ONU. La empresa no tiene constancia de que en el seno de su organización se haya dado algún caso de corrupción o soborno.</w:t>
      </w:r>
    </w:p>
    <w:p>
      <w:pPr>
        <w:pStyle w:val="ListParagraph"/>
        <w:spacing w:after="0" w:line="360" w:lineRule="auto"/>
        <w:jc w:val="both"/>
        <w:rPr>
          <w:sz w:val="20"/>
        </w:rPr>
        <w:sectPr>
          <w:pgSz w:w="11910" w:h="16840"/>
          <w:pgMar w:header="384" w:footer="1060" w:top="1200" w:bottom="1260" w:left="360" w:right="360"/>
        </w:sectPr>
      </w:pPr>
    </w:p>
    <w:p>
      <w:pPr>
        <w:pStyle w:val="ListParagraph"/>
        <w:numPr>
          <w:ilvl w:val="0"/>
          <w:numId w:val="47"/>
        </w:numPr>
        <w:tabs>
          <w:tab w:pos="2061" w:val="left" w:leader="none"/>
        </w:tabs>
        <w:spacing w:line="360" w:lineRule="auto" w:before="0" w:after="0"/>
        <w:ind w:left="2061" w:right="0" w:hanging="360"/>
        <w:jc w:val="left"/>
        <w:rPr>
          <w:sz w:val="20"/>
        </w:rPr>
      </w:pPr>
      <w:r>
        <w:rPr>
          <w:sz w:val="20"/>
        </w:rPr>
        <w:t>La Política de Regalos y Hospitalidades, que responde a una revisi deontológicas para empleados y ejecutivos.</w:t>
      </w:r>
    </w:p>
    <w:p>
      <w:pPr>
        <w:pStyle w:val="ListParagraph"/>
        <w:numPr>
          <w:ilvl w:val="0"/>
          <w:numId w:val="47"/>
        </w:numPr>
        <w:tabs>
          <w:tab w:pos="2061" w:val="left" w:leader="none"/>
        </w:tabs>
        <w:spacing w:line="240" w:lineRule="auto" w:before="0" w:after="0"/>
        <w:ind w:left="2061" w:right="0" w:hanging="360"/>
        <w:jc w:val="left"/>
        <w:rPr>
          <w:sz w:val="20"/>
        </w:rPr>
      </w:pPr>
      <w:r>
        <w:rPr>
          <w:sz w:val="20"/>
        </w:rPr>
        <w:t>El</w:t>
      </w:r>
      <w:r>
        <w:rPr>
          <w:spacing w:val="-3"/>
          <w:sz w:val="20"/>
        </w:rPr>
        <w:t> </w:t>
      </w:r>
      <w:r>
        <w:rPr>
          <w:sz w:val="20"/>
        </w:rPr>
        <w:t>Protocolo</w:t>
      </w:r>
      <w:r>
        <w:rPr>
          <w:spacing w:val="-3"/>
          <w:sz w:val="20"/>
        </w:rPr>
        <w:t> </w:t>
      </w:r>
      <w:r>
        <w:rPr>
          <w:sz w:val="20"/>
        </w:rPr>
        <w:t>del</w:t>
      </w:r>
      <w:r>
        <w:rPr>
          <w:spacing w:val="-6"/>
          <w:sz w:val="20"/>
        </w:rPr>
        <w:t> </w:t>
      </w:r>
      <w:r>
        <w:rPr>
          <w:sz w:val="20"/>
        </w:rPr>
        <w:t>Canal</w:t>
      </w:r>
      <w:r>
        <w:rPr>
          <w:spacing w:val="-7"/>
          <w:sz w:val="20"/>
        </w:rPr>
        <w:t> </w:t>
      </w:r>
      <w:r>
        <w:rPr>
          <w:sz w:val="20"/>
        </w:rPr>
        <w:t>de</w:t>
      </w:r>
      <w:r>
        <w:rPr>
          <w:spacing w:val="-1"/>
          <w:sz w:val="20"/>
        </w:rPr>
        <w:t> </w:t>
      </w:r>
      <w:r>
        <w:rPr>
          <w:spacing w:val="-2"/>
          <w:sz w:val="20"/>
        </w:rPr>
        <w:t>Denuncias.</w:t>
      </w:r>
    </w:p>
    <w:p>
      <w:pPr>
        <w:pStyle w:val="ListParagraph"/>
        <w:numPr>
          <w:ilvl w:val="0"/>
          <w:numId w:val="47"/>
        </w:numPr>
        <w:tabs>
          <w:tab w:pos="2061" w:val="left" w:leader="none"/>
        </w:tabs>
        <w:spacing w:line="240" w:lineRule="auto" w:before="115" w:after="0"/>
        <w:ind w:left="2061" w:right="0" w:hanging="360"/>
        <w:jc w:val="left"/>
        <w:rPr>
          <w:sz w:val="20"/>
        </w:rPr>
      </w:pPr>
      <w:r>
        <w:rPr>
          <w:sz w:val="20"/>
        </w:rPr>
        <w:t>El</w:t>
      </w:r>
      <w:r>
        <w:rPr>
          <w:spacing w:val="-3"/>
          <w:sz w:val="20"/>
        </w:rPr>
        <w:t> </w:t>
      </w:r>
      <w:r>
        <w:rPr>
          <w:sz w:val="20"/>
        </w:rPr>
        <w:t>Protocolo</w:t>
      </w:r>
      <w:r>
        <w:rPr>
          <w:spacing w:val="-3"/>
          <w:sz w:val="20"/>
        </w:rPr>
        <w:t> </w:t>
      </w:r>
      <w:r>
        <w:rPr>
          <w:sz w:val="20"/>
        </w:rPr>
        <w:t>del</w:t>
      </w:r>
      <w:r>
        <w:rPr>
          <w:spacing w:val="-7"/>
          <w:sz w:val="20"/>
        </w:rPr>
        <w:t> </w:t>
      </w:r>
      <w:r>
        <w:rPr>
          <w:sz w:val="20"/>
        </w:rPr>
        <w:t>Sistema</w:t>
      </w:r>
      <w:r>
        <w:rPr>
          <w:spacing w:val="-7"/>
          <w:sz w:val="20"/>
        </w:rPr>
        <w:t> </w:t>
      </w:r>
      <w:r>
        <w:rPr>
          <w:spacing w:val="-2"/>
          <w:sz w:val="20"/>
        </w:rPr>
        <w:t>Disciplinario.</w:t>
      </w:r>
    </w:p>
    <w:p>
      <w:pPr>
        <w:pStyle w:val="BodyText"/>
        <w:spacing w:line="228" w:lineRule="exact"/>
        <w:ind w:left="72"/>
      </w:pPr>
      <w:r>
        <w:rPr/>
        <w:br w:type="column"/>
      </w:r>
      <w:r>
        <w:rPr/>
        <w:t>n</w:t>
      </w:r>
      <w:r>
        <w:rPr>
          <w:spacing w:val="15"/>
        </w:rPr>
        <w:t> </w:t>
      </w:r>
      <w:r>
        <w:rPr/>
        <w:t>de</w:t>
      </w:r>
      <w:r>
        <w:rPr>
          <w:spacing w:val="17"/>
        </w:rPr>
        <w:t> </w:t>
      </w:r>
      <w:r>
        <w:rPr/>
        <w:t>las</w:t>
      </w:r>
      <w:r>
        <w:rPr>
          <w:spacing w:val="18"/>
        </w:rPr>
        <w:t> </w:t>
      </w:r>
      <w:r>
        <w:rPr>
          <w:spacing w:val="-2"/>
        </w:rPr>
        <w:t>políticas</w:t>
      </w:r>
    </w:p>
    <w:p>
      <w:pPr>
        <w:pStyle w:val="BodyText"/>
        <w:spacing w:after="0" w:line="228" w:lineRule="exact"/>
        <w:sectPr>
          <w:type w:val="continuous"/>
          <w:pgSz w:w="11910" w:h="16840"/>
          <w:pgMar w:header="384" w:footer="1060" w:top="1700" w:bottom="1040" w:left="360" w:right="360"/>
          <w:cols w:num="2" w:equalWidth="0">
            <w:col w:w="8190" w:space="40"/>
            <w:col w:w="2960"/>
          </w:cols>
        </w:sectPr>
      </w:pPr>
    </w:p>
    <w:p>
      <w:pPr>
        <w:pStyle w:val="ListParagraph"/>
        <w:numPr>
          <w:ilvl w:val="0"/>
          <w:numId w:val="47"/>
        </w:numPr>
        <w:tabs>
          <w:tab w:pos="2061" w:val="left" w:leader="none"/>
        </w:tabs>
        <w:spacing w:line="362" w:lineRule="auto" w:before="113" w:after="0"/>
        <w:ind w:left="2061" w:right="1336" w:hanging="360"/>
        <w:jc w:val="both"/>
        <w:rPr>
          <w:sz w:val="20"/>
        </w:rPr>
      </w:pPr>
      <w:r>
        <w:rPr>
          <w:sz w:val="20"/>
        </w:rPr>
        <w:t>Varios protocolos relativos a gastos de alojamiento y ocio, viajes de clientes, contribuciones políticas, donaciones a organizaciones y patrocinios, y pagos de </w:t>
      </w:r>
      <w:r>
        <w:rPr>
          <w:spacing w:val="-2"/>
          <w:sz w:val="20"/>
        </w:rPr>
        <w:t>facilitación.</w:t>
      </w:r>
    </w:p>
    <w:p>
      <w:pPr>
        <w:pStyle w:val="BodyText"/>
        <w:spacing w:line="360" w:lineRule="auto" w:before="194"/>
        <w:ind w:left="1341" w:right="1333"/>
        <w:jc w:val="both"/>
      </w:pPr>
      <w:r>
        <w:rPr/>
        <mc:AlternateContent>
          <mc:Choice Requires="wps">
            <w:drawing>
              <wp:anchor distT="0" distB="0" distL="0" distR="0" allowOverlap="1" layoutInCell="1" locked="0" behindDoc="0" simplePos="0" relativeHeight="15825408">
                <wp:simplePos x="0" y="0"/>
                <wp:positionH relativeFrom="page">
                  <wp:posOffset>6966436</wp:posOffset>
                </wp:positionH>
                <wp:positionV relativeFrom="paragraph">
                  <wp:posOffset>358795</wp:posOffset>
                </wp:positionV>
                <wp:extent cx="263525" cy="327596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8.251595pt;width:20.75pt;height:257.95pt;mso-position-horizontal-relative:page;mso-position-vertical-relative:paragraph;z-index:15825408" type="#_x0000_t202" id="docshape25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Acompañando el despliegue del Modelo, la sociedad realizó actividades de sensibilización y formación</w:t>
      </w:r>
      <w:r>
        <w:rPr>
          <w:spacing w:val="-4"/>
        </w:rPr>
        <w:t> </w:t>
      </w:r>
      <w:r>
        <w:rPr/>
        <w:t>relativas al</w:t>
      </w:r>
      <w:r>
        <w:rPr>
          <w:spacing w:val="-1"/>
        </w:rPr>
        <w:t> </w:t>
      </w:r>
      <w:r>
        <w:rPr/>
        <w:t>modelo de</w:t>
      </w:r>
      <w:r>
        <w:rPr>
          <w:spacing w:val="-2"/>
        </w:rPr>
        <w:t> </w:t>
      </w:r>
      <w:r>
        <w:rPr/>
        <w:t>organización y</w:t>
      </w:r>
      <w:r>
        <w:rPr>
          <w:spacing w:val="-4"/>
        </w:rPr>
        <w:t> </w:t>
      </w:r>
      <w:r>
        <w:rPr/>
        <w:t>gestión</w:t>
      </w:r>
      <w:r>
        <w:rPr>
          <w:spacing w:val="-3"/>
        </w:rPr>
        <w:t> </w:t>
      </w:r>
      <w:r>
        <w:rPr/>
        <w:t>de</w:t>
      </w:r>
      <w:r>
        <w:rPr>
          <w:spacing w:val="-4"/>
        </w:rPr>
        <w:t> </w:t>
      </w:r>
      <w:r>
        <w:rPr/>
        <w:t>medidas de</w:t>
      </w:r>
      <w:r>
        <w:rPr>
          <w:spacing w:val="-2"/>
        </w:rPr>
        <w:t> </w:t>
      </w:r>
      <w:r>
        <w:rPr/>
        <w:t>vigilancia y</w:t>
      </w:r>
      <w:r>
        <w:rPr>
          <w:spacing w:val="-4"/>
        </w:rPr>
        <w:t> </w:t>
      </w:r>
      <w:r>
        <w:rPr/>
        <w:t>control,</w:t>
      </w:r>
      <w:r>
        <w:rPr>
          <w:spacing w:val="-3"/>
        </w:rPr>
        <w:t> </w:t>
      </w:r>
      <w:r>
        <w:rPr/>
        <w:t>para la prevención y detección de delitos descritos en el MPRP. Actualmente se siguen realizando estas formaciones y comunicaciones que, junto con la puesta en marcha del MPRP, podrán lograr que</w:t>
      </w:r>
      <w:r>
        <w:rPr>
          <w:spacing w:val="-2"/>
        </w:rPr>
        <w:t> </w:t>
      </w:r>
      <w:r>
        <w:rPr/>
        <w:t>GMSA</w:t>
      </w:r>
      <w:r>
        <w:rPr>
          <w:spacing w:val="-3"/>
        </w:rPr>
        <w:t> </w:t>
      </w:r>
      <w:r>
        <w:rPr/>
        <w:t>tenga</w:t>
      </w:r>
      <w:r>
        <w:rPr>
          <w:spacing w:val="-3"/>
        </w:rPr>
        <w:t> </w:t>
      </w:r>
      <w:r>
        <w:rPr/>
        <w:t>la</w:t>
      </w:r>
      <w:r>
        <w:rPr>
          <w:spacing w:val="-1"/>
        </w:rPr>
        <w:t> </w:t>
      </w:r>
      <w:r>
        <w:rPr/>
        <w:t>capacidad</w:t>
      </w:r>
      <w:r>
        <w:rPr>
          <w:spacing w:val="-2"/>
        </w:rPr>
        <w:t> </w:t>
      </w:r>
      <w:r>
        <w:rPr/>
        <w:t>suficiente y</w:t>
      </w:r>
      <w:r>
        <w:rPr>
          <w:spacing w:val="-3"/>
        </w:rPr>
        <w:t> </w:t>
      </w:r>
      <w:r>
        <w:rPr/>
        <w:t>necesaria</w:t>
      </w:r>
      <w:r>
        <w:rPr>
          <w:spacing w:val="-3"/>
        </w:rPr>
        <w:t> </w:t>
      </w:r>
      <w:r>
        <w:rPr/>
        <w:t>para la</w:t>
      </w:r>
      <w:r>
        <w:rPr>
          <w:spacing w:val="-3"/>
        </w:rPr>
        <w:t> </w:t>
      </w:r>
      <w:r>
        <w:rPr/>
        <w:t>prevención</w:t>
      </w:r>
      <w:r>
        <w:rPr>
          <w:spacing w:val="-2"/>
        </w:rPr>
        <w:t> </w:t>
      </w:r>
      <w:r>
        <w:rPr/>
        <w:t>de</w:t>
      </w:r>
      <w:r>
        <w:rPr>
          <w:spacing w:val="-3"/>
        </w:rPr>
        <w:t> </w:t>
      </w:r>
      <w:r>
        <w:rPr/>
        <w:t>la</w:t>
      </w:r>
      <w:r>
        <w:rPr>
          <w:spacing w:val="-2"/>
        </w:rPr>
        <w:t> </w:t>
      </w:r>
      <w:r>
        <w:rPr/>
        <w:t>corrupción.</w:t>
      </w:r>
    </w:p>
    <w:p>
      <w:pPr>
        <w:pStyle w:val="BodyText"/>
        <w:spacing w:before="203"/>
        <w:ind w:left="1341"/>
      </w:pPr>
      <w:r>
        <w:rPr/>
        <w:t>Los</w:t>
      </w:r>
      <w:r>
        <w:rPr>
          <w:spacing w:val="-5"/>
        </w:rPr>
        <w:t> </w:t>
      </w:r>
      <w:r>
        <w:rPr/>
        <w:t>hitos</w:t>
      </w:r>
      <w:r>
        <w:rPr>
          <w:spacing w:val="-5"/>
        </w:rPr>
        <w:t> </w:t>
      </w:r>
      <w:r>
        <w:rPr/>
        <w:t>logrados</w:t>
      </w:r>
      <w:r>
        <w:rPr>
          <w:spacing w:val="-5"/>
        </w:rPr>
        <w:t> </w:t>
      </w:r>
      <w:r>
        <w:rPr/>
        <w:t>desde</w:t>
      </w:r>
      <w:r>
        <w:rPr>
          <w:spacing w:val="-7"/>
        </w:rPr>
        <w:t> </w:t>
      </w:r>
      <w:r>
        <w:rPr/>
        <w:t>2020</w:t>
      </w:r>
      <w:r>
        <w:rPr>
          <w:spacing w:val="-4"/>
        </w:rPr>
        <w:t> </w:t>
      </w:r>
      <w:r>
        <w:rPr/>
        <w:t>hasta</w:t>
      </w:r>
      <w:r>
        <w:rPr>
          <w:spacing w:val="-3"/>
        </w:rPr>
        <w:t> </w:t>
      </w:r>
      <w:r>
        <w:rPr/>
        <w:t>2024</w:t>
      </w:r>
      <w:r>
        <w:rPr>
          <w:spacing w:val="-8"/>
        </w:rPr>
        <w:t> </w:t>
      </w:r>
      <w:r>
        <w:rPr/>
        <w:t>son</w:t>
      </w:r>
      <w:r>
        <w:rPr>
          <w:spacing w:val="-4"/>
        </w:rPr>
        <w:t> </w:t>
      </w:r>
      <w:r>
        <w:rPr/>
        <w:t>los</w:t>
      </w:r>
      <w:r>
        <w:rPr>
          <w:spacing w:val="-6"/>
        </w:rPr>
        <w:t> </w:t>
      </w:r>
      <w:r>
        <w:rPr>
          <w:spacing w:val="-2"/>
        </w:rPr>
        <w:t>siguientes:</w:t>
      </w:r>
    </w:p>
    <w:p>
      <w:pPr>
        <w:pStyle w:val="BodyText"/>
        <w:spacing w:before="85"/>
      </w:pPr>
    </w:p>
    <w:tbl>
      <w:tblPr>
        <w:tblW w:w="0" w:type="auto"/>
        <w:jc w:val="left"/>
        <w:tblInd w:w="123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0" w:type="dxa"/>
          <w:left w:w="0" w:type="dxa"/>
          <w:bottom w:w="0" w:type="dxa"/>
          <w:right w:w="0" w:type="dxa"/>
        </w:tblCellMar>
        <w:tblLook w:val="01E0"/>
      </w:tblPr>
      <w:tblGrid>
        <w:gridCol w:w="852"/>
        <w:gridCol w:w="7687"/>
      </w:tblGrid>
      <w:tr>
        <w:trPr>
          <w:trHeight w:val="395" w:hRule="atLeast"/>
        </w:trPr>
        <w:tc>
          <w:tcPr>
            <w:tcW w:w="852" w:type="dxa"/>
          </w:tcPr>
          <w:p>
            <w:pPr>
              <w:pStyle w:val="TableParagraph"/>
              <w:spacing w:line="225" w:lineRule="exact"/>
              <w:ind w:left="107"/>
              <w:rPr>
                <w:b/>
                <w:sz w:val="20"/>
              </w:rPr>
            </w:pPr>
            <w:r>
              <w:rPr>
                <w:b/>
                <w:spacing w:val="-5"/>
                <w:sz w:val="20"/>
              </w:rPr>
              <w:t>Año</w:t>
            </w:r>
          </w:p>
        </w:tc>
        <w:tc>
          <w:tcPr>
            <w:tcW w:w="7687" w:type="dxa"/>
          </w:tcPr>
          <w:p>
            <w:pPr>
              <w:pStyle w:val="TableParagraph"/>
              <w:spacing w:line="225" w:lineRule="exact"/>
              <w:ind w:left="105"/>
              <w:rPr>
                <w:b/>
                <w:sz w:val="20"/>
              </w:rPr>
            </w:pPr>
            <w:r>
              <w:rPr>
                <w:b/>
                <w:spacing w:val="-4"/>
                <w:sz w:val="20"/>
              </w:rPr>
              <w:t>Hito</w:t>
            </w:r>
          </w:p>
        </w:tc>
      </w:tr>
      <w:tr>
        <w:trPr>
          <w:trHeight w:val="287" w:hRule="atLeast"/>
        </w:trPr>
        <w:tc>
          <w:tcPr>
            <w:tcW w:w="852" w:type="dxa"/>
            <w:tcBorders>
              <w:bottom w:val="nil"/>
            </w:tcBorders>
          </w:tcPr>
          <w:p>
            <w:pPr>
              <w:pStyle w:val="TableParagraph"/>
              <w:rPr>
                <w:rFonts w:ascii="Times New Roman"/>
                <w:sz w:val="18"/>
              </w:rPr>
            </w:pPr>
          </w:p>
        </w:tc>
        <w:tc>
          <w:tcPr>
            <w:tcW w:w="7687" w:type="dxa"/>
            <w:tcBorders>
              <w:bottom w:val="nil"/>
            </w:tcBorders>
          </w:tcPr>
          <w:p>
            <w:pPr>
              <w:pStyle w:val="TableParagraph"/>
              <w:spacing w:line="201" w:lineRule="exact"/>
              <w:ind w:left="105"/>
              <w:rPr>
                <w:b/>
                <w:sz w:val="18"/>
              </w:rPr>
            </w:pPr>
            <w:r>
              <w:rPr>
                <w:b/>
                <w:sz w:val="18"/>
              </w:rPr>
              <w:t>Órgano</w:t>
            </w:r>
            <w:r>
              <w:rPr>
                <w:b/>
                <w:spacing w:val="-2"/>
                <w:sz w:val="18"/>
              </w:rPr>
              <w:t> </w:t>
            </w:r>
            <w:r>
              <w:rPr>
                <w:b/>
                <w:sz w:val="18"/>
              </w:rPr>
              <w:t>de</w:t>
            </w:r>
            <w:r>
              <w:rPr>
                <w:b/>
                <w:spacing w:val="-1"/>
                <w:sz w:val="18"/>
              </w:rPr>
              <w:t> </w:t>
            </w:r>
            <w:r>
              <w:rPr>
                <w:b/>
                <w:spacing w:val="-2"/>
                <w:sz w:val="18"/>
              </w:rPr>
              <w:t>Cumplimiento</w:t>
            </w:r>
          </w:p>
        </w:tc>
      </w:tr>
      <w:tr>
        <w:trPr>
          <w:trHeight w:val="945" w:hRule="atLeast"/>
        </w:trPr>
        <w:tc>
          <w:tcPr>
            <w:tcW w:w="852" w:type="dxa"/>
            <w:vMerge w:val="restart"/>
            <w:tcBorders>
              <w:top w:val="nil"/>
              <w:bottom w:val="nil"/>
            </w:tcBorders>
          </w:tcPr>
          <w:p>
            <w:pPr>
              <w:pStyle w:val="TableParagraph"/>
              <w:rPr>
                <w:sz w:val="18"/>
              </w:rPr>
            </w:pPr>
          </w:p>
          <w:p>
            <w:pPr>
              <w:pStyle w:val="TableParagraph"/>
              <w:spacing w:before="98"/>
              <w:rPr>
                <w:sz w:val="18"/>
              </w:rPr>
            </w:pPr>
          </w:p>
          <w:p>
            <w:pPr>
              <w:pStyle w:val="TableParagraph"/>
              <w:spacing w:before="1"/>
              <w:ind w:left="107"/>
              <w:rPr>
                <w:b/>
                <w:sz w:val="18"/>
              </w:rPr>
            </w:pPr>
            <w:r>
              <w:rPr>
                <w:b/>
                <w:spacing w:val="-2"/>
                <w:sz w:val="18"/>
              </w:rPr>
              <w:t>2020-</w:t>
            </w:r>
          </w:p>
          <w:p>
            <w:pPr>
              <w:pStyle w:val="TableParagraph"/>
              <w:spacing w:before="42"/>
              <w:ind w:left="107"/>
              <w:rPr>
                <w:b/>
                <w:sz w:val="18"/>
              </w:rPr>
            </w:pPr>
            <w:r>
              <w:rPr>
                <w:b/>
                <w:spacing w:val="-4"/>
                <w:sz w:val="18"/>
              </w:rPr>
              <w:t>2021</w:t>
            </w:r>
          </w:p>
        </w:tc>
        <w:tc>
          <w:tcPr>
            <w:tcW w:w="7687" w:type="dxa"/>
            <w:tcBorders>
              <w:top w:val="nil"/>
            </w:tcBorders>
          </w:tcPr>
          <w:p>
            <w:pPr>
              <w:pStyle w:val="TableParagraph"/>
              <w:spacing w:line="288" w:lineRule="auto" w:before="80"/>
              <w:ind w:left="105" w:right="135"/>
              <w:rPr>
                <w:sz w:val="18"/>
              </w:rPr>
            </w:pPr>
            <w:r>
              <w:rPr>
                <w:sz w:val="18"/>
              </w:rPr>
              <w:t>Constitución del órgano colegiado anteriormente mencionado (Órgano de Cumplimiento),</w:t>
            </w:r>
            <w:r>
              <w:rPr>
                <w:spacing w:val="40"/>
                <w:sz w:val="18"/>
              </w:rPr>
              <w:t> </w:t>
            </w:r>
            <w:r>
              <w:rPr>
                <w:sz w:val="18"/>
              </w:rPr>
              <w:t>que</w:t>
            </w:r>
            <w:r>
              <w:rPr>
                <w:spacing w:val="-1"/>
                <w:sz w:val="18"/>
              </w:rPr>
              <w:t> </w:t>
            </w:r>
            <w:r>
              <w:rPr>
                <w:sz w:val="18"/>
              </w:rPr>
              <w:t>realiza</w:t>
            </w:r>
            <w:r>
              <w:rPr>
                <w:spacing w:val="-5"/>
                <w:sz w:val="18"/>
              </w:rPr>
              <w:t> </w:t>
            </w:r>
            <w:r>
              <w:rPr>
                <w:sz w:val="18"/>
              </w:rPr>
              <w:t>las</w:t>
            </w:r>
            <w:r>
              <w:rPr>
                <w:spacing w:val="-3"/>
                <w:sz w:val="18"/>
              </w:rPr>
              <w:t> </w:t>
            </w:r>
            <w:r>
              <w:rPr>
                <w:sz w:val="18"/>
              </w:rPr>
              <w:t>funciones</w:t>
            </w:r>
            <w:r>
              <w:rPr>
                <w:spacing w:val="-5"/>
                <w:sz w:val="18"/>
              </w:rPr>
              <w:t> </w:t>
            </w:r>
            <w:r>
              <w:rPr>
                <w:sz w:val="18"/>
              </w:rPr>
              <w:t>de</w:t>
            </w:r>
            <w:r>
              <w:rPr>
                <w:spacing w:val="-4"/>
                <w:sz w:val="18"/>
              </w:rPr>
              <w:t> </w:t>
            </w:r>
            <w:r>
              <w:rPr>
                <w:sz w:val="18"/>
              </w:rPr>
              <w:t>supervisión</w:t>
            </w:r>
            <w:r>
              <w:rPr>
                <w:spacing w:val="-5"/>
                <w:sz w:val="18"/>
              </w:rPr>
              <w:t> </w:t>
            </w:r>
            <w:r>
              <w:rPr>
                <w:sz w:val="18"/>
              </w:rPr>
              <w:t>del</w:t>
            </w:r>
            <w:r>
              <w:rPr>
                <w:spacing w:val="-5"/>
                <w:sz w:val="18"/>
              </w:rPr>
              <w:t> </w:t>
            </w:r>
            <w:r>
              <w:rPr>
                <w:sz w:val="18"/>
              </w:rPr>
              <w:t>funcionamiento</w:t>
            </w:r>
            <w:r>
              <w:rPr>
                <w:spacing w:val="-5"/>
                <w:sz w:val="18"/>
              </w:rPr>
              <w:t> </w:t>
            </w:r>
            <w:r>
              <w:rPr>
                <w:sz w:val="18"/>
              </w:rPr>
              <w:t>y</w:t>
            </w:r>
            <w:r>
              <w:rPr>
                <w:spacing w:val="-3"/>
                <w:sz w:val="18"/>
              </w:rPr>
              <w:t> </w:t>
            </w:r>
            <w:r>
              <w:rPr>
                <w:sz w:val="18"/>
              </w:rPr>
              <w:t>cumplimiento</w:t>
            </w:r>
            <w:r>
              <w:rPr>
                <w:spacing w:val="-1"/>
                <w:sz w:val="18"/>
              </w:rPr>
              <w:t> </w:t>
            </w:r>
            <w:r>
              <w:rPr>
                <w:sz w:val="18"/>
              </w:rPr>
              <w:t>del</w:t>
            </w:r>
            <w:r>
              <w:rPr>
                <w:spacing w:val="-2"/>
                <w:sz w:val="18"/>
              </w:rPr>
              <w:t> </w:t>
            </w:r>
            <w:r>
              <w:rPr>
                <w:sz w:val="18"/>
              </w:rPr>
              <w:t>MPRP</w:t>
            </w:r>
            <w:r>
              <w:rPr>
                <w:spacing w:val="-5"/>
                <w:sz w:val="18"/>
              </w:rPr>
              <w:t> </w:t>
            </w:r>
            <w:r>
              <w:rPr>
                <w:sz w:val="18"/>
              </w:rPr>
              <w:t>y,</w:t>
            </w:r>
            <w:r>
              <w:rPr>
                <w:spacing w:val="-3"/>
                <w:sz w:val="18"/>
              </w:rPr>
              <w:t> </w:t>
            </w:r>
            <w:r>
              <w:rPr>
                <w:sz w:val="18"/>
              </w:rPr>
              <w:t>más recientemente, del SGCPA de GMSA.</w:t>
            </w:r>
          </w:p>
        </w:tc>
      </w:tr>
      <w:tr>
        <w:trPr>
          <w:trHeight w:val="287" w:hRule="atLeast"/>
        </w:trPr>
        <w:tc>
          <w:tcPr>
            <w:tcW w:w="852" w:type="dxa"/>
            <w:vMerge/>
            <w:tcBorders>
              <w:top w:val="nil"/>
              <w:bottom w:val="nil"/>
            </w:tcBorders>
          </w:tcPr>
          <w:p>
            <w:pPr>
              <w:rPr>
                <w:sz w:val="2"/>
                <w:szCs w:val="2"/>
              </w:rPr>
            </w:pPr>
          </w:p>
        </w:tc>
        <w:tc>
          <w:tcPr>
            <w:tcW w:w="7687" w:type="dxa"/>
            <w:tcBorders>
              <w:bottom w:val="nil"/>
            </w:tcBorders>
          </w:tcPr>
          <w:p>
            <w:pPr>
              <w:pStyle w:val="TableParagraph"/>
              <w:spacing w:line="201" w:lineRule="exact"/>
              <w:ind w:left="105"/>
              <w:rPr>
                <w:b/>
                <w:sz w:val="18"/>
              </w:rPr>
            </w:pPr>
            <w:r>
              <w:rPr>
                <w:b/>
                <w:sz w:val="18"/>
              </w:rPr>
              <w:t>Código de</w:t>
            </w:r>
            <w:r>
              <w:rPr>
                <w:b/>
                <w:spacing w:val="-2"/>
                <w:sz w:val="18"/>
              </w:rPr>
              <w:t> Conducta</w:t>
            </w:r>
          </w:p>
        </w:tc>
      </w:tr>
      <w:tr>
        <w:trPr>
          <w:trHeight w:val="698" w:hRule="atLeast"/>
        </w:trPr>
        <w:tc>
          <w:tcPr>
            <w:tcW w:w="852" w:type="dxa"/>
            <w:tcBorders>
              <w:top w:val="nil"/>
            </w:tcBorders>
          </w:tcPr>
          <w:p>
            <w:pPr>
              <w:pStyle w:val="TableParagraph"/>
              <w:rPr>
                <w:rFonts w:ascii="Times New Roman"/>
                <w:sz w:val="18"/>
              </w:rPr>
            </w:pPr>
          </w:p>
        </w:tc>
        <w:tc>
          <w:tcPr>
            <w:tcW w:w="7687" w:type="dxa"/>
            <w:tcBorders>
              <w:top w:val="nil"/>
            </w:tcBorders>
          </w:tcPr>
          <w:p>
            <w:pPr>
              <w:pStyle w:val="TableParagraph"/>
              <w:spacing w:line="285" w:lineRule="auto" w:before="80"/>
              <w:ind w:left="105"/>
              <w:rPr>
                <w:sz w:val="18"/>
              </w:rPr>
            </w:pPr>
            <w:r>
              <w:rPr>
                <w:sz w:val="18"/>
              </w:rPr>
              <w:t>Revisión</w:t>
            </w:r>
            <w:r>
              <w:rPr>
                <w:spacing w:val="-5"/>
                <w:sz w:val="18"/>
              </w:rPr>
              <w:t> </w:t>
            </w:r>
            <w:r>
              <w:rPr>
                <w:sz w:val="18"/>
              </w:rPr>
              <w:t>y</w:t>
            </w:r>
            <w:r>
              <w:rPr>
                <w:spacing w:val="-3"/>
                <w:sz w:val="18"/>
              </w:rPr>
              <w:t> </w:t>
            </w:r>
            <w:r>
              <w:rPr>
                <w:sz w:val="18"/>
              </w:rPr>
              <w:t>aprobación del Código</w:t>
            </w:r>
            <w:r>
              <w:rPr>
                <w:spacing w:val="-4"/>
                <w:sz w:val="18"/>
              </w:rPr>
              <w:t> </w:t>
            </w:r>
            <w:r>
              <w:rPr>
                <w:sz w:val="18"/>
              </w:rPr>
              <w:t>de</w:t>
            </w:r>
            <w:r>
              <w:rPr>
                <w:spacing w:val="-1"/>
                <w:sz w:val="18"/>
              </w:rPr>
              <w:t> </w:t>
            </w:r>
            <w:r>
              <w:rPr>
                <w:sz w:val="18"/>
              </w:rPr>
              <w:t>Conducta</w:t>
            </w:r>
            <w:r>
              <w:rPr>
                <w:spacing w:val="-4"/>
                <w:sz w:val="18"/>
              </w:rPr>
              <w:t> </w:t>
            </w:r>
            <w:r>
              <w:rPr>
                <w:sz w:val="18"/>
              </w:rPr>
              <w:t>de</w:t>
            </w:r>
            <w:r>
              <w:rPr>
                <w:spacing w:val="-6"/>
                <w:sz w:val="18"/>
              </w:rPr>
              <w:t> </w:t>
            </w:r>
            <w:r>
              <w:rPr>
                <w:sz w:val="18"/>
              </w:rPr>
              <w:t>GMSA</w:t>
            </w:r>
            <w:r>
              <w:rPr>
                <w:spacing w:val="-3"/>
                <w:sz w:val="18"/>
              </w:rPr>
              <w:t> </w:t>
            </w:r>
            <w:r>
              <w:rPr>
                <w:sz w:val="18"/>
              </w:rPr>
              <w:t>(Código</w:t>
            </w:r>
            <w:r>
              <w:rPr>
                <w:spacing w:val="-5"/>
                <w:sz w:val="18"/>
              </w:rPr>
              <w:t> </w:t>
            </w:r>
            <w:r>
              <w:rPr>
                <w:sz w:val="18"/>
              </w:rPr>
              <w:t>Ético)</w:t>
            </w:r>
            <w:r>
              <w:rPr>
                <w:spacing w:val="-2"/>
                <w:sz w:val="18"/>
              </w:rPr>
              <w:t> </w:t>
            </w:r>
            <w:r>
              <w:rPr>
                <w:sz w:val="18"/>
              </w:rPr>
              <w:t>a</w:t>
            </w:r>
            <w:r>
              <w:rPr>
                <w:spacing w:val="-5"/>
                <w:sz w:val="18"/>
              </w:rPr>
              <w:t> </w:t>
            </w:r>
            <w:r>
              <w:rPr>
                <w:sz w:val="18"/>
              </w:rPr>
              <w:t>principios</w:t>
            </w:r>
            <w:r>
              <w:rPr>
                <w:spacing w:val="-2"/>
                <w:sz w:val="18"/>
              </w:rPr>
              <w:t> </w:t>
            </w:r>
            <w:r>
              <w:rPr>
                <w:sz w:val="18"/>
              </w:rPr>
              <w:t>del</w:t>
            </w:r>
            <w:r>
              <w:rPr>
                <w:spacing w:val="-4"/>
                <w:sz w:val="18"/>
              </w:rPr>
              <w:t> </w:t>
            </w:r>
            <w:r>
              <w:rPr>
                <w:sz w:val="18"/>
              </w:rPr>
              <w:t>año 2020 (fue aprobado en Consejo de Administración celebrado el día 16 de enero de 2020).</w:t>
            </w:r>
          </w:p>
        </w:tc>
      </w:tr>
    </w:tbl>
    <w:p>
      <w:pPr>
        <w:pStyle w:val="TableParagraph"/>
        <w:spacing w:after="0" w:line="285" w:lineRule="auto"/>
        <w:rPr>
          <w:sz w:val="18"/>
        </w:rPr>
        <w:sectPr>
          <w:type w:val="continuous"/>
          <w:pgSz w:w="11910" w:h="16840"/>
          <w:pgMar w:header="384" w:footer="1060" w:top="1700" w:bottom="1040" w:left="360" w:right="360"/>
        </w:sectPr>
      </w:pPr>
    </w:p>
    <w:p>
      <w:pPr>
        <w:pStyle w:val="BodyText"/>
        <w:spacing w:before="11"/>
        <w:rPr>
          <w:sz w:val="18"/>
        </w:rPr>
      </w:pPr>
      <w:r>
        <w:rPr>
          <w:sz w:val="18"/>
        </w:rPr>
        <mc:AlternateContent>
          <mc:Choice Requires="wps">
            <w:drawing>
              <wp:anchor distT="0" distB="0" distL="0" distR="0" allowOverlap="1" layoutInCell="1" locked="0" behindDoc="0" simplePos="0" relativeHeight="15825920">
                <wp:simplePos x="0" y="0"/>
                <wp:positionH relativeFrom="page">
                  <wp:posOffset>6966436</wp:posOffset>
                </wp:positionH>
                <wp:positionV relativeFrom="page">
                  <wp:posOffset>6553363</wp:posOffset>
                </wp:positionV>
                <wp:extent cx="263525" cy="327596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16.012878pt;width:20.75pt;height:257.95pt;mso-position-horizontal-relative:page;mso-position-vertical-relative:page;z-index:15825920" type="#_x0000_t202" id="docshape25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59</w:t>
                      </w:r>
                      <w:r>
                        <w:rPr>
                          <w:spacing w:val="-6"/>
                          <w:sz w:val="12"/>
                        </w:rPr>
                        <w:t> </w:t>
                      </w:r>
                      <w:r>
                        <w:rPr>
                          <w:sz w:val="12"/>
                        </w:rPr>
                        <w:t>de</w:t>
                      </w:r>
                      <w:r>
                        <w:rPr>
                          <w:spacing w:val="-6"/>
                          <w:sz w:val="12"/>
                        </w:rPr>
                        <w:t> </w:t>
                      </w:r>
                      <w:r>
                        <w:rPr>
                          <w:spacing w:val="-5"/>
                          <w:sz w:val="12"/>
                        </w:rPr>
                        <w:t>69</w:t>
                      </w:r>
                    </w:p>
                  </w:txbxContent>
                </v:textbox>
                <w10:wrap type="none"/>
              </v:shape>
            </w:pict>
          </mc:Fallback>
        </mc:AlternateContent>
      </w:r>
    </w:p>
    <w:tbl>
      <w:tblPr>
        <w:tblW w:w="0" w:type="auto"/>
        <w:jc w:val="left"/>
        <w:tblInd w:w="123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0" w:type="dxa"/>
          <w:left w:w="0" w:type="dxa"/>
          <w:bottom w:w="0" w:type="dxa"/>
          <w:right w:w="0" w:type="dxa"/>
        </w:tblCellMar>
        <w:tblLook w:val="01E0"/>
      </w:tblPr>
      <w:tblGrid>
        <w:gridCol w:w="852"/>
        <w:gridCol w:w="7687"/>
      </w:tblGrid>
      <w:tr>
        <w:trPr>
          <w:trHeight w:val="3460" w:hRule="atLeast"/>
        </w:trPr>
        <w:tc>
          <w:tcPr>
            <w:tcW w:w="852" w:type="dxa"/>
            <w:vMerge w:val="restart"/>
          </w:tcPr>
          <w:p>
            <w:pPr>
              <w:pStyle w:val="TableParagraph"/>
              <w:rPr>
                <w:rFonts w:ascii="Times New Roman"/>
                <w:sz w:val="16"/>
              </w:rPr>
            </w:pPr>
          </w:p>
        </w:tc>
        <w:tc>
          <w:tcPr>
            <w:tcW w:w="7687" w:type="dxa"/>
          </w:tcPr>
          <w:p>
            <w:pPr>
              <w:pStyle w:val="TableParagraph"/>
              <w:spacing w:line="201" w:lineRule="exact"/>
              <w:ind w:left="105"/>
              <w:rPr>
                <w:b/>
                <w:sz w:val="18"/>
              </w:rPr>
            </w:pPr>
            <w:r>
              <w:rPr>
                <w:b/>
                <w:sz w:val="18"/>
              </w:rPr>
              <w:t>Canal de</w:t>
            </w:r>
            <w:r>
              <w:rPr>
                <w:b/>
                <w:spacing w:val="-3"/>
                <w:sz w:val="18"/>
              </w:rPr>
              <w:t> </w:t>
            </w:r>
            <w:r>
              <w:rPr>
                <w:b/>
                <w:spacing w:val="-2"/>
                <w:sz w:val="18"/>
              </w:rPr>
              <w:t>Denuncias</w:t>
            </w:r>
          </w:p>
          <w:p>
            <w:pPr>
              <w:pStyle w:val="TableParagraph"/>
              <w:spacing w:line="288" w:lineRule="auto" w:before="165"/>
              <w:ind w:left="105"/>
              <w:rPr>
                <w:sz w:val="18"/>
              </w:rPr>
            </w:pPr>
            <w:r>
              <w:rPr>
                <w:sz w:val="18"/>
              </w:rPr>
              <w:t>Puesta a disposición de los miembros de la organización y de terceros de un Canal de Denuncias</w:t>
            </w:r>
            <w:r>
              <w:rPr>
                <w:spacing w:val="-3"/>
                <w:sz w:val="18"/>
              </w:rPr>
              <w:t> </w:t>
            </w:r>
            <w:r>
              <w:rPr>
                <w:sz w:val="18"/>
              </w:rPr>
              <w:t>que</w:t>
            </w:r>
            <w:r>
              <w:rPr>
                <w:spacing w:val="-4"/>
                <w:sz w:val="18"/>
              </w:rPr>
              <w:t> </w:t>
            </w:r>
            <w:r>
              <w:rPr>
                <w:sz w:val="18"/>
              </w:rPr>
              <w:t>ayude</w:t>
            </w:r>
            <w:r>
              <w:rPr>
                <w:spacing w:val="-2"/>
                <w:sz w:val="18"/>
              </w:rPr>
              <w:t> </w:t>
            </w:r>
            <w:r>
              <w:rPr>
                <w:sz w:val="18"/>
              </w:rPr>
              <w:t>a</w:t>
            </w:r>
            <w:r>
              <w:rPr>
                <w:spacing w:val="-1"/>
                <w:sz w:val="18"/>
              </w:rPr>
              <w:t> </w:t>
            </w:r>
            <w:r>
              <w:rPr>
                <w:sz w:val="18"/>
              </w:rPr>
              <w:t>detectar</w:t>
            </w:r>
            <w:r>
              <w:rPr>
                <w:spacing w:val="-2"/>
                <w:sz w:val="18"/>
              </w:rPr>
              <w:t> </w:t>
            </w:r>
            <w:r>
              <w:rPr>
                <w:sz w:val="18"/>
              </w:rPr>
              <w:t>las</w:t>
            </w:r>
            <w:r>
              <w:rPr>
                <w:spacing w:val="-2"/>
                <w:sz w:val="18"/>
              </w:rPr>
              <w:t> </w:t>
            </w:r>
            <w:r>
              <w:rPr>
                <w:sz w:val="18"/>
              </w:rPr>
              <w:t>incidencias</w:t>
            </w:r>
            <w:r>
              <w:rPr>
                <w:spacing w:val="-3"/>
                <w:sz w:val="18"/>
              </w:rPr>
              <w:t> </w:t>
            </w:r>
            <w:r>
              <w:rPr>
                <w:sz w:val="18"/>
              </w:rPr>
              <w:t>que</w:t>
            </w:r>
            <w:r>
              <w:rPr>
                <w:spacing w:val="-1"/>
                <w:sz w:val="18"/>
              </w:rPr>
              <w:t> </w:t>
            </w:r>
            <w:r>
              <w:rPr>
                <w:sz w:val="18"/>
              </w:rPr>
              <w:t>puedan</w:t>
            </w:r>
            <w:r>
              <w:rPr>
                <w:spacing w:val="-5"/>
                <w:sz w:val="18"/>
              </w:rPr>
              <w:t> </w:t>
            </w:r>
            <w:r>
              <w:rPr>
                <w:sz w:val="18"/>
              </w:rPr>
              <w:t>ocurrir,</w:t>
            </w:r>
            <w:r>
              <w:rPr>
                <w:spacing w:val="-3"/>
                <w:sz w:val="18"/>
              </w:rPr>
              <w:t> </w:t>
            </w:r>
            <w:r>
              <w:rPr>
                <w:sz w:val="18"/>
              </w:rPr>
              <w:t>relativas</w:t>
            </w:r>
            <w:r>
              <w:rPr>
                <w:spacing w:val="-3"/>
                <w:sz w:val="18"/>
              </w:rPr>
              <w:t> </w:t>
            </w:r>
            <w:r>
              <w:rPr>
                <w:sz w:val="18"/>
              </w:rPr>
              <w:t>al</w:t>
            </w:r>
            <w:r>
              <w:rPr>
                <w:spacing w:val="-3"/>
                <w:sz w:val="18"/>
              </w:rPr>
              <w:t> </w:t>
            </w:r>
            <w:r>
              <w:rPr>
                <w:sz w:val="18"/>
              </w:rPr>
              <w:t>código</w:t>
            </w:r>
            <w:r>
              <w:rPr>
                <w:spacing w:val="-5"/>
                <w:sz w:val="18"/>
              </w:rPr>
              <w:t> </w:t>
            </w:r>
            <w:r>
              <w:rPr>
                <w:sz w:val="18"/>
              </w:rPr>
              <w:t>de conducta y a la propia política de prevención de riesgos penales de aplicación.</w:t>
            </w:r>
          </w:p>
          <w:p>
            <w:pPr>
              <w:pStyle w:val="TableParagraph"/>
              <w:spacing w:line="288" w:lineRule="auto" w:before="121"/>
              <w:ind w:left="105" w:right="141"/>
              <w:rPr>
                <w:sz w:val="18"/>
              </w:rPr>
            </w:pPr>
            <w:r>
              <w:rPr>
                <w:sz w:val="18"/>
              </w:rPr>
              <w:t>Mediante</w:t>
            </w:r>
            <w:r>
              <w:rPr>
                <w:spacing w:val="-4"/>
                <w:sz w:val="18"/>
              </w:rPr>
              <w:t> </w:t>
            </w:r>
            <w:r>
              <w:rPr>
                <w:sz w:val="18"/>
              </w:rPr>
              <w:t>el</w:t>
            </w:r>
            <w:r>
              <w:rPr>
                <w:spacing w:val="-2"/>
                <w:sz w:val="18"/>
              </w:rPr>
              <w:t> </w:t>
            </w:r>
            <w:r>
              <w:rPr>
                <w:sz w:val="18"/>
              </w:rPr>
              <w:t>Canal</w:t>
            </w:r>
            <w:r>
              <w:rPr>
                <w:spacing w:val="-6"/>
                <w:sz w:val="18"/>
              </w:rPr>
              <w:t> </w:t>
            </w:r>
            <w:r>
              <w:rPr>
                <w:sz w:val="18"/>
              </w:rPr>
              <w:t>de</w:t>
            </w:r>
            <w:r>
              <w:rPr>
                <w:spacing w:val="-1"/>
                <w:sz w:val="18"/>
              </w:rPr>
              <w:t> </w:t>
            </w:r>
            <w:r>
              <w:rPr>
                <w:sz w:val="18"/>
              </w:rPr>
              <w:t>Denuncias</w:t>
            </w:r>
            <w:r>
              <w:rPr>
                <w:spacing w:val="-2"/>
                <w:sz w:val="18"/>
              </w:rPr>
              <w:t> </w:t>
            </w:r>
            <w:r>
              <w:rPr>
                <w:sz w:val="18"/>
              </w:rPr>
              <w:t>antes</w:t>
            </w:r>
            <w:r>
              <w:rPr>
                <w:spacing w:val="-5"/>
                <w:sz w:val="18"/>
              </w:rPr>
              <w:t> </w:t>
            </w:r>
            <w:r>
              <w:rPr>
                <w:sz w:val="18"/>
              </w:rPr>
              <w:t>mencionado,</w:t>
            </w:r>
            <w:r>
              <w:rPr>
                <w:spacing w:val="-5"/>
                <w:sz w:val="18"/>
              </w:rPr>
              <w:t> </w:t>
            </w:r>
            <w:r>
              <w:rPr>
                <w:sz w:val="18"/>
              </w:rPr>
              <w:t>se</w:t>
            </w:r>
            <w:r>
              <w:rPr>
                <w:spacing w:val="-5"/>
                <w:sz w:val="18"/>
              </w:rPr>
              <w:t> </w:t>
            </w:r>
            <w:r>
              <w:rPr>
                <w:sz w:val="18"/>
              </w:rPr>
              <w:t>establece</w:t>
            </w:r>
            <w:r>
              <w:rPr>
                <w:spacing w:val="-4"/>
                <w:sz w:val="18"/>
              </w:rPr>
              <w:t> </w:t>
            </w:r>
            <w:r>
              <w:rPr>
                <w:sz w:val="18"/>
              </w:rPr>
              <w:t>una</w:t>
            </w:r>
            <w:r>
              <w:rPr>
                <w:spacing w:val="-1"/>
                <w:sz w:val="18"/>
              </w:rPr>
              <w:t> </w:t>
            </w:r>
            <w:r>
              <w:rPr>
                <w:sz w:val="18"/>
              </w:rPr>
              <w:t>línea</w:t>
            </w:r>
            <w:r>
              <w:rPr>
                <w:spacing w:val="-4"/>
                <w:sz w:val="18"/>
              </w:rPr>
              <w:t> </w:t>
            </w:r>
            <w:r>
              <w:rPr>
                <w:sz w:val="18"/>
              </w:rPr>
              <w:t>de</w:t>
            </w:r>
            <w:r>
              <w:rPr>
                <w:spacing w:val="-4"/>
                <w:sz w:val="18"/>
              </w:rPr>
              <w:t> </w:t>
            </w:r>
            <w:r>
              <w:rPr>
                <w:sz w:val="18"/>
              </w:rPr>
              <w:t>comunicación interna y confidencial para quienes se sientan bajo presión o reciban instrucciones poco éticas por parte de sus superiores jerárquicos, o quieran denunciar el incumplimiento de la ley dentro de la empresa.</w:t>
            </w:r>
          </w:p>
          <w:p>
            <w:pPr>
              <w:pStyle w:val="TableParagraph"/>
              <w:spacing w:line="288" w:lineRule="auto" w:before="120"/>
              <w:ind w:left="105" w:right="198"/>
              <w:rPr>
                <w:sz w:val="18"/>
              </w:rPr>
            </w:pPr>
            <w:r>
              <w:rPr>
                <w:sz w:val="18"/>
              </w:rPr>
              <w:t>Se trabajó asimismo en reforzar el apoyo e implicación de la Gerencia en este ámbito, liderando e impulsando el cumplimiento normativo dentro de la organización en sentido amplio,</w:t>
            </w:r>
            <w:r>
              <w:rPr>
                <w:spacing w:val="-5"/>
                <w:sz w:val="18"/>
              </w:rPr>
              <w:t> </w:t>
            </w:r>
            <w:r>
              <w:rPr>
                <w:sz w:val="18"/>
              </w:rPr>
              <w:t>es</w:t>
            </w:r>
            <w:r>
              <w:rPr>
                <w:spacing w:val="-3"/>
                <w:sz w:val="18"/>
              </w:rPr>
              <w:t> </w:t>
            </w:r>
            <w:r>
              <w:rPr>
                <w:sz w:val="18"/>
              </w:rPr>
              <w:t>decir,</w:t>
            </w:r>
            <w:r>
              <w:rPr>
                <w:spacing w:val="-3"/>
                <w:sz w:val="18"/>
              </w:rPr>
              <w:t> </w:t>
            </w:r>
            <w:r>
              <w:rPr>
                <w:sz w:val="18"/>
              </w:rPr>
              <w:t>tanto</w:t>
            </w:r>
            <w:r>
              <w:rPr>
                <w:spacing w:val="-3"/>
                <w:sz w:val="18"/>
              </w:rPr>
              <w:t> </w:t>
            </w:r>
            <w:r>
              <w:rPr>
                <w:sz w:val="18"/>
              </w:rPr>
              <w:t>las</w:t>
            </w:r>
            <w:r>
              <w:rPr>
                <w:spacing w:val="-2"/>
                <w:sz w:val="18"/>
              </w:rPr>
              <w:t> </w:t>
            </w:r>
            <w:r>
              <w:rPr>
                <w:sz w:val="18"/>
              </w:rPr>
              <w:t>normas</w:t>
            </w:r>
            <w:r>
              <w:rPr>
                <w:spacing w:val="-5"/>
                <w:sz w:val="18"/>
              </w:rPr>
              <w:t> </w:t>
            </w:r>
            <w:r>
              <w:rPr>
                <w:sz w:val="18"/>
              </w:rPr>
              <w:t>aplicables</w:t>
            </w:r>
            <w:r>
              <w:rPr>
                <w:spacing w:val="-3"/>
                <w:sz w:val="18"/>
              </w:rPr>
              <w:t> </w:t>
            </w:r>
            <w:r>
              <w:rPr>
                <w:sz w:val="18"/>
              </w:rPr>
              <w:t>por</w:t>
            </w:r>
            <w:r>
              <w:rPr>
                <w:spacing w:val="-2"/>
                <w:sz w:val="18"/>
              </w:rPr>
              <w:t> </w:t>
            </w:r>
            <w:r>
              <w:rPr>
                <w:sz w:val="18"/>
              </w:rPr>
              <w:t>imperativo</w:t>
            </w:r>
            <w:r>
              <w:rPr>
                <w:spacing w:val="-4"/>
                <w:sz w:val="18"/>
              </w:rPr>
              <w:t> </w:t>
            </w:r>
            <w:r>
              <w:rPr>
                <w:sz w:val="18"/>
              </w:rPr>
              <w:t>legal</w:t>
            </w:r>
            <w:r>
              <w:rPr>
                <w:spacing w:val="-2"/>
                <w:sz w:val="18"/>
              </w:rPr>
              <w:t> </w:t>
            </w:r>
            <w:r>
              <w:rPr>
                <w:sz w:val="18"/>
              </w:rPr>
              <w:t>y</w:t>
            </w:r>
            <w:r>
              <w:rPr>
                <w:spacing w:val="-5"/>
                <w:sz w:val="18"/>
              </w:rPr>
              <w:t> </w:t>
            </w:r>
            <w:r>
              <w:rPr>
                <w:sz w:val="18"/>
              </w:rPr>
              <w:t>normas</w:t>
            </w:r>
            <w:r>
              <w:rPr>
                <w:spacing w:val="-3"/>
                <w:sz w:val="18"/>
              </w:rPr>
              <w:t> </w:t>
            </w:r>
            <w:r>
              <w:rPr>
                <w:sz w:val="18"/>
              </w:rPr>
              <w:t>autoimpuestas por la propia empresa.</w:t>
            </w:r>
          </w:p>
        </w:tc>
      </w:tr>
      <w:tr>
        <w:trPr>
          <w:trHeight w:val="1233" w:hRule="atLeast"/>
        </w:trPr>
        <w:tc>
          <w:tcPr>
            <w:tcW w:w="852" w:type="dxa"/>
            <w:vMerge/>
            <w:tcBorders>
              <w:top w:val="nil"/>
            </w:tcBorders>
          </w:tcPr>
          <w:p>
            <w:pPr>
              <w:rPr>
                <w:sz w:val="2"/>
                <w:szCs w:val="2"/>
              </w:rPr>
            </w:pPr>
          </w:p>
        </w:tc>
        <w:tc>
          <w:tcPr>
            <w:tcW w:w="7687" w:type="dxa"/>
          </w:tcPr>
          <w:p>
            <w:pPr>
              <w:pStyle w:val="TableParagraph"/>
              <w:spacing w:line="201" w:lineRule="exact"/>
              <w:ind w:left="105"/>
              <w:rPr>
                <w:b/>
                <w:sz w:val="18"/>
              </w:rPr>
            </w:pPr>
            <w:r>
              <w:rPr>
                <w:b/>
                <w:sz w:val="18"/>
              </w:rPr>
              <w:t>Procesos</w:t>
            </w:r>
            <w:r>
              <w:rPr>
                <w:b/>
                <w:spacing w:val="-3"/>
                <w:sz w:val="18"/>
              </w:rPr>
              <w:t> </w:t>
            </w:r>
            <w:r>
              <w:rPr>
                <w:b/>
                <w:sz w:val="18"/>
              </w:rPr>
              <w:t>de</w:t>
            </w:r>
            <w:r>
              <w:rPr>
                <w:b/>
                <w:spacing w:val="2"/>
                <w:sz w:val="18"/>
              </w:rPr>
              <w:t> </w:t>
            </w:r>
            <w:r>
              <w:rPr>
                <w:b/>
                <w:spacing w:val="-2"/>
                <w:sz w:val="18"/>
              </w:rPr>
              <w:t>contratación</w:t>
            </w:r>
          </w:p>
          <w:p>
            <w:pPr>
              <w:pStyle w:val="TableParagraph"/>
              <w:spacing w:line="288" w:lineRule="auto" w:before="167"/>
              <w:ind w:left="105"/>
              <w:rPr>
                <w:sz w:val="18"/>
              </w:rPr>
            </w:pPr>
            <w:r>
              <w:rPr>
                <w:sz w:val="18"/>
              </w:rPr>
              <w:t>Se</w:t>
            </w:r>
            <w:r>
              <w:rPr>
                <w:spacing w:val="-3"/>
                <w:sz w:val="18"/>
              </w:rPr>
              <w:t> </w:t>
            </w:r>
            <w:r>
              <w:rPr>
                <w:sz w:val="18"/>
              </w:rPr>
              <w:t>inicia</w:t>
            </w:r>
            <w:r>
              <w:rPr>
                <w:spacing w:val="-4"/>
                <w:sz w:val="18"/>
              </w:rPr>
              <w:t> </w:t>
            </w:r>
            <w:r>
              <w:rPr>
                <w:sz w:val="18"/>
              </w:rPr>
              <w:t>la</w:t>
            </w:r>
            <w:r>
              <w:rPr>
                <w:spacing w:val="-4"/>
                <w:sz w:val="18"/>
              </w:rPr>
              <w:t> </w:t>
            </w:r>
            <w:r>
              <w:rPr>
                <w:sz w:val="18"/>
              </w:rPr>
              <w:t>traslación</w:t>
            </w:r>
            <w:r>
              <w:rPr>
                <w:spacing w:val="-1"/>
                <w:sz w:val="18"/>
              </w:rPr>
              <w:t> </w:t>
            </w:r>
            <w:r>
              <w:rPr>
                <w:sz w:val="18"/>
              </w:rPr>
              <w:t>de</w:t>
            </w:r>
            <w:r>
              <w:rPr>
                <w:spacing w:val="-3"/>
                <w:sz w:val="18"/>
              </w:rPr>
              <w:t> </w:t>
            </w:r>
            <w:r>
              <w:rPr>
                <w:sz w:val="18"/>
              </w:rPr>
              <w:t>su</w:t>
            </w:r>
            <w:r>
              <w:rPr>
                <w:spacing w:val="-3"/>
                <w:sz w:val="18"/>
              </w:rPr>
              <w:t> </w:t>
            </w:r>
            <w:r>
              <w:rPr>
                <w:sz w:val="18"/>
              </w:rPr>
              <w:t>Código</w:t>
            </w:r>
            <w:r>
              <w:rPr>
                <w:spacing w:val="-4"/>
                <w:sz w:val="18"/>
              </w:rPr>
              <w:t> </w:t>
            </w:r>
            <w:r>
              <w:rPr>
                <w:sz w:val="18"/>
              </w:rPr>
              <w:t>Ético</w:t>
            </w:r>
            <w:r>
              <w:rPr>
                <w:spacing w:val="-1"/>
                <w:sz w:val="18"/>
              </w:rPr>
              <w:t> </w:t>
            </w:r>
            <w:r>
              <w:rPr>
                <w:sz w:val="18"/>
              </w:rPr>
              <w:t>en</w:t>
            </w:r>
            <w:r>
              <w:rPr>
                <w:spacing w:val="-1"/>
                <w:sz w:val="18"/>
              </w:rPr>
              <w:t> </w:t>
            </w:r>
            <w:r>
              <w:rPr>
                <w:sz w:val="18"/>
              </w:rPr>
              <w:t>los</w:t>
            </w:r>
            <w:r>
              <w:rPr>
                <w:spacing w:val="-1"/>
                <w:sz w:val="18"/>
              </w:rPr>
              <w:t> </w:t>
            </w:r>
            <w:r>
              <w:rPr>
                <w:sz w:val="18"/>
              </w:rPr>
              <w:t>procesos</w:t>
            </w:r>
            <w:r>
              <w:rPr>
                <w:spacing w:val="-1"/>
                <w:sz w:val="18"/>
              </w:rPr>
              <w:t> </w:t>
            </w:r>
            <w:r>
              <w:rPr>
                <w:sz w:val="18"/>
              </w:rPr>
              <w:t>de</w:t>
            </w:r>
            <w:r>
              <w:rPr>
                <w:spacing w:val="-3"/>
                <w:sz w:val="18"/>
              </w:rPr>
              <w:t> </w:t>
            </w:r>
            <w:r>
              <w:rPr>
                <w:sz w:val="18"/>
              </w:rPr>
              <w:t>contratación</w:t>
            </w:r>
            <w:r>
              <w:rPr>
                <w:spacing w:val="-1"/>
                <w:sz w:val="18"/>
              </w:rPr>
              <w:t> </w:t>
            </w:r>
            <w:r>
              <w:rPr>
                <w:sz w:val="18"/>
              </w:rPr>
              <w:t>que</w:t>
            </w:r>
            <w:r>
              <w:rPr>
                <w:spacing w:val="-3"/>
                <w:sz w:val="18"/>
              </w:rPr>
              <w:t> </w:t>
            </w:r>
            <w:r>
              <w:rPr>
                <w:sz w:val="18"/>
              </w:rPr>
              <w:t>realiza</w:t>
            </w:r>
            <w:r>
              <w:rPr>
                <w:spacing w:val="-3"/>
                <w:sz w:val="18"/>
              </w:rPr>
              <w:t> </w:t>
            </w:r>
            <w:r>
              <w:rPr>
                <w:sz w:val="18"/>
              </w:rPr>
              <w:t>la empresa para que sea aplicable a terceros como agentes, intermediarios, consultores, distribuidores, contratistas, proveedores, etc.</w:t>
            </w:r>
          </w:p>
        </w:tc>
      </w:tr>
      <w:tr>
        <w:trPr>
          <w:trHeight w:val="2226" w:hRule="atLeast"/>
        </w:trPr>
        <w:tc>
          <w:tcPr>
            <w:tcW w:w="852" w:type="dxa"/>
            <w:vMerge/>
            <w:tcBorders>
              <w:top w:val="nil"/>
            </w:tcBorders>
          </w:tcPr>
          <w:p>
            <w:pPr>
              <w:rPr>
                <w:sz w:val="2"/>
                <w:szCs w:val="2"/>
              </w:rPr>
            </w:pPr>
          </w:p>
        </w:tc>
        <w:tc>
          <w:tcPr>
            <w:tcW w:w="7687" w:type="dxa"/>
          </w:tcPr>
          <w:p>
            <w:pPr>
              <w:pStyle w:val="TableParagraph"/>
              <w:spacing w:line="201" w:lineRule="exact"/>
              <w:ind w:left="105"/>
              <w:rPr>
                <w:b/>
                <w:sz w:val="18"/>
              </w:rPr>
            </w:pPr>
            <w:r>
              <w:rPr>
                <w:b/>
                <w:sz w:val="18"/>
              </w:rPr>
              <w:t>Procedimientos</w:t>
            </w:r>
            <w:r>
              <w:rPr>
                <w:b/>
                <w:spacing w:val="-1"/>
                <w:sz w:val="18"/>
              </w:rPr>
              <w:t> </w:t>
            </w:r>
            <w:r>
              <w:rPr>
                <w:b/>
                <w:sz w:val="18"/>
              </w:rPr>
              <w:t>financieros</w:t>
            </w:r>
            <w:r>
              <w:rPr>
                <w:b/>
                <w:spacing w:val="-5"/>
                <w:sz w:val="18"/>
              </w:rPr>
              <w:t> </w:t>
            </w:r>
            <w:r>
              <w:rPr>
                <w:b/>
                <w:sz w:val="18"/>
              </w:rPr>
              <w:t>y</w:t>
            </w:r>
            <w:r>
              <w:rPr>
                <w:b/>
                <w:spacing w:val="-7"/>
                <w:sz w:val="18"/>
              </w:rPr>
              <w:t> </w:t>
            </w:r>
            <w:r>
              <w:rPr>
                <w:b/>
                <w:spacing w:val="-2"/>
                <w:sz w:val="18"/>
              </w:rPr>
              <w:t>contables</w:t>
            </w:r>
          </w:p>
          <w:p>
            <w:pPr>
              <w:pStyle w:val="TableParagraph"/>
              <w:spacing w:line="288" w:lineRule="auto" w:before="167"/>
              <w:ind w:left="105" w:right="141"/>
              <w:rPr>
                <w:sz w:val="18"/>
              </w:rPr>
            </w:pPr>
            <w:r>
              <w:rPr>
                <w:sz w:val="18"/>
              </w:rPr>
              <w:t>Respecto a los procedimientos financieros y contables de la empresa, se integran en los mismos controles internos adecuados para asegurar la exactitud de los libros y cuentas, de forma</w:t>
            </w:r>
            <w:r>
              <w:rPr>
                <w:spacing w:val="-5"/>
                <w:sz w:val="18"/>
              </w:rPr>
              <w:t> </w:t>
            </w:r>
            <w:r>
              <w:rPr>
                <w:sz w:val="18"/>
              </w:rPr>
              <w:t>que</w:t>
            </w:r>
            <w:r>
              <w:rPr>
                <w:spacing w:val="-4"/>
                <w:sz w:val="18"/>
              </w:rPr>
              <w:t> </w:t>
            </w:r>
            <w:r>
              <w:rPr>
                <w:sz w:val="18"/>
              </w:rPr>
              <w:t>no</w:t>
            </w:r>
            <w:r>
              <w:rPr>
                <w:spacing w:val="-1"/>
                <w:sz w:val="18"/>
              </w:rPr>
              <w:t> </w:t>
            </w:r>
            <w:r>
              <w:rPr>
                <w:sz w:val="18"/>
              </w:rPr>
              <w:t>puedan</w:t>
            </w:r>
            <w:r>
              <w:rPr>
                <w:spacing w:val="-1"/>
                <w:sz w:val="18"/>
              </w:rPr>
              <w:t> </w:t>
            </w:r>
            <w:r>
              <w:rPr>
                <w:sz w:val="18"/>
              </w:rPr>
              <w:t>ser</w:t>
            </w:r>
            <w:r>
              <w:rPr>
                <w:spacing w:val="-2"/>
                <w:sz w:val="18"/>
              </w:rPr>
              <w:t> </w:t>
            </w:r>
            <w:r>
              <w:rPr>
                <w:sz w:val="18"/>
              </w:rPr>
              <w:t>utilizados</w:t>
            </w:r>
            <w:r>
              <w:rPr>
                <w:spacing w:val="-5"/>
                <w:sz w:val="18"/>
              </w:rPr>
              <w:t> </w:t>
            </w:r>
            <w:r>
              <w:rPr>
                <w:sz w:val="18"/>
              </w:rPr>
              <w:t>para</w:t>
            </w:r>
            <w:r>
              <w:rPr>
                <w:spacing w:val="-5"/>
                <w:sz w:val="18"/>
              </w:rPr>
              <w:t> </w:t>
            </w:r>
            <w:r>
              <w:rPr>
                <w:sz w:val="18"/>
              </w:rPr>
              <w:t>ocultar</w:t>
            </w:r>
            <w:r>
              <w:rPr>
                <w:spacing w:val="-6"/>
                <w:sz w:val="18"/>
              </w:rPr>
              <w:t> </w:t>
            </w:r>
            <w:r>
              <w:rPr>
                <w:sz w:val="18"/>
              </w:rPr>
              <w:t>pagos</w:t>
            </w:r>
            <w:r>
              <w:rPr>
                <w:spacing w:val="-3"/>
                <w:sz w:val="18"/>
              </w:rPr>
              <w:t> </w:t>
            </w:r>
            <w:r>
              <w:rPr>
                <w:sz w:val="18"/>
              </w:rPr>
              <w:t>de</w:t>
            </w:r>
            <w:r>
              <w:rPr>
                <w:spacing w:val="-4"/>
                <w:sz w:val="18"/>
              </w:rPr>
              <w:t> </w:t>
            </w:r>
            <w:r>
              <w:rPr>
                <w:sz w:val="18"/>
              </w:rPr>
              <w:t>corrupción.</w:t>
            </w:r>
            <w:r>
              <w:rPr>
                <w:spacing w:val="-3"/>
                <w:sz w:val="18"/>
              </w:rPr>
              <w:t> </w:t>
            </w:r>
            <w:r>
              <w:rPr>
                <w:sz w:val="18"/>
              </w:rPr>
              <w:t>Debido</w:t>
            </w:r>
            <w:r>
              <w:rPr>
                <w:spacing w:val="-1"/>
                <w:sz w:val="18"/>
              </w:rPr>
              <w:t> </w:t>
            </w:r>
            <w:r>
              <w:rPr>
                <w:sz w:val="18"/>
              </w:rPr>
              <w:t>a</w:t>
            </w:r>
            <w:r>
              <w:rPr>
                <w:spacing w:val="-5"/>
                <w:sz w:val="18"/>
              </w:rPr>
              <w:t> </w:t>
            </w:r>
            <w:r>
              <w:rPr>
                <w:sz w:val="18"/>
              </w:rPr>
              <w:t>la</w:t>
            </w:r>
            <w:r>
              <w:rPr>
                <w:spacing w:val="-1"/>
                <w:sz w:val="18"/>
              </w:rPr>
              <w:t> </w:t>
            </w:r>
            <w:r>
              <w:rPr>
                <w:sz w:val="18"/>
              </w:rPr>
              <w:t>naturaleza de la entidad y su actividad no aplican controles sobre el blanqueo de capitales. Asimismo, como entidad pública y con carácter de servicio al ciudadano, en la que los cargos del Consejo de Administración no están retribuidos, no se produce conflicto de intereses en el seno del órgano rector de GMSA.</w:t>
            </w:r>
          </w:p>
        </w:tc>
      </w:tr>
      <w:tr>
        <w:trPr>
          <w:trHeight w:val="2346" w:hRule="atLeast"/>
        </w:trPr>
        <w:tc>
          <w:tcPr>
            <w:tcW w:w="85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3"/>
              <w:rPr>
                <w:sz w:val="18"/>
              </w:rPr>
            </w:pPr>
          </w:p>
          <w:p>
            <w:pPr>
              <w:pStyle w:val="TableParagraph"/>
              <w:ind w:left="107"/>
              <w:rPr>
                <w:b/>
                <w:sz w:val="18"/>
              </w:rPr>
            </w:pPr>
            <w:r>
              <w:rPr>
                <w:b/>
                <w:spacing w:val="-4"/>
                <w:sz w:val="18"/>
              </w:rPr>
              <w:t>2022</w:t>
            </w:r>
          </w:p>
        </w:tc>
        <w:tc>
          <w:tcPr>
            <w:tcW w:w="7687" w:type="dxa"/>
          </w:tcPr>
          <w:p>
            <w:pPr>
              <w:pStyle w:val="TableParagraph"/>
              <w:spacing w:line="201" w:lineRule="exact"/>
              <w:ind w:left="105"/>
              <w:rPr>
                <w:b/>
                <w:sz w:val="18"/>
              </w:rPr>
            </w:pPr>
            <w:r>
              <w:rPr>
                <w:b/>
                <w:sz w:val="18"/>
              </w:rPr>
              <w:t>Plan de</w:t>
            </w:r>
            <w:r>
              <w:rPr>
                <w:b/>
                <w:spacing w:val="-3"/>
                <w:sz w:val="18"/>
              </w:rPr>
              <w:t> </w:t>
            </w:r>
            <w:r>
              <w:rPr>
                <w:b/>
                <w:sz w:val="18"/>
              </w:rPr>
              <w:t>Medidas</w:t>
            </w:r>
            <w:r>
              <w:rPr>
                <w:b/>
                <w:spacing w:val="2"/>
                <w:sz w:val="18"/>
              </w:rPr>
              <w:t> </w:t>
            </w:r>
            <w:r>
              <w:rPr>
                <w:b/>
                <w:spacing w:val="-2"/>
                <w:sz w:val="18"/>
              </w:rPr>
              <w:t>Antifraude</w:t>
            </w:r>
          </w:p>
          <w:p>
            <w:pPr>
              <w:pStyle w:val="TableParagraph"/>
              <w:spacing w:line="288" w:lineRule="auto" w:before="167"/>
              <w:ind w:left="105"/>
              <w:rPr>
                <w:sz w:val="18"/>
              </w:rPr>
            </w:pPr>
            <w:r>
              <w:rPr>
                <w:sz w:val="18"/>
              </w:rPr>
              <w:t>Durante</w:t>
            </w:r>
            <w:r>
              <w:rPr>
                <w:spacing w:val="-3"/>
                <w:sz w:val="18"/>
              </w:rPr>
              <w:t> </w:t>
            </w:r>
            <w:r>
              <w:rPr>
                <w:sz w:val="18"/>
              </w:rPr>
              <w:t>el año 2022, se</w:t>
            </w:r>
            <w:r>
              <w:rPr>
                <w:spacing w:val="-4"/>
                <w:sz w:val="18"/>
              </w:rPr>
              <w:t> </w:t>
            </w:r>
            <w:r>
              <w:rPr>
                <w:sz w:val="18"/>
              </w:rPr>
              <w:t>aprobó un</w:t>
            </w:r>
            <w:r>
              <w:rPr>
                <w:spacing w:val="-2"/>
                <w:sz w:val="18"/>
              </w:rPr>
              <w:t> </w:t>
            </w:r>
            <w:r>
              <w:rPr>
                <w:sz w:val="18"/>
              </w:rPr>
              <w:t>Plan</w:t>
            </w:r>
            <w:r>
              <w:rPr>
                <w:spacing w:val="-3"/>
                <w:sz w:val="18"/>
              </w:rPr>
              <w:t> </w:t>
            </w:r>
            <w:r>
              <w:rPr>
                <w:sz w:val="18"/>
              </w:rPr>
              <w:t>de Medidas</w:t>
            </w:r>
            <w:r>
              <w:rPr>
                <w:spacing w:val="-3"/>
                <w:sz w:val="18"/>
              </w:rPr>
              <w:t> </w:t>
            </w:r>
            <w:r>
              <w:rPr>
                <w:sz w:val="18"/>
              </w:rPr>
              <w:t>Antifraude</w:t>
            </w:r>
            <w:r>
              <w:rPr>
                <w:spacing w:val="-2"/>
                <w:sz w:val="18"/>
              </w:rPr>
              <w:t> </w:t>
            </w:r>
            <w:r>
              <w:rPr>
                <w:sz w:val="18"/>
              </w:rPr>
              <w:t>aplicable</w:t>
            </w:r>
            <w:r>
              <w:rPr>
                <w:spacing w:val="-2"/>
                <w:sz w:val="18"/>
              </w:rPr>
              <w:t> </w:t>
            </w:r>
            <w:r>
              <w:rPr>
                <w:sz w:val="18"/>
              </w:rPr>
              <w:t>a</w:t>
            </w:r>
            <w:r>
              <w:rPr>
                <w:spacing w:val="-2"/>
                <w:sz w:val="18"/>
              </w:rPr>
              <w:t> </w:t>
            </w:r>
            <w:r>
              <w:rPr>
                <w:sz w:val="18"/>
              </w:rPr>
              <w:t>la</w:t>
            </w:r>
            <w:r>
              <w:rPr>
                <w:spacing w:val="-3"/>
                <w:sz w:val="18"/>
              </w:rPr>
              <w:t> </w:t>
            </w:r>
            <w:r>
              <w:rPr>
                <w:sz w:val="18"/>
              </w:rPr>
              <w:t>contratación</w:t>
            </w:r>
            <w:r>
              <w:rPr>
                <w:spacing w:val="-4"/>
                <w:sz w:val="18"/>
              </w:rPr>
              <w:t> </w:t>
            </w:r>
            <w:r>
              <w:rPr>
                <w:sz w:val="18"/>
              </w:rPr>
              <w:t>de GMSA financiada con fondos Next Generation EU. Adicionalmente, se implantó formación y actividades</w:t>
            </w:r>
            <w:r>
              <w:rPr>
                <w:spacing w:val="-2"/>
                <w:sz w:val="18"/>
              </w:rPr>
              <w:t> </w:t>
            </w:r>
            <w:r>
              <w:rPr>
                <w:sz w:val="18"/>
              </w:rPr>
              <w:t>de</w:t>
            </w:r>
            <w:r>
              <w:rPr>
                <w:spacing w:val="-5"/>
                <w:sz w:val="18"/>
              </w:rPr>
              <w:t> </w:t>
            </w:r>
            <w:r>
              <w:rPr>
                <w:sz w:val="18"/>
              </w:rPr>
              <w:t>sensibilización</w:t>
            </w:r>
            <w:r>
              <w:rPr>
                <w:spacing w:val="-4"/>
                <w:sz w:val="18"/>
              </w:rPr>
              <w:t> </w:t>
            </w:r>
            <w:r>
              <w:rPr>
                <w:sz w:val="18"/>
              </w:rPr>
              <w:t>relativas</w:t>
            </w:r>
            <w:r>
              <w:rPr>
                <w:spacing w:val="-2"/>
                <w:sz w:val="18"/>
              </w:rPr>
              <w:t> </w:t>
            </w:r>
            <w:r>
              <w:rPr>
                <w:sz w:val="18"/>
              </w:rPr>
              <w:t>a</w:t>
            </w:r>
            <w:r>
              <w:rPr>
                <w:spacing w:val="-5"/>
                <w:sz w:val="18"/>
              </w:rPr>
              <w:t> </w:t>
            </w:r>
            <w:r>
              <w:rPr>
                <w:sz w:val="18"/>
              </w:rPr>
              <w:t>dicho</w:t>
            </w:r>
            <w:r>
              <w:rPr>
                <w:spacing w:val="-1"/>
                <w:sz w:val="18"/>
              </w:rPr>
              <w:t> </w:t>
            </w:r>
            <w:r>
              <w:rPr>
                <w:sz w:val="18"/>
              </w:rPr>
              <w:t>Plan</w:t>
            </w:r>
            <w:r>
              <w:rPr>
                <w:spacing w:val="-1"/>
                <w:sz w:val="18"/>
              </w:rPr>
              <w:t> </w:t>
            </w:r>
            <w:r>
              <w:rPr>
                <w:sz w:val="18"/>
              </w:rPr>
              <w:t>al</w:t>
            </w:r>
            <w:r>
              <w:rPr>
                <w:spacing w:val="-2"/>
                <w:sz w:val="18"/>
              </w:rPr>
              <w:t> </w:t>
            </w:r>
            <w:r>
              <w:rPr>
                <w:sz w:val="18"/>
              </w:rPr>
              <w:t>personal involucrado</w:t>
            </w:r>
            <w:r>
              <w:rPr>
                <w:spacing w:val="-6"/>
                <w:sz w:val="18"/>
              </w:rPr>
              <w:t> </w:t>
            </w:r>
            <w:r>
              <w:rPr>
                <w:sz w:val="18"/>
              </w:rPr>
              <w:t>o</w:t>
            </w:r>
            <w:r>
              <w:rPr>
                <w:spacing w:val="-1"/>
                <w:sz w:val="18"/>
              </w:rPr>
              <w:t> </w:t>
            </w:r>
            <w:r>
              <w:rPr>
                <w:sz w:val="18"/>
              </w:rPr>
              <w:t>participes</w:t>
            </w:r>
            <w:r>
              <w:rPr>
                <w:spacing w:val="-5"/>
                <w:sz w:val="18"/>
              </w:rPr>
              <w:t> </w:t>
            </w:r>
            <w:r>
              <w:rPr>
                <w:sz w:val="18"/>
              </w:rPr>
              <w:t>de</w:t>
            </w:r>
            <w:r>
              <w:rPr>
                <w:spacing w:val="-5"/>
                <w:sz w:val="18"/>
              </w:rPr>
              <w:t> </w:t>
            </w:r>
            <w:r>
              <w:rPr>
                <w:sz w:val="18"/>
              </w:rPr>
              <w:t>la gestión de las licitaciones financiadas con los fondos mencionados.</w:t>
            </w:r>
          </w:p>
          <w:p>
            <w:pPr>
              <w:pStyle w:val="TableParagraph"/>
              <w:spacing w:line="288" w:lineRule="auto" w:before="120"/>
              <w:ind w:left="105"/>
              <w:rPr>
                <w:sz w:val="18"/>
              </w:rPr>
            </w:pPr>
            <w:r>
              <w:rPr>
                <w:sz w:val="18"/>
              </w:rPr>
              <w:t>También</w:t>
            </w:r>
            <w:r>
              <w:rPr>
                <w:spacing w:val="-4"/>
                <w:sz w:val="18"/>
              </w:rPr>
              <w:t> </w:t>
            </w:r>
            <w:r>
              <w:rPr>
                <w:sz w:val="18"/>
              </w:rPr>
              <w:t>se</w:t>
            </w:r>
            <w:r>
              <w:rPr>
                <w:spacing w:val="-5"/>
                <w:sz w:val="18"/>
              </w:rPr>
              <w:t> </w:t>
            </w:r>
            <w:r>
              <w:rPr>
                <w:sz w:val="18"/>
              </w:rPr>
              <w:t>puso</w:t>
            </w:r>
            <w:r>
              <w:rPr>
                <w:spacing w:val="-4"/>
                <w:sz w:val="18"/>
              </w:rPr>
              <w:t> </w:t>
            </w:r>
            <w:r>
              <w:rPr>
                <w:sz w:val="18"/>
              </w:rPr>
              <w:t>en</w:t>
            </w:r>
            <w:r>
              <w:rPr>
                <w:spacing w:val="-4"/>
                <w:sz w:val="18"/>
              </w:rPr>
              <w:t> </w:t>
            </w:r>
            <w:r>
              <w:rPr>
                <w:sz w:val="18"/>
              </w:rPr>
              <w:t>marcha</w:t>
            </w:r>
            <w:r>
              <w:rPr>
                <w:spacing w:val="-5"/>
                <w:sz w:val="18"/>
              </w:rPr>
              <w:t> </w:t>
            </w:r>
            <w:r>
              <w:rPr>
                <w:sz w:val="18"/>
              </w:rPr>
              <w:t>un</w:t>
            </w:r>
            <w:r>
              <w:rPr>
                <w:spacing w:val="-4"/>
                <w:sz w:val="18"/>
              </w:rPr>
              <w:t> </w:t>
            </w:r>
            <w:r>
              <w:rPr>
                <w:sz w:val="18"/>
              </w:rPr>
              <w:t>sistema</w:t>
            </w:r>
            <w:r>
              <w:rPr>
                <w:spacing w:val="-4"/>
                <w:sz w:val="18"/>
              </w:rPr>
              <w:t> </w:t>
            </w:r>
            <w:r>
              <w:rPr>
                <w:sz w:val="18"/>
              </w:rPr>
              <w:t>de</w:t>
            </w:r>
            <w:r>
              <w:rPr>
                <w:spacing w:val="-1"/>
                <w:sz w:val="18"/>
              </w:rPr>
              <w:t> </w:t>
            </w:r>
            <w:r>
              <w:rPr>
                <w:sz w:val="18"/>
              </w:rPr>
              <w:t>control</w:t>
            </w:r>
            <w:r>
              <w:rPr>
                <w:spacing w:val="-2"/>
                <w:sz w:val="18"/>
              </w:rPr>
              <w:t> </w:t>
            </w:r>
            <w:r>
              <w:rPr>
                <w:sz w:val="18"/>
              </w:rPr>
              <w:t>interno</w:t>
            </w:r>
            <w:r>
              <w:rPr>
                <w:spacing w:val="-1"/>
                <w:sz w:val="18"/>
              </w:rPr>
              <w:t> </w:t>
            </w:r>
            <w:r>
              <w:rPr>
                <w:sz w:val="18"/>
              </w:rPr>
              <w:t>sobre</w:t>
            </w:r>
            <w:r>
              <w:rPr>
                <w:spacing w:val="-1"/>
                <w:sz w:val="18"/>
              </w:rPr>
              <w:t> </w:t>
            </w:r>
            <w:r>
              <w:rPr>
                <w:sz w:val="18"/>
              </w:rPr>
              <w:t>expediente</w:t>
            </w:r>
            <w:r>
              <w:rPr>
                <w:spacing w:val="-1"/>
                <w:sz w:val="18"/>
              </w:rPr>
              <w:t> </w:t>
            </w:r>
            <w:r>
              <w:rPr>
                <w:sz w:val="18"/>
              </w:rPr>
              <w:t>de</w:t>
            </w:r>
            <w:r>
              <w:rPr>
                <w:spacing w:val="-5"/>
                <w:sz w:val="18"/>
              </w:rPr>
              <w:t> </w:t>
            </w:r>
            <w:r>
              <w:rPr>
                <w:sz w:val="18"/>
              </w:rPr>
              <w:t>contratación financiados con Fondos Next Generation EU (FNGEU), con el objetivo de garantizar un adecuado control y seguimiento de estos contratos.</w:t>
            </w:r>
          </w:p>
        </w:tc>
      </w:tr>
      <w:tr>
        <w:trPr>
          <w:trHeight w:val="1482" w:hRule="atLeast"/>
        </w:trPr>
        <w:tc>
          <w:tcPr>
            <w:tcW w:w="852" w:type="dxa"/>
            <w:vMerge/>
            <w:tcBorders>
              <w:top w:val="nil"/>
            </w:tcBorders>
          </w:tcPr>
          <w:p>
            <w:pPr>
              <w:rPr>
                <w:sz w:val="2"/>
                <w:szCs w:val="2"/>
              </w:rPr>
            </w:pPr>
          </w:p>
        </w:tc>
        <w:tc>
          <w:tcPr>
            <w:tcW w:w="7687" w:type="dxa"/>
          </w:tcPr>
          <w:p>
            <w:pPr>
              <w:pStyle w:val="TableParagraph"/>
              <w:spacing w:line="201" w:lineRule="exact"/>
              <w:ind w:left="105"/>
              <w:rPr>
                <w:b/>
                <w:sz w:val="18"/>
              </w:rPr>
            </w:pPr>
            <w:r>
              <w:rPr>
                <w:b/>
                <w:sz w:val="18"/>
              </w:rPr>
              <w:t>Nuevos</w:t>
            </w:r>
            <w:r>
              <w:rPr>
                <w:b/>
                <w:spacing w:val="-2"/>
                <w:sz w:val="18"/>
              </w:rPr>
              <w:t> protocolos</w:t>
            </w:r>
          </w:p>
          <w:p>
            <w:pPr>
              <w:pStyle w:val="TableParagraph"/>
              <w:spacing w:line="288" w:lineRule="auto" w:before="167"/>
              <w:ind w:left="105" w:right="141"/>
              <w:rPr>
                <w:sz w:val="18"/>
              </w:rPr>
            </w:pPr>
            <w:r>
              <w:rPr>
                <w:sz w:val="18"/>
              </w:rPr>
              <w:t>En el ejercicio 2022, también se formalizaron dos nuevos protocolos relativos a la conservación</w:t>
            </w:r>
            <w:r>
              <w:rPr>
                <w:spacing w:val="-4"/>
                <w:sz w:val="18"/>
              </w:rPr>
              <w:t> </w:t>
            </w:r>
            <w:r>
              <w:rPr>
                <w:sz w:val="18"/>
              </w:rPr>
              <w:t>y</w:t>
            </w:r>
            <w:r>
              <w:rPr>
                <w:spacing w:val="-4"/>
                <w:sz w:val="18"/>
              </w:rPr>
              <w:t> </w:t>
            </w:r>
            <w:r>
              <w:rPr>
                <w:sz w:val="18"/>
              </w:rPr>
              <w:t>destrucción</w:t>
            </w:r>
            <w:r>
              <w:rPr>
                <w:spacing w:val="-4"/>
                <w:sz w:val="18"/>
              </w:rPr>
              <w:t> </w:t>
            </w:r>
            <w:r>
              <w:rPr>
                <w:sz w:val="18"/>
              </w:rPr>
              <w:t>de</w:t>
            </w:r>
            <w:r>
              <w:rPr>
                <w:spacing w:val="-5"/>
                <w:sz w:val="18"/>
              </w:rPr>
              <w:t> </w:t>
            </w:r>
            <w:r>
              <w:rPr>
                <w:sz w:val="18"/>
              </w:rPr>
              <w:t>documentos</w:t>
            </w:r>
            <w:r>
              <w:rPr>
                <w:spacing w:val="-3"/>
                <w:sz w:val="18"/>
              </w:rPr>
              <w:t> </w:t>
            </w:r>
            <w:r>
              <w:rPr>
                <w:sz w:val="18"/>
              </w:rPr>
              <w:t>soporte</w:t>
            </w:r>
            <w:r>
              <w:rPr>
                <w:spacing w:val="-2"/>
                <w:sz w:val="18"/>
              </w:rPr>
              <w:t> </w:t>
            </w:r>
            <w:r>
              <w:rPr>
                <w:sz w:val="18"/>
              </w:rPr>
              <w:t>que</w:t>
            </w:r>
            <w:r>
              <w:rPr>
                <w:spacing w:val="-4"/>
                <w:sz w:val="18"/>
              </w:rPr>
              <w:t> </w:t>
            </w:r>
            <w:r>
              <w:rPr>
                <w:sz w:val="18"/>
              </w:rPr>
              <w:t>puedan</w:t>
            </w:r>
            <w:r>
              <w:rPr>
                <w:spacing w:val="-4"/>
                <w:sz w:val="18"/>
              </w:rPr>
              <w:t> </w:t>
            </w:r>
            <w:r>
              <w:rPr>
                <w:sz w:val="18"/>
              </w:rPr>
              <w:t>contener</w:t>
            </w:r>
            <w:r>
              <w:rPr>
                <w:spacing w:val="-5"/>
                <w:sz w:val="18"/>
              </w:rPr>
              <w:t> </w:t>
            </w:r>
            <w:r>
              <w:rPr>
                <w:sz w:val="18"/>
              </w:rPr>
              <w:t>datos</w:t>
            </w:r>
            <w:r>
              <w:rPr>
                <w:spacing w:val="-3"/>
                <w:sz w:val="18"/>
              </w:rPr>
              <w:t> </w:t>
            </w:r>
            <w:r>
              <w:rPr>
                <w:sz w:val="18"/>
              </w:rPr>
              <w:t>personales</w:t>
            </w:r>
            <w:r>
              <w:rPr>
                <w:spacing w:val="-4"/>
                <w:sz w:val="18"/>
              </w:rPr>
              <w:t> </w:t>
            </w:r>
            <w:r>
              <w:rPr>
                <w:sz w:val="18"/>
              </w:rPr>
              <w:t>o información confidencial. Se tuvo en cuenta en estos protocolos la normativa en materia de protección de datos y varios criterios de destrucción establecidos en normas técnicas.</w:t>
            </w:r>
          </w:p>
        </w:tc>
      </w:tr>
      <w:tr>
        <w:trPr>
          <w:trHeight w:val="1977" w:hRule="atLeast"/>
        </w:trPr>
        <w:tc>
          <w:tcPr>
            <w:tcW w:w="85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0"/>
              <w:rPr>
                <w:sz w:val="18"/>
              </w:rPr>
            </w:pPr>
          </w:p>
          <w:p>
            <w:pPr>
              <w:pStyle w:val="TableParagraph"/>
              <w:ind w:left="107"/>
              <w:rPr>
                <w:b/>
                <w:sz w:val="18"/>
              </w:rPr>
            </w:pPr>
            <w:r>
              <w:rPr>
                <w:b/>
                <w:spacing w:val="-4"/>
                <w:sz w:val="18"/>
              </w:rPr>
              <w:t>2023</w:t>
            </w:r>
          </w:p>
        </w:tc>
        <w:tc>
          <w:tcPr>
            <w:tcW w:w="7687" w:type="dxa"/>
          </w:tcPr>
          <w:p>
            <w:pPr>
              <w:pStyle w:val="TableParagraph"/>
              <w:spacing w:line="201" w:lineRule="exact"/>
              <w:ind w:left="105"/>
              <w:rPr>
                <w:b/>
                <w:sz w:val="18"/>
              </w:rPr>
            </w:pPr>
            <w:r>
              <w:rPr>
                <w:b/>
                <w:sz w:val="18"/>
              </w:rPr>
              <w:t>Sistema</w:t>
            </w:r>
            <w:r>
              <w:rPr>
                <w:b/>
                <w:spacing w:val="-3"/>
                <w:sz w:val="18"/>
              </w:rPr>
              <w:t> </w:t>
            </w:r>
            <w:r>
              <w:rPr>
                <w:b/>
                <w:sz w:val="18"/>
              </w:rPr>
              <w:t>Interno</w:t>
            </w:r>
            <w:r>
              <w:rPr>
                <w:b/>
                <w:spacing w:val="-2"/>
                <w:sz w:val="18"/>
              </w:rPr>
              <w:t> </w:t>
            </w:r>
            <w:r>
              <w:rPr>
                <w:b/>
                <w:sz w:val="18"/>
              </w:rPr>
              <w:t>de</w:t>
            </w:r>
            <w:r>
              <w:rPr>
                <w:b/>
                <w:spacing w:val="-1"/>
                <w:sz w:val="18"/>
              </w:rPr>
              <w:t> </w:t>
            </w:r>
            <w:r>
              <w:rPr>
                <w:b/>
                <w:spacing w:val="-2"/>
                <w:sz w:val="18"/>
              </w:rPr>
              <w:t>Información</w:t>
            </w:r>
          </w:p>
          <w:p>
            <w:pPr>
              <w:pStyle w:val="TableParagraph"/>
              <w:spacing w:line="283" w:lineRule="auto" w:before="165"/>
              <w:ind w:left="105" w:right="141"/>
              <w:rPr>
                <w:sz w:val="18"/>
              </w:rPr>
            </w:pPr>
            <w:r>
              <w:rPr>
                <w:sz w:val="18"/>
              </w:rPr>
              <w:t>A principios del año 2023, GMSA implementó un Sistema Interno de Información sobre denuncias poniendo en marcha un procedimiento de gestión de informaciones según lo estipulado en la </w:t>
            </w:r>
            <w:r>
              <w:rPr>
                <w:rFonts w:ascii="Tahoma" w:hAnsi="Tahoma"/>
                <w:i/>
                <w:sz w:val="18"/>
              </w:rPr>
              <w:t>Ley</w:t>
            </w:r>
            <w:r>
              <w:rPr>
                <w:rFonts w:ascii="Tahoma" w:hAnsi="Tahoma"/>
                <w:i/>
                <w:spacing w:val="-2"/>
                <w:sz w:val="18"/>
              </w:rPr>
              <w:t> </w:t>
            </w:r>
            <w:r>
              <w:rPr>
                <w:rFonts w:ascii="Tahoma" w:hAnsi="Tahoma"/>
                <w:i/>
                <w:sz w:val="18"/>
              </w:rPr>
              <w:t>2/2023,</w:t>
            </w:r>
            <w:r>
              <w:rPr>
                <w:rFonts w:ascii="Tahoma" w:hAnsi="Tahoma"/>
                <w:i/>
                <w:spacing w:val="-2"/>
                <w:sz w:val="18"/>
              </w:rPr>
              <w:t> </w:t>
            </w:r>
            <w:r>
              <w:rPr>
                <w:rFonts w:ascii="Tahoma" w:hAnsi="Tahoma"/>
                <w:i/>
                <w:sz w:val="18"/>
              </w:rPr>
              <w:t>de</w:t>
            </w:r>
            <w:r>
              <w:rPr>
                <w:rFonts w:ascii="Tahoma" w:hAnsi="Tahoma"/>
                <w:i/>
                <w:spacing w:val="-4"/>
                <w:sz w:val="18"/>
              </w:rPr>
              <w:t> </w:t>
            </w:r>
            <w:r>
              <w:rPr>
                <w:rFonts w:ascii="Tahoma" w:hAnsi="Tahoma"/>
                <w:i/>
                <w:sz w:val="18"/>
              </w:rPr>
              <w:t>20</w:t>
            </w:r>
            <w:r>
              <w:rPr>
                <w:rFonts w:ascii="Tahoma" w:hAnsi="Tahoma"/>
                <w:i/>
                <w:spacing w:val="-1"/>
                <w:sz w:val="18"/>
              </w:rPr>
              <w:t> </w:t>
            </w:r>
            <w:r>
              <w:rPr>
                <w:rFonts w:ascii="Tahoma" w:hAnsi="Tahoma"/>
                <w:i/>
                <w:sz w:val="18"/>
              </w:rPr>
              <w:t>de</w:t>
            </w:r>
            <w:r>
              <w:rPr>
                <w:rFonts w:ascii="Tahoma" w:hAnsi="Tahoma"/>
                <w:i/>
                <w:spacing w:val="-4"/>
                <w:sz w:val="18"/>
              </w:rPr>
              <w:t> </w:t>
            </w:r>
            <w:r>
              <w:rPr>
                <w:rFonts w:ascii="Tahoma" w:hAnsi="Tahoma"/>
                <w:i/>
                <w:sz w:val="18"/>
              </w:rPr>
              <w:t>febrero,</w:t>
            </w:r>
            <w:r>
              <w:rPr>
                <w:rFonts w:ascii="Tahoma" w:hAnsi="Tahoma"/>
                <w:i/>
                <w:spacing w:val="-6"/>
                <w:sz w:val="18"/>
              </w:rPr>
              <w:t> </w:t>
            </w:r>
            <w:r>
              <w:rPr>
                <w:rFonts w:ascii="Tahoma" w:hAnsi="Tahoma"/>
                <w:i/>
                <w:sz w:val="18"/>
              </w:rPr>
              <w:t>reguladora</w:t>
            </w:r>
            <w:r>
              <w:rPr>
                <w:rFonts w:ascii="Tahoma" w:hAnsi="Tahoma"/>
                <w:i/>
                <w:spacing w:val="-4"/>
                <w:sz w:val="18"/>
              </w:rPr>
              <w:t> </w:t>
            </w:r>
            <w:r>
              <w:rPr>
                <w:rFonts w:ascii="Tahoma" w:hAnsi="Tahoma"/>
                <w:i/>
                <w:sz w:val="18"/>
              </w:rPr>
              <w:t>de</w:t>
            </w:r>
            <w:r>
              <w:rPr>
                <w:rFonts w:ascii="Tahoma" w:hAnsi="Tahoma"/>
                <w:i/>
                <w:spacing w:val="-6"/>
                <w:sz w:val="18"/>
              </w:rPr>
              <w:t> </w:t>
            </w:r>
            <w:r>
              <w:rPr>
                <w:rFonts w:ascii="Tahoma" w:hAnsi="Tahoma"/>
                <w:i/>
                <w:sz w:val="18"/>
              </w:rPr>
              <w:t>la</w:t>
            </w:r>
            <w:r>
              <w:rPr>
                <w:rFonts w:ascii="Tahoma" w:hAnsi="Tahoma"/>
                <w:i/>
                <w:spacing w:val="-2"/>
                <w:sz w:val="18"/>
              </w:rPr>
              <w:t> </w:t>
            </w:r>
            <w:r>
              <w:rPr>
                <w:rFonts w:ascii="Tahoma" w:hAnsi="Tahoma"/>
                <w:i/>
                <w:sz w:val="18"/>
              </w:rPr>
              <w:t>protección</w:t>
            </w:r>
            <w:r>
              <w:rPr>
                <w:rFonts w:ascii="Tahoma" w:hAnsi="Tahoma"/>
                <w:i/>
                <w:spacing w:val="-2"/>
                <w:sz w:val="18"/>
              </w:rPr>
              <w:t> </w:t>
            </w:r>
            <w:r>
              <w:rPr>
                <w:rFonts w:ascii="Tahoma" w:hAnsi="Tahoma"/>
                <w:i/>
                <w:sz w:val="18"/>
              </w:rPr>
              <w:t>de</w:t>
            </w:r>
            <w:r>
              <w:rPr>
                <w:rFonts w:ascii="Tahoma" w:hAnsi="Tahoma"/>
                <w:i/>
                <w:spacing w:val="-2"/>
                <w:sz w:val="18"/>
              </w:rPr>
              <w:t> </w:t>
            </w:r>
            <w:r>
              <w:rPr>
                <w:rFonts w:ascii="Tahoma" w:hAnsi="Tahoma"/>
                <w:i/>
                <w:sz w:val="18"/>
              </w:rPr>
              <w:t>las</w:t>
            </w:r>
            <w:r>
              <w:rPr>
                <w:rFonts w:ascii="Tahoma" w:hAnsi="Tahoma"/>
                <w:i/>
                <w:spacing w:val="-2"/>
                <w:sz w:val="18"/>
              </w:rPr>
              <w:t> </w:t>
            </w:r>
            <w:r>
              <w:rPr>
                <w:rFonts w:ascii="Tahoma" w:hAnsi="Tahoma"/>
                <w:i/>
                <w:sz w:val="18"/>
              </w:rPr>
              <w:t>personas que informen sobre infracciones normativas y de lucha contra la corrupción</w:t>
            </w:r>
            <w:r>
              <w:rPr>
                <w:sz w:val="18"/>
              </w:rPr>
              <w:t>. Para ello, se adaptó el Canal de Denuncias ya existente desde la puesta en marcha del MPRP de la </w:t>
            </w:r>
            <w:r>
              <w:rPr>
                <w:spacing w:val="-2"/>
                <w:sz w:val="18"/>
              </w:rPr>
              <w:t>empresa.</w:t>
            </w:r>
          </w:p>
        </w:tc>
      </w:tr>
      <w:tr>
        <w:trPr>
          <w:trHeight w:val="1115" w:hRule="atLeast"/>
        </w:trPr>
        <w:tc>
          <w:tcPr>
            <w:tcW w:w="852" w:type="dxa"/>
            <w:vMerge/>
            <w:tcBorders>
              <w:top w:val="nil"/>
            </w:tcBorders>
          </w:tcPr>
          <w:p>
            <w:pPr>
              <w:rPr>
                <w:sz w:val="2"/>
                <w:szCs w:val="2"/>
              </w:rPr>
            </w:pPr>
          </w:p>
        </w:tc>
        <w:tc>
          <w:tcPr>
            <w:tcW w:w="7687" w:type="dxa"/>
          </w:tcPr>
          <w:p>
            <w:pPr>
              <w:pStyle w:val="TableParagraph"/>
              <w:spacing w:line="204" w:lineRule="exact"/>
              <w:ind w:left="105"/>
              <w:rPr>
                <w:b/>
                <w:sz w:val="18"/>
              </w:rPr>
            </w:pPr>
            <w:r>
              <w:rPr>
                <w:b/>
                <w:sz w:val="18"/>
              </w:rPr>
              <w:t>Política</w:t>
            </w:r>
            <w:r>
              <w:rPr>
                <w:b/>
                <w:spacing w:val="-2"/>
                <w:sz w:val="18"/>
              </w:rPr>
              <w:t> </w:t>
            </w:r>
            <w:r>
              <w:rPr>
                <w:b/>
                <w:sz w:val="18"/>
              </w:rPr>
              <w:t>de</w:t>
            </w:r>
            <w:r>
              <w:rPr>
                <w:b/>
                <w:spacing w:val="-1"/>
                <w:sz w:val="18"/>
              </w:rPr>
              <w:t> </w:t>
            </w:r>
            <w:r>
              <w:rPr>
                <w:b/>
                <w:sz w:val="18"/>
              </w:rPr>
              <w:t>Seguridad</w:t>
            </w:r>
            <w:r>
              <w:rPr>
                <w:b/>
                <w:spacing w:val="-3"/>
                <w:sz w:val="18"/>
              </w:rPr>
              <w:t> </w:t>
            </w:r>
            <w:r>
              <w:rPr>
                <w:b/>
                <w:sz w:val="18"/>
              </w:rPr>
              <w:t>de</w:t>
            </w:r>
            <w:r>
              <w:rPr>
                <w:b/>
                <w:spacing w:val="-1"/>
                <w:sz w:val="18"/>
              </w:rPr>
              <w:t> </w:t>
            </w:r>
            <w:r>
              <w:rPr>
                <w:b/>
                <w:sz w:val="18"/>
              </w:rPr>
              <w:t>los</w:t>
            </w:r>
            <w:r>
              <w:rPr>
                <w:b/>
                <w:spacing w:val="-3"/>
                <w:sz w:val="18"/>
              </w:rPr>
              <w:t> </w:t>
            </w:r>
            <w:r>
              <w:rPr>
                <w:b/>
                <w:sz w:val="18"/>
              </w:rPr>
              <w:t>Sistemas</w:t>
            </w:r>
            <w:r>
              <w:rPr>
                <w:b/>
                <w:spacing w:val="2"/>
                <w:sz w:val="18"/>
              </w:rPr>
              <w:t> </w:t>
            </w:r>
            <w:r>
              <w:rPr>
                <w:b/>
                <w:sz w:val="18"/>
              </w:rPr>
              <w:t>de</w:t>
            </w:r>
            <w:r>
              <w:rPr>
                <w:b/>
                <w:spacing w:val="-2"/>
                <w:sz w:val="18"/>
              </w:rPr>
              <w:t> Información</w:t>
            </w:r>
          </w:p>
          <w:p>
            <w:pPr>
              <w:pStyle w:val="TableParagraph"/>
              <w:spacing w:line="240" w:lineRule="atLeast" w:before="132"/>
              <w:ind w:left="105"/>
              <w:rPr>
                <w:sz w:val="18"/>
              </w:rPr>
            </w:pPr>
            <w:r>
              <w:rPr>
                <w:sz w:val="18"/>
              </w:rPr>
              <w:t>En el</w:t>
            </w:r>
            <w:r>
              <w:rPr>
                <w:spacing w:val="-1"/>
                <w:sz w:val="18"/>
              </w:rPr>
              <w:t> </w:t>
            </w:r>
            <w:r>
              <w:rPr>
                <w:sz w:val="18"/>
              </w:rPr>
              <w:t>mes octubre</w:t>
            </w:r>
            <w:r>
              <w:rPr>
                <w:spacing w:val="-2"/>
                <w:sz w:val="18"/>
              </w:rPr>
              <w:t> </w:t>
            </w:r>
            <w:r>
              <w:rPr>
                <w:sz w:val="18"/>
              </w:rPr>
              <w:t>de 2023, se</w:t>
            </w:r>
            <w:r>
              <w:rPr>
                <w:spacing w:val="-1"/>
                <w:sz w:val="18"/>
              </w:rPr>
              <w:t> </w:t>
            </w:r>
            <w:r>
              <w:rPr>
                <w:sz w:val="18"/>
              </w:rPr>
              <w:t>aprobó por</w:t>
            </w:r>
            <w:r>
              <w:rPr>
                <w:spacing w:val="-2"/>
                <w:sz w:val="18"/>
              </w:rPr>
              <w:t> </w:t>
            </w:r>
            <w:r>
              <w:rPr>
                <w:sz w:val="18"/>
              </w:rPr>
              <w:t>parte del Consejo</w:t>
            </w:r>
            <w:r>
              <w:rPr>
                <w:spacing w:val="-2"/>
                <w:sz w:val="18"/>
              </w:rPr>
              <w:t> </w:t>
            </w:r>
            <w:r>
              <w:rPr>
                <w:sz w:val="18"/>
              </w:rPr>
              <w:t>de Administración la Política de Seguridad de los Sistemas de Información de la empresa, según lo establecido en el </w:t>
            </w:r>
            <w:r>
              <w:rPr>
                <w:rFonts w:ascii="Tahoma" w:hAnsi="Tahoma"/>
                <w:i/>
                <w:sz w:val="18"/>
              </w:rPr>
              <w:t>Real Decreto</w:t>
            </w:r>
            <w:r>
              <w:rPr>
                <w:rFonts w:ascii="Tahoma" w:hAnsi="Tahoma"/>
                <w:i/>
                <w:spacing w:val="-2"/>
                <w:sz w:val="18"/>
              </w:rPr>
              <w:t> </w:t>
            </w:r>
            <w:r>
              <w:rPr>
                <w:rFonts w:ascii="Tahoma" w:hAnsi="Tahoma"/>
                <w:i/>
                <w:sz w:val="18"/>
              </w:rPr>
              <w:t>311/2022,</w:t>
            </w:r>
            <w:r>
              <w:rPr>
                <w:rFonts w:ascii="Tahoma" w:hAnsi="Tahoma"/>
                <w:i/>
                <w:spacing w:val="-1"/>
                <w:sz w:val="18"/>
              </w:rPr>
              <w:t> </w:t>
            </w:r>
            <w:r>
              <w:rPr>
                <w:rFonts w:ascii="Tahoma" w:hAnsi="Tahoma"/>
                <w:i/>
                <w:sz w:val="18"/>
              </w:rPr>
              <w:t>de 3</w:t>
            </w:r>
            <w:r>
              <w:rPr>
                <w:rFonts w:ascii="Tahoma" w:hAnsi="Tahoma"/>
                <w:i/>
                <w:spacing w:val="-1"/>
                <w:sz w:val="18"/>
              </w:rPr>
              <w:t> </w:t>
            </w:r>
            <w:r>
              <w:rPr>
                <w:rFonts w:ascii="Tahoma" w:hAnsi="Tahoma"/>
                <w:i/>
                <w:sz w:val="18"/>
              </w:rPr>
              <w:t>de</w:t>
            </w:r>
            <w:r>
              <w:rPr>
                <w:rFonts w:ascii="Tahoma" w:hAnsi="Tahoma"/>
                <w:i/>
                <w:spacing w:val="-1"/>
                <w:sz w:val="18"/>
              </w:rPr>
              <w:t> </w:t>
            </w:r>
            <w:r>
              <w:rPr>
                <w:rFonts w:ascii="Tahoma" w:hAnsi="Tahoma"/>
                <w:i/>
                <w:sz w:val="18"/>
              </w:rPr>
              <w:t>mayo</w:t>
            </w:r>
            <w:r>
              <w:rPr>
                <w:rFonts w:ascii="Tahoma" w:hAnsi="Tahoma"/>
                <w:i/>
                <w:spacing w:val="-1"/>
                <w:sz w:val="18"/>
              </w:rPr>
              <w:t> </w:t>
            </w:r>
            <w:r>
              <w:rPr>
                <w:rFonts w:ascii="Tahoma" w:hAnsi="Tahoma"/>
                <w:i/>
                <w:sz w:val="18"/>
              </w:rPr>
              <w:t>que regula</w:t>
            </w:r>
            <w:r>
              <w:rPr>
                <w:rFonts w:ascii="Tahoma" w:hAnsi="Tahoma"/>
                <w:i/>
                <w:spacing w:val="-2"/>
                <w:sz w:val="18"/>
              </w:rPr>
              <w:t> </w:t>
            </w:r>
            <w:r>
              <w:rPr>
                <w:rFonts w:ascii="Tahoma" w:hAnsi="Tahoma"/>
                <w:i/>
                <w:sz w:val="18"/>
              </w:rPr>
              <w:t>el Esquema</w:t>
            </w:r>
            <w:r>
              <w:rPr>
                <w:rFonts w:ascii="Tahoma" w:hAnsi="Tahoma"/>
                <w:i/>
                <w:spacing w:val="-1"/>
                <w:sz w:val="18"/>
              </w:rPr>
              <w:t> </w:t>
            </w:r>
            <w:r>
              <w:rPr>
                <w:rFonts w:ascii="Tahoma" w:hAnsi="Tahoma"/>
                <w:i/>
                <w:sz w:val="18"/>
              </w:rPr>
              <w:t>Nacional de</w:t>
            </w:r>
            <w:r>
              <w:rPr>
                <w:rFonts w:ascii="Tahoma" w:hAnsi="Tahoma"/>
                <w:i/>
                <w:spacing w:val="-1"/>
                <w:sz w:val="18"/>
              </w:rPr>
              <w:t> </w:t>
            </w:r>
            <w:r>
              <w:rPr>
                <w:rFonts w:ascii="Tahoma" w:hAnsi="Tahoma"/>
                <w:i/>
                <w:sz w:val="18"/>
              </w:rPr>
              <w:t>Seguridad</w:t>
            </w:r>
            <w:r>
              <w:rPr>
                <w:sz w:val="18"/>
              </w:rPr>
              <w:t>, y dentro del</w:t>
            </w:r>
          </w:p>
        </w:tc>
      </w:tr>
    </w:tbl>
    <w:p>
      <w:pPr>
        <w:pStyle w:val="TableParagraph"/>
        <w:spacing w:after="0" w:line="240" w:lineRule="atLeast"/>
        <w:rPr>
          <w:sz w:val="18"/>
        </w:rPr>
        <w:sectPr>
          <w:pgSz w:w="11910" w:h="16840"/>
          <w:pgMar w:header="384" w:footer="1060" w:top="1200" w:bottom="1260" w:left="360" w:right="360"/>
        </w:sectPr>
      </w:pPr>
    </w:p>
    <w:p>
      <w:pPr>
        <w:pStyle w:val="BodyText"/>
        <w:spacing w:before="11"/>
        <w:rPr>
          <w:sz w:val="18"/>
        </w:rPr>
      </w:pPr>
    </w:p>
    <w:tbl>
      <w:tblPr>
        <w:tblW w:w="0" w:type="auto"/>
        <w:jc w:val="left"/>
        <w:tblInd w:w="1238"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0" w:type="dxa"/>
          <w:left w:w="0" w:type="dxa"/>
          <w:bottom w:w="0" w:type="dxa"/>
          <w:right w:w="0" w:type="dxa"/>
        </w:tblCellMar>
        <w:tblLook w:val="01E0"/>
      </w:tblPr>
      <w:tblGrid>
        <w:gridCol w:w="852"/>
        <w:gridCol w:w="7687"/>
      </w:tblGrid>
      <w:tr>
        <w:trPr>
          <w:trHeight w:val="366" w:hRule="atLeast"/>
        </w:trPr>
        <w:tc>
          <w:tcPr>
            <w:tcW w:w="852" w:type="dxa"/>
          </w:tcPr>
          <w:p>
            <w:pPr>
              <w:pStyle w:val="TableParagraph"/>
              <w:rPr>
                <w:rFonts w:ascii="Times New Roman"/>
                <w:sz w:val="18"/>
              </w:rPr>
            </w:pPr>
          </w:p>
        </w:tc>
        <w:tc>
          <w:tcPr>
            <w:tcW w:w="7687" w:type="dxa"/>
          </w:tcPr>
          <w:p>
            <w:pPr>
              <w:pStyle w:val="TableParagraph"/>
              <w:spacing w:line="206" w:lineRule="exact"/>
              <w:ind w:left="105"/>
              <w:rPr>
                <w:sz w:val="18"/>
              </w:rPr>
            </w:pPr>
            <w:r>
              <w:rPr>
                <w:sz w:val="18"/>
              </w:rPr>
              <w:t>proyecto</w:t>
            </w:r>
            <w:r>
              <w:rPr>
                <w:spacing w:val="-3"/>
                <w:sz w:val="18"/>
              </w:rPr>
              <w:t> </w:t>
            </w:r>
            <w:r>
              <w:rPr>
                <w:sz w:val="18"/>
              </w:rPr>
              <w:t>de adaptación</w:t>
            </w:r>
            <w:r>
              <w:rPr>
                <w:spacing w:val="-4"/>
                <w:sz w:val="18"/>
              </w:rPr>
              <w:t> </w:t>
            </w:r>
            <w:r>
              <w:rPr>
                <w:sz w:val="18"/>
              </w:rPr>
              <w:t>a</w:t>
            </w:r>
            <w:r>
              <w:rPr>
                <w:spacing w:val="-3"/>
                <w:sz w:val="18"/>
              </w:rPr>
              <w:t> </w:t>
            </w:r>
            <w:r>
              <w:rPr>
                <w:sz w:val="18"/>
              </w:rPr>
              <w:t>esta</w:t>
            </w:r>
            <w:r>
              <w:rPr>
                <w:spacing w:val="-4"/>
                <w:sz w:val="18"/>
              </w:rPr>
              <w:t> </w:t>
            </w:r>
            <w:r>
              <w:rPr>
                <w:sz w:val="18"/>
              </w:rPr>
              <w:t>normativa por</w:t>
            </w:r>
            <w:r>
              <w:rPr>
                <w:spacing w:val="-1"/>
                <w:sz w:val="18"/>
              </w:rPr>
              <w:t> </w:t>
            </w:r>
            <w:r>
              <w:rPr>
                <w:sz w:val="18"/>
              </w:rPr>
              <w:t>parte</w:t>
            </w:r>
            <w:r>
              <w:rPr>
                <w:spacing w:val="-3"/>
                <w:sz w:val="18"/>
              </w:rPr>
              <w:t> </w:t>
            </w:r>
            <w:r>
              <w:rPr>
                <w:sz w:val="18"/>
              </w:rPr>
              <w:t>de</w:t>
            </w:r>
            <w:r>
              <w:rPr>
                <w:spacing w:val="1"/>
                <w:sz w:val="18"/>
              </w:rPr>
              <w:t> </w:t>
            </w:r>
            <w:r>
              <w:rPr>
                <w:spacing w:val="-4"/>
                <w:sz w:val="18"/>
              </w:rPr>
              <w:t>GMSA.</w:t>
            </w:r>
          </w:p>
        </w:tc>
      </w:tr>
      <w:tr>
        <w:trPr>
          <w:trHeight w:val="4583" w:hRule="atLeast"/>
        </w:trPr>
        <w:tc>
          <w:tcPr>
            <w:tcW w:w="85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3"/>
              <w:rPr>
                <w:sz w:val="18"/>
              </w:rPr>
            </w:pPr>
          </w:p>
          <w:p>
            <w:pPr>
              <w:pStyle w:val="TableParagraph"/>
              <w:spacing w:before="1"/>
              <w:ind w:left="107"/>
              <w:rPr>
                <w:b/>
                <w:sz w:val="18"/>
              </w:rPr>
            </w:pPr>
            <w:r>
              <w:rPr>
                <w:b/>
                <w:spacing w:val="-4"/>
                <w:sz w:val="18"/>
              </w:rPr>
              <w:t>2024</w:t>
            </w:r>
          </w:p>
        </w:tc>
        <w:tc>
          <w:tcPr>
            <w:tcW w:w="7687" w:type="dxa"/>
          </w:tcPr>
          <w:p>
            <w:pPr>
              <w:pStyle w:val="TableParagraph"/>
              <w:spacing w:line="204" w:lineRule="exact"/>
              <w:ind w:left="105"/>
              <w:rPr>
                <w:b/>
                <w:sz w:val="18"/>
              </w:rPr>
            </w:pPr>
            <w:r>
              <w:rPr>
                <w:b/>
                <w:sz w:val="18"/>
              </w:rPr>
              <w:t>Reevaluación</w:t>
            </w:r>
            <w:r>
              <w:rPr>
                <w:b/>
                <w:spacing w:val="-3"/>
                <w:sz w:val="18"/>
              </w:rPr>
              <w:t> </w:t>
            </w:r>
            <w:r>
              <w:rPr>
                <w:b/>
                <w:sz w:val="18"/>
              </w:rPr>
              <w:t>del</w:t>
            </w:r>
            <w:r>
              <w:rPr>
                <w:b/>
                <w:spacing w:val="-3"/>
                <w:sz w:val="18"/>
              </w:rPr>
              <w:t> </w:t>
            </w:r>
            <w:r>
              <w:rPr>
                <w:b/>
                <w:sz w:val="18"/>
              </w:rPr>
              <w:t>Mapa</w:t>
            </w:r>
            <w:r>
              <w:rPr>
                <w:b/>
                <w:spacing w:val="-2"/>
                <w:sz w:val="18"/>
              </w:rPr>
              <w:t> </w:t>
            </w:r>
            <w:r>
              <w:rPr>
                <w:b/>
                <w:sz w:val="18"/>
              </w:rPr>
              <w:t>de</w:t>
            </w:r>
            <w:r>
              <w:rPr>
                <w:b/>
                <w:spacing w:val="-2"/>
                <w:sz w:val="18"/>
              </w:rPr>
              <w:t> </w:t>
            </w:r>
            <w:r>
              <w:rPr>
                <w:b/>
                <w:sz w:val="18"/>
              </w:rPr>
              <w:t>Riesgos</w:t>
            </w:r>
            <w:r>
              <w:rPr>
                <w:b/>
                <w:spacing w:val="-3"/>
                <w:sz w:val="18"/>
              </w:rPr>
              <w:t> </w:t>
            </w:r>
            <w:r>
              <w:rPr>
                <w:b/>
                <w:spacing w:val="-2"/>
                <w:sz w:val="18"/>
              </w:rPr>
              <w:t>Penales</w:t>
            </w:r>
          </w:p>
          <w:p>
            <w:pPr>
              <w:pStyle w:val="TableParagraph"/>
              <w:spacing w:line="288" w:lineRule="auto" w:before="165"/>
              <w:ind w:left="105" w:right="121"/>
              <w:rPr>
                <w:sz w:val="18"/>
              </w:rPr>
            </w:pPr>
            <w:r>
              <w:rPr>
                <w:sz w:val="18"/>
              </w:rPr>
              <w:t>A finales de 2024 se realizó una reevaluación del Mapa de Riesgos Penales de GMSA, revisando el contexto organizacional, analizando los riesgos de Compliance penal a los que se</w:t>
            </w:r>
            <w:r>
              <w:rPr>
                <w:spacing w:val="-4"/>
                <w:sz w:val="18"/>
              </w:rPr>
              <w:t> </w:t>
            </w:r>
            <w:r>
              <w:rPr>
                <w:sz w:val="18"/>
              </w:rPr>
              <w:t>enfrenta</w:t>
            </w:r>
            <w:r>
              <w:rPr>
                <w:spacing w:val="-2"/>
                <w:sz w:val="18"/>
              </w:rPr>
              <w:t> </w:t>
            </w:r>
            <w:r>
              <w:rPr>
                <w:sz w:val="18"/>
              </w:rPr>
              <w:t>la</w:t>
            </w:r>
            <w:r>
              <w:rPr>
                <w:spacing w:val="-5"/>
                <w:sz w:val="18"/>
              </w:rPr>
              <w:t> </w:t>
            </w:r>
            <w:r>
              <w:rPr>
                <w:sz w:val="18"/>
              </w:rPr>
              <w:t>empresa,</w:t>
            </w:r>
            <w:r>
              <w:rPr>
                <w:spacing w:val="-3"/>
                <w:sz w:val="18"/>
              </w:rPr>
              <w:t> </w:t>
            </w:r>
            <w:r>
              <w:rPr>
                <w:sz w:val="18"/>
              </w:rPr>
              <w:t>describiéndose</w:t>
            </w:r>
            <w:r>
              <w:rPr>
                <w:spacing w:val="-4"/>
                <w:sz w:val="18"/>
              </w:rPr>
              <w:t> </w:t>
            </w:r>
            <w:r>
              <w:rPr>
                <w:sz w:val="18"/>
              </w:rPr>
              <w:t>los</w:t>
            </w:r>
            <w:r>
              <w:rPr>
                <w:spacing w:val="-3"/>
                <w:sz w:val="18"/>
              </w:rPr>
              <w:t> </w:t>
            </w:r>
            <w:r>
              <w:rPr>
                <w:sz w:val="18"/>
              </w:rPr>
              <w:t>escenarios</w:t>
            </w:r>
            <w:r>
              <w:rPr>
                <w:spacing w:val="-3"/>
                <w:sz w:val="18"/>
              </w:rPr>
              <w:t> </w:t>
            </w:r>
            <w:r>
              <w:rPr>
                <w:sz w:val="18"/>
              </w:rPr>
              <w:t>de</w:t>
            </w:r>
            <w:r>
              <w:rPr>
                <w:spacing w:val="-2"/>
                <w:sz w:val="18"/>
              </w:rPr>
              <w:t> </w:t>
            </w:r>
            <w:r>
              <w:rPr>
                <w:sz w:val="18"/>
              </w:rPr>
              <w:t>riesgos</w:t>
            </w:r>
            <w:r>
              <w:rPr>
                <w:spacing w:val="-3"/>
                <w:sz w:val="18"/>
              </w:rPr>
              <w:t> </w:t>
            </w:r>
            <w:r>
              <w:rPr>
                <w:sz w:val="18"/>
              </w:rPr>
              <w:t>hipotéticos</w:t>
            </w:r>
            <w:r>
              <w:rPr>
                <w:spacing w:val="-3"/>
                <w:sz w:val="18"/>
              </w:rPr>
              <w:t> </w:t>
            </w:r>
            <w:r>
              <w:rPr>
                <w:sz w:val="18"/>
              </w:rPr>
              <w:t>y</w:t>
            </w:r>
            <w:r>
              <w:rPr>
                <w:spacing w:val="-5"/>
                <w:sz w:val="18"/>
              </w:rPr>
              <w:t> </w:t>
            </w:r>
            <w:r>
              <w:rPr>
                <w:sz w:val="18"/>
              </w:rPr>
              <w:t>estableciendo las modificaciones oportunas de acuerdo con la información disponible de las actividades realizadas por GMSA. El nuevo Mapa Penal mantiene el perímetro de riesgos potenciales que afectan a la empresa y muestra una reducción del nivel de riesgo residual promedio de las</w:t>
            </w:r>
            <w:r>
              <w:rPr>
                <w:spacing w:val="-3"/>
                <w:sz w:val="18"/>
              </w:rPr>
              <w:t> </w:t>
            </w:r>
            <w:r>
              <w:rPr>
                <w:sz w:val="18"/>
              </w:rPr>
              <w:t>actividades,</w:t>
            </w:r>
            <w:r>
              <w:rPr>
                <w:spacing w:val="-3"/>
                <w:sz w:val="18"/>
              </w:rPr>
              <w:t> </w:t>
            </w:r>
            <w:r>
              <w:rPr>
                <w:sz w:val="18"/>
              </w:rPr>
              <w:t>gracias</w:t>
            </w:r>
            <w:r>
              <w:rPr>
                <w:spacing w:val="-1"/>
                <w:sz w:val="18"/>
              </w:rPr>
              <w:t> </w:t>
            </w:r>
            <w:r>
              <w:rPr>
                <w:sz w:val="18"/>
              </w:rPr>
              <w:t>a</w:t>
            </w:r>
            <w:r>
              <w:rPr>
                <w:spacing w:val="-2"/>
                <w:sz w:val="18"/>
              </w:rPr>
              <w:t> </w:t>
            </w:r>
            <w:r>
              <w:rPr>
                <w:sz w:val="18"/>
              </w:rPr>
              <w:t>los</w:t>
            </w:r>
            <w:r>
              <w:rPr>
                <w:spacing w:val="-1"/>
                <w:sz w:val="18"/>
              </w:rPr>
              <w:t> </w:t>
            </w:r>
            <w:r>
              <w:rPr>
                <w:sz w:val="18"/>
              </w:rPr>
              <w:t>controles</w:t>
            </w:r>
            <w:r>
              <w:rPr>
                <w:spacing w:val="-1"/>
                <w:sz w:val="18"/>
              </w:rPr>
              <w:t> </w:t>
            </w:r>
            <w:r>
              <w:rPr>
                <w:sz w:val="18"/>
              </w:rPr>
              <w:t>que</w:t>
            </w:r>
            <w:r>
              <w:rPr>
                <w:spacing w:val="-3"/>
                <w:sz w:val="18"/>
              </w:rPr>
              <w:t> </w:t>
            </w:r>
            <w:r>
              <w:rPr>
                <w:sz w:val="18"/>
              </w:rPr>
              <w:t>se</w:t>
            </w:r>
            <w:r>
              <w:rPr>
                <w:spacing w:val="-3"/>
                <w:sz w:val="18"/>
              </w:rPr>
              <w:t> </w:t>
            </w:r>
            <w:r>
              <w:rPr>
                <w:sz w:val="18"/>
              </w:rPr>
              <w:t>han</w:t>
            </w:r>
            <w:r>
              <w:rPr>
                <w:spacing w:val="-3"/>
                <w:sz w:val="18"/>
              </w:rPr>
              <w:t> </w:t>
            </w:r>
            <w:r>
              <w:rPr>
                <w:sz w:val="18"/>
              </w:rPr>
              <w:t>ido</w:t>
            </w:r>
            <w:r>
              <w:rPr>
                <w:spacing w:val="-2"/>
                <w:sz w:val="18"/>
              </w:rPr>
              <w:t> </w:t>
            </w:r>
            <w:r>
              <w:rPr>
                <w:sz w:val="18"/>
              </w:rPr>
              <w:t>implementando</w:t>
            </w:r>
            <w:r>
              <w:rPr>
                <w:spacing w:val="-4"/>
                <w:sz w:val="18"/>
              </w:rPr>
              <w:t> </w:t>
            </w:r>
            <w:r>
              <w:rPr>
                <w:sz w:val="18"/>
              </w:rPr>
              <w:t>durante</w:t>
            </w:r>
            <w:r>
              <w:rPr>
                <w:spacing w:val="-3"/>
                <w:sz w:val="18"/>
              </w:rPr>
              <w:t> </w:t>
            </w:r>
            <w:r>
              <w:rPr>
                <w:sz w:val="18"/>
              </w:rPr>
              <w:t>este año</w:t>
            </w:r>
            <w:r>
              <w:rPr>
                <w:spacing w:val="-2"/>
                <w:sz w:val="18"/>
              </w:rPr>
              <w:t> </w:t>
            </w:r>
            <w:r>
              <w:rPr>
                <w:sz w:val="18"/>
              </w:rPr>
              <w:t>2024 y en ejercicios anteriores.</w:t>
            </w:r>
          </w:p>
          <w:p>
            <w:pPr>
              <w:pStyle w:val="TableParagraph"/>
              <w:spacing w:line="288" w:lineRule="auto" w:before="120"/>
              <w:ind w:left="105" w:right="141"/>
              <w:rPr>
                <w:sz w:val="18"/>
              </w:rPr>
            </w:pPr>
            <w:r>
              <w:rPr>
                <w:sz w:val="18"/>
              </w:rPr>
              <w:t>Esta misma reevaluación se acompañó de una auditoría de verificación del nivel de cumplimiento</w:t>
            </w:r>
            <w:r>
              <w:rPr>
                <w:spacing w:val="-3"/>
                <w:sz w:val="18"/>
              </w:rPr>
              <w:t> </w:t>
            </w:r>
            <w:r>
              <w:rPr>
                <w:sz w:val="18"/>
              </w:rPr>
              <w:t>de los</w:t>
            </w:r>
            <w:r>
              <w:rPr>
                <w:spacing w:val="-1"/>
                <w:sz w:val="18"/>
              </w:rPr>
              <w:t> </w:t>
            </w:r>
            <w:r>
              <w:rPr>
                <w:sz w:val="18"/>
              </w:rPr>
              <w:t>controles</w:t>
            </w:r>
            <w:r>
              <w:rPr>
                <w:spacing w:val="-3"/>
                <w:sz w:val="18"/>
              </w:rPr>
              <w:t> </w:t>
            </w:r>
            <w:r>
              <w:rPr>
                <w:sz w:val="18"/>
              </w:rPr>
              <w:t>implantados en</w:t>
            </w:r>
            <w:r>
              <w:rPr>
                <w:spacing w:val="-2"/>
                <w:sz w:val="18"/>
              </w:rPr>
              <w:t> </w:t>
            </w:r>
            <w:r>
              <w:rPr>
                <w:sz w:val="18"/>
              </w:rPr>
              <w:t>el Modelo</w:t>
            </w:r>
            <w:r>
              <w:rPr>
                <w:spacing w:val="-3"/>
                <w:sz w:val="18"/>
              </w:rPr>
              <w:t> </w:t>
            </w:r>
            <w:r>
              <w:rPr>
                <w:sz w:val="18"/>
              </w:rPr>
              <w:t>de</w:t>
            </w:r>
            <w:r>
              <w:rPr>
                <w:spacing w:val="-2"/>
                <w:sz w:val="18"/>
              </w:rPr>
              <w:t> </w:t>
            </w:r>
            <w:r>
              <w:rPr>
                <w:sz w:val="18"/>
              </w:rPr>
              <w:t>Prevención</w:t>
            </w:r>
            <w:r>
              <w:rPr>
                <w:spacing w:val="-2"/>
                <w:sz w:val="18"/>
              </w:rPr>
              <w:t> </w:t>
            </w:r>
            <w:r>
              <w:rPr>
                <w:sz w:val="18"/>
              </w:rPr>
              <w:t>de</w:t>
            </w:r>
            <w:r>
              <w:rPr>
                <w:spacing w:val="-3"/>
                <w:sz w:val="18"/>
              </w:rPr>
              <w:t> </w:t>
            </w:r>
            <w:r>
              <w:rPr>
                <w:sz w:val="18"/>
              </w:rPr>
              <w:t>Riesgos Penales de GMSA. En esta</w:t>
            </w:r>
            <w:r>
              <w:rPr>
                <w:spacing w:val="-2"/>
                <w:sz w:val="18"/>
              </w:rPr>
              <w:t> </w:t>
            </w:r>
            <w:r>
              <w:rPr>
                <w:sz w:val="18"/>
              </w:rPr>
              <w:t>auditoría,</w:t>
            </w:r>
            <w:r>
              <w:rPr>
                <w:spacing w:val="-3"/>
                <w:sz w:val="18"/>
              </w:rPr>
              <w:t> </w:t>
            </w:r>
            <w:r>
              <w:rPr>
                <w:sz w:val="18"/>
              </w:rPr>
              <w:t>se</w:t>
            </w:r>
            <w:r>
              <w:rPr>
                <w:spacing w:val="-2"/>
                <w:sz w:val="18"/>
              </w:rPr>
              <w:t> </w:t>
            </w:r>
            <w:r>
              <w:rPr>
                <w:sz w:val="18"/>
              </w:rPr>
              <w:t>analizaron</w:t>
            </w:r>
            <w:r>
              <w:rPr>
                <w:spacing w:val="-3"/>
                <w:sz w:val="18"/>
              </w:rPr>
              <w:t> </w:t>
            </w:r>
            <w:r>
              <w:rPr>
                <w:sz w:val="18"/>
              </w:rPr>
              <w:t>los controles</w:t>
            </w:r>
            <w:r>
              <w:rPr>
                <w:spacing w:val="-1"/>
                <w:sz w:val="18"/>
              </w:rPr>
              <w:t> </w:t>
            </w:r>
            <w:r>
              <w:rPr>
                <w:sz w:val="18"/>
              </w:rPr>
              <w:t>existentes para</w:t>
            </w:r>
            <w:r>
              <w:rPr>
                <w:spacing w:val="-2"/>
                <w:sz w:val="18"/>
              </w:rPr>
              <w:t> </w:t>
            </w:r>
            <w:r>
              <w:rPr>
                <w:sz w:val="18"/>
              </w:rPr>
              <w:t>mitigar los</w:t>
            </w:r>
            <w:r>
              <w:rPr>
                <w:spacing w:val="-3"/>
                <w:sz w:val="18"/>
              </w:rPr>
              <w:t> </w:t>
            </w:r>
            <w:r>
              <w:rPr>
                <w:sz w:val="18"/>
              </w:rPr>
              <w:t>distintos riesgos y el grado de implantación de estos en función de criterios como su redacción, aprobación, comunicación, disponibilidad, actualización, etc. El resultado de la auditoria ha puesto</w:t>
            </w:r>
            <w:r>
              <w:rPr>
                <w:spacing w:val="-2"/>
                <w:sz w:val="18"/>
              </w:rPr>
              <w:t> </w:t>
            </w:r>
            <w:r>
              <w:rPr>
                <w:sz w:val="18"/>
              </w:rPr>
              <w:t>de</w:t>
            </w:r>
            <w:r>
              <w:rPr>
                <w:spacing w:val="-2"/>
                <w:sz w:val="18"/>
              </w:rPr>
              <w:t> </w:t>
            </w:r>
            <w:r>
              <w:rPr>
                <w:sz w:val="18"/>
              </w:rPr>
              <w:t>manifiesto</w:t>
            </w:r>
            <w:r>
              <w:rPr>
                <w:spacing w:val="-4"/>
                <w:sz w:val="18"/>
              </w:rPr>
              <w:t> </w:t>
            </w:r>
            <w:r>
              <w:rPr>
                <w:sz w:val="18"/>
              </w:rPr>
              <w:t>la</w:t>
            </w:r>
            <w:r>
              <w:rPr>
                <w:spacing w:val="-5"/>
                <w:sz w:val="18"/>
              </w:rPr>
              <w:t> </w:t>
            </w:r>
            <w:r>
              <w:rPr>
                <w:sz w:val="18"/>
              </w:rPr>
              <w:t>eficacia</w:t>
            </w:r>
            <w:r>
              <w:rPr>
                <w:spacing w:val="-2"/>
                <w:sz w:val="18"/>
              </w:rPr>
              <w:t> </w:t>
            </w:r>
            <w:r>
              <w:rPr>
                <w:sz w:val="18"/>
              </w:rPr>
              <w:t>de</w:t>
            </w:r>
            <w:r>
              <w:rPr>
                <w:spacing w:val="-5"/>
                <w:sz w:val="18"/>
              </w:rPr>
              <w:t> </w:t>
            </w:r>
            <w:r>
              <w:rPr>
                <w:sz w:val="18"/>
              </w:rPr>
              <w:t>los</w:t>
            </w:r>
            <w:r>
              <w:rPr>
                <w:spacing w:val="-3"/>
                <w:sz w:val="18"/>
              </w:rPr>
              <w:t> </w:t>
            </w:r>
            <w:r>
              <w:rPr>
                <w:sz w:val="18"/>
              </w:rPr>
              <w:t>controles</w:t>
            </w:r>
            <w:r>
              <w:rPr>
                <w:spacing w:val="-3"/>
                <w:sz w:val="18"/>
              </w:rPr>
              <w:t> </w:t>
            </w:r>
            <w:r>
              <w:rPr>
                <w:sz w:val="18"/>
              </w:rPr>
              <w:t>implementados</w:t>
            </w:r>
            <w:r>
              <w:rPr>
                <w:spacing w:val="-3"/>
                <w:sz w:val="18"/>
              </w:rPr>
              <w:t> </w:t>
            </w:r>
            <w:r>
              <w:rPr>
                <w:sz w:val="18"/>
              </w:rPr>
              <w:t>en</w:t>
            </w:r>
            <w:r>
              <w:rPr>
                <w:spacing w:val="-2"/>
                <w:sz w:val="18"/>
              </w:rPr>
              <w:t> </w:t>
            </w:r>
            <w:r>
              <w:rPr>
                <w:sz w:val="18"/>
              </w:rPr>
              <w:t>la</w:t>
            </w:r>
            <w:r>
              <w:rPr>
                <w:spacing w:val="-4"/>
                <w:sz w:val="18"/>
              </w:rPr>
              <w:t> </w:t>
            </w:r>
            <w:r>
              <w:rPr>
                <w:sz w:val="18"/>
              </w:rPr>
              <w:t>detección</w:t>
            </w:r>
            <w:r>
              <w:rPr>
                <w:spacing w:val="-2"/>
                <w:sz w:val="18"/>
              </w:rPr>
              <w:t> </w:t>
            </w:r>
            <w:r>
              <w:rPr>
                <w:sz w:val="18"/>
              </w:rPr>
              <w:t>y</w:t>
            </w:r>
            <w:r>
              <w:rPr>
                <w:spacing w:val="-5"/>
                <w:sz w:val="18"/>
              </w:rPr>
              <w:t> </w:t>
            </w:r>
            <w:r>
              <w:rPr>
                <w:sz w:val="18"/>
              </w:rPr>
              <w:t>mitigación de irregularidades, así como, el compromiso de los directivos y técnicos en mantener y consolidar un marco de Compliance efectivo.</w:t>
            </w:r>
          </w:p>
        </w:tc>
      </w:tr>
    </w:tbl>
    <w:p>
      <w:pPr>
        <w:pStyle w:val="BodyText"/>
      </w:pPr>
    </w:p>
    <w:p>
      <w:pPr>
        <w:pStyle w:val="BodyText"/>
        <w:spacing w:before="1"/>
      </w:pPr>
    </w:p>
    <w:p>
      <w:pPr>
        <w:spacing w:line="352" w:lineRule="auto" w:before="0"/>
        <w:ind w:left="1341" w:right="1334" w:firstLine="0"/>
        <w:jc w:val="both"/>
        <w:rPr>
          <w:sz w:val="20"/>
        </w:rPr>
      </w:pPr>
      <w:r>
        <w:rPr>
          <w:b/>
          <w:sz w:val="20"/>
        </w:rPr>
        <w:t>En 2025, GMSA</w:t>
      </w:r>
      <w:r>
        <w:rPr>
          <w:b/>
          <w:spacing w:val="-5"/>
          <w:sz w:val="20"/>
        </w:rPr>
        <w:t> </w:t>
      </w:r>
      <w:r>
        <w:rPr>
          <w:b/>
          <w:sz w:val="20"/>
        </w:rPr>
        <w:t>ha</w:t>
      </w:r>
      <w:r>
        <w:rPr>
          <w:b/>
          <w:spacing w:val="-2"/>
          <w:sz w:val="20"/>
        </w:rPr>
        <w:t> </w:t>
      </w:r>
      <w:r>
        <w:rPr>
          <w:b/>
          <w:sz w:val="20"/>
        </w:rPr>
        <w:t>decidido dar</w:t>
      </w:r>
      <w:r>
        <w:rPr>
          <w:b/>
          <w:spacing w:val="-2"/>
          <w:sz w:val="20"/>
        </w:rPr>
        <w:t> </w:t>
      </w:r>
      <w:r>
        <w:rPr>
          <w:b/>
          <w:sz w:val="20"/>
        </w:rPr>
        <w:t>un paso más, y diseñar e</w:t>
      </w:r>
      <w:r>
        <w:rPr>
          <w:b/>
          <w:spacing w:val="-2"/>
          <w:sz w:val="20"/>
        </w:rPr>
        <w:t> </w:t>
      </w:r>
      <w:r>
        <w:rPr>
          <w:b/>
          <w:sz w:val="20"/>
        </w:rPr>
        <w:t>implementar</w:t>
      </w:r>
      <w:r>
        <w:rPr>
          <w:b/>
          <w:spacing w:val="-2"/>
          <w:sz w:val="20"/>
        </w:rPr>
        <w:t> </w:t>
      </w:r>
      <w:r>
        <w:rPr>
          <w:b/>
          <w:sz w:val="20"/>
        </w:rPr>
        <w:t>su propio</w:t>
      </w:r>
      <w:r>
        <w:rPr>
          <w:b/>
          <w:spacing w:val="-1"/>
          <w:sz w:val="20"/>
        </w:rPr>
        <w:t> </w:t>
      </w:r>
      <w:r>
        <w:rPr>
          <w:b/>
          <w:sz w:val="20"/>
        </w:rPr>
        <w:t>Sistema de Gestión de Cumplimiento Penal y Antisoborno (SGCPA)</w:t>
      </w:r>
      <w:r>
        <w:rPr>
          <w:sz w:val="20"/>
        </w:rPr>
        <w:t>, basado en las normas </w:t>
      </w:r>
      <w:r>
        <w:rPr>
          <w:rFonts w:ascii="Tahoma" w:hAnsi="Tahoma"/>
          <w:i/>
          <w:sz w:val="20"/>
        </w:rPr>
        <w:t>UNE 19601:2017 Sistemas de gestión de Compliance penal </w:t>
      </w:r>
      <w:r>
        <w:rPr>
          <w:sz w:val="20"/>
        </w:rPr>
        <w:t>e </w:t>
      </w:r>
      <w:r>
        <w:rPr>
          <w:rFonts w:ascii="Tahoma" w:hAnsi="Tahoma"/>
          <w:i/>
          <w:sz w:val="20"/>
        </w:rPr>
        <w:t>ISO 37001: 2025 Sistemas de gestión antisoborno</w:t>
      </w:r>
      <w:r>
        <w:rPr>
          <w:sz w:val="20"/>
        </w:rPr>
        <w:t>. El SGCPA incorpora los controles y documentos ya diseñados para el MPRP, y</w:t>
      </w:r>
      <w:r>
        <w:rPr>
          <w:spacing w:val="80"/>
          <w:sz w:val="20"/>
        </w:rPr>
        <w:t> </w:t>
      </w:r>
      <w:r>
        <w:rPr>
          <w:sz w:val="20"/>
        </w:rPr>
        <w:t>los amplía con nuevas políticas (Política del Sistema Interno de Información y Política del Sistema de Gestión de Cumplimiento Penal y Antisoborno) y nuevos procedimientos que regulan</w:t>
      </w:r>
      <w:r>
        <w:rPr>
          <w:spacing w:val="-3"/>
          <w:sz w:val="20"/>
        </w:rPr>
        <w:t> </w:t>
      </w:r>
      <w:r>
        <w:rPr>
          <w:sz w:val="20"/>
        </w:rPr>
        <w:t>este</w:t>
      </w:r>
      <w:r>
        <w:rPr>
          <w:spacing w:val="-4"/>
          <w:sz w:val="20"/>
        </w:rPr>
        <w:t> </w:t>
      </w:r>
      <w:r>
        <w:rPr>
          <w:sz w:val="20"/>
        </w:rPr>
        <w:t>Sistema.</w:t>
      </w:r>
      <w:r>
        <w:rPr>
          <w:spacing w:val="-4"/>
          <w:sz w:val="20"/>
        </w:rPr>
        <w:t> </w:t>
      </w:r>
      <w:r>
        <w:rPr>
          <w:sz w:val="20"/>
        </w:rPr>
        <w:t>Los controles y</w:t>
      </w:r>
      <w:r>
        <w:rPr>
          <w:spacing w:val="-5"/>
          <w:sz w:val="20"/>
        </w:rPr>
        <w:t> </w:t>
      </w:r>
      <w:r>
        <w:rPr>
          <w:sz w:val="20"/>
        </w:rPr>
        <w:t>documentos</w:t>
      </w:r>
      <w:r>
        <w:rPr>
          <w:spacing w:val="-2"/>
          <w:sz w:val="20"/>
        </w:rPr>
        <w:t> </w:t>
      </w:r>
      <w:r>
        <w:rPr>
          <w:sz w:val="20"/>
        </w:rPr>
        <w:t>anteriores</w:t>
      </w:r>
      <w:r>
        <w:rPr>
          <w:spacing w:val="-2"/>
          <w:sz w:val="20"/>
        </w:rPr>
        <w:t> </w:t>
      </w:r>
      <w:r>
        <w:rPr>
          <w:sz w:val="20"/>
        </w:rPr>
        <w:t>se</w:t>
      </w:r>
      <w:r>
        <w:rPr>
          <w:spacing w:val="-1"/>
          <w:sz w:val="20"/>
        </w:rPr>
        <w:t> </w:t>
      </w:r>
      <w:r>
        <w:rPr>
          <w:sz w:val="20"/>
        </w:rPr>
        <w:t>han</w:t>
      </w:r>
      <w:r>
        <w:rPr>
          <w:spacing w:val="-5"/>
          <w:sz w:val="20"/>
        </w:rPr>
        <w:t> </w:t>
      </w:r>
      <w:r>
        <w:rPr>
          <w:sz w:val="20"/>
        </w:rPr>
        <w:t>revisado</w:t>
      </w:r>
      <w:r>
        <w:rPr>
          <w:spacing w:val="-3"/>
          <w:sz w:val="20"/>
        </w:rPr>
        <w:t> </w:t>
      </w:r>
      <w:r>
        <w:rPr>
          <w:sz w:val="20"/>
        </w:rPr>
        <w:t>también</w:t>
      </w:r>
      <w:r>
        <w:rPr>
          <w:spacing w:val="-4"/>
          <w:sz w:val="20"/>
        </w:rPr>
        <w:t> </w:t>
      </w:r>
      <w:r>
        <w:rPr>
          <w:sz w:val="20"/>
        </w:rPr>
        <w:t>en</w:t>
      </w:r>
      <w:r>
        <w:rPr>
          <w:spacing w:val="-1"/>
          <w:sz w:val="20"/>
        </w:rPr>
        <w:t> </w:t>
      </w:r>
      <w:r>
        <w:rPr>
          <w:sz w:val="20"/>
        </w:rPr>
        <w:t>2025, en aras de adaptarlos a los requerimientos de las normas y a los cambios que ha sufrido la organización en los últimos años.</w:t>
      </w:r>
    </w:p>
    <w:p>
      <w:pPr>
        <w:pStyle w:val="BodyText"/>
        <w:spacing w:before="125"/>
      </w:pPr>
    </w:p>
    <w:p>
      <w:pPr>
        <w:pStyle w:val="BodyText"/>
        <w:ind w:left="1"/>
        <w:jc w:val="center"/>
      </w:pPr>
      <w:r>
        <w:rPr/>
        <mc:AlternateContent>
          <mc:Choice Requires="wps">
            <w:drawing>
              <wp:anchor distT="0" distB="0" distL="0" distR="0" allowOverlap="1" layoutInCell="1" locked="0" behindDoc="0" simplePos="0" relativeHeight="15826432">
                <wp:simplePos x="0" y="0"/>
                <wp:positionH relativeFrom="page">
                  <wp:posOffset>6966436</wp:posOffset>
                </wp:positionH>
                <wp:positionV relativeFrom="paragraph">
                  <wp:posOffset>6771</wp:posOffset>
                </wp:positionV>
                <wp:extent cx="263525" cy="327596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60</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33197pt;width:20.75pt;height:257.95pt;mso-position-horizontal-relative:page;mso-position-vertical-relative:paragraph;z-index:15826432" type="#_x0000_t202" id="docshape25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60</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Con</w:t>
      </w:r>
      <w:r>
        <w:rPr>
          <w:spacing w:val="53"/>
        </w:rPr>
        <w:t> </w:t>
      </w:r>
      <w:r>
        <w:rPr/>
        <w:t>la</w:t>
      </w:r>
      <w:r>
        <w:rPr>
          <w:spacing w:val="53"/>
        </w:rPr>
        <w:t> </w:t>
      </w:r>
      <w:r>
        <w:rPr/>
        <w:t>implementación</w:t>
      </w:r>
      <w:r>
        <w:rPr>
          <w:spacing w:val="56"/>
        </w:rPr>
        <w:t> </w:t>
      </w:r>
      <w:r>
        <w:rPr/>
        <w:t>de</w:t>
      </w:r>
      <w:r>
        <w:rPr>
          <w:spacing w:val="55"/>
        </w:rPr>
        <w:t> </w:t>
      </w:r>
      <w:r>
        <w:rPr/>
        <w:t>este</w:t>
      </w:r>
      <w:r>
        <w:rPr>
          <w:spacing w:val="53"/>
        </w:rPr>
        <w:t> </w:t>
      </w:r>
      <w:r>
        <w:rPr/>
        <w:t>SGCPA,</w:t>
      </w:r>
      <w:r>
        <w:rPr>
          <w:spacing w:val="54"/>
        </w:rPr>
        <w:t> </w:t>
      </w:r>
      <w:r>
        <w:rPr/>
        <w:t>en</w:t>
      </w:r>
      <w:r>
        <w:rPr>
          <w:spacing w:val="57"/>
        </w:rPr>
        <w:t> </w:t>
      </w:r>
      <w:r>
        <w:rPr/>
        <w:t>el</w:t>
      </w:r>
      <w:r>
        <w:rPr>
          <w:spacing w:val="54"/>
        </w:rPr>
        <w:t> </w:t>
      </w:r>
      <w:r>
        <w:rPr/>
        <w:t>último</w:t>
      </w:r>
      <w:r>
        <w:rPr>
          <w:spacing w:val="53"/>
        </w:rPr>
        <w:t> </w:t>
      </w:r>
      <w:r>
        <w:rPr/>
        <w:t>trimestre</w:t>
      </w:r>
      <w:r>
        <w:rPr>
          <w:spacing w:val="53"/>
        </w:rPr>
        <w:t> </w:t>
      </w:r>
      <w:r>
        <w:rPr/>
        <w:t>de</w:t>
      </w:r>
      <w:r>
        <w:rPr>
          <w:spacing w:val="54"/>
        </w:rPr>
        <w:t> </w:t>
      </w:r>
      <w:r>
        <w:rPr/>
        <w:t>2025</w:t>
      </w:r>
      <w:r>
        <w:rPr>
          <w:spacing w:val="53"/>
        </w:rPr>
        <w:t> </w:t>
      </w:r>
      <w:r>
        <w:rPr/>
        <w:t>se</w:t>
      </w:r>
      <w:r>
        <w:rPr>
          <w:spacing w:val="56"/>
        </w:rPr>
        <w:t> </w:t>
      </w:r>
      <w:r>
        <w:rPr/>
        <w:t>impartió</w:t>
      </w:r>
      <w:r>
        <w:rPr>
          <w:spacing w:val="54"/>
        </w:rPr>
        <w:t> </w:t>
      </w:r>
      <w:r>
        <w:rPr>
          <w:spacing w:val="-5"/>
        </w:rPr>
        <w:t>una</w:t>
      </w:r>
    </w:p>
    <w:p>
      <w:pPr>
        <w:pStyle w:val="BodyText"/>
        <w:spacing w:line="360" w:lineRule="auto" w:before="116"/>
        <w:ind w:left="1341" w:right="1335"/>
        <w:jc w:val="both"/>
      </w:pPr>
      <w:r>
        <w:rPr/>
        <w:t>formación a los trabajadores del área de administración de la empresa, así como</w:t>
      </w:r>
      <w:r>
        <w:rPr>
          <w:spacing w:val="-2"/>
        </w:rPr>
        <w:t> </w:t>
      </w:r>
      <w:r>
        <w:rPr/>
        <w:t>al Consejo de Administración. Dicha formación se ha enfocado en definir los conceptos clave de un Sistema de Gestión</w:t>
      </w:r>
      <w:r>
        <w:rPr>
          <w:spacing w:val="-2"/>
        </w:rPr>
        <w:t> </w:t>
      </w:r>
      <w:r>
        <w:rPr/>
        <w:t>de</w:t>
      </w:r>
      <w:r>
        <w:rPr>
          <w:spacing w:val="-4"/>
        </w:rPr>
        <w:t> </w:t>
      </w:r>
      <w:r>
        <w:rPr/>
        <w:t>Cumplimiento</w:t>
      </w:r>
      <w:r>
        <w:rPr>
          <w:spacing w:val="-2"/>
        </w:rPr>
        <w:t> </w:t>
      </w:r>
      <w:r>
        <w:rPr/>
        <w:t>Penal</w:t>
      </w:r>
      <w:r>
        <w:rPr>
          <w:spacing w:val="-1"/>
        </w:rPr>
        <w:t> </w:t>
      </w:r>
      <w:r>
        <w:rPr/>
        <w:t>y</w:t>
      </w:r>
      <w:r>
        <w:rPr>
          <w:spacing w:val="-2"/>
        </w:rPr>
        <w:t> </w:t>
      </w:r>
      <w:r>
        <w:rPr/>
        <w:t>Antisoborno,</w:t>
      </w:r>
      <w:r>
        <w:rPr>
          <w:spacing w:val="-4"/>
        </w:rPr>
        <w:t> </w:t>
      </w:r>
      <w:r>
        <w:rPr/>
        <w:t>así como</w:t>
      </w:r>
      <w:r>
        <w:rPr>
          <w:spacing w:val="-4"/>
        </w:rPr>
        <w:t> </w:t>
      </w:r>
      <w:r>
        <w:rPr/>
        <w:t>describir cómo</w:t>
      </w:r>
      <w:r>
        <w:rPr>
          <w:spacing w:val="-4"/>
        </w:rPr>
        <w:t> </w:t>
      </w:r>
      <w:r>
        <w:rPr/>
        <w:t>se</w:t>
      </w:r>
      <w:r>
        <w:rPr>
          <w:spacing w:val="-4"/>
        </w:rPr>
        <w:t> </w:t>
      </w:r>
      <w:r>
        <w:rPr/>
        <w:t>está</w:t>
      </w:r>
      <w:r>
        <w:rPr>
          <w:spacing w:val="-4"/>
        </w:rPr>
        <w:t> </w:t>
      </w:r>
      <w:r>
        <w:rPr/>
        <w:t>implantando en la organización y cuáles son los documentos internos que regulan el Sistema. En 2026 se comenzará con la formación del resto del personal (conductores-perceptores), con contenidos adaptados a la naturaleza de su trabajo.</w:t>
      </w:r>
    </w:p>
    <w:p>
      <w:pPr>
        <w:pStyle w:val="BodyText"/>
        <w:spacing w:before="112"/>
      </w:pPr>
    </w:p>
    <w:p>
      <w:pPr>
        <w:spacing w:line="362" w:lineRule="auto" w:before="0"/>
        <w:ind w:left="1341" w:right="1338" w:firstLine="0"/>
        <w:jc w:val="both"/>
        <w:rPr>
          <w:sz w:val="20"/>
        </w:rPr>
      </w:pPr>
      <w:r>
        <w:rPr>
          <w:b/>
          <w:sz w:val="20"/>
        </w:rPr>
        <w:t>El SGCPA está actualmente en pleno desarrollo y se prevé su implantación definitiva y certificación durante el año 2026. </w:t>
      </w:r>
      <w:r>
        <w:rPr>
          <w:sz w:val="20"/>
        </w:rPr>
        <w:t>Mientras, la empresa sigue trabajando para realizar una comunicación periódica y formación documentada, a todos los niveles, de las medidas de prevención y del Código Ético.</w:t>
      </w:r>
    </w:p>
    <w:p>
      <w:pPr>
        <w:pStyle w:val="BodyText"/>
        <w:spacing w:line="362" w:lineRule="auto" w:before="192"/>
        <w:ind w:left="1341" w:right="1308"/>
      </w:pPr>
      <w:r>
        <w:rPr/>
        <w:t>En relación con el Sistema Interno de Información, se han gestionado dos (2) denuncias desde su puesta en marcha.</w:t>
      </w:r>
    </w:p>
    <w:p>
      <w:pPr>
        <w:pStyle w:val="BodyText"/>
        <w:spacing w:after="0" w:line="362" w:lineRule="auto"/>
        <w:sectPr>
          <w:pgSz w:w="11910" w:h="16840"/>
          <w:pgMar w:header="384" w:footer="1060" w:top="1200" w:bottom="1260" w:left="360" w:right="360"/>
        </w:sectPr>
      </w:pPr>
    </w:p>
    <w:p>
      <w:pPr>
        <w:pStyle w:val="Heading3"/>
        <w:numPr>
          <w:ilvl w:val="0"/>
          <w:numId w:val="31"/>
        </w:numPr>
        <w:tabs>
          <w:tab w:pos="1559" w:val="left" w:leader="none"/>
        </w:tabs>
        <w:spacing w:line="240" w:lineRule="auto" w:before="213" w:after="0"/>
        <w:ind w:left="1559" w:right="0" w:hanging="218"/>
        <w:jc w:val="left"/>
      </w:pPr>
      <w:bookmarkStart w:name="_TOC_250006" w:id="46"/>
      <w:bookmarkEnd w:id="46"/>
      <w:r>
        <w:rPr>
          <w:spacing w:val="-2"/>
        </w:rPr>
        <w:t>Sociedad</w:t>
      </w:r>
    </w:p>
    <w:p>
      <w:pPr>
        <w:pStyle w:val="BodyText"/>
        <w:spacing w:before="46"/>
        <w:rPr>
          <w:b/>
        </w:rPr>
      </w:pPr>
    </w:p>
    <w:p>
      <w:pPr>
        <w:pStyle w:val="Heading3"/>
        <w:numPr>
          <w:ilvl w:val="1"/>
          <w:numId w:val="48"/>
        </w:numPr>
        <w:tabs>
          <w:tab w:pos="1724" w:val="left" w:leader="none"/>
        </w:tabs>
        <w:spacing w:line="240" w:lineRule="auto" w:before="0" w:after="0"/>
        <w:ind w:left="1724" w:right="0" w:hanging="383"/>
        <w:jc w:val="left"/>
      </w:pPr>
      <w:bookmarkStart w:name="_TOC_250005" w:id="47"/>
      <w:r>
        <w:rPr/>
        <w:t>Compromisos</w:t>
      </w:r>
      <w:r>
        <w:rPr>
          <w:spacing w:val="-7"/>
        </w:rPr>
        <w:t> </w:t>
      </w:r>
      <w:r>
        <w:rPr/>
        <w:t>de</w:t>
      </w:r>
      <w:r>
        <w:rPr>
          <w:spacing w:val="-8"/>
        </w:rPr>
        <w:t> </w:t>
      </w:r>
      <w:r>
        <w:rPr/>
        <w:t>la</w:t>
      </w:r>
      <w:r>
        <w:rPr>
          <w:spacing w:val="-7"/>
        </w:rPr>
        <w:t> </w:t>
      </w:r>
      <w:r>
        <w:rPr/>
        <w:t>empresa</w:t>
      </w:r>
      <w:r>
        <w:rPr>
          <w:spacing w:val="-5"/>
        </w:rPr>
        <w:t> </w:t>
      </w:r>
      <w:r>
        <w:rPr/>
        <w:t>con</w:t>
      </w:r>
      <w:r>
        <w:rPr>
          <w:spacing w:val="-7"/>
        </w:rPr>
        <w:t> </w:t>
      </w:r>
      <w:r>
        <w:rPr/>
        <w:t>el</w:t>
      </w:r>
      <w:r>
        <w:rPr>
          <w:spacing w:val="-4"/>
        </w:rPr>
        <w:t> </w:t>
      </w:r>
      <w:r>
        <w:rPr/>
        <w:t>desarrollo</w:t>
      </w:r>
      <w:r>
        <w:rPr>
          <w:spacing w:val="-4"/>
        </w:rPr>
        <w:t> </w:t>
      </w:r>
      <w:bookmarkEnd w:id="47"/>
      <w:r>
        <w:rPr>
          <w:spacing w:val="-2"/>
        </w:rPr>
        <w:t>sostenible</w:t>
      </w:r>
    </w:p>
    <w:p>
      <w:pPr>
        <w:pStyle w:val="BodyText"/>
        <w:spacing w:before="44"/>
        <w:rPr>
          <w:b/>
        </w:rPr>
      </w:pPr>
    </w:p>
    <w:p>
      <w:pPr>
        <w:pStyle w:val="BodyText"/>
        <w:spacing w:line="360" w:lineRule="auto"/>
        <w:ind w:left="1341" w:right="1334"/>
        <w:jc w:val="both"/>
      </w:pPr>
      <w:r>
        <w:rPr/>
        <w:t>GMSA desarrolla un servicio de transporte público esencial para la ciudad de Las Palmas de Gran Canaria, coordinado y en sintonía con el resto de medios de movilidad, taxis, transporte discrecional,</w:t>
      </w:r>
      <w:r>
        <w:rPr>
          <w:spacing w:val="35"/>
        </w:rPr>
        <w:t> </w:t>
      </w:r>
      <w:r>
        <w:rPr/>
        <w:t>transporte</w:t>
      </w:r>
      <w:r>
        <w:rPr>
          <w:spacing w:val="33"/>
        </w:rPr>
        <w:t> </w:t>
      </w:r>
      <w:r>
        <w:rPr/>
        <w:t>privado,</w:t>
      </w:r>
      <w:r>
        <w:rPr>
          <w:spacing w:val="33"/>
        </w:rPr>
        <w:t> </w:t>
      </w:r>
      <w:r>
        <w:rPr/>
        <w:t>etc.,</w:t>
      </w:r>
      <w:r>
        <w:rPr>
          <w:spacing w:val="36"/>
        </w:rPr>
        <w:t> </w:t>
      </w:r>
      <w:r>
        <w:rPr/>
        <w:t>en</w:t>
      </w:r>
      <w:r>
        <w:rPr>
          <w:spacing w:val="35"/>
        </w:rPr>
        <w:t> </w:t>
      </w:r>
      <w:r>
        <w:rPr/>
        <w:t>un</w:t>
      </w:r>
      <w:r>
        <w:rPr>
          <w:spacing w:val="37"/>
        </w:rPr>
        <w:t> </w:t>
      </w:r>
      <w:r>
        <w:rPr/>
        <w:t>claro</w:t>
      </w:r>
      <w:r>
        <w:rPr>
          <w:spacing w:val="35"/>
        </w:rPr>
        <w:t> </w:t>
      </w:r>
      <w:r>
        <w:rPr/>
        <w:t>afán</w:t>
      </w:r>
      <w:r>
        <w:rPr>
          <w:spacing w:val="34"/>
        </w:rPr>
        <w:t> </w:t>
      </w:r>
      <w:r>
        <w:rPr/>
        <w:t>de</w:t>
      </w:r>
      <w:r>
        <w:rPr>
          <w:spacing w:val="33"/>
        </w:rPr>
        <w:t> </w:t>
      </w:r>
      <w:r>
        <w:rPr/>
        <w:t>convertirse</w:t>
      </w:r>
      <w:r>
        <w:rPr>
          <w:spacing w:val="34"/>
        </w:rPr>
        <w:t> </w:t>
      </w:r>
      <w:r>
        <w:rPr/>
        <w:t>en</w:t>
      </w:r>
      <w:r>
        <w:rPr>
          <w:spacing w:val="37"/>
        </w:rPr>
        <w:t> </w:t>
      </w:r>
      <w:r>
        <w:rPr/>
        <w:t>la</w:t>
      </w:r>
      <w:r>
        <w:rPr>
          <w:spacing w:val="33"/>
        </w:rPr>
        <w:t> </w:t>
      </w:r>
      <w:r>
        <w:rPr/>
        <w:t>alternativa</w:t>
      </w:r>
      <w:r>
        <w:rPr>
          <w:spacing w:val="34"/>
        </w:rPr>
        <w:t> </w:t>
      </w:r>
      <w:r>
        <w:rPr>
          <w:spacing w:val="-5"/>
        </w:rPr>
        <w:t>más</w:t>
      </w:r>
    </w:p>
    <w:p>
      <w:pPr>
        <w:pStyle w:val="BodyText"/>
        <w:spacing w:line="362" w:lineRule="auto"/>
        <w:ind w:left="1341" w:right="1308"/>
      </w:pPr>
      <w:r>
        <w:rPr/>
        <w:t>eficiente</w:t>
      </w:r>
      <w:r>
        <w:rPr>
          <w:spacing w:val="40"/>
        </w:rPr>
        <w:t> </w:t>
      </w:r>
      <w:r>
        <w:rPr/>
        <w:t>y</w:t>
      </w:r>
      <w:r>
        <w:rPr>
          <w:spacing w:val="40"/>
        </w:rPr>
        <w:t> </w:t>
      </w:r>
      <w:r>
        <w:rPr/>
        <w:t>eficaz</w:t>
      </w:r>
      <w:r>
        <w:rPr>
          <w:spacing w:val="40"/>
        </w:rPr>
        <w:t> </w:t>
      </w:r>
      <w:r>
        <w:rPr/>
        <w:t>para</w:t>
      </w:r>
      <w:r>
        <w:rPr>
          <w:spacing w:val="40"/>
        </w:rPr>
        <w:t> </w:t>
      </w:r>
      <w:r>
        <w:rPr/>
        <w:t>la</w:t>
      </w:r>
      <w:r>
        <w:rPr>
          <w:spacing w:val="40"/>
        </w:rPr>
        <w:t> </w:t>
      </w:r>
      <w:r>
        <w:rPr/>
        <w:t>resolución</w:t>
      </w:r>
      <w:r>
        <w:rPr>
          <w:spacing w:val="40"/>
        </w:rPr>
        <w:t> </w:t>
      </w:r>
      <w:r>
        <w:rPr/>
        <w:t>de</w:t>
      </w:r>
      <w:r>
        <w:rPr>
          <w:spacing w:val="40"/>
        </w:rPr>
        <w:t> </w:t>
      </w:r>
      <w:r>
        <w:rPr/>
        <w:t>las</w:t>
      </w:r>
      <w:r>
        <w:rPr>
          <w:spacing w:val="40"/>
        </w:rPr>
        <w:t> </w:t>
      </w:r>
      <w:r>
        <w:rPr/>
        <w:t>necesidades</w:t>
      </w:r>
      <w:r>
        <w:rPr>
          <w:spacing w:val="40"/>
        </w:rPr>
        <w:t> </w:t>
      </w:r>
      <w:r>
        <w:rPr/>
        <w:t>de</w:t>
      </w:r>
      <w:r>
        <w:rPr>
          <w:spacing w:val="40"/>
        </w:rPr>
        <w:t> </w:t>
      </w:r>
      <w:r>
        <w:rPr/>
        <w:t>movilidad</w:t>
      </w:r>
      <w:r>
        <w:rPr>
          <w:spacing w:val="40"/>
        </w:rPr>
        <w:t> </w:t>
      </w:r>
      <w:r>
        <w:rPr/>
        <w:t>de</w:t>
      </w:r>
      <w:r>
        <w:rPr>
          <w:spacing w:val="40"/>
        </w:rPr>
        <w:t> </w:t>
      </w:r>
      <w:r>
        <w:rPr/>
        <w:t>los</w:t>
      </w:r>
      <w:r>
        <w:rPr>
          <w:spacing w:val="40"/>
        </w:rPr>
        <w:t> </w:t>
      </w:r>
      <w:r>
        <w:rPr/>
        <w:t>residentes</w:t>
      </w:r>
      <w:r>
        <w:rPr>
          <w:spacing w:val="40"/>
        </w:rPr>
        <w:t> </w:t>
      </w:r>
      <w:r>
        <w:rPr/>
        <w:t>y visitantes de nuestra ciudad.</w:t>
      </w:r>
    </w:p>
    <w:p>
      <w:pPr>
        <w:pStyle w:val="BodyText"/>
        <w:spacing w:line="360" w:lineRule="auto" w:before="196"/>
        <w:ind w:left="1341" w:right="1334"/>
        <w:jc w:val="both"/>
      </w:pPr>
      <w:r>
        <w:rPr/>
        <w:t>Asimismo, GMSA fundamenta su estrategia en un compromiso firme con la Agenda 2030 de</w:t>
      </w:r>
      <w:r>
        <w:rPr>
          <w:spacing w:val="80"/>
        </w:rPr>
        <w:t> </w:t>
      </w:r>
      <w:r>
        <w:rPr/>
        <w:t>las Naciones Unidas y la integración de la sostenibilidad en su visión y</w:t>
      </w:r>
      <w:r>
        <w:rPr>
          <w:spacing w:val="-2"/>
        </w:rPr>
        <w:t> </w:t>
      </w:r>
      <w:r>
        <w:rPr/>
        <w:t>misión corporativa. Esta apuesta se materializa a través de su adhesión a los diez principios del Pacto Mundial de las Naciones Unidas, habiendo presentado en 2025 su correspondiente informe de seguimiento. Asimismo, la empresa ha publicado su Informe de Sostenibilidad 2024, estructurado en seis ejes clave que abarcan desde el buen gobierno y el equilibrio económico hasta el compromiso medioambiental y la colaboración con la comunidad, consolidando así su papel como actor esencial en la movilidad sostenible de Las Palmas de Gran Canaria.</w:t>
      </w:r>
    </w:p>
    <w:p>
      <w:pPr>
        <w:pStyle w:val="BodyText"/>
        <w:spacing w:before="199"/>
        <w:jc w:val="center"/>
      </w:pPr>
      <w:r>
        <w:rPr/>
        <w:t>En</w:t>
      </w:r>
      <w:r>
        <w:rPr>
          <w:spacing w:val="2"/>
        </w:rPr>
        <w:t> </w:t>
      </w:r>
      <w:r>
        <w:rPr/>
        <w:t>el</w:t>
      </w:r>
      <w:r>
        <w:rPr>
          <w:spacing w:val="2"/>
        </w:rPr>
        <w:t> </w:t>
      </w:r>
      <w:r>
        <w:rPr/>
        <w:t>ámbito</w:t>
      </w:r>
      <w:r>
        <w:rPr>
          <w:spacing w:val="1"/>
        </w:rPr>
        <w:t> </w:t>
      </w:r>
      <w:r>
        <w:rPr/>
        <w:t>operativo,</w:t>
      </w:r>
      <w:r>
        <w:rPr>
          <w:spacing w:val="3"/>
        </w:rPr>
        <w:t> </w:t>
      </w:r>
      <w:r>
        <w:rPr/>
        <w:t>la</w:t>
      </w:r>
      <w:r>
        <w:rPr>
          <w:spacing w:val="3"/>
        </w:rPr>
        <w:t> </w:t>
      </w:r>
      <w:r>
        <w:rPr/>
        <w:t>compañía</w:t>
      </w:r>
      <w:r>
        <w:rPr>
          <w:spacing w:val="1"/>
        </w:rPr>
        <w:t> </w:t>
      </w:r>
      <w:r>
        <w:rPr/>
        <w:t>lidera</w:t>
      </w:r>
      <w:r>
        <w:rPr>
          <w:spacing w:val="1"/>
        </w:rPr>
        <w:t> </w:t>
      </w:r>
      <w:r>
        <w:rPr/>
        <w:t>la</w:t>
      </w:r>
      <w:r>
        <w:rPr>
          <w:spacing w:val="-1"/>
        </w:rPr>
        <w:t> </w:t>
      </w:r>
      <w:r>
        <w:rPr/>
        <w:t>descarbonización</w:t>
      </w:r>
      <w:r>
        <w:rPr>
          <w:spacing w:val="3"/>
        </w:rPr>
        <w:t> </w:t>
      </w:r>
      <w:r>
        <w:rPr/>
        <w:t>del transporte</w:t>
      </w:r>
      <w:r>
        <w:rPr>
          <w:spacing w:val="1"/>
        </w:rPr>
        <w:t> </w:t>
      </w:r>
      <w:r>
        <w:rPr/>
        <w:t>público</w:t>
      </w:r>
      <w:r>
        <w:rPr>
          <w:spacing w:val="3"/>
        </w:rPr>
        <w:t> </w:t>
      </w:r>
      <w:r>
        <w:rPr>
          <w:spacing w:val="-2"/>
        </w:rPr>
        <w:t>mediante</w:t>
      </w:r>
    </w:p>
    <w:p>
      <w:pPr>
        <w:pStyle w:val="BodyText"/>
        <w:spacing w:before="116"/>
        <w:jc w:val="center"/>
      </w:pPr>
      <w:r>
        <w:rPr/>
        <w:t>la</w:t>
      </w:r>
      <w:r>
        <w:rPr>
          <w:spacing w:val="37"/>
        </w:rPr>
        <w:t> </w:t>
      </w:r>
      <w:r>
        <w:rPr/>
        <w:t>renovación</w:t>
      </w:r>
      <w:r>
        <w:rPr>
          <w:spacing w:val="39"/>
        </w:rPr>
        <w:t> </w:t>
      </w:r>
      <w:r>
        <w:rPr/>
        <w:t>constante</w:t>
      </w:r>
      <w:r>
        <w:rPr>
          <w:spacing w:val="40"/>
        </w:rPr>
        <w:t> </w:t>
      </w:r>
      <w:r>
        <w:rPr/>
        <w:t>de</w:t>
      </w:r>
      <w:r>
        <w:rPr>
          <w:spacing w:val="42"/>
        </w:rPr>
        <w:t> </w:t>
      </w:r>
      <w:r>
        <w:rPr/>
        <w:t>su</w:t>
      </w:r>
      <w:r>
        <w:rPr>
          <w:spacing w:val="40"/>
        </w:rPr>
        <w:t> </w:t>
      </w:r>
      <w:r>
        <w:rPr/>
        <w:t>flota</w:t>
      </w:r>
      <w:r>
        <w:rPr>
          <w:spacing w:val="39"/>
        </w:rPr>
        <w:t> </w:t>
      </w:r>
      <w:r>
        <w:rPr/>
        <w:t>con</w:t>
      </w:r>
      <w:r>
        <w:rPr>
          <w:spacing w:val="41"/>
        </w:rPr>
        <w:t> </w:t>
      </w:r>
      <w:r>
        <w:rPr/>
        <w:t>vehículos</w:t>
      </w:r>
      <w:r>
        <w:rPr>
          <w:spacing w:val="42"/>
        </w:rPr>
        <w:t> </w:t>
      </w:r>
      <w:r>
        <w:rPr/>
        <w:t>de</w:t>
      </w:r>
      <w:r>
        <w:rPr>
          <w:spacing w:val="40"/>
        </w:rPr>
        <w:t> </w:t>
      </w:r>
      <w:r>
        <w:rPr/>
        <w:t>bajas</w:t>
      </w:r>
      <w:r>
        <w:rPr>
          <w:spacing w:val="41"/>
        </w:rPr>
        <w:t> </w:t>
      </w:r>
      <w:r>
        <w:rPr/>
        <w:t>o</w:t>
      </w:r>
      <w:r>
        <w:rPr>
          <w:spacing w:val="42"/>
        </w:rPr>
        <w:t> </w:t>
      </w:r>
      <w:r>
        <w:rPr/>
        <w:t>nulas</w:t>
      </w:r>
      <w:r>
        <w:rPr>
          <w:spacing w:val="40"/>
        </w:rPr>
        <w:t> </w:t>
      </w:r>
      <w:r>
        <w:rPr/>
        <w:t>emisiones,</w:t>
      </w:r>
      <w:r>
        <w:rPr>
          <w:spacing w:val="38"/>
        </w:rPr>
        <w:t> </w:t>
      </w:r>
      <w:r>
        <w:rPr>
          <w:spacing w:val="-2"/>
        </w:rPr>
        <w:t>incluyendo</w:t>
      </w:r>
    </w:p>
    <w:p>
      <w:pPr>
        <w:pStyle w:val="BodyText"/>
        <w:spacing w:line="360" w:lineRule="auto" w:before="115"/>
        <w:ind w:left="1341" w:right="1335"/>
        <w:jc w:val="both"/>
      </w:pPr>
      <w:r>
        <w:rPr/>
        <w:t>unidades eléctricas e híbridas, y el impulso de proyectos de alta capacidad como la MetroGuagua. Este compromiso se refuerza con acciones transversales de eficiencia, como la certificación de su huella de carbono, el fomento de la conducción eficiente entre su personal y la gestión circular de recursos mediante el reciclaje de agua en sus procesos de lavado. Estas medidas están alineadas con los objetivos estratégicos de la empresa para 2027, que buscan situar sus emisiones en conformidad con el Acuerdo de París.</w:t>
      </w:r>
    </w:p>
    <w:p>
      <w:pPr>
        <w:pStyle w:val="Heading3"/>
        <w:numPr>
          <w:ilvl w:val="1"/>
          <w:numId w:val="48"/>
        </w:numPr>
        <w:tabs>
          <w:tab w:pos="1728" w:val="left" w:leader="none"/>
        </w:tabs>
        <w:spacing w:line="240" w:lineRule="auto" w:before="201" w:after="0"/>
        <w:ind w:left="1728" w:right="0" w:hanging="387"/>
        <w:jc w:val="left"/>
      </w:pPr>
      <w:r>
        <w:rPr/>
        <mc:AlternateContent>
          <mc:Choice Requires="wps">
            <w:drawing>
              <wp:anchor distT="0" distB="0" distL="0" distR="0" allowOverlap="1" layoutInCell="1" locked="0" behindDoc="0" simplePos="0" relativeHeight="15826944">
                <wp:simplePos x="0" y="0"/>
                <wp:positionH relativeFrom="page">
                  <wp:posOffset>6966436</wp:posOffset>
                </wp:positionH>
                <wp:positionV relativeFrom="paragraph">
                  <wp:posOffset>160230</wp:posOffset>
                </wp:positionV>
                <wp:extent cx="263525" cy="327596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61</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2.616572pt;width:20.75pt;height:257.95pt;mso-position-horizontal-relative:page;mso-position-vertical-relative:paragraph;z-index:15826944" type="#_x0000_t202" id="docshape260"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61</w:t>
                      </w:r>
                      <w:r>
                        <w:rPr>
                          <w:spacing w:val="-6"/>
                          <w:sz w:val="12"/>
                        </w:rPr>
                        <w:t> </w:t>
                      </w:r>
                      <w:r>
                        <w:rPr>
                          <w:sz w:val="12"/>
                        </w:rPr>
                        <w:t>de</w:t>
                      </w:r>
                      <w:r>
                        <w:rPr>
                          <w:spacing w:val="-6"/>
                          <w:sz w:val="12"/>
                        </w:rPr>
                        <w:t> </w:t>
                      </w:r>
                      <w:r>
                        <w:rPr>
                          <w:spacing w:val="-5"/>
                          <w:sz w:val="12"/>
                        </w:rPr>
                        <w:t>69</w:t>
                      </w:r>
                    </w:p>
                  </w:txbxContent>
                </v:textbox>
                <w10:wrap type="none"/>
              </v:shape>
            </w:pict>
          </mc:Fallback>
        </mc:AlternateContent>
      </w:r>
      <w:bookmarkStart w:name="_TOC_250004" w:id="48"/>
      <w:r>
        <w:rPr/>
        <w:t>Subcontratación</w:t>
      </w:r>
      <w:r>
        <w:rPr>
          <w:spacing w:val="-7"/>
        </w:rPr>
        <w:t> </w:t>
      </w:r>
      <w:r>
        <w:rPr/>
        <w:t>y</w:t>
      </w:r>
      <w:r>
        <w:rPr>
          <w:spacing w:val="-12"/>
        </w:rPr>
        <w:t> </w:t>
      </w:r>
      <w:bookmarkEnd w:id="48"/>
      <w:r>
        <w:rPr>
          <w:spacing w:val="-2"/>
        </w:rPr>
        <w:t>proveedores</w:t>
      </w:r>
    </w:p>
    <w:p>
      <w:pPr>
        <w:pStyle w:val="BodyText"/>
        <w:spacing w:before="44"/>
        <w:rPr>
          <w:b/>
        </w:rPr>
      </w:pPr>
    </w:p>
    <w:p>
      <w:pPr>
        <w:pStyle w:val="BodyText"/>
        <w:spacing w:line="360" w:lineRule="auto"/>
        <w:ind w:left="1341" w:right="1337"/>
        <w:jc w:val="both"/>
      </w:pPr>
      <w:r>
        <w:rPr/>
        <w:t>El incumplimiento de contratos de mantenimiento/reparación por parte de los proveedores, la rotura de stock de recambios en el almacén de la compañía y la avería de equipos o</w:t>
      </w:r>
      <w:r>
        <w:rPr>
          <w:spacing w:val="40"/>
        </w:rPr>
        <w:t> </w:t>
      </w:r>
      <w:r>
        <w:rPr/>
        <w:t>maquinaria de talleres que impida la</w:t>
      </w:r>
      <w:r>
        <w:rPr>
          <w:spacing w:val="-1"/>
        </w:rPr>
        <w:t> </w:t>
      </w:r>
      <w:r>
        <w:rPr/>
        <w:t>realización de los trabajos, pueden</w:t>
      </w:r>
      <w:r>
        <w:rPr>
          <w:spacing w:val="-1"/>
        </w:rPr>
        <w:t> </w:t>
      </w:r>
      <w:r>
        <w:rPr/>
        <w:t>representar los riesgos más evidentes en el corto plazo en relación con el mantenimiento de la flota necesario para prestar el servicio.</w:t>
      </w:r>
    </w:p>
    <w:p>
      <w:pPr>
        <w:pStyle w:val="BodyText"/>
        <w:spacing w:line="360" w:lineRule="auto" w:before="200"/>
        <w:ind w:left="1341" w:right="1337"/>
        <w:jc w:val="both"/>
      </w:pPr>
      <w:r>
        <w:rPr/>
        <w:t>El contacto periódico con proveedores y el establecimiento de un protocolo de verificación de cumplimiento de las condiciones del contrato, el control del inventario periódico de almacenes de</w:t>
      </w:r>
      <w:r>
        <w:rPr>
          <w:spacing w:val="-1"/>
        </w:rPr>
        <w:t> </w:t>
      </w:r>
      <w:r>
        <w:rPr/>
        <w:t>repuestos y</w:t>
      </w:r>
      <w:r>
        <w:rPr>
          <w:spacing w:val="-4"/>
        </w:rPr>
        <w:t> </w:t>
      </w:r>
      <w:r>
        <w:rPr/>
        <w:t>planificación</w:t>
      </w:r>
      <w:r>
        <w:rPr>
          <w:spacing w:val="-1"/>
        </w:rPr>
        <w:t> </w:t>
      </w:r>
      <w:r>
        <w:rPr/>
        <w:t>de</w:t>
      </w:r>
      <w:r>
        <w:rPr>
          <w:spacing w:val="-2"/>
        </w:rPr>
        <w:t> </w:t>
      </w:r>
      <w:r>
        <w:rPr/>
        <w:t>compras,</w:t>
      </w:r>
      <w:r>
        <w:rPr>
          <w:spacing w:val="-1"/>
        </w:rPr>
        <w:t> </w:t>
      </w:r>
      <w:r>
        <w:rPr/>
        <w:t>así</w:t>
      </w:r>
      <w:r>
        <w:rPr>
          <w:spacing w:val="-1"/>
        </w:rPr>
        <w:t> </w:t>
      </w:r>
      <w:r>
        <w:rPr/>
        <w:t>como,</w:t>
      </w:r>
      <w:r>
        <w:rPr>
          <w:spacing w:val="-1"/>
        </w:rPr>
        <w:t> </w:t>
      </w:r>
      <w:r>
        <w:rPr/>
        <w:t>la</w:t>
      </w:r>
      <w:r>
        <w:rPr>
          <w:spacing w:val="-2"/>
        </w:rPr>
        <w:t> </w:t>
      </w:r>
      <w:r>
        <w:rPr/>
        <w:t>revisión y</w:t>
      </w:r>
      <w:r>
        <w:rPr>
          <w:spacing w:val="-4"/>
        </w:rPr>
        <w:t> </w:t>
      </w:r>
      <w:r>
        <w:rPr/>
        <w:t>mantenimien</w:t>
      </w:r>
      <w:r>
        <w:rPr>
          <w:spacing w:val="-4"/>
        </w:rPr>
        <w:t> </w:t>
      </w:r>
      <w:r>
        <w:rPr/>
        <w:t>o</w:t>
      </w:r>
      <w:r>
        <w:rPr>
          <w:spacing w:val="-1"/>
        </w:rPr>
        <w:t> </w:t>
      </w:r>
      <w:r>
        <w:rPr/>
        <w:t>periódico</w:t>
      </w:r>
      <w:r>
        <w:rPr>
          <w:spacing w:val="-2"/>
        </w:rPr>
        <w:t> </w:t>
      </w:r>
      <w:r>
        <w:rPr/>
        <w:t>de los equipos son medidas encaminadas a mitigar los riesgos relacionados con el mantenimiento adecuado de la flota.</w:t>
      </w:r>
    </w:p>
    <w:p>
      <w:pPr>
        <w:pStyle w:val="BodyText"/>
        <w:spacing w:line="360" w:lineRule="auto" w:before="200"/>
        <w:ind w:left="1341" w:right="1337"/>
        <w:jc w:val="both"/>
      </w:pPr>
      <w:r>
        <w:rPr/>
        <w:t>Los proveedores implicados en la cadena de suministro de GMSA son de diversa tipología. Comenzaríamos con los proveedores de los vehículos de la empresa que varían en función de</w:t>
      </w:r>
    </w:p>
    <w:p>
      <w:pPr>
        <w:pStyle w:val="BodyText"/>
        <w:spacing w:after="0" w:line="360" w:lineRule="auto"/>
        <w:jc w:val="both"/>
        <w:sectPr>
          <w:pgSz w:w="11910" w:h="16840"/>
          <w:pgMar w:header="384" w:footer="1060" w:top="1200" w:bottom="1260" w:left="360" w:right="360"/>
        </w:sectPr>
      </w:pPr>
    </w:p>
    <w:p>
      <w:pPr>
        <w:pStyle w:val="BodyText"/>
        <w:spacing w:line="360" w:lineRule="auto" w:before="215"/>
        <w:ind w:left="1341" w:right="1308"/>
      </w:pPr>
      <w:r>
        <w:rPr/>
        <w:t>las</w:t>
      </w:r>
      <w:r>
        <w:rPr>
          <w:spacing w:val="33"/>
        </w:rPr>
        <w:t> </w:t>
      </w:r>
      <w:r>
        <w:rPr/>
        <w:t>licitaciones</w:t>
      </w:r>
      <w:r>
        <w:rPr>
          <w:spacing w:val="33"/>
        </w:rPr>
        <w:t> </w:t>
      </w:r>
      <w:r>
        <w:rPr/>
        <w:t>que</w:t>
      </w:r>
      <w:r>
        <w:rPr>
          <w:spacing w:val="32"/>
        </w:rPr>
        <w:t> </w:t>
      </w:r>
      <w:r>
        <w:rPr/>
        <w:t>se</w:t>
      </w:r>
      <w:r>
        <w:rPr>
          <w:spacing w:val="32"/>
        </w:rPr>
        <w:t> </w:t>
      </w:r>
      <w:r>
        <w:rPr/>
        <w:t>hayan</w:t>
      </w:r>
      <w:r>
        <w:rPr>
          <w:spacing w:val="32"/>
        </w:rPr>
        <w:t> </w:t>
      </w:r>
      <w:r>
        <w:rPr/>
        <w:t>producido,</w:t>
      </w:r>
      <w:r>
        <w:rPr>
          <w:spacing w:val="33"/>
        </w:rPr>
        <w:t> </w:t>
      </w:r>
      <w:r>
        <w:rPr/>
        <w:t>fomentando</w:t>
      </w:r>
      <w:r>
        <w:rPr>
          <w:spacing w:val="32"/>
        </w:rPr>
        <w:t> </w:t>
      </w:r>
      <w:r>
        <w:rPr/>
        <w:t>la</w:t>
      </w:r>
      <w:r>
        <w:rPr>
          <w:spacing w:val="32"/>
        </w:rPr>
        <w:t> </w:t>
      </w:r>
      <w:r>
        <w:rPr/>
        <w:t>diversidad</w:t>
      </w:r>
      <w:r>
        <w:rPr>
          <w:spacing w:val="32"/>
        </w:rPr>
        <w:t> </w:t>
      </w:r>
      <w:r>
        <w:rPr/>
        <w:t>de</w:t>
      </w:r>
      <w:r>
        <w:rPr>
          <w:spacing w:val="32"/>
        </w:rPr>
        <w:t> </w:t>
      </w:r>
      <w:r>
        <w:rPr/>
        <w:t>marcas</w:t>
      </w:r>
      <w:r>
        <w:rPr>
          <w:spacing w:val="31"/>
        </w:rPr>
        <w:t> </w:t>
      </w:r>
      <w:r>
        <w:rPr/>
        <w:t>en</w:t>
      </w:r>
      <w:r>
        <w:rPr>
          <w:spacing w:val="33"/>
        </w:rPr>
        <w:t> </w:t>
      </w:r>
      <w:r>
        <w:rPr/>
        <w:t>la</w:t>
      </w:r>
      <w:r>
        <w:rPr>
          <w:spacing w:val="33"/>
        </w:rPr>
        <w:t> </w:t>
      </w:r>
      <w:r>
        <w:rPr/>
        <w:t>flota</w:t>
      </w:r>
      <w:r>
        <w:rPr>
          <w:spacing w:val="33"/>
        </w:rPr>
        <w:t> </w:t>
      </w:r>
      <w:r>
        <w:rPr/>
        <w:t>de GMSA. Seguiríamos</w:t>
      </w:r>
      <w:r>
        <w:rPr>
          <w:spacing w:val="1"/>
        </w:rPr>
        <w:t> </w:t>
      </w:r>
      <w:r>
        <w:rPr/>
        <w:t>con</w:t>
      </w:r>
      <w:r>
        <w:rPr>
          <w:spacing w:val="1"/>
        </w:rPr>
        <w:t> </w:t>
      </w:r>
      <w:r>
        <w:rPr/>
        <w:t>proveedores</w:t>
      </w:r>
      <w:r>
        <w:rPr>
          <w:spacing w:val="1"/>
        </w:rPr>
        <w:t> </w:t>
      </w:r>
      <w:r>
        <w:rPr/>
        <w:t>de</w:t>
      </w:r>
      <w:r>
        <w:rPr>
          <w:spacing w:val="2"/>
        </w:rPr>
        <w:t> </w:t>
      </w:r>
      <w:r>
        <w:rPr/>
        <w:t>aprovisionamientos</w:t>
      </w:r>
      <w:r>
        <w:rPr>
          <w:spacing w:val="1"/>
        </w:rPr>
        <w:t> </w:t>
      </w:r>
      <w:r>
        <w:rPr/>
        <w:t>necesarios</w:t>
      </w:r>
      <w:r>
        <w:rPr>
          <w:spacing w:val="1"/>
        </w:rPr>
        <w:t> </w:t>
      </w:r>
      <w:r>
        <w:rPr/>
        <w:t>para</w:t>
      </w:r>
      <w:r>
        <w:rPr>
          <w:spacing w:val="1"/>
        </w:rPr>
        <w:t> </w:t>
      </w:r>
      <w:r>
        <w:rPr/>
        <w:t>la</w:t>
      </w:r>
      <w:r>
        <w:rPr>
          <w:spacing w:val="1"/>
        </w:rPr>
        <w:t> </w:t>
      </w:r>
      <w:r>
        <w:rPr/>
        <w:t>prestación</w:t>
      </w:r>
      <w:r>
        <w:rPr>
          <w:spacing w:val="1"/>
        </w:rPr>
        <w:t> </w:t>
      </w:r>
      <w:r>
        <w:rPr>
          <w:spacing w:val="-5"/>
        </w:rPr>
        <w:t>del</w:t>
      </w:r>
    </w:p>
    <w:p>
      <w:pPr>
        <w:pStyle w:val="BodyText"/>
        <w:spacing w:line="229" w:lineRule="exact"/>
        <w:jc w:val="center"/>
      </w:pPr>
      <w:r>
        <w:rPr/>
        <w:t>servicio</w:t>
      </w:r>
      <w:r>
        <w:rPr>
          <w:spacing w:val="34"/>
        </w:rPr>
        <w:t> </w:t>
      </w:r>
      <w:r>
        <w:rPr/>
        <w:t>como</w:t>
      </w:r>
      <w:r>
        <w:rPr>
          <w:spacing w:val="31"/>
        </w:rPr>
        <w:t> </w:t>
      </w:r>
      <w:r>
        <w:rPr/>
        <w:t>es</w:t>
      </w:r>
      <w:r>
        <w:rPr>
          <w:spacing w:val="34"/>
        </w:rPr>
        <w:t> </w:t>
      </w:r>
      <w:r>
        <w:rPr/>
        <w:t>el</w:t>
      </w:r>
      <w:r>
        <w:rPr>
          <w:spacing w:val="32"/>
        </w:rPr>
        <w:t> </w:t>
      </w:r>
      <w:r>
        <w:rPr/>
        <w:t>gasóleo,</w:t>
      </w:r>
      <w:r>
        <w:rPr>
          <w:spacing w:val="32"/>
        </w:rPr>
        <w:t> </w:t>
      </w:r>
      <w:r>
        <w:rPr/>
        <w:t>el</w:t>
      </w:r>
      <w:r>
        <w:rPr>
          <w:spacing w:val="30"/>
        </w:rPr>
        <w:t> </w:t>
      </w:r>
      <w:r>
        <w:rPr/>
        <w:t>suministro</w:t>
      </w:r>
      <w:r>
        <w:rPr>
          <w:spacing w:val="31"/>
        </w:rPr>
        <w:t> </w:t>
      </w:r>
      <w:r>
        <w:rPr/>
        <w:t>de</w:t>
      </w:r>
      <w:r>
        <w:rPr>
          <w:spacing w:val="34"/>
        </w:rPr>
        <w:t> </w:t>
      </w:r>
      <w:r>
        <w:rPr/>
        <w:t>energía</w:t>
      </w:r>
      <w:r>
        <w:rPr>
          <w:spacing w:val="32"/>
        </w:rPr>
        <w:t> </w:t>
      </w:r>
      <w:r>
        <w:rPr/>
        <w:t>eléctrica,</w:t>
      </w:r>
      <w:r>
        <w:rPr>
          <w:spacing w:val="34"/>
        </w:rPr>
        <w:t> </w:t>
      </w:r>
      <w:r>
        <w:rPr/>
        <w:t>los</w:t>
      </w:r>
      <w:r>
        <w:rPr>
          <w:spacing w:val="34"/>
        </w:rPr>
        <w:t> </w:t>
      </w:r>
      <w:r>
        <w:rPr/>
        <w:t>repue</w:t>
      </w:r>
      <w:r>
        <w:rPr>
          <w:spacing w:val="39"/>
        </w:rPr>
        <w:t> </w:t>
      </w:r>
      <w:r>
        <w:rPr/>
        <w:t>tos</w:t>
      </w:r>
      <w:r>
        <w:rPr>
          <w:spacing w:val="38"/>
        </w:rPr>
        <w:t> </w:t>
      </w:r>
      <w:r>
        <w:rPr/>
        <w:t>y</w:t>
      </w:r>
      <w:r>
        <w:rPr>
          <w:spacing w:val="30"/>
        </w:rPr>
        <w:t> </w:t>
      </w:r>
      <w:r>
        <w:rPr/>
        <w:t>los</w:t>
      </w:r>
      <w:r>
        <w:rPr>
          <w:spacing w:val="34"/>
        </w:rPr>
        <w:t> </w:t>
      </w:r>
      <w:r>
        <w:rPr>
          <w:spacing w:val="-2"/>
        </w:rPr>
        <w:t>talleres</w:t>
      </w:r>
    </w:p>
    <w:p>
      <w:pPr>
        <w:pStyle w:val="BodyText"/>
        <w:spacing w:line="360" w:lineRule="auto" w:before="115"/>
        <w:ind w:left="1341" w:right="1336"/>
        <w:jc w:val="both"/>
      </w:pPr>
      <w:r>
        <w:rPr/>
        <w:t>externos, que ayudan a la operativa de la flota y al mantenimiento de la misma. En cuanto a la ubicación geográfica, los proveedores se encuentran principalmente en la provincia de Las Palmas, y más en concreto en la isla de Gran Canaria. Sin embargo, existen casos puntuales en adquisiciones de flota y de repuestos que se producen directamente en Península Ibérica, debido a que el proveedor de GMSA es el fabricante directamente (las delegaciones suelen estar situadas en algunas capitales de provincia de la geografía española).</w:t>
      </w:r>
    </w:p>
    <w:p>
      <w:pPr>
        <w:pStyle w:val="BodyText"/>
        <w:spacing w:line="360" w:lineRule="auto" w:before="201"/>
        <w:ind w:left="1341" w:right="1336"/>
        <w:jc w:val="both"/>
      </w:pPr>
      <w:r>
        <w:rPr/>
        <w:t>El número total de proveedores con los que la empresa ha tenido transacciones durante 2025 ha sido de 484 y el volumen de pagos realizados durante el año 2025 correspondiente a las mismas en su conjunto ha superado los 31,3 MM € (58 proveedores acaparan el 92,5% de los pagos realizados durante el 2025).</w:t>
      </w:r>
    </w:p>
    <w:p>
      <w:pPr>
        <w:pStyle w:val="BodyText"/>
        <w:spacing w:before="199"/>
        <w:jc w:val="center"/>
      </w:pPr>
      <w:r>
        <w:rPr/>
        <w:t>La</w:t>
      </w:r>
      <w:r>
        <w:rPr>
          <w:spacing w:val="56"/>
        </w:rPr>
        <w:t> </w:t>
      </w:r>
      <w:r>
        <w:rPr/>
        <w:t>prestación</w:t>
      </w:r>
      <w:r>
        <w:rPr>
          <w:spacing w:val="58"/>
        </w:rPr>
        <w:t> </w:t>
      </w:r>
      <w:r>
        <w:rPr/>
        <w:t>del</w:t>
      </w:r>
      <w:r>
        <w:rPr>
          <w:spacing w:val="54"/>
        </w:rPr>
        <w:t> </w:t>
      </w:r>
      <w:r>
        <w:rPr/>
        <w:t>servicio</w:t>
      </w:r>
      <w:r>
        <w:rPr>
          <w:spacing w:val="57"/>
        </w:rPr>
        <w:t> </w:t>
      </w:r>
      <w:r>
        <w:rPr/>
        <w:t>por</w:t>
      </w:r>
      <w:r>
        <w:rPr>
          <w:spacing w:val="57"/>
        </w:rPr>
        <w:t> </w:t>
      </w:r>
      <w:r>
        <w:rPr/>
        <w:t>parte</w:t>
      </w:r>
      <w:r>
        <w:rPr>
          <w:spacing w:val="55"/>
        </w:rPr>
        <w:t> </w:t>
      </w:r>
      <w:r>
        <w:rPr/>
        <w:t>de</w:t>
      </w:r>
      <w:r>
        <w:rPr>
          <w:spacing w:val="56"/>
        </w:rPr>
        <w:t> </w:t>
      </w:r>
      <w:r>
        <w:rPr/>
        <w:t>GMSA</w:t>
      </w:r>
      <w:r>
        <w:rPr>
          <w:spacing w:val="56"/>
        </w:rPr>
        <w:t> </w:t>
      </w:r>
      <w:r>
        <w:rPr/>
        <w:t>requiere</w:t>
      </w:r>
      <w:r>
        <w:rPr>
          <w:spacing w:val="58"/>
        </w:rPr>
        <w:t> </w:t>
      </w:r>
      <w:r>
        <w:rPr/>
        <w:t>de</w:t>
      </w:r>
      <w:r>
        <w:rPr>
          <w:spacing w:val="59"/>
        </w:rPr>
        <w:t> </w:t>
      </w:r>
      <w:r>
        <w:rPr/>
        <w:t>vehículos</w:t>
      </w:r>
      <w:r>
        <w:rPr>
          <w:spacing w:val="58"/>
        </w:rPr>
        <w:t> </w:t>
      </w:r>
      <w:r>
        <w:rPr/>
        <w:t>que</w:t>
      </w:r>
      <w:r>
        <w:rPr>
          <w:spacing w:val="56"/>
        </w:rPr>
        <w:t> </w:t>
      </w:r>
      <w:r>
        <w:rPr/>
        <w:t>si</w:t>
      </w:r>
      <w:r>
        <w:rPr>
          <w:spacing w:val="54"/>
        </w:rPr>
        <w:t> </w:t>
      </w:r>
      <w:r>
        <w:rPr/>
        <w:t>bien</w:t>
      </w:r>
      <w:r>
        <w:rPr>
          <w:spacing w:val="59"/>
        </w:rPr>
        <w:t> </w:t>
      </w:r>
      <w:r>
        <w:rPr/>
        <w:t>en</w:t>
      </w:r>
      <w:r>
        <w:rPr>
          <w:spacing w:val="55"/>
        </w:rPr>
        <w:t> </w:t>
      </w:r>
      <w:r>
        <w:rPr>
          <w:spacing w:val="-5"/>
        </w:rPr>
        <w:t>su</w:t>
      </w:r>
    </w:p>
    <w:p>
      <w:pPr>
        <w:pStyle w:val="BodyText"/>
        <w:spacing w:line="360" w:lineRule="auto" w:before="116"/>
        <w:ind w:left="1341" w:right="1336"/>
        <w:jc w:val="both"/>
      </w:pPr>
      <w:r>
        <w:rPr/>
        <w:t>fabricación entendemos que no tienen un componente intensivo en mano de obra (tienen parte de los procesos productivos automatizados y</w:t>
      </w:r>
      <w:r>
        <w:rPr>
          <w:spacing w:val="-2"/>
        </w:rPr>
        <w:t> </w:t>
      </w:r>
      <w:r>
        <w:rPr/>
        <w:t>con alto componente tecnológico), sí que lo tiene en su uso, aumentando su grado de intensidad debido al requerimiento necesario de personal en el montaje de los repuestos para las revisiones y/o reparaciones y mantenimiento de los </w:t>
      </w:r>
      <w:r>
        <w:rPr>
          <w:spacing w:val="-2"/>
        </w:rPr>
        <w:t>vehículos.</w:t>
      </w:r>
    </w:p>
    <w:p>
      <w:pPr>
        <w:pStyle w:val="BodyText"/>
        <w:spacing w:line="360" w:lineRule="auto" w:before="200"/>
        <w:ind w:left="1341" w:right="1335"/>
        <w:jc w:val="both"/>
      </w:pPr>
      <w:r>
        <w:rPr/>
        <mc:AlternateContent>
          <mc:Choice Requires="wps">
            <w:drawing>
              <wp:anchor distT="0" distB="0" distL="0" distR="0" allowOverlap="1" layoutInCell="1" locked="0" behindDoc="0" simplePos="0" relativeHeight="15827456">
                <wp:simplePos x="0" y="0"/>
                <wp:positionH relativeFrom="page">
                  <wp:posOffset>6966436</wp:posOffset>
                </wp:positionH>
                <wp:positionV relativeFrom="paragraph">
                  <wp:posOffset>1238461</wp:posOffset>
                </wp:positionV>
                <wp:extent cx="263525" cy="327596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62</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97.516632pt;width:20.75pt;height:257.95pt;mso-position-horizontal-relative:page;mso-position-vertical-relative:paragraph;z-index:15827456" type="#_x0000_t202" id="docshape261"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62</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De lo anteriormente descrito se puede</w:t>
      </w:r>
      <w:r>
        <w:rPr>
          <w:spacing w:val="-2"/>
        </w:rPr>
        <w:t> </w:t>
      </w:r>
      <w:r>
        <w:rPr/>
        <w:t>observar que los proveedores principales de GMSA</w:t>
      </w:r>
      <w:r>
        <w:rPr>
          <w:spacing w:val="-2"/>
        </w:rPr>
        <w:t> </w:t>
      </w:r>
      <w:r>
        <w:rPr/>
        <w:t>son: los suministradores de los vehículos de la flota, proveedores de repuestos del taller interno, suministradores de taller externo para mantenimiento y reparación de los vehículos, las empresas</w:t>
      </w:r>
      <w:r>
        <w:rPr>
          <w:spacing w:val="-3"/>
        </w:rPr>
        <w:t> </w:t>
      </w:r>
      <w:r>
        <w:rPr/>
        <w:t>aseguradoras de</w:t>
      </w:r>
      <w:r>
        <w:rPr>
          <w:spacing w:val="-3"/>
        </w:rPr>
        <w:t> </w:t>
      </w:r>
      <w:r>
        <w:rPr/>
        <w:t>las pólizas de</w:t>
      </w:r>
      <w:r>
        <w:rPr>
          <w:spacing w:val="-1"/>
        </w:rPr>
        <w:t> </w:t>
      </w:r>
      <w:r>
        <w:rPr/>
        <w:t>RC</w:t>
      </w:r>
      <w:r>
        <w:rPr>
          <w:spacing w:val="-1"/>
        </w:rPr>
        <w:t> </w:t>
      </w:r>
      <w:r>
        <w:rPr/>
        <w:t>de</w:t>
      </w:r>
      <w:r>
        <w:rPr>
          <w:spacing w:val="-1"/>
        </w:rPr>
        <w:t> </w:t>
      </w:r>
      <w:r>
        <w:rPr/>
        <w:t>la</w:t>
      </w:r>
      <w:r>
        <w:rPr>
          <w:spacing w:val="-4"/>
        </w:rPr>
        <w:t> </w:t>
      </w:r>
      <w:r>
        <w:rPr/>
        <w:t>flota,</w:t>
      </w:r>
      <w:r>
        <w:rPr>
          <w:spacing w:val="-4"/>
        </w:rPr>
        <w:t> </w:t>
      </w:r>
      <w:r>
        <w:rPr/>
        <w:t>los</w:t>
      </w:r>
      <w:r>
        <w:rPr>
          <w:spacing w:val="-2"/>
        </w:rPr>
        <w:t> </w:t>
      </w:r>
      <w:r>
        <w:rPr/>
        <w:t>proveedores</w:t>
      </w:r>
      <w:r>
        <w:rPr>
          <w:spacing w:val="-3"/>
        </w:rPr>
        <w:t> </w:t>
      </w:r>
      <w:r>
        <w:rPr/>
        <w:t>de</w:t>
      </w:r>
      <w:r>
        <w:rPr>
          <w:spacing w:val="-3"/>
        </w:rPr>
        <w:t> </w:t>
      </w:r>
      <w:r>
        <w:rPr/>
        <w:t>combustible</w:t>
      </w:r>
      <w:r>
        <w:rPr>
          <w:spacing w:val="-1"/>
        </w:rPr>
        <w:t> </w:t>
      </w:r>
      <w:r>
        <w:rPr/>
        <w:t>de</w:t>
      </w:r>
      <w:r>
        <w:rPr>
          <w:spacing w:val="-1"/>
        </w:rPr>
        <w:t> </w:t>
      </w:r>
      <w:r>
        <w:rPr/>
        <w:t>los vehículos, proveedores de limpieza, suministradores de los títulos de viaje, proveedores de servicios</w:t>
      </w:r>
      <w:r>
        <w:rPr>
          <w:spacing w:val="59"/>
        </w:rPr>
        <w:t> </w:t>
      </w:r>
      <w:r>
        <w:rPr/>
        <w:t>bancarios,</w:t>
      </w:r>
      <w:r>
        <w:rPr>
          <w:spacing w:val="55"/>
        </w:rPr>
        <w:t> </w:t>
      </w:r>
      <w:r>
        <w:rPr/>
        <w:t>los</w:t>
      </w:r>
      <w:r>
        <w:rPr>
          <w:spacing w:val="58"/>
        </w:rPr>
        <w:t> </w:t>
      </w:r>
      <w:r>
        <w:rPr/>
        <w:t>proveedores</w:t>
      </w:r>
      <w:r>
        <w:rPr>
          <w:spacing w:val="59"/>
        </w:rPr>
        <w:t> </w:t>
      </w:r>
      <w:r>
        <w:rPr/>
        <w:t>informáticos</w:t>
      </w:r>
      <w:r>
        <w:rPr>
          <w:spacing w:val="57"/>
        </w:rPr>
        <w:t> </w:t>
      </w:r>
      <w:r>
        <w:rPr/>
        <w:t>para</w:t>
      </w:r>
      <w:r>
        <w:rPr>
          <w:spacing w:val="55"/>
        </w:rPr>
        <w:t> </w:t>
      </w:r>
      <w:r>
        <w:rPr/>
        <w:t>el</w:t>
      </w:r>
      <w:r>
        <w:rPr>
          <w:spacing w:val="56"/>
        </w:rPr>
        <w:t> </w:t>
      </w:r>
      <w:r>
        <w:rPr/>
        <w:t>diseño</w:t>
      </w:r>
      <w:r>
        <w:rPr>
          <w:spacing w:val="62"/>
        </w:rPr>
        <w:t> </w:t>
      </w:r>
      <w:r>
        <w:rPr/>
        <w:t>y</w:t>
      </w:r>
      <w:r>
        <w:rPr>
          <w:spacing w:val="51"/>
        </w:rPr>
        <w:t> </w:t>
      </w:r>
      <w:r>
        <w:rPr/>
        <w:t>mantenimiento</w:t>
      </w:r>
      <w:r>
        <w:rPr>
          <w:spacing w:val="56"/>
        </w:rPr>
        <w:t> </w:t>
      </w:r>
      <w:r>
        <w:rPr/>
        <w:t>de</w:t>
      </w:r>
      <w:r>
        <w:rPr>
          <w:spacing w:val="57"/>
        </w:rPr>
        <w:t> </w:t>
      </w:r>
      <w:r>
        <w:rPr>
          <w:spacing w:val="-5"/>
        </w:rPr>
        <w:t>las</w:t>
      </w:r>
    </w:p>
    <w:p>
      <w:pPr>
        <w:pStyle w:val="BodyText"/>
        <w:spacing w:line="229" w:lineRule="exact"/>
        <w:ind w:left="2"/>
        <w:jc w:val="center"/>
      </w:pPr>
      <w:r>
        <w:rPr/>
        <w:t>aplicaciones</w:t>
      </w:r>
      <w:r>
        <w:rPr>
          <w:spacing w:val="68"/>
          <w:w w:val="150"/>
        </w:rPr>
        <w:t> </w:t>
      </w:r>
      <w:r>
        <w:rPr/>
        <w:t>de</w:t>
      </w:r>
      <w:r>
        <w:rPr>
          <w:spacing w:val="69"/>
          <w:w w:val="150"/>
        </w:rPr>
        <w:t> </w:t>
      </w:r>
      <w:r>
        <w:rPr/>
        <w:t>gestión</w:t>
      </w:r>
      <w:r>
        <w:rPr>
          <w:spacing w:val="70"/>
          <w:w w:val="150"/>
        </w:rPr>
        <w:t> </w:t>
      </w:r>
      <w:r>
        <w:rPr/>
        <w:t>y</w:t>
      </w:r>
      <w:r>
        <w:rPr>
          <w:spacing w:val="68"/>
          <w:w w:val="150"/>
        </w:rPr>
        <w:t> </w:t>
      </w:r>
      <w:r>
        <w:rPr/>
        <w:t>servicios</w:t>
      </w:r>
      <w:r>
        <w:rPr>
          <w:spacing w:val="73"/>
          <w:w w:val="150"/>
        </w:rPr>
        <w:t> </w:t>
      </w:r>
      <w:r>
        <w:rPr/>
        <w:t>y</w:t>
      </w:r>
      <w:r>
        <w:rPr>
          <w:spacing w:val="65"/>
          <w:w w:val="150"/>
        </w:rPr>
        <w:t> </w:t>
      </w:r>
      <w:r>
        <w:rPr/>
        <w:t>las</w:t>
      </w:r>
      <w:r>
        <w:rPr>
          <w:spacing w:val="69"/>
          <w:w w:val="150"/>
        </w:rPr>
        <w:t> </w:t>
      </w:r>
      <w:r>
        <w:rPr/>
        <w:t>administraciones</w:t>
      </w:r>
      <w:r>
        <w:rPr>
          <w:spacing w:val="71"/>
          <w:w w:val="150"/>
        </w:rPr>
        <w:t> </w:t>
      </w:r>
      <w:r>
        <w:rPr/>
        <w:t>públicas,</w:t>
      </w:r>
      <w:r>
        <w:rPr>
          <w:spacing w:val="68"/>
          <w:w w:val="150"/>
        </w:rPr>
        <w:t> </w:t>
      </w:r>
      <w:r>
        <w:rPr/>
        <w:t>básicamente.</w:t>
      </w:r>
      <w:r>
        <w:rPr>
          <w:spacing w:val="69"/>
          <w:w w:val="150"/>
        </w:rPr>
        <w:t> </w:t>
      </w:r>
      <w:r>
        <w:rPr>
          <w:spacing w:val="-5"/>
        </w:rPr>
        <w:t>La</w:t>
      </w:r>
    </w:p>
    <w:p>
      <w:pPr>
        <w:pStyle w:val="BodyText"/>
        <w:spacing w:line="360" w:lineRule="auto" w:before="115"/>
        <w:ind w:left="1341" w:right="1337"/>
        <w:jc w:val="both"/>
      </w:pPr>
      <w:r>
        <w:rPr/>
        <w:t>contratación de servicios y productos se realiza en base a lo establecido en la Ley 9/2017 de Contratos del Sector Público (en adelante LCSP) a partir de procedimientos de licitación, ya sean bajo contratos menores, procedimientos abiertos, procedimientos negociados con/sin publicidad y el resto de supuestos que plantea la LCSP en su articulado. También es de aplicación</w:t>
      </w:r>
      <w:r>
        <w:rPr>
          <w:spacing w:val="16"/>
        </w:rPr>
        <w:t> </w:t>
      </w:r>
      <w:r>
        <w:rPr/>
        <w:t>lo</w:t>
      </w:r>
      <w:r>
        <w:rPr>
          <w:spacing w:val="12"/>
        </w:rPr>
        <w:t> </w:t>
      </w:r>
      <w:r>
        <w:rPr/>
        <w:t>estipulado</w:t>
      </w:r>
      <w:r>
        <w:rPr>
          <w:spacing w:val="16"/>
        </w:rPr>
        <w:t> </w:t>
      </w:r>
      <w:r>
        <w:rPr/>
        <w:t>en</w:t>
      </w:r>
      <w:r>
        <w:rPr>
          <w:spacing w:val="16"/>
        </w:rPr>
        <w:t> </w:t>
      </w:r>
      <w:r>
        <w:rPr/>
        <w:t>el</w:t>
      </w:r>
      <w:r>
        <w:rPr>
          <w:spacing w:val="15"/>
        </w:rPr>
        <w:t> </w:t>
      </w:r>
      <w:r>
        <w:rPr/>
        <w:t>Real</w:t>
      </w:r>
      <w:r>
        <w:rPr>
          <w:spacing w:val="13"/>
        </w:rPr>
        <w:t> </w:t>
      </w:r>
      <w:r>
        <w:rPr/>
        <w:t>Decreto-ley</w:t>
      </w:r>
      <w:r>
        <w:rPr>
          <w:spacing w:val="13"/>
        </w:rPr>
        <w:t> </w:t>
      </w:r>
      <w:r>
        <w:rPr/>
        <w:t>3/2020,</w:t>
      </w:r>
      <w:r>
        <w:rPr>
          <w:spacing w:val="16"/>
        </w:rPr>
        <w:t> </w:t>
      </w:r>
      <w:r>
        <w:rPr/>
        <w:t>de</w:t>
      </w:r>
      <w:r>
        <w:rPr>
          <w:spacing w:val="14"/>
        </w:rPr>
        <w:t> </w:t>
      </w:r>
      <w:r>
        <w:rPr/>
        <w:t>4</w:t>
      </w:r>
      <w:r>
        <w:rPr>
          <w:spacing w:val="14"/>
        </w:rPr>
        <w:t> </w:t>
      </w:r>
      <w:r>
        <w:rPr/>
        <w:t>de</w:t>
      </w:r>
      <w:r>
        <w:rPr>
          <w:spacing w:val="17"/>
        </w:rPr>
        <w:t> </w:t>
      </w:r>
      <w:r>
        <w:rPr/>
        <w:t>febrero,</w:t>
      </w:r>
      <w:r>
        <w:rPr>
          <w:spacing w:val="16"/>
        </w:rPr>
        <w:t> </w:t>
      </w:r>
      <w:r>
        <w:rPr/>
        <w:t>de</w:t>
      </w:r>
      <w:r>
        <w:rPr>
          <w:spacing w:val="16"/>
        </w:rPr>
        <w:t> </w:t>
      </w:r>
      <w:r>
        <w:rPr/>
        <w:t>medidas</w:t>
      </w:r>
      <w:r>
        <w:rPr>
          <w:spacing w:val="18"/>
        </w:rPr>
        <w:t> </w:t>
      </w:r>
      <w:r>
        <w:rPr>
          <w:spacing w:val="-2"/>
        </w:rPr>
        <w:t>urgentes</w:t>
      </w:r>
    </w:p>
    <w:p>
      <w:pPr>
        <w:pStyle w:val="BodyText"/>
        <w:spacing w:before="1"/>
        <w:ind w:left="3"/>
        <w:jc w:val="center"/>
      </w:pPr>
      <w:r>
        <w:rPr/>
        <w:t>por</w:t>
      </w:r>
      <w:r>
        <w:rPr>
          <w:spacing w:val="41"/>
        </w:rPr>
        <w:t> </w:t>
      </w:r>
      <w:r>
        <w:rPr/>
        <w:t>el</w:t>
      </w:r>
      <w:r>
        <w:rPr>
          <w:spacing w:val="43"/>
        </w:rPr>
        <w:t> </w:t>
      </w:r>
      <w:r>
        <w:rPr/>
        <w:t>que</w:t>
      </w:r>
      <w:r>
        <w:rPr>
          <w:spacing w:val="44"/>
        </w:rPr>
        <w:t> </w:t>
      </w:r>
      <w:r>
        <w:rPr/>
        <w:t>se</w:t>
      </w:r>
      <w:r>
        <w:rPr>
          <w:spacing w:val="41"/>
        </w:rPr>
        <w:t> </w:t>
      </w:r>
      <w:r>
        <w:rPr/>
        <w:t>incorporan</w:t>
      </w:r>
      <w:r>
        <w:rPr>
          <w:spacing w:val="42"/>
        </w:rPr>
        <w:t> </w:t>
      </w:r>
      <w:r>
        <w:rPr/>
        <w:t>al</w:t>
      </w:r>
      <w:r>
        <w:rPr>
          <w:spacing w:val="45"/>
        </w:rPr>
        <w:t> </w:t>
      </w:r>
      <w:r>
        <w:rPr/>
        <w:t>ordenamiento</w:t>
      </w:r>
      <w:r>
        <w:rPr>
          <w:spacing w:val="40"/>
        </w:rPr>
        <w:t> </w:t>
      </w:r>
      <w:r>
        <w:rPr/>
        <w:t>jurídico</w:t>
      </w:r>
      <w:r>
        <w:rPr>
          <w:spacing w:val="41"/>
        </w:rPr>
        <w:t> </w:t>
      </w:r>
      <w:r>
        <w:rPr/>
        <w:t>español</w:t>
      </w:r>
      <w:r>
        <w:rPr>
          <w:spacing w:val="39"/>
        </w:rPr>
        <w:t> </w:t>
      </w:r>
      <w:r>
        <w:rPr/>
        <w:t>diversas</w:t>
      </w:r>
      <w:r>
        <w:rPr>
          <w:spacing w:val="43"/>
        </w:rPr>
        <w:t> </w:t>
      </w:r>
      <w:r>
        <w:rPr/>
        <w:t>directivas</w:t>
      </w:r>
      <w:r>
        <w:rPr>
          <w:spacing w:val="45"/>
        </w:rPr>
        <w:t> </w:t>
      </w:r>
      <w:r>
        <w:rPr/>
        <w:t>de</w:t>
      </w:r>
      <w:r>
        <w:rPr>
          <w:spacing w:val="43"/>
        </w:rPr>
        <w:t> </w:t>
      </w:r>
      <w:r>
        <w:rPr/>
        <w:t>la</w:t>
      </w:r>
      <w:r>
        <w:rPr>
          <w:spacing w:val="41"/>
        </w:rPr>
        <w:t> </w:t>
      </w:r>
      <w:r>
        <w:rPr>
          <w:spacing w:val="-2"/>
        </w:rPr>
        <w:t>Unión</w:t>
      </w:r>
    </w:p>
    <w:p>
      <w:pPr>
        <w:pStyle w:val="BodyText"/>
        <w:spacing w:line="362" w:lineRule="auto" w:before="113"/>
        <w:ind w:left="1341" w:right="1308"/>
      </w:pPr>
      <w:r>
        <w:rPr/>
        <w:t>Europea</w:t>
      </w:r>
      <w:r>
        <w:rPr>
          <w:spacing w:val="65"/>
        </w:rPr>
        <w:t> </w:t>
      </w:r>
      <w:r>
        <w:rPr/>
        <w:t>en</w:t>
      </w:r>
      <w:r>
        <w:rPr>
          <w:spacing w:val="65"/>
        </w:rPr>
        <w:t> </w:t>
      </w:r>
      <w:r>
        <w:rPr/>
        <w:t>el</w:t>
      </w:r>
      <w:r>
        <w:rPr>
          <w:spacing w:val="65"/>
        </w:rPr>
        <w:t> </w:t>
      </w:r>
      <w:r>
        <w:rPr/>
        <w:t>ámbito</w:t>
      </w:r>
      <w:r>
        <w:rPr>
          <w:spacing w:val="65"/>
        </w:rPr>
        <w:t> </w:t>
      </w:r>
      <w:r>
        <w:rPr/>
        <w:t>de</w:t>
      </w:r>
      <w:r>
        <w:rPr>
          <w:spacing w:val="66"/>
        </w:rPr>
        <w:t> </w:t>
      </w:r>
      <w:r>
        <w:rPr/>
        <w:t>la</w:t>
      </w:r>
      <w:r>
        <w:rPr>
          <w:spacing w:val="40"/>
        </w:rPr>
        <w:t> </w:t>
      </w:r>
      <w:r>
        <w:rPr/>
        <w:t>contratación</w:t>
      </w:r>
      <w:r>
        <w:rPr>
          <w:spacing w:val="40"/>
        </w:rPr>
        <w:t> </w:t>
      </w:r>
      <w:r>
        <w:rPr/>
        <w:t>pública</w:t>
      </w:r>
      <w:r>
        <w:rPr>
          <w:spacing w:val="67"/>
        </w:rPr>
        <w:t> </w:t>
      </w:r>
      <w:r>
        <w:rPr/>
        <w:t>en</w:t>
      </w:r>
      <w:r>
        <w:rPr>
          <w:spacing w:val="65"/>
        </w:rPr>
        <w:t> </w:t>
      </w:r>
      <w:r>
        <w:rPr/>
        <w:t>determinados</w:t>
      </w:r>
      <w:r>
        <w:rPr>
          <w:spacing w:val="65"/>
        </w:rPr>
        <w:t> </w:t>
      </w:r>
      <w:r>
        <w:rPr/>
        <w:t>sectores;</w:t>
      </w:r>
      <w:r>
        <w:rPr>
          <w:spacing w:val="65"/>
        </w:rPr>
        <w:t> </w:t>
      </w:r>
      <w:r>
        <w:rPr/>
        <w:t>de</w:t>
      </w:r>
      <w:r>
        <w:rPr>
          <w:spacing w:val="40"/>
        </w:rPr>
        <w:t> </w:t>
      </w:r>
      <w:r>
        <w:rPr/>
        <w:t>seguros privados; de planes y fondos de pensiones; del ámbito tributario y de litigios fiscales.</w:t>
      </w:r>
    </w:p>
    <w:p>
      <w:pPr>
        <w:pStyle w:val="BodyText"/>
        <w:spacing w:before="196"/>
        <w:ind w:right="1"/>
        <w:jc w:val="center"/>
      </w:pPr>
      <w:r>
        <w:rPr/>
        <w:t>La</w:t>
      </w:r>
      <w:r>
        <w:rPr>
          <w:spacing w:val="1"/>
        </w:rPr>
        <w:t> </w:t>
      </w:r>
      <w:r>
        <w:rPr/>
        <w:t>compañía</w:t>
      </w:r>
      <w:r>
        <w:rPr>
          <w:spacing w:val="2"/>
        </w:rPr>
        <w:t> </w:t>
      </w:r>
      <w:r>
        <w:rPr/>
        <w:t>ya está</w:t>
      </w:r>
      <w:r>
        <w:rPr>
          <w:spacing w:val="-1"/>
        </w:rPr>
        <w:t> </w:t>
      </w:r>
      <w:r>
        <w:rPr/>
        <w:t>incluyendo</w:t>
      </w:r>
      <w:r>
        <w:rPr>
          <w:spacing w:val="3"/>
        </w:rPr>
        <w:t> </w:t>
      </w:r>
      <w:r>
        <w:rPr/>
        <w:t>en su política</w:t>
      </w:r>
      <w:r>
        <w:rPr>
          <w:spacing w:val="2"/>
        </w:rPr>
        <w:t> </w:t>
      </w:r>
      <w:r>
        <w:rPr/>
        <w:t>de</w:t>
      </w:r>
      <w:r>
        <w:rPr>
          <w:spacing w:val="2"/>
        </w:rPr>
        <w:t> </w:t>
      </w:r>
      <w:r>
        <w:rPr/>
        <w:t>compras</w:t>
      </w:r>
      <w:r>
        <w:rPr>
          <w:spacing w:val="2"/>
        </w:rPr>
        <w:t> </w:t>
      </w:r>
      <w:r>
        <w:rPr/>
        <w:t>cuestiones</w:t>
      </w:r>
      <w:r>
        <w:rPr>
          <w:spacing w:val="2"/>
        </w:rPr>
        <w:t> </w:t>
      </w:r>
      <w:r>
        <w:rPr/>
        <w:t>social</w:t>
      </w:r>
      <w:r>
        <w:rPr>
          <w:spacing w:val="42"/>
        </w:rPr>
        <w:t> </w:t>
      </w:r>
      <w:r>
        <w:rPr/>
        <w:t>s, de</w:t>
      </w:r>
      <w:r>
        <w:rPr>
          <w:spacing w:val="-1"/>
        </w:rPr>
        <w:t> </w:t>
      </w:r>
      <w:r>
        <w:rPr/>
        <w:t>igualdad</w:t>
      </w:r>
      <w:r>
        <w:rPr>
          <w:spacing w:val="1"/>
        </w:rPr>
        <w:t> </w:t>
      </w:r>
      <w:r>
        <w:rPr>
          <w:spacing w:val="-5"/>
        </w:rPr>
        <w:t>de</w:t>
      </w:r>
    </w:p>
    <w:p>
      <w:pPr>
        <w:pStyle w:val="BodyText"/>
        <w:spacing w:line="360" w:lineRule="auto" w:before="116"/>
        <w:ind w:left="1341" w:right="1308"/>
      </w:pPr>
      <w:r>
        <w:rPr/>
        <w:t>género</w:t>
      </w:r>
      <w:r>
        <w:rPr>
          <w:spacing w:val="31"/>
        </w:rPr>
        <w:t> </w:t>
      </w:r>
      <w:r>
        <w:rPr/>
        <w:t>y ambientales,</w:t>
      </w:r>
      <w:r>
        <w:rPr>
          <w:spacing w:val="29"/>
        </w:rPr>
        <w:t> </w:t>
      </w:r>
      <w:r>
        <w:rPr/>
        <w:t>considerando</w:t>
      </w:r>
      <w:r>
        <w:rPr>
          <w:spacing w:val="29"/>
        </w:rPr>
        <w:t> </w:t>
      </w:r>
      <w:r>
        <w:rPr/>
        <w:t>en</w:t>
      </w:r>
      <w:r>
        <w:rPr>
          <w:spacing w:val="28"/>
        </w:rPr>
        <w:t> </w:t>
      </w:r>
      <w:r>
        <w:rPr/>
        <w:t>sus</w:t>
      </w:r>
      <w:r>
        <w:rPr>
          <w:spacing w:val="29"/>
        </w:rPr>
        <w:t> </w:t>
      </w:r>
      <w:r>
        <w:rPr/>
        <w:t>relaciones</w:t>
      </w:r>
      <w:r>
        <w:rPr>
          <w:spacing w:val="29"/>
        </w:rPr>
        <w:t> </w:t>
      </w:r>
      <w:r>
        <w:rPr/>
        <w:t>con</w:t>
      </w:r>
      <w:r>
        <w:rPr>
          <w:spacing w:val="29"/>
        </w:rPr>
        <w:t> </w:t>
      </w:r>
      <w:r>
        <w:rPr/>
        <w:t>proveedores</w:t>
      </w:r>
      <w:r>
        <w:rPr>
          <w:spacing w:val="31"/>
        </w:rPr>
        <w:t> </w:t>
      </w:r>
      <w:r>
        <w:rPr/>
        <w:t>y subcontratistas</w:t>
      </w:r>
      <w:r>
        <w:rPr>
          <w:spacing w:val="31"/>
        </w:rPr>
        <w:t> </w:t>
      </w:r>
      <w:r>
        <w:rPr/>
        <w:t>la responsabilidad</w:t>
      </w:r>
      <w:r>
        <w:rPr>
          <w:spacing w:val="13"/>
        </w:rPr>
        <w:t> </w:t>
      </w:r>
      <w:r>
        <w:rPr/>
        <w:t>social</w:t>
      </w:r>
      <w:r>
        <w:rPr>
          <w:spacing w:val="19"/>
        </w:rPr>
        <w:t> </w:t>
      </w:r>
      <w:r>
        <w:rPr/>
        <w:t>y</w:t>
      </w:r>
      <w:r>
        <w:rPr>
          <w:spacing w:val="14"/>
        </w:rPr>
        <w:t> </w:t>
      </w:r>
      <w:r>
        <w:rPr/>
        <w:t>ambiental,</w:t>
      </w:r>
      <w:r>
        <w:rPr>
          <w:spacing w:val="15"/>
        </w:rPr>
        <w:t> </w:t>
      </w:r>
      <w:r>
        <w:rPr/>
        <w:t>e</w:t>
      </w:r>
      <w:r>
        <w:rPr>
          <w:spacing w:val="18"/>
        </w:rPr>
        <w:t> </w:t>
      </w:r>
      <w:r>
        <w:rPr/>
        <w:t>implementando</w:t>
      </w:r>
      <w:r>
        <w:rPr>
          <w:spacing w:val="16"/>
        </w:rPr>
        <w:t> </w:t>
      </w:r>
      <w:r>
        <w:rPr/>
        <w:t>sistemas</w:t>
      </w:r>
      <w:r>
        <w:rPr>
          <w:spacing w:val="17"/>
        </w:rPr>
        <w:t> </w:t>
      </w:r>
      <w:r>
        <w:rPr/>
        <w:t>de</w:t>
      </w:r>
      <w:r>
        <w:rPr>
          <w:spacing w:val="16"/>
        </w:rPr>
        <w:t> </w:t>
      </w:r>
      <w:r>
        <w:rPr/>
        <w:t>supervisión</w:t>
      </w:r>
      <w:r>
        <w:rPr>
          <w:spacing w:val="18"/>
        </w:rPr>
        <w:t> </w:t>
      </w:r>
      <w:r>
        <w:rPr/>
        <w:t>y</w:t>
      </w:r>
      <w:r>
        <w:rPr>
          <w:spacing w:val="16"/>
        </w:rPr>
        <w:t> </w:t>
      </w:r>
      <w:r>
        <w:rPr/>
        <w:t>auditorias</w:t>
      </w:r>
      <w:r>
        <w:rPr>
          <w:spacing w:val="15"/>
        </w:rPr>
        <w:t> </w:t>
      </w:r>
      <w:r>
        <w:rPr>
          <w:spacing w:val="-5"/>
        </w:rPr>
        <w:t>en</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08"/>
      </w:pPr>
      <w:r>
        <w:rPr/>
        <w:t>los principales pliegos que saque a licitación. A continuación, se exponen, a modo de ejemplo, clausulas sociales y medioambientales incluidas en las licitaciones:</w:t>
      </w:r>
    </w:p>
    <w:p>
      <w:pPr>
        <w:pStyle w:val="BodyText"/>
        <w:spacing w:before="100"/>
      </w:pPr>
    </w:p>
    <w:p>
      <w:pPr>
        <w:spacing w:before="0"/>
        <w:ind w:left="1341" w:right="0" w:firstLine="0"/>
        <w:jc w:val="left"/>
        <w:rPr>
          <w:rFonts w:ascii="Tahoma" w:hAnsi="Tahoma"/>
          <w:i/>
          <w:sz w:val="20"/>
        </w:rPr>
      </w:pPr>
      <w:r>
        <w:rPr>
          <w:rFonts w:ascii="Tahoma" w:hAnsi="Tahoma"/>
          <w:i/>
          <w:sz w:val="20"/>
        </w:rPr>
        <w:t>Contratación</w:t>
      </w:r>
      <w:r>
        <w:rPr>
          <w:rFonts w:ascii="Tahoma" w:hAnsi="Tahoma"/>
          <w:i/>
          <w:spacing w:val="-3"/>
          <w:sz w:val="20"/>
        </w:rPr>
        <w:t> </w:t>
      </w:r>
      <w:r>
        <w:rPr>
          <w:rFonts w:ascii="Tahoma" w:hAnsi="Tahoma"/>
          <w:i/>
          <w:sz w:val="20"/>
        </w:rPr>
        <w:t>de</w:t>
      </w:r>
      <w:r>
        <w:rPr>
          <w:rFonts w:ascii="Tahoma" w:hAnsi="Tahoma"/>
          <w:i/>
          <w:spacing w:val="1"/>
          <w:sz w:val="20"/>
        </w:rPr>
        <w:t> </w:t>
      </w:r>
      <w:r>
        <w:rPr>
          <w:rFonts w:ascii="Tahoma" w:hAnsi="Tahoma"/>
          <w:i/>
          <w:sz w:val="20"/>
        </w:rPr>
        <w:t>personal</w:t>
      </w:r>
      <w:r>
        <w:rPr>
          <w:rFonts w:ascii="Tahoma" w:hAnsi="Tahoma"/>
          <w:i/>
          <w:spacing w:val="1"/>
          <w:sz w:val="20"/>
        </w:rPr>
        <w:t> </w:t>
      </w:r>
      <w:r>
        <w:rPr>
          <w:rFonts w:ascii="Tahoma" w:hAnsi="Tahoma"/>
          <w:i/>
          <w:sz w:val="20"/>
        </w:rPr>
        <w:t>en</w:t>
      </w:r>
      <w:r>
        <w:rPr>
          <w:rFonts w:ascii="Tahoma" w:hAnsi="Tahoma"/>
          <w:i/>
          <w:spacing w:val="2"/>
          <w:sz w:val="20"/>
        </w:rPr>
        <w:t> </w:t>
      </w:r>
      <w:r>
        <w:rPr>
          <w:rFonts w:ascii="Tahoma" w:hAnsi="Tahoma"/>
          <w:i/>
          <w:sz w:val="20"/>
        </w:rPr>
        <w:t>situación</w:t>
      </w:r>
      <w:r>
        <w:rPr>
          <w:rFonts w:ascii="Tahoma" w:hAnsi="Tahoma"/>
          <w:i/>
          <w:spacing w:val="-1"/>
          <w:sz w:val="20"/>
        </w:rPr>
        <w:t> </w:t>
      </w:r>
      <w:r>
        <w:rPr>
          <w:rFonts w:ascii="Tahoma" w:hAnsi="Tahoma"/>
          <w:i/>
          <w:sz w:val="20"/>
        </w:rPr>
        <w:t>legal</w:t>
      </w:r>
      <w:r>
        <w:rPr>
          <w:rFonts w:ascii="Tahoma" w:hAnsi="Tahoma"/>
          <w:i/>
          <w:spacing w:val="-3"/>
          <w:sz w:val="20"/>
        </w:rPr>
        <w:t> </w:t>
      </w:r>
      <w:r>
        <w:rPr>
          <w:rFonts w:ascii="Tahoma" w:hAnsi="Tahoma"/>
          <w:i/>
          <w:sz w:val="20"/>
        </w:rPr>
        <w:t>de</w:t>
      </w:r>
      <w:r>
        <w:rPr>
          <w:rFonts w:ascii="Tahoma" w:hAnsi="Tahoma"/>
          <w:i/>
          <w:spacing w:val="-2"/>
          <w:sz w:val="20"/>
        </w:rPr>
        <w:t> desempleo.</w:t>
      </w:r>
    </w:p>
    <w:p>
      <w:pPr>
        <w:pStyle w:val="BodyText"/>
        <w:spacing w:before="119"/>
        <w:ind w:left="1341"/>
      </w:pPr>
      <w:r>
        <w:rPr/>
        <w:t>En</w:t>
      </w:r>
      <w:r>
        <w:rPr>
          <w:spacing w:val="47"/>
        </w:rPr>
        <w:t> </w:t>
      </w:r>
      <w:r>
        <w:rPr/>
        <w:t>caso</w:t>
      </w:r>
      <w:r>
        <w:rPr>
          <w:spacing w:val="50"/>
        </w:rPr>
        <w:t> </w:t>
      </w:r>
      <w:r>
        <w:rPr/>
        <w:t>de</w:t>
      </w:r>
      <w:r>
        <w:rPr>
          <w:spacing w:val="47"/>
        </w:rPr>
        <w:t> </w:t>
      </w:r>
      <w:r>
        <w:rPr/>
        <w:t>que</w:t>
      </w:r>
      <w:r>
        <w:rPr>
          <w:spacing w:val="49"/>
        </w:rPr>
        <w:t> </w:t>
      </w:r>
      <w:r>
        <w:rPr/>
        <w:t>las</w:t>
      </w:r>
      <w:r>
        <w:rPr>
          <w:spacing w:val="49"/>
        </w:rPr>
        <w:t> </w:t>
      </w:r>
      <w:r>
        <w:rPr/>
        <w:t>empresas</w:t>
      </w:r>
      <w:r>
        <w:rPr>
          <w:spacing w:val="50"/>
        </w:rPr>
        <w:t> </w:t>
      </w:r>
      <w:r>
        <w:rPr/>
        <w:t>admitidas</w:t>
      </w:r>
      <w:r>
        <w:rPr>
          <w:spacing w:val="50"/>
        </w:rPr>
        <w:t> </w:t>
      </w:r>
      <w:r>
        <w:rPr/>
        <w:t>en</w:t>
      </w:r>
      <w:r>
        <w:rPr>
          <w:spacing w:val="50"/>
        </w:rPr>
        <w:t> </w:t>
      </w:r>
      <w:r>
        <w:rPr/>
        <w:t>el</w:t>
      </w:r>
      <w:r>
        <w:rPr>
          <w:spacing w:val="47"/>
        </w:rPr>
        <w:t> </w:t>
      </w:r>
      <w:r>
        <w:rPr/>
        <w:t>SDA</w:t>
      </w:r>
      <w:r>
        <w:rPr>
          <w:spacing w:val="47"/>
        </w:rPr>
        <w:t> </w:t>
      </w:r>
      <w:r>
        <w:rPr/>
        <w:t>necesiten</w:t>
      </w:r>
      <w:r>
        <w:rPr>
          <w:spacing w:val="48"/>
        </w:rPr>
        <w:t> </w:t>
      </w:r>
      <w:r>
        <w:rPr/>
        <w:t>contratar</w:t>
      </w:r>
      <w:r>
        <w:rPr>
          <w:spacing w:val="50"/>
        </w:rPr>
        <w:t> </w:t>
      </w:r>
      <w:r>
        <w:rPr/>
        <w:t>personal</w:t>
      </w:r>
      <w:r>
        <w:rPr>
          <w:spacing w:val="48"/>
        </w:rPr>
        <w:t> </w:t>
      </w:r>
      <w:r>
        <w:rPr/>
        <w:t>para</w:t>
      </w:r>
      <w:r>
        <w:rPr>
          <w:spacing w:val="48"/>
        </w:rPr>
        <w:t> </w:t>
      </w:r>
      <w:r>
        <w:rPr>
          <w:spacing w:val="-5"/>
        </w:rPr>
        <w:t>la</w:t>
      </w:r>
    </w:p>
    <w:p>
      <w:pPr>
        <w:pStyle w:val="BodyText"/>
        <w:spacing w:line="357" w:lineRule="auto" w:before="116"/>
        <w:ind w:left="1341" w:right="1308"/>
      </w:pPr>
      <w:r>
        <w:rPr/>
        <w:t>ejecución</w:t>
      </w:r>
      <w:r>
        <w:rPr>
          <w:spacing w:val="25"/>
        </w:rPr>
        <w:t> </w:t>
      </w:r>
      <w:r>
        <w:rPr/>
        <w:t>de</w:t>
      </w:r>
      <w:r>
        <w:rPr>
          <w:spacing w:val="26"/>
        </w:rPr>
        <w:t> </w:t>
      </w:r>
      <w:r>
        <w:rPr/>
        <w:t>la</w:t>
      </w:r>
      <w:r>
        <w:rPr>
          <w:spacing w:val="25"/>
        </w:rPr>
        <w:t> </w:t>
      </w:r>
      <w:r>
        <w:rPr/>
        <w:t>prestación,</w:t>
      </w:r>
      <w:r>
        <w:rPr>
          <w:spacing w:val="26"/>
        </w:rPr>
        <w:t> </w:t>
      </w:r>
      <w:r>
        <w:rPr/>
        <w:t>ya</w:t>
      </w:r>
      <w:r>
        <w:rPr>
          <w:spacing w:val="26"/>
        </w:rPr>
        <w:t> </w:t>
      </w:r>
      <w:r>
        <w:rPr/>
        <w:t>sea</w:t>
      </w:r>
      <w:r>
        <w:rPr>
          <w:spacing w:val="25"/>
        </w:rPr>
        <w:t> </w:t>
      </w:r>
      <w:r>
        <w:rPr/>
        <w:t>al</w:t>
      </w:r>
      <w:r>
        <w:rPr>
          <w:spacing w:val="25"/>
        </w:rPr>
        <w:t> </w:t>
      </w:r>
      <w:r>
        <w:rPr/>
        <w:t>inicio</w:t>
      </w:r>
      <w:r>
        <w:rPr>
          <w:spacing w:val="24"/>
        </w:rPr>
        <w:t> </w:t>
      </w:r>
      <w:r>
        <w:rPr/>
        <w:t>o</w:t>
      </w:r>
      <w:r>
        <w:rPr>
          <w:spacing w:val="25"/>
        </w:rPr>
        <w:t> </w:t>
      </w:r>
      <w:r>
        <w:rPr/>
        <w:t>bien</w:t>
      </w:r>
      <w:r>
        <w:rPr>
          <w:spacing w:val="22"/>
        </w:rPr>
        <w:t> </w:t>
      </w:r>
      <w:r>
        <w:rPr/>
        <w:t>durante</w:t>
      </w:r>
      <w:r>
        <w:rPr>
          <w:spacing w:val="25"/>
        </w:rPr>
        <w:t> </w:t>
      </w:r>
      <w:r>
        <w:rPr/>
        <w:t>la</w:t>
      </w:r>
      <w:r>
        <w:rPr>
          <w:spacing w:val="24"/>
        </w:rPr>
        <w:t> </w:t>
      </w:r>
      <w:r>
        <w:rPr/>
        <w:t>vigencia</w:t>
      </w:r>
      <w:r>
        <w:rPr>
          <w:spacing w:val="24"/>
        </w:rPr>
        <w:t> </w:t>
      </w:r>
      <w:r>
        <w:rPr/>
        <w:t>del</w:t>
      </w:r>
      <w:r>
        <w:rPr>
          <w:spacing w:val="25"/>
        </w:rPr>
        <w:t> </w:t>
      </w:r>
      <w:r>
        <w:rPr/>
        <w:t>SDA,</w:t>
      </w:r>
      <w:r>
        <w:rPr>
          <w:spacing w:val="25"/>
        </w:rPr>
        <w:t> </w:t>
      </w:r>
      <w:r>
        <w:rPr/>
        <w:t>se</w:t>
      </w:r>
      <w:r>
        <w:rPr>
          <w:spacing w:val="22"/>
        </w:rPr>
        <w:t> </w:t>
      </w:r>
      <w:r>
        <w:rPr/>
        <w:t>obligan</w:t>
      </w:r>
      <w:r>
        <w:rPr>
          <w:spacing w:val="26"/>
        </w:rPr>
        <w:t> </w:t>
      </w:r>
      <w:r>
        <w:rPr/>
        <w:t>a hacerlo</w:t>
      </w:r>
      <w:r>
        <w:rPr>
          <w:spacing w:val="40"/>
        </w:rPr>
        <w:t> </w:t>
      </w:r>
      <w:r>
        <w:rPr/>
        <w:t>entre</w:t>
      </w:r>
      <w:r>
        <w:rPr>
          <w:spacing w:val="43"/>
        </w:rPr>
        <w:t> </w:t>
      </w:r>
      <w:r>
        <w:rPr/>
        <w:t>personas</w:t>
      </w:r>
      <w:r>
        <w:rPr>
          <w:spacing w:val="42"/>
        </w:rPr>
        <w:t> </w:t>
      </w:r>
      <w:r>
        <w:rPr/>
        <w:t>inscritas</w:t>
      </w:r>
      <w:r>
        <w:rPr>
          <w:spacing w:val="41"/>
        </w:rPr>
        <w:t> </w:t>
      </w:r>
      <w:r>
        <w:rPr/>
        <w:t>como</w:t>
      </w:r>
      <w:r>
        <w:rPr>
          <w:spacing w:val="39"/>
        </w:rPr>
        <w:t> </w:t>
      </w:r>
      <w:r>
        <w:rPr/>
        <w:t>demandantes</w:t>
      </w:r>
      <w:r>
        <w:rPr>
          <w:spacing w:val="41"/>
        </w:rPr>
        <w:t> </w:t>
      </w:r>
      <w:r>
        <w:rPr/>
        <w:t>de</w:t>
      </w:r>
      <w:r>
        <w:rPr>
          <w:spacing w:val="40"/>
        </w:rPr>
        <w:t> </w:t>
      </w:r>
      <w:r>
        <w:rPr/>
        <w:t>empleo</w:t>
      </w:r>
      <w:r>
        <w:rPr>
          <w:spacing w:val="43"/>
        </w:rPr>
        <w:t> </w:t>
      </w:r>
      <w:r>
        <w:rPr/>
        <w:t>en</w:t>
      </w:r>
      <w:r>
        <w:rPr>
          <w:spacing w:val="41"/>
        </w:rPr>
        <w:t> </w:t>
      </w:r>
      <w:r>
        <w:rPr/>
        <w:t>el</w:t>
      </w:r>
      <w:r>
        <w:rPr>
          <w:spacing w:val="42"/>
        </w:rPr>
        <w:t> </w:t>
      </w:r>
      <w:r>
        <w:rPr/>
        <w:t>Servicio</w:t>
      </w:r>
      <w:r>
        <w:rPr>
          <w:spacing w:val="40"/>
        </w:rPr>
        <w:t> </w:t>
      </w:r>
      <w:r>
        <w:rPr/>
        <w:t>Canario</w:t>
      </w:r>
      <w:r>
        <w:rPr>
          <w:spacing w:val="39"/>
        </w:rPr>
        <w:t> </w:t>
      </w:r>
      <w:r>
        <w:rPr>
          <w:spacing w:val="-5"/>
        </w:rPr>
        <w:t>de</w:t>
      </w:r>
    </w:p>
    <w:p>
      <w:pPr>
        <w:pStyle w:val="BodyText"/>
        <w:spacing w:before="3"/>
        <w:jc w:val="center"/>
      </w:pPr>
      <w:r>
        <w:rPr/>
        <w:t>Empleo,</w:t>
      </w:r>
      <w:r>
        <w:rPr>
          <w:spacing w:val="58"/>
        </w:rPr>
        <w:t> </w:t>
      </w:r>
      <w:r>
        <w:rPr/>
        <w:t>y</w:t>
      </w:r>
      <w:r>
        <w:rPr>
          <w:spacing w:val="51"/>
        </w:rPr>
        <w:t> </w:t>
      </w:r>
      <w:r>
        <w:rPr/>
        <w:t>con</w:t>
      </w:r>
      <w:r>
        <w:rPr>
          <w:spacing w:val="57"/>
        </w:rPr>
        <w:t> </w:t>
      </w:r>
      <w:r>
        <w:rPr/>
        <w:t>al</w:t>
      </w:r>
      <w:r>
        <w:rPr>
          <w:spacing w:val="55"/>
        </w:rPr>
        <w:t> </w:t>
      </w:r>
      <w:r>
        <w:rPr/>
        <w:t>menos</w:t>
      </w:r>
      <w:r>
        <w:rPr>
          <w:spacing w:val="57"/>
        </w:rPr>
        <w:t> </w:t>
      </w:r>
      <w:r>
        <w:rPr/>
        <w:t>seis</w:t>
      </w:r>
      <w:r>
        <w:rPr>
          <w:spacing w:val="54"/>
        </w:rPr>
        <w:t> </w:t>
      </w:r>
      <w:r>
        <w:rPr/>
        <w:t>meses</w:t>
      </w:r>
      <w:r>
        <w:rPr>
          <w:spacing w:val="54"/>
        </w:rPr>
        <w:t> </w:t>
      </w:r>
      <w:r>
        <w:rPr/>
        <w:t>de</w:t>
      </w:r>
      <w:r>
        <w:rPr>
          <w:spacing w:val="55"/>
        </w:rPr>
        <w:t> </w:t>
      </w:r>
      <w:r>
        <w:rPr/>
        <w:t>antigüedad</w:t>
      </w:r>
      <w:r>
        <w:rPr>
          <w:spacing w:val="54"/>
        </w:rPr>
        <w:t> </w:t>
      </w:r>
      <w:r>
        <w:rPr/>
        <w:t>a</w:t>
      </w:r>
      <w:r>
        <w:rPr>
          <w:spacing w:val="56"/>
        </w:rPr>
        <w:t> </w:t>
      </w:r>
      <w:r>
        <w:rPr/>
        <w:t>la</w:t>
      </w:r>
      <w:r>
        <w:rPr>
          <w:spacing w:val="58"/>
        </w:rPr>
        <w:t> </w:t>
      </w:r>
      <w:r>
        <w:rPr/>
        <w:t>fecha</w:t>
      </w:r>
      <w:r>
        <w:rPr>
          <w:spacing w:val="54"/>
        </w:rPr>
        <w:t> </w:t>
      </w:r>
      <w:r>
        <w:rPr/>
        <w:t>efectiva</w:t>
      </w:r>
      <w:r>
        <w:rPr>
          <w:spacing w:val="56"/>
        </w:rPr>
        <w:t> </w:t>
      </w:r>
      <w:r>
        <w:rPr/>
        <w:t>de</w:t>
      </w:r>
      <w:r>
        <w:rPr>
          <w:spacing w:val="54"/>
        </w:rPr>
        <w:t> </w:t>
      </w:r>
      <w:r>
        <w:rPr>
          <w:spacing w:val="-2"/>
        </w:rPr>
        <w:t>contratación.</w:t>
      </w:r>
    </w:p>
    <w:p>
      <w:pPr>
        <w:pStyle w:val="BodyText"/>
        <w:spacing w:before="116"/>
        <w:jc w:val="center"/>
      </w:pPr>
      <w:r>
        <w:rPr/>
        <w:t>Excepcionalmente,</w:t>
      </w:r>
      <w:r>
        <w:rPr>
          <w:spacing w:val="4"/>
        </w:rPr>
        <w:t> </w:t>
      </w:r>
      <w:r>
        <w:rPr/>
        <w:t>se</w:t>
      </w:r>
      <w:r>
        <w:rPr>
          <w:spacing w:val="7"/>
        </w:rPr>
        <w:t> </w:t>
      </w:r>
      <w:r>
        <w:rPr/>
        <w:t>podrá</w:t>
      </w:r>
      <w:r>
        <w:rPr>
          <w:spacing w:val="7"/>
        </w:rPr>
        <w:t> </w:t>
      </w:r>
      <w:r>
        <w:rPr/>
        <w:t>contratar</w:t>
      </w:r>
      <w:r>
        <w:rPr>
          <w:spacing w:val="6"/>
        </w:rPr>
        <w:t> </w:t>
      </w:r>
      <w:r>
        <w:rPr/>
        <w:t>a</w:t>
      </w:r>
      <w:r>
        <w:rPr>
          <w:spacing w:val="3"/>
        </w:rPr>
        <w:t> </w:t>
      </w:r>
      <w:r>
        <w:rPr/>
        <w:t>otro</w:t>
      </w:r>
      <w:r>
        <w:rPr>
          <w:spacing w:val="5"/>
        </w:rPr>
        <w:t> </w:t>
      </w:r>
      <w:r>
        <w:rPr/>
        <w:t>personal</w:t>
      </w:r>
      <w:r>
        <w:rPr>
          <w:spacing w:val="6"/>
        </w:rPr>
        <w:t> </w:t>
      </w:r>
      <w:r>
        <w:rPr/>
        <w:t>cuando</w:t>
      </w:r>
      <w:r>
        <w:rPr>
          <w:spacing w:val="3"/>
        </w:rPr>
        <w:t> </w:t>
      </w:r>
      <w:r>
        <w:rPr/>
        <w:t>se</w:t>
      </w:r>
      <w:r>
        <w:rPr>
          <w:spacing w:val="3"/>
        </w:rPr>
        <w:t> </w:t>
      </w:r>
      <w:r>
        <w:rPr/>
        <w:t>acredite</w:t>
      </w:r>
      <w:r>
        <w:rPr>
          <w:spacing w:val="7"/>
        </w:rPr>
        <w:t> </w:t>
      </w:r>
      <w:r>
        <w:rPr/>
        <w:t>que</w:t>
      </w:r>
      <w:r>
        <w:rPr>
          <w:spacing w:val="6"/>
        </w:rPr>
        <w:t> </w:t>
      </w:r>
      <w:r>
        <w:rPr/>
        <w:t>los</w:t>
      </w:r>
      <w:r>
        <w:rPr>
          <w:spacing w:val="8"/>
        </w:rPr>
        <w:t> </w:t>
      </w:r>
      <w:r>
        <w:rPr/>
        <w:t>puestos</w:t>
      </w:r>
      <w:r>
        <w:rPr>
          <w:spacing w:val="7"/>
        </w:rPr>
        <w:t> </w:t>
      </w:r>
      <w:r>
        <w:rPr>
          <w:spacing w:val="-5"/>
        </w:rPr>
        <w:t>que</w:t>
      </w:r>
    </w:p>
    <w:p>
      <w:pPr>
        <w:pStyle w:val="BodyText"/>
        <w:spacing w:line="362" w:lineRule="auto" w:before="113"/>
        <w:ind w:left="1341" w:right="1308"/>
      </w:pPr>
      <w:r>
        <w:rPr/>
        <w:t>se</w:t>
      </w:r>
      <w:r>
        <w:rPr>
          <w:spacing w:val="-4"/>
        </w:rPr>
        <w:t> </w:t>
      </w:r>
      <w:r>
        <w:rPr/>
        <w:t>precisan</w:t>
      </w:r>
      <w:r>
        <w:rPr>
          <w:spacing w:val="-4"/>
        </w:rPr>
        <w:t> </w:t>
      </w:r>
      <w:r>
        <w:rPr/>
        <w:t>han</w:t>
      </w:r>
      <w:r>
        <w:rPr>
          <w:spacing w:val="-4"/>
        </w:rPr>
        <w:t> </w:t>
      </w:r>
      <w:r>
        <w:rPr/>
        <w:t>sido ofertados,</w:t>
      </w:r>
      <w:r>
        <w:rPr>
          <w:spacing w:val="-4"/>
        </w:rPr>
        <w:t> </w:t>
      </w:r>
      <w:r>
        <w:rPr/>
        <w:t>pero</w:t>
      </w:r>
      <w:r>
        <w:rPr>
          <w:spacing w:val="-2"/>
        </w:rPr>
        <w:t> </w:t>
      </w:r>
      <w:r>
        <w:rPr/>
        <w:t>no cubiertos por personas inscritas com</w:t>
      </w:r>
      <w:r>
        <w:rPr>
          <w:spacing w:val="80"/>
        </w:rPr>
        <w:t> </w:t>
      </w:r>
      <w:r>
        <w:rPr/>
        <w:t>demandantes de empleo y con la antigüedad mínima exigida.</w:t>
      </w:r>
    </w:p>
    <w:p>
      <w:pPr>
        <w:spacing w:before="181"/>
        <w:ind w:left="1341" w:right="0" w:firstLine="0"/>
        <w:jc w:val="both"/>
        <w:rPr>
          <w:rFonts w:ascii="Tahoma" w:hAnsi="Tahoma"/>
          <w:i/>
          <w:sz w:val="20"/>
        </w:rPr>
      </w:pPr>
      <w:r>
        <w:rPr>
          <w:rFonts w:ascii="Tahoma" w:hAnsi="Tahoma"/>
          <w:i/>
          <w:sz w:val="20"/>
        </w:rPr>
        <w:t>Cláusula</w:t>
      </w:r>
      <w:r>
        <w:rPr>
          <w:rFonts w:ascii="Tahoma" w:hAnsi="Tahoma"/>
          <w:i/>
          <w:spacing w:val="28"/>
          <w:sz w:val="20"/>
        </w:rPr>
        <w:t> </w:t>
      </w:r>
      <w:r>
        <w:rPr>
          <w:rFonts w:ascii="Tahoma" w:hAnsi="Tahoma"/>
          <w:i/>
          <w:spacing w:val="-2"/>
          <w:sz w:val="20"/>
        </w:rPr>
        <w:t>medioambiental</w:t>
      </w:r>
    </w:p>
    <w:p>
      <w:pPr>
        <w:pStyle w:val="BodyText"/>
        <w:spacing w:line="360" w:lineRule="auto" w:before="119"/>
        <w:ind w:left="1341" w:right="1336"/>
        <w:jc w:val="both"/>
      </w:pPr>
      <w:r>
        <w:rPr/>
        <w:t>Con el fin de disminuir el gasto innecesario de recursos y colaborar con la conservación del medio ambiente, todos los trabajos o información a entregar por las empresas admitidas en el SDA y durante cualquier fase del mismo, se hará mediante formato electrónico, evitando el uso de papel. Cuando por cualquier razón fuere imprescindible el uso de “soporte documental (papel)”, se deberá tratar de impresiones a doble cara, en papel reciclado (libre de cloro) y en blanco y negro, procurando además reducir el número de páginas, empleando caracteres de tamaño apropiado de letra y reduciendo los márgenes de forma que, siendo perfectamente legible, se consiga un uso eficiente del papel.</w:t>
      </w:r>
    </w:p>
    <w:p>
      <w:pPr>
        <w:pStyle w:val="Heading3"/>
        <w:numPr>
          <w:ilvl w:val="1"/>
          <w:numId w:val="48"/>
        </w:numPr>
        <w:tabs>
          <w:tab w:pos="1724" w:val="left" w:leader="none"/>
        </w:tabs>
        <w:spacing w:line="240" w:lineRule="auto" w:before="199" w:after="0"/>
        <w:ind w:left="1724" w:right="0" w:hanging="383"/>
        <w:jc w:val="left"/>
      </w:pPr>
      <w:bookmarkStart w:name="_TOC_250003" w:id="49"/>
      <w:bookmarkEnd w:id="49"/>
      <w:r>
        <w:rPr>
          <w:spacing w:val="-2"/>
        </w:rPr>
        <w:t>Consumidores</w:t>
      </w:r>
    </w:p>
    <w:p>
      <w:pPr>
        <w:pStyle w:val="BodyText"/>
        <w:spacing w:before="44"/>
        <w:rPr>
          <w:b/>
        </w:rPr>
      </w:pPr>
    </w:p>
    <w:p>
      <w:pPr>
        <w:pStyle w:val="BodyText"/>
        <w:spacing w:line="362" w:lineRule="auto"/>
        <w:ind w:left="1341" w:right="1336"/>
        <w:jc w:val="both"/>
      </w:pPr>
      <w:r>
        <w:rPr/>
        <mc:AlternateContent>
          <mc:Choice Requires="wps">
            <w:drawing>
              <wp:anchor distT="0" distB="0" distL="0" distR="0" allowOverlap="1" layoutInCell="1" locked="0" behindDoc="0" simplePos="0" relativeHeight="15827968">
                <wp:simplePos x="0" y="0"/>
                <wp:positionH relativeFrom="page">
                  <wp:posOffset>6966436</wp:posOffset>
                </wp:positionH>
                <wp:positionV relativeFrom="paragraph">
                  <wp:posOffset>700387</wp:posOffset>
                </wp:positionV>
                <wp:extent cx="263525" cy="327596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63</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55.148602pt;width:20.75pt;height:257.95pt;mso-position-horizontal-relative:page;mso-position-vertical-relative:paragraph;z-index:15827968" type="#_x0000_t202" id="docshape262"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63</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Tenemos como uno de los valores intrínsecos la seguridad de nuestros viajeros, por lo que, se realizan cursos de sensibilización y conducción responsable a nuestros conductores, para mejorar la seguridad del transporte. Además, hay</w:t>
      </w:r>
      <w:r>
        <w:rPr>
          <w:spacing w:val="-2"/>
        </w:rPr>
        <w:t> </w:t>
      </w:r>
      <w:r>
        <w:rPr/>
        <w:t>una clara apuesta por la modernización de la flota, para ofrecer un servicio más eficiente y con las medidas de seguridad más avanzadas.</w:t>
      </w:r>
    </w:p>
    <w:p>
      <w:pPr>
        <w:pStyle w:val="BodyText"/>
        <w:spacing w:line="360" w:lineRule="auto" w:before="193"/>
        <w:ind w:left="1341" w:right="1336"/>
        <w:jc w:val="both"/>
      </w:pPr>
      <w:r>
        <w:rPr/>
        <w:t>La incorporación de nuevas tecnologías en los vehículos permite una mejora sustancial en la información ofrecida al cliente y puede generar nuevos negocios en materia publicitaria en el corto plazo.</w:t>
      </w:r>
    </w:p>
    <w:p>
      <w:pPr>
        <w:pStyle w:val="BodyText"/>
        <w:spacing w:line="360" w:lineRule="auto" w:before="199"/>
        <w:ind w:left="1341" w:right="1336"/>
        <w:jc w:val="both"/>
      </w:pPr>
      <w:r>
        <w:rPr/>
        <w:t>Por otro lado, Guaguas dispone en su portal web de un formulario de sugerencias y reclamaciones, para abrir un canal de comunicación con los viajeros y poder resolver las incidencias o preguntas que pudieran tener, con el claro objetivo de escuchar a sus clientes para mejorar continuamente el servicio que realiza.</w:t>
      </w:r>
    </w:p>
    <w:p>
      <w:pPr>
        <w:pStyle w:val="BodyText"/>
        <w:spacing w:line="357" w:lineRule="auto" w:before="201"/>
        <w:ind w:left="1341" w:right="1308"/>
      </w:pPr>
      <w:r>
        <w:rPr/>
        <w:t>Se</w:t>
      </w:r>
      <w:r>
        <w:rPr>
          <w:spacing w:val="37"/>
        </w:rPr>
        <w:t> </w:t>
      </w:r>
      <w:r>
        <w:rPr/>
        <w:t>han</w:t>
      </w:r>
      <w:r>
        <w:rPr>
          <w:spacing w:val="37"/>
        </w:rPr>
        <w:t> </w:t>
      </w:r>
      <w:r>
        <w:rPr/>
        <w:t>registrado</w:t>
      </w:r>
      <w:r>
        <w:rPr>
          <w:spacing w:val="36"/>
        </w:rPr>
        <w:t> </w:t>
      </w:r>
      <w:r>
        <w:rPr/>
        <w:t>un</w:t>
      </w:r>
      <w:r>
        <w:rPr>
          <w:spacing w:val="38"/>
        </w:rPr>
        <w:t> </w:t>
      </w:r>
      <w:r>
        <w:rPr/>
        <w:t>total</w:t>
      </w:r>
      <w:r>
        <w:rPr>
          <w:spacing w:val="40"/>
        </w:rPr>
        <w:t> </w:t>
      </w:r>
      <w:r>
        <w:rPr/>
        <w:t>de</w:t>
      </w:r>
      <w:r>
        <w:rPr>
          <w:spacing w:val="37"/>
        </w:rPr>
        <w:t> </w:t>
      </w:r>
      <w:r>
        <w:rPr/>
        <w:t>3.236</w:t>
      </w:r>
      <w:r>
        <w:rPr>
          <w:spacing w:val="37"/>
        </w:rPr>
        <w:t> </w:t>
      </w:r>
      <w:r>
        <w:rPr/>
        <w:t>reclamaciones</w:t>
      </w:r>
      <w:r>
        <w:rPr>
          <w:spacing w:val="40"/>
        </w:rPr>
        <w:t> </w:t>
      </w:r>
      <w:r>
        <w:rPr/>
        <w:t>y</w:t>
      </w:r>
      <w:r>
        <w:rPr>
          <w:spacing w:val="35"/>
        </w:rPr>
        <w:t> </w:t>
      </w:r>
      <w:r>
        <w:rPr/>
        <w:t>sugerencias</w:t>
      </w:r>
      <w:r>
        <w:rPr>
          <w:spacing w:val="39"/>
        </w:rPr>
        <w:t> </w:t>
      </w:r>
      <w:r>
        <w:rPr/>
        <w:t>de</w:t>
      </w:r>
      <w:r>
        <w:rPr>
          <w:spacing w:val="36"/>
        </w:rPr>
        <w:t> </w:t>
      </w:r>
      <w:r>
        <w:rPr/>
        <w:t>cliente</w:t>
      </w:r>
      <w:r>
        <w:rPr>
          <w:spacing w:val="40"/>
        </w:rPr>
        <w:t> </w:t>
      </w:r>
      <w:r>
        <w:rPr/>
        <w:t>en</w:t>
      </w:r>
      <w:r>
        <w:rPr>
          <w:spacing w:val="37"/>
        </w:rPr>
        <w:t> </w:t>
      </w:r>
      <w:r>
        <w:rPr/>
        <w:t>el</w:t>
      </w:r>
      <w:r>
        <w:rPr>
          <w:spacing w:val="37"/>
        </w:rPr>
        <w:t> </w:t>
      </w:r>
      <w:r>
        <w:rPr/>
        <w:t>Sistema (portal</w:t>
      </w:r>
      <w:r>
        <w:rPr>
          <w:spacing w:val="-3"/>
        </w:rPr>
        <w:t> </w:t>
      </w:r>
      <w:r>
        <w:rPr/>
        <w:t>web</w:t>
      </w:r>
      <w:r>
        <w:rPr>
          <w:spacing w:val="-5"/>
        </w:rPr>
        <w:t> </w:t>
      </w:r>
      <w:r>
        <w:rPr/>
        <w:t>habilitado)</w:t>
      </w:r>
      <w:r>
        <w:rPr>
          <w:spacing w:val="-3"/>
        </w:rPr>
        <w:t> </w:t>
      </w:r>
      <w:r>
        <w:rPr/>
        <w:t>en</w:t>
      </w:r>
      <w:r>
        <w:rPr>
          <w:spacing w:val="-6"/>
        </w:rPr>
        <w:t> </w:t>
      </w:r>
      <w:r>
        <w:rPr/>
        <w:t>el</w:t>
      </w:r>
      <w:r>
        <w:rPr>
          <w:spacing w:val="-7"/>
        </w:rPr>
        <w:t> </w:t>
      </w:r>
      <w:r>
        <w:rPr/>
        <w:t>año</w:t>
      </w:r>
      <w:r>
        <w:rPr>
          <w:spacing w:val="-3"/>
        </w:rPr>
        <w:t> </w:t>
      </w:r>
      <w:r>
        <w:rPr/>
        <w:t>2025</w:t>
      </w:r>
      <w:r>
        <w:rPr>
          <w:spacing w:val="-6"/>
        </w:rPr>
        <w:t> </w:t>
      </w:r>
      <w:r>
        <w:rPr/>
        <w:t>(3.231</w:t>
      </w:r>
      <w:r>
        <w:rPr>
          <w:spacing w:val="-6"/>
        </w:rPr>
        <w:t> </w:t>
      </w:r>
      <w:r>
        <w:rPr/>
        <w:t>reclamaciones y</w:t>
      </w:r>
      <w:r>
        <w:rPr>
          <w:spacing w:val="-8"/>
        </w:rPr>
        <w:t> </w:t>
      </w:r>
      <w:r>
        <w:rPr/>
        <w:t>5</w:t>
      </w:r>
      <w:r>
        <w:rPr>
          <w:spacing w:val="-5"/>
        </w:rPr>
        <w:t> </w:t>
      </w:r>
      <w:r>
        <w:rPr/>
        <w:t>sugerencias),</w:t>
      </w:r>
      <w:r>
        <w:rPr>
          <w:spacing w:val="-4"/>
        </w:rPr>
        <w:t> </w:t>
      </w:r>
      <w:r>
        <w:rPr/>
        <w:t>lo</w:t>
      </w:r>
      <w:r>
        <w:rPr>
          <w:spacing w:val="-6"/>
        </w:rPr>
        <w:t> </w:t>
      </w:r>
      <w:r>
        <w:rPr/>
        <w:t>que</w:t>
      </w:r>
      <w:r>
        <w:rPr>
          <w:spacing w:val="-4"/>
        </w:rPr>
        <w:t> </w:t>
      </w:r>
      <w:r>
        <w:rPr/>
        <w:t>supone</w:t>
      </w:r>
      <w:r>
        <w:rPr>
          <w:spacing w:val="-4"/>
        </w:rPr>
        <w:t> </w:t>
      </w:r>
      <w:r>
        <w:rPr>
          <w:spacing w:val="-5"/>
        </w:rPr>
        <w:t>un</w:t>
      </w:r>
    </w:p>
    <w:p>
      <w:pPr>
        <w:pStyle w:val="BodyText"/>
        <w:spacing w:before="4"/>
        <w:ind w:left="3"/>
        <w:jc w:val="center"/>
      </w:pPr>
      <w:r>
        <w:rPr/>
        <w:t>aumento</w:t>
      </w:r>
      <w:r>
        <w:rPr>
          <w:spacing w:val="75"/>
        </w:rPr>
        <w:t> </w:t>
      </w:r>
      <w:r>
        <w:rPr/>
        <w:t>en</w:t>
      </w:r>
      <w:r>
        <w:rPr>
          <w:spacing w:val="52"/>
          <w:w w:val="150"/>
        </w:rPr>
        <w:t> </w:t>
      </w:r>
      <w:r>
        <w:rPr/>
        <w:t>el</w:t>
      </w:r>
      <w:r>
        <w:rPr>
          <w:spacing w:val="79"/>
        </w:rPr>
        <w:t> </w:t>
      </w:r>
      <w:r>
        <w:rPr/>
        <w:t>número</w:t>
      </w:r>
      <w:r>
        <w:rPr>
          <w:spacing w:val="52"/>
          <w:w w:val="150"/>
        </w:rPr>
        <w:t> </w:t>
      </w:r>
      <w:r>
        <w:rPr/>
        <w:t>de</w:t>
      </w:r>
      <w:r>
        <w:rPr>
          <w:spacing w:val="78"/>
        </w:rPr>
        <w:t> </w:t>
      </w:r>
      <w:r>
        <w:rPr/>
        <w:t>reclamaciones</w:t>
      </w:r>
      <w:r>
        <w:rPr>
          <w:spacing w:val="53"/>
          <w:w w:val="150"/>
        </w:rPr>
        <w:t> </w:t>
      </w:r>
      <w:r>
        <w:rPr/>
        <w:t>y</w:t>
      </w:r>
      <w:r>
        <w:rPr>
          <w:spacing w:val="73"/>
        </w:rPr>
        <w:t> </w:t>
      </w:r>
      <w:r>
        <w:rPr/>
        <w:t>sugerencias</w:t>
      </w:r>
      <w:r>
        <w:rPr>
          <w:spacing w:val="79"/>
        </w:rPr>
        <w:t> </w:t>
      </w:r>
      <w:r>
        <w:rPr/>
        <w:t>recibidas</w:t>
      </w:r>
      <w:r>
        <w:rPr>
          <w:spacing w:val="79"/>
        </w:rPr>
        <w:t> </w:t>
      </w:r>
      <w:r>
        <w:rPr/>
        <w:t>en</w:t>
      </w:r>
      <w:r>
        <w:rPr>
          <w:spacing w:val="77"/>
        </w:rPr>
        <w:t> </w:t>
      </w:r>
      <w:r>
        <w:rPr/>
        <w:t>relación</w:t>
      </w:r>
      <w:r>
        <w:rPr>
          <w:spacing w:val="77"/>
        </w:rPr>
        <w:t> </w:t>
      </w:r>
      <w:r>
        <w:rPr/>
        <w:t>con</w:t>
      </w:r>
      <w:r>
        <w:rPr>
          <w:spacing w:val="79"/>
        </w:rPr>
        <w:t> </w:t>
      </w:r>
      <w:r>
        <w:rPr>
          <w:spacing w:val="-5"/>
        </w:rPr>
        <w:t>las</w:t>
      </w:r>
    </w:p>
    <w:p>
      <w:pPr>
        <w:pStyle w:val="BodyText"/>
        <w:spacing w:line="360" w:lineRule="auto" w:before="115"/>
        <w:ind w:left="1341" w:right="1308"/>
      </w:pPr>
      <w:r>
        <w:rPr/>
        <w:t>reclamaciones y sugerencias recibidas en el año 2024 (3.152 reclamaciones y 1 sugerencias). Relativizando</w:t>
      </w:r>
      <w:r>
        <w:rPr>
          <w:spacing w:val="49"/>
        </w:rPr>
        <w:t> </w:t>
      </w:r>
      <w:r>
        <w:rPr/>
        <w:t>el</w:t>
      </w:r>
      <w:r>
        <w:rPr>
          <w:spacing w:val="50"/>
        </w:rPr>
        <w:t> </w:t>
      </w:r>
      <w:r>
        <w:rPr/>
        <w:t>dato</w:t>
      </w:r>
      <w:r>
        <w:rPr>
          <w:spacing w:val="48"/>
        </w:rPr>
        <w:t> </w:t>
      </w:r>
      <w:r>
        <w:rPr/>
        <w:t>absoluto,</w:t>
      </w:r>
      <w:r>
        <w:rPr>
          <w:spacing w:val="50"/>
        </w:rPr>
        <w:t> </w:t>
      </w:r>
      <w:r>
        <w:rPr/>
        <w:t>de</w:t>
      </w:r>
      <w:r>
        <w:rPr>
          <w:spacing w:val="49"/>
        </w:rPr>
        <w:t> </w:t>
      </w:r>
      <w:r>
        <w:rPr/>
        <w:t>las</w:t>
      </w:r>
      <w:r>
        <w:rPr>
          <w:spacing w:val="51"/>
        </w:rPr>
        <w:t> </w:t>
      </w:r>
      <w:r>
        <w:rPr/>
        <w:t>3.236</w:t>
      </w:r>
      <w:r>
        <w:rPr>
          <w:spacing w:val="49"/>
        </w:rPr>
        <w:t> </w:t>
      </w:r>
      <w:r>
        <w:rPr/>
        <w:t>reclamaciones</w:t>
      </w:r>
      <w:r>
        <w:rPr>
          <w:spacing w:val="51"/>
        </w:rPr>
        <w:t> </w:t>
      </w:r>
      <w:r>
        <w:rPr/>
        <w:t>y</w:t>
      </w:r>
      <w:r>
        <w:rPr>
          <w:spacing w:val="46"/>
        </w:rPr>
        <w:t> </w:t>
      </w:r>
      <w:r>
        <w:rPr/>
        <w:t>sugerencias</w:t>
      </w:r>
      <w:r>
        <w:rPr>
          <w:spacing w:val="51"/>
        </w:rPr>
        <w:t> </w:t>
      </w:r>
      <w:r>
        <w:rPr/>
        <w:t>por</w:t>
      </w:r>
      <w:r>
        <w:rPr>
          <w:spacing w:val="51"/>
        </w:rPr>
        <w:t> </w:t>
      </w:r>
      <w:r>
        <w:rPr/>
        <w:t>el</w:t>
      </w:r>
      <w:r>
        <w:rPr>
          <w:spacing w:val="48"/>
        </w:rPr>
        <w:t> </w:t>
      </w:r>
      <w:r>
        <w:rPr/>
        <w:t>total</w:t>
      </w:r>
      <w:r>
        <w:rPr>
          <w:spacing w:val="48"/>
        </w:rPr>
        <w:t> </w:t>
      </w:r>
      <w:r>
        <w:rPr>
          <w:spacing w:val="-5"/>
        </w:rPr>
        <w:t>de</w:t>
      </w:r>
    </w:p>
    <w:p>
      <w:pPr>
        <w:pStyle w:val="BodyText"/>
        <w:spacing w:after="0" w:line="360" w:lineRule="auto"/>
        <w:sectPr>
          <w:pgSz w:w="11910" w:h="16840"/>
          <w:pgMar w:header="384" w:footer="1060" w:top="1200" w:bottom="1260" w:left="360" w:right="360"/>
        </w:sectPr>
      </w:pPr>
    </w:p>
    <w:p>
      <w:pPr>
        <w:pStyle w:val="BodyText"/>
        <w:spacing w:line="360" w:lineRule="auto" w:before="215"/>
        <w:ind w:left="1341" w:right="1339"/>
        <w:jc w:val="both"/>
      </w:pPr>
      <w:r>
        <w:rPr/>
        <w:t>viajeros</w:t>
      </w:r>
      <w:r>
        <w:rPr>
          <w:spacing w:val="-1"/>
        </w:rPr>
        <w:t> </w:t>
      </w:r>
      <w:r>
        <w:rPr/>
        <w:t>en el año 2025</w:t>
      </w:r>
      <w:r>
        <w:rPr>
          <w:spacing w:val="-2"/>
        </w:rPr>
        <w:t> </w:t>
      </w:r>
      <w:r>
        <w:rPr/>
        <w:t>se obtiene que</w:t>
      </w:r>
      <w:r>
        <w:rPr>
          <w:spacing w:val="-2"/>
        </w:rPr>
        <w:t> </w:t>
      </w:r>
      <w:r>
        <w:rPr/>
        <w:t>se</w:t>
      </w:r>
      <w:r>
        <w:rPr>
          <w:spacing w:val="-2"/>
        </w:rPr>
        <w:t> </w:t>
      </w:r>
      <w:r>
        <w:rPr/>
        <w:t>ha</w:t>
      </w:r>
      <w:r>
        <w:rPr>
          <w:spacing w:val="-2"/>
        </w:rPr>
        <w:t> </w:t>
      </w:r>
      <w:r>
        <w:rPr/>
        <w:t>registrado</w:t>
      </w:r>
      <w:r>
        <w:rPr>
          <w:spacing w:val="-2"/>
        </w:rPr>
        <w:t> </w:t>
      </w:r>
      <w:r>
        <w:rPr/>
        <w:t>un total de</w:t>
      </w:r>
      <w:r>
        <w:rPr>
          <w:spacing w:val="-2"/>
        </w:rPr>
        <w:t> </w:t>
      </w:r>
      <w:r>
        <w:rPr/>
        <w:t>57</w:t>
      </w:r>
      <w:r>
        <w:rPr>
          <w:spacing w:val="-2"/>
        </w:rPr>
        <w:t> </w:t>
      </w:r>
      <w:r>
        <w:rPr/>
        <w:t>reclamaciones</w:t>
      </w:r>
      <w:r>
        <w:rPr>
          <w:spacing w:val="-1"/>
        </w:rPr>
        <w:t> </w:t>
      </w:r>
      <w:r>
        <w:rPr/>
        <w:t>por millón de viajeros transportados frente a las 58 reclamaciones por millón de viajeros recibidas en el año 2024.</w:t>
      </w:r>
    </w:p>
    <w:p>
      <w:pPr>
        <w:pStyle w:val="BodyText"/>
        <w:spacing w:line="360" w:lineRule="auto" w:before="199"/>
        <w:ind w:left="1341" w:right="1336"/>
        <w:jc w:val="both"/>
      </w:pPr>
      <w:r>
        <w:rPr/>
        <w:t>En el año 2025 ha habido una disminución en el número de reclamaciones relacionada con la actitud</w:t>
      </w:r>
      <w:r>
        <w:rPr>
          <w:spacing w:val="8"/>
        </w:rPr>
        <w:t> </w:t>
      </w:r>
      <w:r>
        <w:rPr/>
        <w:t>de</w:t>
      </w:r>
      <w:r>
        <w:rPr>
          <w:spacing w:val="10"/>
        </w:rPr>
        <w:t> </w:t>
      </w:r>
      <w:r>
        <w:rPr/>
        <w:t>empleado,</w:t>
      </w:r>
      <w:r>
        <w:rPr>
          <w:spacing w:val="11"/>
        </w:rPr>
        <w:t> </w:t>
      </w:r>
      <w:r>
        <w:rPr/>
        <w:t>este</w:t>
      </w:r>
      <w:r>
        <w:rPr>
          <w:spacing w:val="10"/>
        </w:rPr>
        <w:t> </w:t>
      </w:r>
      <w:r>
        <w:rPr/>
        <w:t>decremento</w:t>
      </w:r>
      <w:r>
        <w:rPr>
          <w:spacing w:val="11"/>
        </w:rPr>
        <w:t> </w:t>
      </w:r>
      <w:r>
        <w:rPr/>
        <w:t>ha</w:t>
      </w:r>
      <w:r>
        <w:rPr>
          <w:spacing w:val="10"/>
        </w:rPr>
        <w:t> </w:t>
      </w:r>
      <w:r>
        <w:rPr/>
        <w:t>sido</w:t>
      </w:r>
      <w:r>
        <w:rPr>
          <w:spacing w:val="12"/>
        </w:rPr>
        <w:t> </w:t>
      </w:r>
      <w:r>
        <w:rPr/>
        <w:t>del</w:t>
      </w:r>
      <w:r>
        <w:rPr>
          <w:spacing w:val="10"/>
        </w:rPr>
        <w:t> </w:t>
      </w:r>
      <w:r>
        <w:rPr/>
        <w:t>15</w:t>
      </w:r>
      <w:r>
        <w:rPr>
          <w:spacing w:val="12"/>
        </w:rPr>
        <w:t> </w:t>
      </w:r>
      <w:r>
        <w:rPr/>
        <w:t>%</w:t>
      </w:r>
      <w:r>
        <w:rPr>
          <w:spacing w:val="10"/>
        </w:rPr>
        <w:t> </w:t>
      </w:r>
      <w:r>
        <w:rPr/>
        <w:t>pasando</w:t>
      </w:r>
      <w:r>
        <w:rPr>
          <w:spacing w:val="11"/>
        </w:rPr>
        <w:t> </w:t>
      </w:r>
      <w:r>
        <w:rPr/>
        <w:t>de</w:t>
      </w:r>
      <w:r>
        <w:rPr>
          <w:spacing w:val="12"/>
        </w:rPr>
        <w:t> </w:t>
      </w:r>
      <w:r>
        <w:rPr/>
        <w:t>709</w:t>
      </w:r>
      <w:r>
        <w:rPr>
          <w:spacing w:val="10"/>
        </w:rPr>
        <w:t> </w:t>
      </w:r>
      <w:r>
        <w:rPr/>
        <w:t>reclamaciones</w:t>
      </w:r>
      <w:r>
        <w:rPr>
          <w:spacing w:val="13"/>
        </w:rPr>
        <w:t> </w:t>
      </w:r>
      <w:r>
        <w:rPr/>
        <w:t>en</w:t>
      </w:r>
      <w:r>
        <w:rPr>
          <w:spacing w:val="12"/>
        </w:rPr>
        <w:t> </w:t>
      </w:r>
      <w:r>
        <w:rPr>
          <w:spacing w:val="-5"/>
        </w:rPr>
        <w:t>el</w:t>
      </w:r>
    </w:p>
    <w:p>
      <w:pPr>
        <w:pStyle w:val="BodyText"/>
        <w:spacing w:before="1"/>
        <w:jc w:val="center"/>
      </w:pPr>
      <w:r>
        <w:rPr/>
        <w:t>año</w:t>
      </w:r>
      <w:r>
        <w:rPr>
          <w:spacing w:val="51"/>
        </w:rPr>
        <w:t> </w:t>
      </w:r>
      <w:r>
        <w:rPr/>
        <w:t>2024</w:t>
      </w:r>
      <w:r>
        <w:rPr>
          <w:spacing w:val="54"/>
        </w:rPr>
        <w:t> </w:t>
      </w:r>
      <w:r>
        <w:rPr/>
        <w:t>a</w:t>
      </w:r>
      <w:r>
        <w:rPr>
          <w:spacing w:val="51"/>
        </w:rPr>
        <w:t> </w:t>
      </w:r>
      <w:r>
        <w:rPr/>
        <w:t>602</w:t>
      </w:r>
      <w:r>
        <w:rPr>
          <w:spacing w:val="54"/>
        </w:rPr>
        <w:t> </w:t>
      </w:r>
      <w:r>
        <w:rPr/>
        <w:t>en</w:t>
      </w:r>
      <w:r>
        <w:rPr>
          <w:spacing w:val="51"/>
        </w:rPr>
        <w:t> </w:t>
      </w:r>
      <w:r>
        <w:rPr/>
        <w:t>el</w:t>
      </w:r>
      <w:r>
        <w:rPr>
          <w:spacing w:val="52"/>
        </w:rPr>
        <w:t> </w:t>
      </w:r>
      <w:r>
        <w:rPr/>
        <w:t>año</w:t>
      </w:r>
      <w:r>
        <w:rPr>
          <w:spacing w:val="54"/>
        </w:rPr>
        <w:t> </w:t>
      </w:r>
      <w:r>
        <w:rPr/>
        <w:t>2025,</w:t>
      </w:r>
      <w:r>
        <w:rPr>
          <w:spacing w:val="52"/>
        </w:rPr>
        <w:t> </w:t>
      </w:r>
      <w:r>
        <w:rPr/>
        <w:t>también</w:t>
      </w:r>
      <w:r>
        <w:rPr>
          <w:spacing w:val="51"/>
        </w:rPr>
        <w:t> </w:t>
      </w:r>
      <w:r>
        <w:rPr/>
        <w:t>ha</w:t>
      </w:r>
      <w:r>
        <w:rPr>
          <w:spacing w:val="51"/>
        </w:rPr>
        <w:t> </w:t>
      </w:r>
      <w:r>
        <w:rPr/>
        <w:t>habido</w:t>
      </w:r>
      <w:r>
        <w:rPr>
          <w:spacing w:val="52"/>
        </w:rPr>
        <w:t> </w:t>
      </w:r>
      <w:r>
        <w:rPr/>
        <w:t>un</w:t>
      </w:r>
      <w:r>
        <w:rPr>
          <w:spacing w:val="52"/>
        </w:rPr>
        <w:t> </w:t>
      </w:r>
      <w:r>
        <w:rPr/>
        <w:t>descenso</w:t>
      </w:r>
      <w:r>
        <w:rPr>
          <w:spacing w:val="53"/>
        </w:rPr>
        <w:t> </w:t>
      </w:r>
      <w:r>
        <w:rPr/>
        <w:t>en</w:t>
      </w:r>
      <w:r>
        <w:rPr>
          <w:spacing w:val="51"/>
        </w:rPr>
        <w:t> </w:t>
      </w:r>
      <w:r>
        <w:rPr/>
        <w:t>las</w:t>
      </w:r>
      <w:r>
        <w:rPr>
          <w:spacing w:val="52"/>
        </w:rPr>
        <w:t> </w:t>
      </w:r>
      <w:r>
        <w:rPr>
          <w:spacing w:val="-2"/>
        </w:rPr>
        <w:t>reclamaciones</w:t>
      </w:r>
    </w:p>
    <w:p>
      <w:pPr>
        <w:pStyle w:val="BodyText"/>
        <w:spacing w:before="116"/>
        <w:jc w:val="center"/>
      </w:pPr>
      <w:r>
        <w:rPr/>
        <w:t>relacionadas</w:t>
      </w:r>
      <w:r>
        <w:rPr>
          <w:spacing w:val="55"/>
          <w:w w:val="150"/>
        </w:rPr>
        <w:t> </w:t>
      </w:r>
      <w:r>
        <w:rPr/>
        <w:t>con</w:t>
      </w:r>
      <w:r>
        <w:rPr>
          <w:spacing w:val="53"/>
          <w:w w:val="150"/>
        </w:rPr>
        <w:t> </w:t>
      </w:r>
      <w:r>
        <w:rPr/>
        <w:t>la</w:t>
      </w:r>
      <w:r>
        <w:rPr>
          <w:spacing w:val="52"/>
          <w:w w:val="150"/>
        </w:rPr>
        <w:t> </w:t>
      </w:r>
      <w:r>
        <w:rPr/>
        <w:t>recarga</w:t>
      </w:r>
      <w:r>
        <w:rPr>
          <w:spacing w:val="53"/>
          <w:w w:val="150"/>
        </w:rPr>
        <w:t> </w:t>
      </w:r>
      <w:r>
        <w:rPr/>
        <w:t>online,</w:t>
      </w:r>
      <w:r>
        <w:rPr>
          <w:spacing w:val="56"/>
          <w:w w:val="150"/>
        </w:rPr>
        <w:t> </w:t>
      </w:r>
      <w:r>
        <w:rPr/>
        <w:t>este</w:t>
      </w:r>
      <w:r>
        <w:rPr>
          <w:spacing w:val="52"/>
          <w:w w:val="150"/>
        </w:rPr>
        <w:t> </w:t>
      </w:r>
      <w:r>
        <w:rPr/>
        <w:t>descenso</w:t>
      </w:r>
      <w:r>
        <w:rPr>
          <w:spacing w:val="52"/>
          <w:w w:val="150"/>
        </w:rPr>
        <w:t> </w:t>
      </w:r>
      <w:r>
        <w:rPr/>
        <w:t>ha</w:t>
      </w:r>
      <w:r>
        <w:rPr>
          <w:spacing w:val="54"/>
          <w:w w:val="150"/>
        </w:rPr>
        <w:t> </w:t>
      </w:r>
      <w:r>
        <w:rPr/>
        <w:t>sido</w:t>
      </w:r>
      <w:r>
        <w:rPr>
          <w:spacing w:val="56"/>
          <w:w w:val="150"/>
        </w:rPr>
        <w:t> </w:t>
      </w:r>
      <w:r>
        <w:rPr/>
        <w:t>del</w:t>
      </w:r>
      <w:r>
        <w:rPr>
          <w:spacing w:val="53"/>
          <w:w w:val="150"/>
        </w:rPr>
        <w:t> </w:t>
      </w:r>
      <w:r>
        <w:rPr/>
        <w:t>9%,</w:t>
      </w:r>
      <w:r>
        <w:rPr>
          <w:spacing w:val="55"/>
          <w:w w:val="150"/>
        </w:rPr>
        <w:t> </w:t>
      </w:r>
      <w:r>
        <w:rPr/>
        <w:t>pasando</w:t>
      </w:r>
      <w:r>
        <w:rPr>
          <w:spacing w:val="57"/>
          <w:w w:val="150"/>
        </w:rPr>
        <w:t> </w:t>
      </w:r>
      <w:r>
        <w:rPr/>
        <w:t>de</w:t>
      </w:r>
      <w:r>
        <w:rPr>
          <w:spacing w:val="54"/>
          <w:w w:val="150"/>
        </w:rPr>
        <w:t> </w:t>
      </w:r>
      <w:r>
        <w:rPr>
          <w:spacing w:val="-5"/>
        </w:rPr>
        <w:t>341</w:t>
      </w:r>
    </w:p>
    <w:p>
      <w:pPr>
        <w:pStyle w:val="BodyText"/>
        <w:spacing w:line="362" w:lineRule="auto" w:before="113"/>
        <w:ind w:left="1341" w:right="1334"/>
        <w:jc w:val="both"/>
      </w:pPr>
      <w:r>
        <w:rPr/>
        <w:t>reclamaciones en 2024 a 309 reclamaciones en 2025. Hay que destacar el aumento en este año de las reclamaciones relacionadas con los títulos de viaje, que ascienden al 37 % de las reclamaciones recibidas, pasando de 550 reclamaciones en 2024 a 754 reclamaciones en el año 2025.</w:t>
      </w:r>
    </w:p>
    <w:p>
      <w:pPr>
        <w:pStyle w:val="BodyText"/>
        <w:spacing w:before="193"/>
        <w:ind w:left="1"/>
        <w:jc w:val="center"/>
      </w:pPr>
      <w:r>
        <w:rPr>
          <w:color w:val="111224"/>
        </w:rPr>
        <w:t>Destaca</w:t>
      </w:r>
      <w:r>
        <w:rPr>
          <w:color w:val="111224"/>
          <w:spacing w:val="46"/>
        </w:rPr>
        <w:t> </w:t>
      </w:r>
      <w:r>
        <w:rPr>
          <w:color w:val="111224"/>
        </w:rPr>
        <w:t>con</w:t>
      </w:r>
      <w:r>
        <w:rPr>
          <w:color w:val="111224"/>
          <w:spacing w:val="46"/>
        </w:rPr>
        <w:t> </w:t>
      </w:r>
      <w:r>
        <w:rPr>
          <w:color w:val="111224"/>
        </w:rPr>
        <w:t>mayor</w:t>
      </w:r>
      <w:r>
        <w:rPr>
          <w:color w:val="111224"/>
          <w:spacing w:val="47"/>
        </w:rPr>
        <w:t> </w:t>
      </w:r>
      <w:r>
        <w:rPr>
          <w:color w:val="111224"/>
        </w:rPr>
        <w:t>número</w:t>
      </w:r>
      <w:r>
        <w:rPr>
          <w:color w:val="111224"/>
          <w:spacing w:val="47"/>
        </w:rPr>
        <w:t> </w:t>
      </w:r>
      <w:r>
        <w:rPr>
          <w:color w:val="111224"/>
        </w:rPr>
        <w:t>de</w:t>
      </w:r>
      <w:r>
        <w:rPr>
          <w:color w:val="111224"/>
          <w:spacing w:val="46"/>
        </w:rPr>
        <w:t> </w:t>
      </w:r>
      <w:r>
        <w:rPr>
          <w:color w:val="111224"/>
        </w:rPr>
        <w:t>reclamaciones</w:t>
      </w:r>
      <w:r>
        <w:rPr>
          <w:color w:val="111224"/>
          <w:spacing w:val="47"/>
        </w:rPr>
        <w:t> </w:t>
      </w:r>
      <w:r>
        <w:rPr>
          <w:color w:val="111224"/>
        </w:rPr>
        <w:t>en</w:t>
      </w:r>
      <w:r>
        <w:rPr>
          <w:color w:val="111224"/>
          <w:spacing w:val="48"/>
        </w:rPr>
        <w:t> </w:t>
      </w:r>
      <w:r>
        <w:rPr>
          <w:color w:val="111224"/>
        </w:rPr>
        <w:t>la</w:t>
      </w:r>
      <w:r>
        <w:rPr>
          <w:color w:val="111224"/>
          <w:spacing w:val="45"/>
        </w:rPr>
        <w:t> </w:t>
      </w:r>
      <w:r>
        <w:rPr>
          <w:color w:val="111224"/>
        </w:rPr>
        <w:t>categoría</w:t>
      </w:r>
      <w:r>
        <w:rPr>
          <w:color w:val="111224"/>
          <w:spacing w:val="44"/>
        </w:rPr>
        <w:t> </w:t>
      </w:r>
      <w:r>
        <w:rPr>
          <w:color w:val="111224"/>
        </w:rPr>
        <w:t>de</w:t>
      </w:r>
      <w:r>
        <w:rPr>
          <w:color w:val="111224"/>
          <w:spacing w:val="48"/>
        </w:rPr>
        <w:t> </w:t>
      </w:r>
      <w:r>
        <w:rPr>
          <w:color w:val="111224"/>
        </w:rPr>
        <w:t>títulos</w:t>
      </w:r>
      <w:r>
        <w:rPr>
          <w:color w:val="111224"/>
          <w:spacing w:val="48"/>
        </w:rPr>
        <w:t> </w:t>
      </w:r>
      <w:r>
        <w:rPr>
          <w:color w:val="111224"/>
        </w:rPr>
        <w:t>de</w:t>
      </w:r>
      <w:r>
        <w:rPr>
          <w:color w:val="111224"/>
          <w:spacing w:val="48"/>
        </w:rPr>
        <w:t> </w:t>
      </w:r>
      <w:r>
        <w:rPr>
          <w:color w:val="111224"/>
        </w:rPr>
        <w:t>viaje</w:t>
      </w:r>
      <w:r>
        <w:rPr>
          <w:color w:val="111224"/>
          <w:spacing w:val="46"/>
        </w:rPr>
        <w:t> </w:t>
      </w:r>
      <w:r>
        <w:rPr>
          <w:color w:val="111224"/>
        </w:rPr>
        <w:t>(23</w:t>
      </w:r>
      <w:r>
        <w:rPr>
          <w:color w:val="111224"/>
          <w:spacing w:val="47"/>
        </w:rPr>
        <w:t> </w:t>
      </w:r>
      <w:r>
        <w:rPr>
          <w:color w:val="111224"/>
          <w:spacing w:val="-5"/>
        </w:rPr>
        <w:t>%),</w:t>
      </w:r>
    </w:p>
    <w:p>
      <w:pPr>
        <w:pStyle w:val="BodyText"/>
        <w:spacing w:before="113"/>
        <w:ind w:left="1"/>
        <w:jc w:val="center"/>
      </w:pPr>
      <w:r>
        <w:rPr>
          <w:color w:val="111224"/>
        </w:rPr>
        <w:t>seguido</w:t>
      </w:r>
      <w:r>
        <w:rPr>
          <w:color w:val="111224"/>
          <w:spacing w:val="42"/>
        </w:rPr>
        <w:t> </w:t>
      </w:r>
      <w:r>
        <w:rPr>
          <w:color w:val="111224"/>
        </w:rPr>
        <w:t>por</w:t>
      </w:r>
      <w:r>
        <w:rPr>
          <w:color w:val="111224"/>
          <w:spacing w:val="44"/>
        </w:rPr>
        <w:t> </w:t>
      </w:r>
      <w:r>
        <w:rPr>
          <w:color w:val="111224"/>
        </w:rPr>
        <w:t>la</w:t>
      </w:r>
      <w:r>
        <w:rPr>
          <w:color w:val="111224"/>
          <w:spacing w:val="43"/>
        </w:rPr>
        <w:t> </w:t>
      </w:r>
      <w:r>
        <w:rPr>
          <w:color w:val="111224"/>
        </w:rPr>
        <w:t>actitud</w:t>
      </w:r>
      <w:r>
        <w:rPr>
          <w:color w:val="111224"/>
          <w:spacing w:val="41"/>
        </w:rPr>
        <w:t> </w:t>
      </w:r>
      <w:r>
        <w:rPr>
          <w:color w:val="111224"/>
        </w:rPr>
        <w:t>de</w:t>
      </w:r>
      <w:r>
        <w:rPr>
          <w:color w:val="111224"/>
          <w:spacing w:val="42"/>
        </w:rPr>
        <w:t> </w:t>
      </w:r>
      <w:r>
        <w:rPr>
          <w:color w:val="111224"/>
        </w:rPr>
        <w:t>empleado</w:t>
      </w:r>
      <w:r>
        <w:rPr>
          <w:color w:val="111224"/>
          <w:spacing w:val="44"/>
        </w:rPr>
        <w:t> </w:t>
      </w:r>
      <w:r>
        <w:rPr>
          <w:color w:val="111224"/>
        </w:rPr>
        <w:t>(19%),</w:t>
      </w:r>
      <w:r>
        <w:rPr>
          <w:color w:val="111224"/>
          <w:spacing w:val="43"/>
        </w:rPr>
        <w:t> </w:t>
      </w:r>
      <w:r>
        <w:rPr>
          <w:color w:val="111224"/>
        </w:rPr>
        <w:t>horarios</w:t>
      </w:r>
      <w:r>
        <w:rPr>
          <w:color w:val="111224"/>
          <w:spacing w:val="43"/>
        </w:rPr>
        <w:t> </w:t>
      </w:r>
      <w:r>
        <w:rPr>
          <w:color w:val="111224"/>
        </w:rPr>
        <w:t>(14</w:t>
      </w:r>
      <w:r>
        <w:rPr>
          <w:color w:val="111224"/>
          <w:spacing w:val="41"/>
        </w:rPr>
        <w:t> </w:t>
      </w:r>
      <w:r>
        <w:rPr>
          <w:color w:val="111224"/>
        </w:rPr>
        <w:t>%),</w:t>
      </w:r>
      <w:r>
        <w:rPr>
          <w:color w:val="111224"/>
          <w:spacing w:val="41"/>
        </w:rPr>
        <w:t> </w:t>
      </w:r>
      <w:r>
        <w:rPr>
          <w:color w:val="111224"/>
        </w:rPr>
        <w:t>solicitud</w:t>
      </w:r>
      <w:r>
        <w:rPr>
          <w:color w:val="111224"/>
          <w:spacing w:val="42"/>
        </w:rPr>
        <w:t> </w:t>
      </w:r>
      <w:r>
        <w:rPr>
          <w:color w:val="111224"/>
        </w:rPr>
        <w:t>de</w:t>
      </w:r>
      <w:r>
        <w:rPr>
          <w:color w:val="111224"/>
          <w:spacing w:val="44"/>
        </w:rPr>
        <w:t> </w:t>
      </w:r>
      <w:r>
        <w:rPr>
          <w:color w:val="111224"/>
        </w:rPr>
        <w:t>servicios</w:t>
      </w:r>
      <w:r>
        <w:rPr>
          <w:color w:val="111224"/>
          <w:spacing w:val="41"/>
        </w:rPr>
        <w:t> </w:t>
      </w:r>
      <w:r>
        <w:rPr>
          <w:color w:val="111224"/>
        </w:rPr>
        <w:t>(10</w:t>
      </w:r>
      <w:r>
        <w:rPr>
          <w:color w:val="111224"/>
          <w:spacing w:val="42"/>
        </w:rPr>
        <w:t> </w:t>
      </w:r>
      <w:r>
        <w:rPr>
          <w:color w:val="111224"/>
          <w:spacing w:val="-5"/>
        </w:rPr>
        <w:t>%),</w:t>
      </w:r>
    </w:p>
    <w:p>
      <w:pPr>
        <w:pStyle w:val="BodyText"/>
        <w:spacing w:before="115"/>
        <w:jc w:val="center"/>
      </w:pPr>
      <w:r>
        <w:rPr>
          <w:color w:val="111224"/>
        </w:rPr>
        <w:t>recarga</w:t>
      </w:r>
      <w:r>
        <w:rPr>
          <w:color w:val="111224"/>
          <w:spacing w:val="4"/>
        </w:rPr>
        <w:t> </w:t>
      </w:r>
      <w:r>
        <w:rPr>
          <w:color w:val="111224"/>
        </w:rPr>
        <w:t>online</w:t>
      </w:r>
      <w:r>
        <w:rPr>
          <w:color w:val="111224"/>
          <w:spacing w:val="3"/>
        </w:rPr>
        <w:t> </w:t>
      </w:r>
      <w:r>
        <w:rPr>
          <w:color w:val="111224"/>
        </w:rPr>
        <w:t>(10%)</w:t>
      </w:r>
      <w:r>
        <w:rPr>
          <w:color w:val="111224"/>
          <w:spacing w:val="9"/>
        </w:rPr>
        <w:t> </w:t>
      </w:r>
      <w:r>
        <w:rPr>
          <w:color w:val="111224"/>
        </w:rPr>
        <w:t>y</w:t>
      </w:r>
      <w:r>
        <w:rPr>
          <w:color w:val="111224"/>
          <w:spacing w:val="1"/>
        </w:rPr>
        <w:t> </w:t>
      </w:r>
      <w:r>
        <w:rPr>
          <w:color w:val="111224"/>
        </w:rPr>
        <w:t>por</w:t>
      </w:r>
      <w:r>
        <w:rPr>
          <w:color w:val="111224"/>
          <w:spacing w:val="7"/>
        </w:rPr>
        <w:t> </w:t>
      </w:r>
      <w:r>
        <w:rPr>
          <w:color w:val="111224"/>
        </w:rPr>
        <w:t>paradas</w:t>
      </w:r>
      <w:r>
        <w:rPr>
          <w:color w:val="111224"/>
          <w:spacing w:val="5"/>
        </w:rPr>
        <w:t> </w:t>
      </w:r>
      <w:r>
        <w:rPr>
          <w:color w:val="111224"/>
        </w:rPr>
        <w:t>(7%)</w:t>
      </w:r>
      <w:r>
        <w:rPr>
          <w:color w:val="111224"/>
          <w:spacing w:val="6"/>
        </w:rPr>
        <w:t> </w:t>
      </w:r>
      <w:r>
        <w:rPr>
          <w:color w:val="111224"/>
        </w:rPr>
        <w:t>como</w:t>
      </w:r>
      <w:r>
        <w:rPr>
          <w:color w:val="111224"/>
          <w:spacing w:val="2"/>
        </w:rPr>
        <w:t> </w:t>
      </w:r>
      <w:r>
        <w:rPr>
          <w:color w:val="111224"/>
        </w:rPr>
        <w:t>las</w:t>
      </w:r>
      <w:r>
        <w:rPr>
          <w:color w:val="111224"/>
          <w:spacing w:val="5"/>
        </w:rPr>
        <w:t> </w:t>
      </w:r>
      <w:r>
        <w:rPr>
          <w:color w:val="111224"/>
        </w:rPr>
        <w:t>seis</w:t>
      </w:r>
      <w:r>
        <w:rPr>
          <w:color w:val="111224"/>
          <w:spacing w:val="5"/>
        </w:rPr>
        <w:t> </w:t>
      </w:r>
      <w:r>
        <w:rPr>
          <w:color w:val="111224"/>
        </w:rPr>
        <w:t>categorías</w:t>
      </w:r>
      <w:r>
        <w:rPr>
          <w:color w:val="111224"/>
          <w:spacing w:val="4"/>
        </w:rPr>
        <w:t> </w:t>
      </w:r>
      <w:r>
        <w:rPr>
          <w:color w:val="111224"/>
        </w:rPr>
        <w:t>que</w:t>
      </w:r>
      <w:r>
        <w:rPr>
          <w:color w:val="111224"/>
          <w:spacing w:val="3"/>
        </w:rPr>
        <w:t> </w:t>
      </w:r>
      <w:r>
        <w:rPr>
          <w:color w:val="111224"/>
        </w:rPr>
        <w:t>suponen</w:t>
      </w:r>
      <w:r>
        <w:rPr>
          <w:color w:val="111224"/>
          <w:spacing w:val="5"/>
        </w:rPr>
        <w:t> </w:t>
      </w:r>
      <w:r>
        <w:rPr>
          <w:color w:val="111224"/>
        </w:rPr>
        <w:t>más</w:t>
      </w:r>
      <w:r>
        <w:rPr>
          <w:color w:val="111224"/>
          <w:spacing w:val="6"/>
        </w:rPr>
        <w:t> </w:t>
      </w:r>
      <w:r>
        <w:rPr>
          <w:color w:val="111224"/>
        </w:rPr>
        <w:t>del</w:t>
      </w:r>
      <w:r>
        <w:rPr>
          <w:color w:val="111224"/>
          <w:spacing w:val="3"/>
        </w:rPr>
        <w:t> </w:t>
      </w:r>
      <w:r>
        <w:rPr>
          <w:color w:val="111224"/>
        </w:rPr>
        <w:t>80</w:t>
      </w:r>
      <w:r>
        <w:rPr>
          <w:color w:val="111224"/>
          <w:spacing w:val="3"/>
        </w:rPr>
        <w:t> </w:t>
      </w:r>
      <w:r>
        <w:rPr>
          <w:color w:val="111224"/>
          <w:spacing w:val="-10"/>
        </w:rPr>
        <w:t>%</w:t>
      </w:r>
    </w:p>
    <w:p>
      <w:pPr>
        <w:pStyle w:val="BodyText"/>
        <w:spacing w:line="362" w:lineRule="auto" w:before="116"/>
        <w:ind w:left="1341" w:right="1308"/>
      </w:pPr>
      <w:r>
        <w:rPr/>
        <mc:AlternateContent>
          <mc:Choice Requires="wps">
            <w:drawing>
              <wp:anchor distT="0" distB="0" distL="0" distR="0" allowOverlap="1" layoutInCell="1" locked="0" behindDoc="1" simplePos="0" relativeHeight="476796928">
                <wp:simplePos x="0" y="0"/>
                <wp:positionH relativeFrom="page">
                  <wp:posOffset>2690143</wp:posOffset>
                </wp:positionH>
                <wp:positionV relativeFrom="paragraph">
                  <wp:posOffset>78496</wp:posOffset>
                </wp:positionV>
                <wp:extent cx="70485" cy="14160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70485" cy="141605"/>
                        </a:xfrm>
                        <a:prstGeom prst="rect">
                          <a:avLst/>
                        </a:prstGeom>
                      </wps:spPr>
                      <wps:txbx>
                        <w:txbxContent>
                          <w:p>
                            <w:pPr>
                              <w:pStyle w:val="BodyText"/>
                              <w:spacing w:line="223" w:lineRule="exact"/>
                            </w:pPr>
                            <w:r>
                              <w:rPr>
                                <w:color w:val="111224"/>
                                <w:spacing w:val="-12"/>
                              </w:rPr>
                              <w:t>n</w:t>
                            </w:r>
                          </w:p>
                        </w:txbxContent>
                      </wps:txbx>
                      <wps:bodyPr wrap="square" lIns="0" tIns="0" rIns="0" bIns="0" rtlCol="0">
                        <a:noAutofit/>
                      </wps:bodyPr>
                    </wps:wsp>
                  </a:graphicData>
                </a:graphic>
              </wp:anchor>
            </w:drawing>
          </mc:Choice>
          <mc:Fallback>
            <w:pict>
              <v:shape style="position:absolute;margin-left:211.822296pt;margin-top:6.18086pt;width:5.55pt;height:11.15pt;mso-position-horizontal-relative:page;mso-position-vertical-relative:paragraph;z-index:-26519552" type="#_x0000_t202" id="docshape263" filled="false" stroked="false">
                <v:textbox inset="0,0,0,0">
                  <w:txbxContent>
                    <w:p>
                      <w:pPr>
                        <w:pStyle w:val="BodyText"/>
                        <w:spacing w:line="223" w:lineRule="exact"/>
                      </w:pPr>
                      <w:r>
                        <w:rPr>
                          <w:color w:val="111224"/>
                          <w:spacing w:val="-12"/>
                        </w:rPr>
                        <w:t>n</w:t>
                      </w:r>
                    </w:p>
                  </w:txbxContent>
                </v:textbox>
                <w10:wrap type="none"/>
              </v:shape>
            </w:pict>
          </mc:Fallback>
        </mc:AlternateContent>
      </w:r>
      <w:r>
        <w:rPr/>
        <mc:AlternateContent>
          <mc:Choice Requires="wps">
            <w:drawing>
              <wp:anchor distT="0" distB="0" distL="0" distR="0" allowOverlap="1" layoutInCell="1" locked="0" behindDoc="1" simplePos="0" relativeHeight="476797440">
                <wp:simplePos x="0" y="0"/>
                <wp:positionH relativeFrom="page">
                  <wp:posOffset>2689715</wp:posOffset>
                </wp:positionH>
                <wp:positionV relativeFrom="paragraph">
                  <wp:posOffset>299478</wp:posOffset>
                </wp:positionV>
                <wp:extent cx="63500" cy="14160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63500" cy="141605"/>
                        </a:xfrm>
                        <a:prstGeom prst="rect">
                          <a:avLst/>
                        </a:prstGeom>
                      </wps:spPr>
                      <wps:txbx>
                        <w:txbxContent>
                          <w:p>
                            <w:pPr>
                              <w:pStyle w:val="BodyText"/>
                              <w:spacing w:line="223" w:lineRule="exact"/>
                            </w:pPr>
                            <w:r>
                              <w:rPr>
                                <w:color w:val="111224"/>
                                <w:spacing w:val="-10"/>
                              </w:rPr>
                              <w:t>s</w:t>
                            </w:r>
                          </w:p>
                        </w:txbxContent>
                      </wps:txbx>
                      <wps:bodyPr wrap="square" lIns="0" tIns="0" rIns="0" bIns="0" rtlCol="0">
                        <a:noAutofit/>
                      </wps:bodyPr>
                    </wps:wsp>
                  </a:graphicData>
                </a:graphic>
              </wp:anchor>
            </w:drawing>
          </mc:Choice>
          <mc:Fallback>
            <w:pict>
              <v:shape style="position:absolute;margin-left:211.788651pt;margin-top:23.580959pt;width:5pt;height:11.15pt;mso-position-horizontal-relative:page;mso-position-vertical-relative:paragraph;z-index:-26519040" type="#_x0000_t202" id="docshape264" filled="false" stroked="false">
                <v:textbox inset="0,0,0,0">
                  <w:txbxContent>
                    <w:p>
                      <w:pPr>
                        <w:pStyle w:val="BodyText"/>
                        <w:spacing w:line="223" w:lineRule="exact"/>
                      </w:pPr>
                      <w:r>
                        <w:rPr>
                          <w:color w:val="111224"/>
                          <w:spacing w:val="-10"/>
                        </w:rPr>
                        <w:t>s</w:t>
                      </w:r>
                    </w:p>
                  </w:txbxContent>
                </v:textbox>
                <w10:wrap type="none"/>
              </v:shape>
            </w:pict>
          </mc:Fallback>
        </mc:AlternateContent>
      </w:r>
      <w:r>
        <w:rPr/>
        <mc:AlternateContent>
          <mc:Choice Requires="wps">
            <w:drawing>
              <wp:anchor distT="0" distB="0" distL="0" distR="0" allowOverlap="1" layoutInCell="1" locked="0" behindDoc="1" simplePos="0" relativeHeight="476797952">
                <wp:simplePos x="0" y="0"/>
                <wp:positionH relativeFrom="page">
                  <wp:posOffset>2732532</wp:posOffset>
                </wp:positionH>
                <wp:positionV relativeFrom="paragraph">
                  <wp:posOffset>75667</wp:posOffset>
                </wp:positionV>
                <wp:extent cx="2733040" cy="14478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2733040" cy="144780"/>
                        </a:xfrm>
                        <a:custGeom>
                          <a:avLst/>
                          <a:gdLst/>
                          <a:ahLst/>
                          <a:cxnLst/>
                          <a:rect l="l" t="t" r="r" b="b"/>
                          <a:pathLst>
                            <a:path w="2733040" h="144780">
                              <a:moveTo>
                                <a:pt x="2732532" y="144779"/>
                              </a:moveTo>
                              <a:lnTo>
                                <a:pt x="0" y="144779"/>
                              </a:lnTo>
                              <a:lnTo>
                                <a:pt x="0" y="0"/>
                              </a:lnTo>
                              <a:lnTo>
                                <a:pt x="2732532" y="0"/>
                              </a:lnTo>
                              <a:lnTo>
                                <a:pt x="2732532" y="1447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5.160004pt;margin-top:5.958106pt;width:215.16pt;height:11.4pt;mso-position-horizontal-relative:page;mso-position-vertical-relative:paragraph;z-index:-26518528" id="docshape265"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76798464">
                <wp:simplePos x="0" y="0"/>
                <wp:positionH relativeFrom="page">
                  <wp:posOffset>2732532</wp:posOffset>
                </wp:positionH>
                <wp:positionV relativeFrom="paragraph">
                  <wp:posOffset>296647</wp:posOffset>
                </wp:positionV>
                <wp:extent cx="1583690" cy="14478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1583690" cy="144780"/>
                        </a:xfrm>
                        <a:custGeom>
                          <a:avLst/>
                          <a:gdLst/>
                          <a:ahLst/>
                          <a:cxnLst/>
                          <a:rect l="l" t="t" r="r" b="b"/>
                          <a:pathLst>
                            <a:path w="1583690" h="144780">
                              <a:moveTo>
                                <a:pt x="1583436" y="144779"/>
                              </a:moveTo>
                              <a:lnTo>
                                <a:pt x="0" y="144779"/>
                              </a:lnTo>
                              <a:lnTo>
                                <a:pt x="0" y="0"/>
                              </a:lnTo>
                              <a:lnTo>
                                <a:pt x="1583436" y="0"/>
                              </a:lnTo>
                              <a:lnTo>
                                <a:pt x="1583436" y="1447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5.160004pt;margin-top:23.358105pt;width:124.68pt;height:11.4pt;mso-position-horizontal-relative:page;mso-position-vertical-relative:paragraph;z-index:-26518016" id="docshape266" filled="true" fillcolor="#ffffff" stroked="false">
                <v:fill type="solid"/>
                <w10:wrap type="none"/>
              </v:rect>
            </w:pict>
          </mc:Fallback>
        </mc:AlternateContent>
      </w:r>
      <w:r>
        <w:rPr>
          <w:color w:val="111224"/>
        </w:rPr>
        <w:t>del</w:t>
      </w:r>
      <w:r>
        <w:rPr>
          <w:color w:val="111224"/>
          <w:spacing w:val="40"/>
        </w:rPr>
        <w:t> </w:t>
      </w:r>
      <w:r>
        <w:rPr>
          <w:color w:val="111224"/>
        </w:rPr>
        <w:t>total</w:t>
      </w:r>
      <w:r>
        <w:rPr>
          <w:color w:val="111224"/>
          <w:spacing w:val="40"/>
        </w:rPr>
        <w:t> </w:t>
      </w:r>
      <w:r>
        <w:rPr>
          <w:color w:val="111224"/>
        </w:rPr>
        <w:t>de</w:t>
      </w:r>
      <w:r>
        <w:rPr>
          <w:color w:val="111224"/>
          <w:spacing w:val="40"/>
        </w:rPr>
        <w:t> </w:t>
      </w:r>
      <w:r>
        <w:rPr>
          <w:color w:val="111224"/>
        </w:rPr>
        <w:t>las</w:t>
      </w:r>
      <w:r>
        <w:rPr>
          <w:color w:val="111224"/>
          <w:spacing w:val="40"/>
        </w:rPr>
        <w:t> </w:t>
      </w:r>
      <w:r>
        <w:rPr>
          <w:color w:val="111224"/>
        </w:rPr>
        <w:t>reclamacio</w:t>
      </w:r>
      <w:r>
        <w:rPr>
          <w:color w:val="111224"/>
          <w:spacing w:val="40"/>
        </w:rPr>
        <w:t> </w:t>
      </w:r>
      <w:r>
        <w:rPr>
          <w:color w:val="111224"/>
        </w:rPr>
        <w:t>es</w:t>
      </w:r>
      <w:r>
        <w:rPr>
          <w:color w:val="111224"/>
          <w:spacing w:val="40"/>
        </w:rPr>
        <w:t> </w:t>
      </w:r>
      <w:r>
        <w:rPr>
          <w:color w:val="111224"/>
        </w:rPr>
        <w:t>registradas.</w:t>
      </w:r>
      <w:r>
        <w:rPr>
          <w:color w:val="111224"/>
          <w:spacing w:val="40"/>
        </w:rPr>
        <w:t> </w:t>
      </w:r>
      <w:r>
        <w:rPr>
          <w:color w:val="111224"/>
        </w:rPr>
        <w:t>El</w:t>
      </w:r>
      <w:r>
        <w:rPr>
          <w:color w:val="111224"/>
          <w:spacing w:val="40"/>
        </w:rPr>
        <w:t> </w:t>
      </w:r>
      <w:r>
        <w:rPr>
          <w:color w:val="111224"/>
        </w:rPr>
        <w:t>resto</w:t>
      </w:r>
      <w:r>
        <w:rPr>
          <w:color w:val="111224"/>
          <w:spacing w:val="40"/>
        </w:rPr>
        <w:t> </w:t>
      </w:r>
      <w:r>
        <w:rPr>
          <w:color w:val="111224"/>
        </w:rPr>
        <w:t>del</w:t>
      </w:r>
      <w:r>
        <w:rPr>
          <w:color w:val="111224"/>
          <w:spacing w:val="40"/>
        </w:rPr>
        <w:t> </w:t>
      </w:r>
      <w:r>
        <w:rPr>
          <w:color w:val="111224"/>
        </w:rPr>
        <w:t>porcentaje</w:t>
      </w:r>
      <w:r>
        <w:rPr>
          <w:color w:val="111224"/>
          <w:spacing w:val="40"/>
        </w:rPr>
        <w:t> </w:t>
      </w:r>
      <w:r>
        <w:rPr>
          <w:color w:val="111224"/>
        </w:rPr>
        <w:t>de</w:t>
      </w:r>
      <w:r>
        <w:rPr>
          <w:color w:val="111224"/>
          <w:spacing w:val="40"/>
        </w:rPr>
        <w:t> </w:t>
      </w:r>
      <w:r>
        <w:rPr>
          <w:color w:val="111224"/>
        </w:rPr>
        <w:t>reclamaciones</w:t>
      </w:r>
      <w:r>
        <w:rPr>
          <w:color w:val="111224"/>
          <w:spacing w:val="40"/>
        </w:rPr>
        <w:t> </w:t>
      </w:r>
      <w:r>
        <w:rPr>
          <w:color w:val="111224"/>
        </w:rPr>
        <w:t>está bastante disperso entre el re</w:t>
      </w:r>
      <w:r>
        <w:rPr>
          <w:color w:val="111224"/>
          <w:spacing w:val="40"/>
        </w:rPr>
        <w:t> </w:t>
      </w:r>
      <w:r>
        <w:rPr>
          <w:color w:val="111224"/>
        </w:rPr>
        <w:t>to de categorías asignadas.</w:t>
      </w:r>
    </w:p>
    <w:p>
      <w:pPr>
        <w:pStyle w:val="BodyText"/>
        <w:spacing w:line="360" w:lineRule="auto" w:before="196"/>
        <w:ind w:left="1341" w:right="1337"/>
        <w:jc w:val="both"/>
      </w:pPr>
      <w:r>
        <w:rPr/>
        <w:t>En todo caso, se ha de señalar que la política de la Dirección General en relación con este ámbito sigue siendo el de apostar por la cultura de la reclamación como input clave para seguir con la cultura de mejora continua. El área de reclamaciones y sugerencias sigue siendo un punto fuerte para el Sistema Integrado de Gestión, y lo valoramos muy positivamente.</w:t>
      </w:r>
    </w:p>
    <w:p>
      <w:pPr>
        <w:pStyle w:val="BodyText"/>
        <w:spacing w:before="202"/>
        <w:ind w:left="1341"/>
      </w:pPr>
      <w:r>
        <w:rPr/>
        <w:t>El</w:t>
      </w:r>
      <w:r>
        <w:rPr>
          <w:spacing w:val="-5"/>
        </w:rPr>
        <w:t> </w:t>
      </w:r>
      <w:r>
        <w:rPr/>
        <w:t>procedimiento</w:t>
      </w:r>
      <w:r>
        <w:rPr>
          <w:spacing w:val="-8"/>
        </w:rPr>
        <w:t> </w:t>
      </w:r>
      <w:r>
        <w:rPr/>
        <w:t>de</w:t>
      </w:r>
      <w:r>
        <w:rPr>
          <w:spacing w:val="-6"/>
        </w:rPr>
        <w:t> </w:t>
      </w:r>
      <w:r>
        <w:rPr/>
        <w:t>tramitación</w:t>
      </w:r>
      <w:r>
        <w:rPr>
          <w:spacing w:val="-7"/>
        </w:rPr>
        <w:t> </w:t>
      </w:r>
      <w:r>
        <w:rPr/>
        <w:t>de</w:t>
      </w:r>
      <w:r>
        <w:rPr>
          <w:spacing w:val="-8"/>
        </w:rPr>
        <w:t> </w:t>
      </w:r>
      <w:r>
        <w:rPr/>
        <w:t>reclamaciones,</w:t>
      </w:r>
      <w:r>
        <w:rPr>
          <w:spacing w:val="-8"/>
        </w:rPr>
        <w:t> </w:t>
      </w:r>
      <w:r>
        <w:rPr/>
        <w:t>se</w:t>
      </w:r>
      <w:r>
        <w:rPr>
          <w:spacing w:val="-4"/>
        </w:rPr>
        <w:t> </w:t>
      </w:r>
      <w:r>
        <w:rPr/>
        <w:t>configura</w:t>
      </w:r>
      <w:r>
        <w:rPr>
          <w:spacing w:val="-9"/>
        </w:rPr>
        <w:t> </w:t>
      </w:r>
      <w:r>
        <w:rPr/>
        <w:t>de</w:t>
      </w:r>
      <w:r>
        <w:rPr>
          <w:spacing w:val="-8"/>
        </w:rPr>
        <w:t> </w:t>
      </w:r>
      <w:r>
        <w:rPr/>
        <w:t>la</w:t>
      </w:r>
      <w:r>
        <w:rPr>
          <w:spacing w:val="-8"/>
        </w:rPr>
        <w:t> </w:t>
      </w:r>
      <w:r>
        <w:rPr/>
        <w:t>siguiente</w:t>
      </w:r>
      <w:r>
        <w:rPr>
          <w:spacing w:val="-7"/>
        </w:rPr>
        <w:t> </w:t>
      </w:r>
      <w:r>
        <w:rPr>
          <w:spacing w:val="-2"/>
        </w:rPr>
        <w:t>forma:</w:t>
      </w:r>
    </w:p>
    <w:p>
      <w:pPr>
        <w:pStyle w:val="BodyText"/>
        <w:spacing w:before="1"/>
        <w:rPr>
          <w:sz w:val="19"/>
        </w:rPr>
      </w:pPr>
    </w:p>
    <w:p>
      <w:pPr>
        <w:pStyle w:val="BodyText"/>
        <w:spacing w:after="0"/>
        <w:rPr>
          <w:sz w:val="19"/>
        </w:rPr>
        <w:sectPr>
          <w:pgSz w:w="11910" w:h="16840"/>
          <w:pgMar w:header="384" w:footer="1060" w:top="1200" w:bottom="1260" w:left="360" w:right="360"/>
        </w:sectPr>
      </w:pPr>
    </w:p>
    <w:p>
      <w:pPr>
        <w:pStyle w:val="ListParagraph"/>
        <w:numPr>
          <w:ilvl w:val="0"/>
          <w:numId w:val="49"/>
        </w:numPr>
        <w:tabs>
          <w:tab w:pos="2049" w:val="left" w:leader="none"/>
        </w:tabs>
        <w:spacing w:line="362" w:lineRule="auto" w:before="93" w:after="0"/>
        <w:ind w:left="1341" w:right="0" w:firstLine="0"/>
        <w:jc w:val="left"/>
        <w:rPr>
          <w:sz w:val="20"/>
        </w:rPr>
      </w:pPr>
      <w:r>
        <w:rPr>
          <w:sz w:val="20"/>
        </w:rPr>
        <w:t>Las</w:t>
      </w:r>
      <w:r>
        <w:rPr>
          <w:spacing w:val="40"/>
          <w:sz w:val="20"/>
        </w:rPr>
        <w:t> </w:t>
      </w:r>
      <w:r>
        <w:rPr>
          <w:sz w:val="20"/>
        </w:rPr>
        <w:t>reclamaciones </w:t>
      </w:r>
      <w:r>
        <w:rPr>
          <w:spacing w:val="-2"/>
          <w:sz w:val="20"/>
        </w:rPr>
        <w:t>comunicación:</w:t>
      </w:r>
    </w:p>
    <w:p>
      <w:pPr>
        <w:pStyle w:val="BodyText"/>
        <w:spacing w:before="93"/>
        <w:ind w:left="109"/>
      </w:pPr>
      <w:r>
        <w:rPr/>
        <w:br w:type="column"/>
      </w:r>
      <w:r>
        <w:rPr/>
        <w:t>de</w:t>
      </w:r>
      <w:r>
        <w:rPr>
          <w:spacing w:val="55"/>
          <w:w w:val="150"/>
        </w:rPr>
        <w:t> </w:t>
      </w:r>
      <w:r>
        <w:rPr/>
        <w:t>clientes</w:t>
      </w:r>
      <w:r>
        <w:rPr>
          <w:spacing w:val="57"/>
          <w:w w:val="150"/>
        </w:rPr>
        <w:t> </w:t>
      </w:r>
      <w:r>
        <w:rPr/>
        <w:t>pueden</w:t>
      </w:r>
      <w:r>
        <w:rPr>
          <w:spacing w:val="55"/>
          <w:w w:val="150"/>
        </w:rPr>
        <w:t> </w:t>
      </w:r>
      <w:r>
        <w:rPr/>
        <w:t>llegar</w:t>
      </w:r>
      <w:r>
        <w:rPr>
          <w:spacing w:val="57"/>
          <w:w w:val="150"/>
        </w:rPr>
        <w:t> </w:t>
      </w:r>
      <w:r>
        <w:rPr/>
        <w:t>a</w:t>
      </w:r>
      <w:r>
        <w:rPr>
          <w:spacing w:val="57"/>
          <w:w w:val="150"/>
        </w:rPr>
        <w:t> </w:t>
      </w:r>
      <w:r>
        <w:rPr/>
        <w:t>través</w:t>
      </w:r>
      <w:r>
        <w:rPr>
          <w:spacing w:val="56"/>
          <w:w w:val="150"/>
        </w:rPr>
        <w:t> </w:t>
      </w:r>
      <w:r>
        <w:rPr/>
        <w:t>de</w:t>
      </w:r>
      <w:r>
        <w:rPr>
          <w:spacing w:val="56"/>
          <w:w w:val="150"/>
        </w:rPr>
        <w:t> </w:t>
      </w:r>
      <w:r>
        <w:rPr/>
        <w:t>distintos</w:t>
      </w:r>
      <w:r>
        <w:rPr>
          <w:spacing w:val="58"/>
          <w:w w:val="150"/>
        </w:rPr>
        <w:t> </w:t>
      </w:r>
      <w:r>
        <w:rPr/>
        <w:t>canales</w:t>
      </w:r>
      <w:r>
        <w:rPr>
          <w:spacing w:val="57"/>
          <w:w w:val="150"/>
        </w:rPr>
        <w:t> </w:t>
      </w:r>
      <w:r>
        <w:rPr>
          <w:spacing w:val="-5"/>
        </w:rPr>
        <w:t>de</w:t>
      </w:r>
    </w:p>
    <w:p>
      <w:pPr>
        <w:pStyle w:val="BodyText"/>
        <w:spacing w:after="0"/>
        <w:sectPr>
          <w:type w:val="continuous"/>
          <w:pgSz w:w="11910" w:h="16840"/>
          <w:pgMar w:header="384" w:footer="1060" w:top="1700" w:bottom="1040" w:left="360" w:right="360"/>
          <w:cols w:num="2" w:equalWidth="0">
            <w:col w:w="3806" w:space="40"/>
            <w:col w:w="7344"/>
          </w:cols>
        </w:sectPr>
      </w:pPr>
    </w:p>
    <w:p>
      <w:pPr>
        <w:pStyle w:val="ListParagraph"/>
        <w:numPr>
          <w:ilvl w:val="1"/>
          <w:numId w:val="49"/>
        </w:numPr>
        <w:tabs>
          <w:tab w:pos="2061" w:val="left" w:leader="none"/>
        </w:tabs>
        <w:spacing w:line="357" w:lineRule="auto" w:before="210" w:after="0"/>
        <w:ind w:left="2061" w:right="1333" w:hanging="360"/>
        <w:jc w:val="left"/>
        <w:rPr>
          <w:sz w:val="20"/>
        </w:rPr>
      </w:pPr>
      <w:r>
        <w:rPr>
          <w:sz w:val="20"/>
        </w:rPr>
        <mc:AlternateContent>
          <mc:Choice Requires="wps">
            <w:drawing>
              <wp:anchor distT="0" distB="0" distL="0" distR="0" allowOverlap="1" layoutInCell="1" locked="0" behindDoc="0" simplePos="0" relativeHeight="15830528">
                <wp:simplePos x="0" y="0"/>
                <wp:positionH relativeFrom="page">
                  <wp:posOffset>6966436</wp:posOffset>
                </wp:positionH>
                <wp:positionV relativeFrom="paragraph">
                  <wp:posOffset>-21594</wp:posOffset>
                </wp:positionV>
                <wp:extent cx="263525" cy="327596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64</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700371pt;width:20.75pt;height:257.95pt;mso-position-horizontal-relative:page;mso-position-vertical-relative:paragraph;z-index:15830528" type="#_x0000_t202" id="docshape26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64</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Formulario de sugerencias y reclamaciones que está en la página web de la empresa </w:t>
      </w:r>
      <w:r>
        <w:rPr>
          <w:spacing w:val="-2"/>
          <w:sz w:val="20"/>
        </w:rPr>
        <w:t>(</w:t>
      </w:r>
      <w:hyperlink r:id="rId34">
        <w:r>
          <w:rPr>
            <w:spacing w:val="-2"/>
            <w:sz w:val="20"/>
          </w:rPr>
          <w:t>https://www.guaguas.com/atencion-al-cliente/sugerencias-y-reclamaciones).</w:t>
        </w:r>
      </w:hyperlink>
    </w:p>
    <w:p>
      <w:pPr>
        <w:pStyle w:val="ListParagraph"/>
        <w:numPr>
          <w:ilvl w:val="1"/>
          <w:numId w:val="49"/>
        </w:numPr>
        <w:tabs>
          <w:tab w:pos="2061" w:val="left" w:leader="none"/>
        </w:tabs>
        <w:spacing w:line="240" w:lineRule="auto" w:before="17" w:after="0"/>
        <w:ind w:left="2061" w:right="0" w:hanging="360"/>
        <w:jc w:val="left"/>
        <w:rPr>
          <w:sz w:val="20"/>
        </w:rPr>
      </w:pPr>
      <w:r>
        <w:rPr>
          <w:sz w:val="20"/>
        </w:rPr>
        <w:t>Reclamación</w:t>
      </w:r>
      <w:r>
        <w:rPr>
          <w:spacing w:val="-8"/>
          <w:sz w:val="20"/>
        </w:rPr>
        <w:t> </w:t>
      </w:r>
      <w:r>
        <w:rPr>
          <w:sz w:val="20"/>
        </w:rPr>
        <w:t>en</w:t>
      </w:r>
      <w:r>
        <w:rPr>
          <w:spacing w:val="-8"/>
          <w:sz w:val="20"/>
        </w:rPr>
        <w:t> </w:t>
      </w:r>
      <w:r>
        <w:rPr>
          <w:sz w:val="20"/>
        </w:rPr>
        <w:t>formato</w:t>
      </w:r>
      <w:r>
        <w:rPr>
          <w:spacing w:val="-7"/>
          <w:sz w:val="20"/>
        </w:rPr>
        <w:t> </w:t>
      </w:r>
      <w:r>
        <w:rPr>
          <w:sz w:val="20"/>
        </w:rPr>
        <w:t>papel</w:t>
      </w:r>
      <w:r>
        <w:rPr>
          <w:spacing w:val="-4"/>
          <w:sz w:val="20"/>
        </w:rPr>
        <w:t> </w:t>
      </w:r>
      <w:r>
        <w:rPr>
          <w:sz w:val="20"/>
        </w:rPr>
        <w:t>que</w:t>
      </w:r>
      <w:r>
        <w:rPr>
          <w:spacing w:val="-5"/>
          <w:sz w:val="20"/>
        </w:rPr>
        <w:t> </w:t>
      </w:r>
      <w:r>
        <w:rPr>
          <w:sz w:val="20"/>
        </w:rPr>
        <w:t>se</w:t>
      </w:r>
      <w:r>
        <w:rPr>
          <w:spacing w:val="-8"/>
          <w:sz w:val="20"/>
        </w:rPr>
        <w:t> </w:t>
      </w:r>
      <w:r>
        <w:rPr>
          <w:sz w:val="20"/>
        </w:rPr>
        <w:t>entrega</w:t>
      </w:r>
      <w:r>
        <w:rPr>
          <w:spacing w:val="-4"/>
          <w:sz w:val="20"/>
        </w:rPr>
        <w:t> </w:t>
      </w:r>
      <w:r>
        <w:rPr>
          <w:sz w:val="20"/>
        </w:rPr>
        <w:t>en</w:t>
      </w:r>
      <w:r>
        <w:rPr>
          <w:spacing w:val="-4"/>
          <w:sz w:val="20"/>
        </w:rPr>
        <w:t> </w:t>
      </w:r>
      <w:r>
        <w:rPr>
          <w:sz w:val="20"/>
        </w:rPr>
        <w:t>oficinas</w:t>
      </w:r>
      <w:r>
        <w:rPr>
          <w:spacing w:val="-6"/>
          <w:sz w:val="20"/>
        </w:rPr>
        <w:t> </w:t>
      </w:r>
      <w:r>
        <w:rPr>
          <w:spacing w:val="-2"/>
          <w:sz w:val="20"/>
        </w:rPr>
        <w:t>comerciales.</w:t>
      </w:r>
    </w:p>
    <w:p>
      <w:pPr>
        <w:pStyle w:val="ListParagraph"/>
        <w:numPr>
          <w:ilvl w:val="1"/>
          <w:numId w:val="49"/>
        </w:numPr>
        <w:tabs>
          <w:tab w:pos="2061" w:val="left" w:leader="none"/>
        </w:tabs>
        <w:spacing w:line="240" w:lineRule="auto" w:before="127" w:after="0"/>
        <w:ind w:left="2061" w:right="0" w:hanging="360"/>
        <w:jc w:val="left"/>
        <w:rPr>
          <w:sz w:val="20"/>
        </w:rPr>
      </w:pPr>
      <w:r>
        <w:rPr>
          <w:sz w:val="20"/>
        </w:rPr>
        <w:t>Registro</w:t>
      </w:r>
      <w:r>
        <w:rPr>
          <w:spacing w:val="-6"/>
          <w:sz w:val="20"/>
        </w:rPr>
        <w:t> </w:t>
      </w:r>
      <w:r>
        <w:rPr>
          <w:sz w:val="20"/>
        </w:rPr>
        <w:t>de</w:t>
      </w:r>
      <w:r>
        <w:rPr>
          <w:spacing w:val="-5"/>
          <w:sz w:val="20"/>
        </w:rPr>
        <w:t> </w:t>
      </w:r>
      <w:r>
        <w:rPr>
          <w:sz w:val="20"/>
        </w:rPr>
        <w:t>entrada</w:t>
      </w:r>
      <w:r>
        <w:rPr>
          <w:spacing w:val="-6"/>
          <w:sz w:val="20"/>
        </w:rPr>
        <w:t> </w:t>
      </w:r>
      <w:r>
        <w:rPr>
          <w:sz w:val="20"/>
        </w:rPr>
        <w:t>del</w:t>
      </w:r>
      <w:r>
        <w:rPr>
          <w:spacing w:val="-5"/>
          <w:sz w:val="20"/>
        </w:rPr>
        <w:t> </w:t>
      </w:r>
      <w:r>
        <w:rPr>
          <w:sz w:val="20"/>
        </w:rPr>
        <w:t>Ayuntamiento</w:t>
      </w:r>
      <w:r>
        <w:rPr>
          <w:spacing w:val="-6"/>
          <w:sz w:val="20"/>
        </w:rPr>
        <w:t> </w:t>
      </w:r>
      <w:r>
        <w:rPr>
          <w:sz w:val="20"/>
        </w:rPr>
        <w:t>de</w:t>
      </w:r>
      <w:r>
        <w:rPr>
          <w:spacing w:val="-4"/>
          <w:sz w:val="20"/>
        </w:rPr>
        <w:t> </w:t>
      </w:r>
      <w:r>
        <w:rPr>
          <w:sz w:val="20"/>
        </w:rPr>
        <w:t>Las</w:t>
      </w:r>
      <w:r>
        <w:rPr>
          <w:spacing w:val="-6"/>
          <w:sz w:val="20"/>
        </w:rPr>
        <w:t> </w:t>
      </w:r>
      <w:r>
        <w:rPr>
          <w:sz w:val="20"/>
        </w:rPr>
        <w:t>Palmas</w:t>
      </w:r>
      <w:r>
        <w:rPr>
          <w:spacing w:val="-6"/>
          <w:sz w:val="20"/>
        </w:rPr>
        <w:t> </w:t>
      </w:r>
      <w:r>
        <w:rPr>
          <w:sz w:val="20"/>
        </w:rPr>
        <w:t>de</w:t>
      </w:r>
      <w:r>
        <w:rPr>
          <w:spacing w:val="-7"/>
          <w:sz w:val="20"/>
        </w:rPr>
        <w:t> </w:t>
      </w:r>
      <w:r>
        <w:rPr>
          <w:sz w:val="20"/>
        </w:rPr>
        <w:t>Gran</w:t>
      </w:r>
      <w:r>
        <w:rPr>
          <w:spacing w:val="-8"/>
          <w:sz w:val="20"/>
        </w:rPr>
        <w:t> </w:t>
      </w:r>
      <w:r>
        <w:rPr>
          <w:spacing w:val="-2"/>
          <w:sz w:val="20"/>
        </w:rPr>
        <w:t>Canaria</w:t>
      </w:r>
    </w:p>
    <w:p>
      <w:pPr>
        <w:pStyle w:val="BodyText"/>
        <w:spacing w:before="84"/>
      </w:pPr>
    </w:p>
    <w:p>
      <w:pPr>
        <w:pStyle w:val="ListParagraph"/>
        <w:numPr>
          <w:ilvl w:val="0"/>
          <w:numId w:val="49"/>
        </w:numPr>
        <w:tabs>
          <w:tab w:pos="2049" w:val="left" w:leader="none"/>
        </w:tabs>
        <w:spacing w:line="240" w:lineRule="auto" w:before="0" w:after="0"/>
        <w:ind w:left="2049" w:right="0" w:hanging="708"/>
        <w:jc w:val="left"/>
        <w:rPr>
          <w:sz w:val="20"/>
        </w:rPr>
      </w:pPr>
      <w:r>
        <w:rPr>
          <w:sz w:val="20"/>
        </w:rPr>
        <w:t>Una</w:t>
      </w:r>
      <w:r>
        <w:rPr>
          <w:spacing w:val="1"/>
          <w:sz w:val="20"/>
        </w:rPr>
        <w:t> </w:t>
      </w:r>
      <w:r>
        <w:rPr>
          <w:sz w:val="20"/>
        </w:rPr>
        <w:t>vez</w:t>
      </w:r>
      <w:r>
        <w:rPr>
          <w:spacing w:val="-3"/>
          <w:sz w:val="20"/>
        </w:rPr>
        <w:t> </w:t>
      </w:r>
      <w:r>
        <w:rPr>
          <w:sz w:val="20"/>
        </w:rPr>
        <w:t>recibidas</w:t>
      </w:r>
      <w:r>
        <w:rPr>
          <w:spacing w:val="1"/>
          <w:sz w:val="20"/>
        </w:rPr>
        <w:t> </w:t>
      </w:r>
      <w:r>
        <w:rPr>
          <w:sz w:val="20"/>
        </w:rPr>
        <w:t>se</w:t>
      </w:r>
      <w:r>
        <w:rPr>
          <w:spacing w:val="3"/>
          <w:sz w:val="20"/>
        </w:rPr>
        <w:t> </w:t>
      </w:r>
      <w:r>
        <w:rPr>
          <w:sz w:val="20"/>
        </w:rPr>
        <w:t>registran</w:t>
      </w:r>
      <w:r>
        <w:rPr>
          <w:spacing w:val="1"/>
          <w:sz w:val="20"/>
        </w:rPr>
        <w:t> </w:t>
      </w:r>
      <w:r>
        <w:rPr>
          <w:sz w:val="20"/>
        </w:rPr>
        <w:t>bien</w:t>
      </w:r>
      <w:r>
        <w:rPr>
          <w:spacing w:val="2"/>
          <w:sz w:val="20"/>
        </w:rPr>
        <w:t> </w:t>
      </w:r>
      <w:r>
        <w:rPr>
          <w:sz w:val="20"/>
        </w:rPr>
        <w:t>directamente</w:t>
      </w:r>
      <w:r>
        <w:rPr>
          <w:spacing w:val="-1"/>
          <w:sz w:val="20"/>
        </w:rPr>
        <w:t> </w:t>
      </w:r>
      <w:r>
        <w:rPr>
          <w:sz w:val="20"/>
        </w:rPr>
        <w:t>(si</w:t>
      </w:r>
      <w:r>
        <w:rPr>
          <w:spacing w:val="-2"/>
          <w:sz w:val="20"/>
        </w:rPr>
        <w:t> </w:t>
      </w:r>
      <w:r>
        <w:rPr>
          <w:sz w:val="20"/>
        </w:rPr>
        <w:t>llegan a</w:t>
      </w:r>
      <w:r>
        <w:rPr>
          <w:spacing w:val="-1"/>
          <w:sz w:val="20"/>
        </w:rPr>
        <w:t> </w:t>
      </w:r>
      <w:r>
        <w:rPr>
          <w:sz w:val="20"/>
        </w:rPr>
        <w:t>través</w:t>
      </w:r>
      <w:r>
        <w:rPr>
          <w:spacing w:val="1"/>
          <w:sz w:val="20"/>
        </w:rPr>
        <w:t> </w:t>
      </w:r>
      <w:r>
        <w:rPr>
          <w:sz w:val="20"/>
        </w:rPr>
        <w:t>del</w:t>
      </w:r>
      <w:r>
        <w:rPr>
          <w:spacing w:val="-1"/>
          <w:sz w:val="20"/>
        </w:rPr>
        <w:t> </w:t>
      </w:r>
      <w:r>
        <w:rPr>
          <w:sz w:val="20"/>
        </w:rPr>
        <w:t>formulario</w:t>
      </w:r>
      <w:r>
        <w:rPr>
          <w:spacing w:val="-3"/>
          <w:sz w:val="20"/>
        </w:rPr>
        <w:t> </w:t>
      </w:r>
      <w:r>
        <w:rPr>
          <w:sz w:val="20"/>
        </w:rPr>
        <w:t>de </w:t>
      </w:r>
      <w:r>
        <w:rPr>
          <w:spacing w:val="-5"/>
          <w:sz w:val="20"/>
        </w:rPr>
        <w:t>la</w:t>
      </w:r>
    </w:p>
    <w:p>
      <w:pPr>
        <w:pStyle w:val="BodyText"/>
        <w:spacing w:before="115"/>
        <w:jc w:val="center"/>
      </w:pPr>
      <w:r>
        <w:rPr/>
        <w:t>página</w:t>
      </w:r>
      <w:r>
        <w:rPr>
          <w:spacing w:val="73"/>
          <w:w w:val="150"/>
        </w:rPr>
        <w:t> </w:t>
      </w:r>
      <w:r>
        <w:rPr/>
        <w:t>web)</w:t>
      </w:r>
      <w:r>
        <w:rPr>
          <w:spacing w:val="74"/>
          <w:w w:val="150"/>
        </w:rPr>
        <w:t> </w:t>
      </w:r>
      <w:r>
        <w:rPr/>
        <w:t>bien</w:t>
      </w:r>
      <w:r>
        <w:rPr>
          <w:spacing w:val="72"/>
          <w:w w:val="150"/>
        </w:rPr>
        <w:t> </w:t>
      </w:r>
      <w:r>
        <w:rPr/>
        <w:t>manual</w:t>
      </w:r>
      <w:r>
        <w:rPr>
          <w:spacing w:val="74"/>
          <w:w w:val="150"/>
        </w:rPr>
        <w:t> </w:t>
      </w:r>
      <w:r>
        <w:rPr/>
        <w:t>en</w:t>
      </w:r>
      <w:r>
        <w:rPr>
          <w:spacing w:val="72"/>
          <w:w w:val="150"/>
        </w:rPr>
        <w:t> </w:t>
      </w:r>
      <w:r>
        <w:rPr/>
        <w:t>la</w:t>
      </w:r>
      <w:r>
        <w:rPr>
          <w:spacing w:val="71"/>
          <w:w w:val="150"/>
        </w:rPr>
        <w:t> </w:t>
      </w:r>
      <w:r>
        <w:rPr/>
        <w:t>plataforma</w:t>
      </w:r>
      <w:r>
        <w:rPr>
          <w:spacing w:val="71"/>
          <w:w w:val="150"/>
        </w:rPr>
        <w:t> </w:t>
      </w:r>
      <w:r>
        <w:rPr/>
        <w:t>de</w:t>
      </w:r>
      <w:r>
        <w:rPr>
          <w:spacing w:val="72"/>
          <w:w w:val="150"/>
        </w:rPr>
        <w:t> </w:t>
      </w:r>
      <w:r>
        <w:rPr/>
        <w:t>gestión</w:t>
      </w:r>
      <w:r>
        <w:rPr>
          <w:spacing w:val="72"/>
          <w:w w:val="150"/>
        </w:rPr>
        <w:t> </w:t>
      </w:r>
      <w:r>
        <w:rPr/>
        <w:t>de</w:t>
      </w:r>
      <w:r>
        <w:rPr>
          <w:spacing w:val="72"/>
          <w:w w:val="150"/>
        </w:rPr>
        <w:t> </w:t>
      </w:r>
      <w:r>
        <w:rPr/>
        <w:t>reclamaciones.</w:t>
      </w:r>
      <w:r>
        <w:rPr>
          <w:spacing w:val="72"/>
          <w:w w:val="150"/>
        </w:rPr>
        <w:t> </w:t>
      </w:r>
      <w:r>
        <w:rPr/>
        <w:t>Desde</w:t>
      </w:r>
      <w:r>
        <w:rPr>
          <w:spacing w:val="71"/>
          <w:w w:val="150"/>
        </w:rPr>
        <w:t> </w:t>
      </w:r>
      <w:r>
        <w:rPr>
          <w:spacing w:val="-5"/>
        </w:rPr>
        <w:t>el</w:t>
      </w:r>
    </w:p>
    <w:p>
      <w:pPr>
        <w:pStyle w:val="BodyText"/>
        <w:spacing w:before="114"/>
        <w:jc w:val="center"/>
      </w:pPr>
      <w:r>
        <w:rPr/>
        <w:t>departamento</w:t>
      </w:r>
      <w:r>
        <w:rPr>
          <w:spacing w:val="49"/>
        </w:rPr>
        <w:t> </w:t>
      </w:r>
      <w:r>
        <w:rPr/>
        <w:t>Comercial</w:t>
      </w:r>
      <w:r>
        <w:rPr>
          <w:spacing w:val="50"/>
        </w:rPr>
        <w:t> </w:t>
      </w:r>
      <w:r>
        <w:rPr/>
        <w:t>se</w:t>
      </w:r>
      <w:r>
        <w:rPr>
          <w:spacing w:val="51"/>
        </w:rPr>
        <w:t> </w:t>
      </w:r>
      <w:r>
        <w:rPr/>
        <w:t>asignan</w:t>
      </w:r>
      <w:r>
        <w:rPr>
          <w:spacing w:val="51"/>
        </w:rPr>
        <w:t> </w:t>
      </w:r>
      <w:r>
        <w:rPr/>
        <w:t>a</w:t>
      </w:r>
      <w:r>
        <w:rPr>
          <w:spacing w:val="52"/>
        </w:rPr>
        <w:t> </w:t>
      </w:r>
      <w:r>
        <w:rPr/>
        <w:t>los</w:t>
      </w:r>
      <w:r>
        <w:rPr>
          <w:spacing w:val="51"/>
        </w:rPr>
        <w:t> </w:t>
      </w:r>
      <w:r>
        <w:rPr/>
        <w:t>departamentos</w:t>
      </w:r>
      <w:r>
        <w:rPr>
          <w:spacing w:val="51"/>
        </w:rPr>
        <w:t> </w:t>
      </w:r>
      <w:r>
        <w:rPr/>
        <w:t>en</w:t>
      </w:r>
      <w:r>
        <w:rPr>
          <w:spacing w:val="50"/>
        </w:rPr>
        <w:t> </w:t>
      </w:r>
      <w:r>
        <w:rPr/>
        <w:t>función</w:t>
      </w:r>
      <w:r>
        <w:rPr>
          <w:spacing w:val="50"/>
        </w:rPr>
        <w:t> </w:t>
      </w:r>
      <w:r>
        <w:rPr/>
        <w:t>de</w:t>
      </w:r>
      <w:r>
        <w:rPr>
          <w:spacing w:val="53"/>
        </w:rPr>
        <w:t> </w:t>
      </w:r>
      <w:r>
        <w:rPr/>
        <w:t>la</w:t>
      </w:r>
      <w:r>
        <w:rPr>
          <w:spacing w:val="49"/>
        </w:rPr>
        <w:t> </w:t>
      </w:r>
      <w:r>
        <w:rPr/>
        <w:t>materia</w:t>
      </w:r>
      <w:r>
        <w:rPr>
          <w:spacing w:val="51"/>
        </w:rPr>
        <w:t> </w:t>
      </w:r>
      <w:r>
        <w:rPr/>
        <w:t>de</w:t>
      </w:r>
      <w:r>
        <w:rPr>
          <w:spacing w:val="51"/>
        </w:rPr>
        <w:t> </w:t>
      </w:r>
      <w:r>
        <w:rPr>
          <w:spacing w:val="-5"/>
        </w:rPr>
        <w:t>la</w:t>
      </w:r>
    </w:p>
    <w:p>
      <w:pPr>
        <w:pStyle w:val="BodyText"/>
        <w:spacing w:line="360" w:lineRule="auto" w:before="115"/>
        <w:ind w:left="1341" w:right="1336"/>
        <w:jc w:val="both"/>
      </w:pPr>
      <w:r>
        <w:rPr/>
        <w:t>reclamación. Los departamentos disponen de 6 días para informar a Comercial sobre la cuestión que se plantee en la reclamación y Comercial dispone posteriormente de 4 días para emitir una respuesta al cliente, por lo que el compromiso de plazo en la respuesta es de 10</w:t>
      </w:r>
      <w:r>
        <w:rPr>
          <w:spacing w:val="40"/>
        </w:rPr>
        <w:t> </w:t>
      </w:r>
      <w:r>
        <w:rPr>
          <w:spacing w:val="-2"/>
        </w:rPr>
        <w:t>días.</w:t>
      </w:r>
    </w:p>
    <w:p>
      <w:pPr>
        <w:pStyle w:val="BodyText"/>
        <w:spacing w:after="0" w:line="360" w:lineRule="auto"/>
        <w:jc w:val="both"/>
        <w:sectPr>
          <w:type w:val="continuous"/>
          <w:pgSz w:w="11910" w:h="16840"/>
          <w:pgMar w:header="384" w:footer="1060" w:top="1700" w:bottom="1040" w:left="360" w:right="360"/>
        </w:sectPr>
      </w:pPr>
    </w:p>
    <w:p>
      <w:pPr>
        <w:pStyle w:val="ListParagraph"/>
        <w:numPr>
          <w:ilvl w:val="0"/>
          <w:numId w:val="49"/>
        </w:numPr>
        <w:tabs>
          <w:tab w:pos="2048" w:val="left" w:leader="none"/>
        </w:tabs>
        <w:spacing w:line="240" w:lineRule="auto" w:before="215" w:after="0"/>
        <w:ind w:left="2048" w:right="0" w:hanging="707"/>
        <w:jc w:val="left"/>
        <w:rPr>
          <w:sz w:val="20"/>
        </w:rPr>
      </w:pPr>
      <w:r>
        <w:rPr>
          <w:sz w:val="20"/>
        </w:rPr>
        <w:t>Las</w:t>
      </w:r>
      <w:r>
        <w:rPr>
          <w:spacing w:val="13"/>
          <w:sz w:val="20"/>
        </w:rPr>
        <w:t> </w:t>
      </w:r>
      <w:r>
        <w:rPr>
          <w:sz w:val="20"/>
        </w:rPr>
        <w:t>respuestas</w:t>
      </w:r>
      <w:r>
        <w:rPr>
          <w:spacing w:val="13"/>
          <w:sz w:val="20"/>
        </w:rPr>
        <w:t> </w:t>
      </w:r>
      <w:r>
        <w:rPr>
          <w:sz w:val="20"/>
        </w:rPr>
        <w:t>se</w:t>
      </w:r>
      <w:r>
        <w:rPr>
          <w:spacing w:val="12"/>
          <w:sz w:val="20"/>
        </w:rPr>
        <w:t> </w:t>
      </w:r>
      <w:r>
        <w:rPr>
          <w:sz w:val="20"/>
        </w:rPr>
        <w:t>envían</w:t>
      </w:r>
      <w:r>
        <w:rPr>
          <w:spacing w:val="13"/>
          <w:sz w:val="20"/>
        </w:rPr>
        <w:t> </w:t>
      </w:r>
      <w:r>
        <w:rPr>
          <w:sz w:val="20"/>
        </w:rPr>
        <w:t>al</w:t>
      </w:r>
      <w:r>
        <w:rPr>
          <w:spacing w:val="11"/>
          <w:sz w:val="20"/>
        </w:rPr>
        <w:t> </w:t>
      </w:r>
      <w:r>
        <w:rPr>
          <w:sz w:val="20"/>
        </w:rPr>
        <w:t>interesado</w:t>
      </w:r>
      <w:r>
        <w:rPr>
          <w:spacing w:val="12"/>
          <w:sz w:val="20"/>
        </w:rPr>
        <w:t> </w:t>
      </w:r>
      <w:r>
        <w:rPr>
          <w:sz w:val="20"/>
        </w:rPr>
        <w:t>electrónicamente</w:t>
      </w:r>
      <w:r>
        <w:rPr>
          <w:spacing w:val="13"/>
          <w:sz w:val="20"/>
        </w:rPr>
        <w:t> </w:t>
      </w:r>
      <w:r>
        <w:rPr>
          <w:sz w:val="20"/>
        </w:rPr>
        <w:t>en</w:t>
      </w:r>
      <w:r>
        <w:rPr>
          <w:spacing w:val="12"/>
          <w:sz w:val="20"/>
        </w:rPr>
        <w:t> </w:t>
      </w:r>
      <w:r>
        <w:rPr>
          <w:sz w:val="20"/>
        </w:rPr>
        <w:t>caso</w:t>
      </w:r>
      <w:r>
        <w:rPr>
          <w:spacing w:val="11"/>
          <w:sz w:val="20"/>
        </w:rPr>
        <w:t> </w:t>
      </w:r>
      <w:r>
        <w:rPr>
          <w:sz w:val="20"/>
        </w:rPr>
        <w:t>de</w:t>
      </w:r>
      <w:r>
        <w:rPr>
          <w:spacing w:val="12"/>
          <w:sz w:val="20"/>
        </w:rPr>
        <w:t> </w:t>
      </w:r>
      <w:r>
        <w:rPr>
          <w:sz w:val="20"/>
        </w:rPr>
        <w:t>disponer</w:t>
      </w:r>
      <w:r>
        <w:rPr>
          <w:spacing w:val="12"/>
          <w:sz w:val="20"/>
        </w:rPr>
        <w:t> </w:t>
      </w:r>
      <w:r>
        <w:rPr>
          <w:sz w:val="20"/>
        </w:rPr>
        <w:t>de</w:t>
      </w:r>
      <w:r>
        <w:rPr>
          <w:spacing w:val="12"/>
          <w:sz w:val="20"/>
        </w:rPr>
        <w:t> </w:t>
      </w:r>
      <w:r>
        <w:rPr>
          <w:spacing w:val="-5"/>
          <w:sz w:val="20"/>
        </w:rPr>
        <w:t>una</w:t>
      </w:r>
    </w:p>
    <w:p>
      <w:pPr>
        <w:pStyle w:val="BodyText"/>
        <w:spacing w:line="360" w:lineRule="auto" w:before="116"/>
        <w:ind w:left="1341" w:right="1308"/>
      </w:pPr>
      <w:r>
        <w:rPr/>
        <w:t>dirección</w:t>
      </w:r>
      <w:r>
        <w:rPr>
          <w:spacing w:val="40"/>
        </w:rPr>
        <w:t> </w:t>
      </w:r>
      <w:r>
        <w:rPr/>
        <w:t>de</w:t>
      </w:r>
      <w:r>
        <w:rPr>
          <w:spacing w:val="40"/>
        </w:rPr>
        <w:t> </w:t>
      </w:r>
      <w:r>
        <w:rPr/>
        <w:t>correo</w:t>
      </w:r>
      <w:r>
        <w:rPr>
          <w:spacing w:val="40"/>
        </w:rPr>
        <w:t> </w:t>
      </w:r>
      <w:r>
        <w:rPr/>
        <w:t>electrónico</w:t>
      </w:r>
      <w:r>
        <w:rPr>
          <w:spacing w:val="40"/>
        </w:rPr>
        <w:t> </w:t>
      </w:r>
      <w:r>
        <w:rPr/>
        <w:t>o</w:t>
      </w:r>
      <w:r>
        <w:rPr>
          <w:spacing w:val="39"/>
        </w:rPr>
        <w:t> </w:t>
      </w:r>
      <w:r>
        <w:rPr/>
        <w:t>bien</w:t>
      </w:r>
      <w:r>
        <w:rPr>
          <w:spacing w:val="40"/>
        </w:rPr>
        <w:t> </w:t>
      </w:r>
      <w:r>
        <w:rPr/>
        <w:t>en</w:t>
      </w:r>
      <w:r>
        <w:rPr>
          <w:spacing w:val="40"/>
        </w:rPr>
        <w:t> </w:t>
      </w:r>
      <w:r>
        <w:rPr/>
        <w:t>papel</w:t>
      </w:r>
      <w:r>
        <w:rPr>
          <w:spacing w:val="38"/>
        </w:rPr>
        <w:t> </w:t>
      </w:r>
      <w:r>
        <w:rPr/>
        <w:t>a</w:t>
      </w:r>
      <w:r>
        <w:rPr>
          <w:spacing w:val="40"/>
        </w:rPr>
        <w:t> </w:t>
      </w:r>
      <w:r>
        <w:rPr/>
        <w:t>la</w:t>
      </w:r>
      <w:r>
        <w:rPr>
          <w:spacing w:val="39"/>
        </w:rPr>
        <w:t> </w:t>
      </w:r>
      <w:r>
        <w:rPr/>
        <w:t>dirección</w:t>
      </w:r>
      <w:r>
        <w:rPr>
          <w:spacing w:val="39"/>
        </w:rPr>
        <w:t> </w:t>
      </w:r>
      <w:r>
        <w:rPr/>
        <w:t>postal</w:t>
      </w:r>
      <w:r>
        <w:rPr>
          <w:spacing w:val="40"/>
        </w:rPr>
        <w:t> </w:t>
      </w:r>
      <w:r>
        <w:rPr/>
        <w:t>que</w:t>
      </w:r>
      <w:r>
        <w:rPr>
          <w:spacing w:val="40"/>
        </w:rPr>
        <w:t> </w:t>
      </w:r>
      <w:r>
        <w:rPr/>
        <w:t>haya</w:t>
      </w:r>
      <w:r>
        <w:rPr>
          <w:spacing w:val="40"/>
        </w:rPr>
        <w:t> </w:t>
      </w:r>
      <w:r>
        <w:rPr/>
        <w:t>indicado</w:t>
      </w:r>
      <w:r>
        <w:rPr>
          <w:spacing w:val="40"/>
        </w:rPr>
        <w:t> </w:t>
      </w:r>
      <w:r>
        <w:rPr/>
        <w:t>el </w:t>
      </w:r>
      <w:r>
        <w:rPr>
          <w:spacing w:val="-2"/>
        </w:rPr>
        <w:t>cliente.</w:t>
      </w:r>
    </w:p>
    <w:p>
      <w:pPr>
        <w:pStyle w:val="BodyText"/>
        <w:spacing w:before="200"/>
        <w:ind w:left="1341"/>
      </w:pPr>
      <w:r>
        <w:rPr/>
        <w:t>En</w:t>
      </w:r>
      <w:r>
        <w:rPr>
          <w:spacing w:val="-5"/>
        </w:rPr>
        <w:t> </w:t>
      </w:r>
      <w:r>
        <w:rPr/>
        <w:t>el</w:t>
      </w:r>
      <w:r>
        <w:rPr>
          <w:spacing w:val="-6"/>
        </w:rPr>
        <w:t> </w:t>
      </w:r>
      <w:r>
        <w:rPr/>
        <w:t>mes</w:t>
      </w:r>
      <w:r>
        <w:rPr>
          <w:spacing w:val="-2"/>
        </w:rPr>
        <w:t> </w:t>
      </w:r>
      <w:r>
        <w:rPr/>
        <w:t>de</w:t>
      </w:r>
      <w:r>
        <w:rPr>
          <w:spacing w:val="-4"/>
        </w:rPr>
        <w:t> </w:t>
      </w:r>
      <w:r>
        <w:rPr/>
        <w:t>octubre</w:t>
      </w:r>
      <w:r>
        <w:rPr>
          <w:spacing w:val="-6"/>
        </w:rPr>
        <w:t> </w:t>
      </w:r>
      <w:r>
        <w:rPr/>
        <w:t>de</w:t>
      </w:r>
      <w:r>
        <w:rPr>
          <w:spacing w:val="-3"/>
        </w:rPr>
        <w:t> </w:t>
      </w:r>
      <w:r>
        <w:rPr/>
        <w:t>2025</w:t>
      </w:r>
      <w:r>
        <w:rPr>
          <w:spacing w:val="-4"/>
        </w:rPr>
        <w:t> </w:t>
      </w:r>
      <w:r>
        <w:rPr/>
        <w:t>se</w:t>
      </w:r>
      <w:r>
        <w:rPr>
          <w:spacing w:val="-5"/>
        </w:rPr>
        <w:t> </w:t>
      </w:r>
      <w:r>
        <w:rPr/>
        <w:t>realizó</w:t>
      </w:r>
      <w:r>
        <w:rPr>
          <w:spacing w:val="-5"/>
        </w:rPr>
        <w:t> </w:t>
      </w:r>
      <w:r>
        <w:rPr/>
        <w:t>la</w:t>
      </w:r>
      <w:r>
        <w:rPr>
          <w:spacing w:val="-5"/>
        </w:rPr>
        <w:t> </w:t>
      </w:r>
      <w:r>
        <w:rPr/>
        <w:t>encuesta</w:t>
      </w:r>
      <w:r>
        <w:rPr>
          <w:spacing w:val="-5"/>
        </w:rPr>
        <w:t> </w:t>
      </w:r>
      <w:r>
        <w:rPr/>
        <w:t>de</w:t>
      </w:r>
      <w:r>
        <w:rPr>
          <w:spacing w:val="-5"/>
        </w:rPr>
        <w:t> </w:t>
      </w:r>
      <w:r>
        <w:rPr/>
        <w:t>satisfacción</w:t>
      </w:r>
      <w:r>
        <w:rPr>
          <w:spacing w:val="-4"/>
        </w:rPr>
        <w:t> </w:t>
      </w:r>
      <w:r>
        <w:rPr/>
        <w:t>de</w:t>
      </w:r>
      <w:r>
        <w:rPr>
          <w:spacing w:val="-5"/>
        </w:rPr>
        <w:t> </w:t>
      </w:r>
      <w:r>
        <w:rPr>
          <w:spacing w:val="-2"/>
        </w:rPr>
        <w:t>clientes.</w:t>
      </w:r>
    </w:p>
    <w:p>
      <w:pPr>
        <w:pStyle w:val="BodyText"/>
        <w:spacing w:before="85"/>
      </w:pPr>
    </w:p>
    <w:p>
      <w:pPr>
        <w:pStyle w:val="BodyText"/>
        <w:ind w:left="1341"/>
      </w:pPr>
      <w:r>
        <w:rPr/>
        <w:t>Los</w:t>
      </w:r>
      <w:r>
        <w:rPr>
          <w:spacing w:val="-7"/>
        </w:rPr>
        <w:t> </w:t>
      </w:r>
      <w:r>
        <w:rPr/>
        <w:t>principales</w:t>
      </w:r>
      <w:r>
        <w:rPr>
          <w:spacing w:val="-6"/>
        </w:rPr>
        <w:t> </w:t>
      </w:r>
      <w:r>
        <w:rPr/>
        <w:t>resultados</w:t>
      </w:r>
      <w:r>
        <w:rPr>
          <w:spacing w:val="-3"/>
        </w:rPr>
        <w:t> </w:t>
      </w:r>
      <w:r>
        <w:rPr/>
        <w:t>de</w:t>
      </w:r>
      <w:r>
        <w:rPr>
          <w:spacing w:val="-5"/>
        </w:rPr>
        <w:t> </w:t>
      </w:r>
      <w:r>
        <w:rPr/>
        <w:t>la</w:t>
      </w:r>
      <w:r>
        <w:rPr>
          <w:spacing w:val="-9"/>
        </w:rPr>
        <w:t> </w:t>
      </w:r>
      <w:r>
        <w:rPr/>
        <w:t>encuesta</w:t>
      </w:r>
      <w:r>
        <w:rPr>
          <w:spacing w:val="-7"/>
        </w:rPr>
        <w:t> </w:t>
      </w:r>
      <w:r>
        <w:rPr/>
        <w:t>han</w:t>
      </w:r>
      <w:r>
        <w:rPr>
          <w:spacing w:val="-8"/>
        </w:rPr>
        <w:t> </w:t>
      </w:r>
      <w:r>
        <w:rPr>
          <w:spacing w:val="-4"/>
        </w:rPr>
        <w:t>sido:</w:t>
      </w:r>
    </w:p>
    <w:p>
      <w:pPr>
        <w:pStyle w:val="BodyText"/>
        <w:spacing w:before="87"/>
      </w:pPr>
    </w:p>
    <w:p>
      <w:pPr>
        <w:pStyle w:val="BodyText"/>
        <w:ind w:left="1341"/>
      </w:pPr>
      <w:r>
        <w:rPr/>
        <w:t>-</w:t>
      </w:r>
      <w:r>
        <w:rPr>
          <w:spacing w:val="-6"/>
        </w:rPr>
        <w:t> </w:t>
      </w:r>
      <w:r>
        <w:rPr/>
        <w:t>Satisfacción</w:t>
      </w:r>
      <w:r>
        <w:rPr>
          <w:spacing w:val="-5"/>
        </w:rPr>
        <w:t> </w:t>
      </w:r>
      <w:r>
        <w:rPr/>
        <w:t>con</w:t>
      </w:r>
      <w:r>
        <w:rPr>
          <w:spacing w:val="-6"/>
        </w:rPr>
        <w:t> </w:t>
      </w:r>
      <w:r>
        <w:rPr/>
        <w:t>el</w:t>
      </w:r>
      <w:r>
        <w:rPr>
          <w:spacing w:val="-6"/>
        </w:rPr>
        <w:t> </w:t>
      </w:r>
      <w:r>
        <w:rPr>
          <w:spacing w:val="-2"/>
        </w:rPr>
        <w:t>servicio</w:t>
      </w:r>
    </w:p>
    <w:p>
      <w:pPr>
        <w:pStyle w:val="BodyText"/>
        <w:spacing w:before="83"/>
      </w:pPr>
    </w:p>
    <w:p>
      <w:pPr>
        <w:pStyle w:val="BodyText"/>
        <w:spacing w:line="360" w:lineRule="auto"/>
        <w:ind w:left="1341" w:right="1308"/>
      </w:pPr>
      <w:r>
        <w:rPr/>
        <w:t>A nivel de línea se observa que la valoración de la línea se mantiene constante respecto al año anterior con un resultado de 8,56.</w:t>
      </w:r>
    </w:p>
    <w:p>
      <w:pPr>
        <w:pStyle w:val="BodyText"/>
        <w:spacing w:before="14"/>
      </w:pPr>
      <w:r>
        <w:rPr/>
        <mc:AlternateContent>
          <mc:Choice Requires="wps">
            <w:drawing>
              <wp:anchor distT="0" distB="0" distL="0" distR="0" allowOverlap="1" layoutInCell="1" locked="0" behindDoc="1" simplePos="0" relativeHeight="487690240">
                <wp:simplePos x="0" y="0"/>
                <wp:positionH relativeFrom="page">
                  <wp:posOffset>1327594</wp:posOffset>
                </wp:positionH>
                <wp:positionV relativeFrom="paragraph">
                  <wp:posOffset>170817</wp:posOffset>
                </wp:positionV>
                <wp:extent cx="4914900" cy="2042160"/>
                <wp:effectExtent l="0" t="0" r="0" b="0"/>
                <wp:wrapTopAndBottom/>
                <wp:docPr id="330" name="Group 330"/>
                <wp:cNvGraphicFramePr>
                  <a:graphicFrameLocks/>
                </wp:cNvGraphicFramePr>
                <a:graphic>
                  <a:graphicData uri="http://schemas.microsoft.com/office/word/2010/wordprocessingGroup">
                    <wpg:wgp>
                      <wpg:cNvPr id="330" name="Group 330"/>
                      <wpg:cNvGrpSpPr/>
                      <wpg:grpSpPr>
                        <a:xfrm>
                          <a:off x="0" y="0"/>
                          <a:ext cx="4914900" cy="2042160"/>
                          <a:chExt cx="4914900" cy="2042160"/>
                        </a:xfrm>
                      </wpg:grpSpPr>
                      <wps:wsp>
                        <wps:cNvPr id="331" name="Graphic 331"/>
                        <wps:cNvSpPr/>
                        <wps:spPr>
                          <a:xfrm>
                            <a:off x="126872" y="1083564"/>
                            <a:ext cx="238125" cy="353060"/>
                          </a:xfrm>
                          <a:custGeom>
                            <a:avLst/>
                            <a:gdLst/>
                            <a:ahLst/>
                            <a:cxnLst/>
                            <a:rect l="l" t="t" r="r" b="b"/>
                            <a:pathLst>
                              <a:path w="238125" h="353060">
                                <a:moveTo>
                                  <a:pt x="237553" y="352806"/>
                                </a:moveTo>
                                <a:lnTo>
                                  <a:pt x="0" y="352806"/>
                                </a:lnTo>
                                <a:lnTo>
                                  <a:pt x="0" y="0"/>
                                </a:lnTo>
                                <a:lnTo>
                                  <a:pt x="237553" y="0"/>
                                </a:lnTo>
                                <a:lnTo>
                                  <a:pt x="237553" y="352806"/>
                                </a:lnTo>
                                <a:close/>
                              </a:path>
                            </a:pathLst>
                          </a:custGeom>
                          <a:solidFill>
                            <a:srgbClr val="D9D9D9"/>
                          </a:solidFill>
                        </wps:spPr>
                        <wps:bodyPr wrap="square" lIns="0" tIns="0" rIns="0" bIns="0" rtlCol="0">
                          <a:prstTxWarp prst="textNoShape">
                            <a:avLst/>
                          </a:prstTxWarp>
                          <a:noAutofit/>
                        </wps:bodyPr>
                      </wps:wsp>
                      <wps:wsp>
                        <wps:cNvPr id="332" name="Graphic 332"/>
                        <wps:cNvSpPr/>
                        <wps:spPr>
                          <a:xfrm>
                            <a:off x="1009268" y="935641"/>
                            <a:ext cx="238125" cy="501015"/>
                          </a:xfrm>
                          <a:custGeom>
                            <a:avLst/>
                            <a:gdLst/>
                            <a:ahLst/>
                            <a:cxnLst/>
                            <a:rect l="l" t="t" r="r" b="b"/>
                            <a:pathLst>
                              <a:path w="238125" h="501015">
                                <a:moveTo>
                                  <a:pt x="237553" y="500729"/>
                                </a:moveTo>
                                <a:lnTo>
                                  <a:pt x="0" y="500729"/>
                                </a:lnTo>
                                <a:lnTo>
                                  <a:pt x="0" y="0"/>
                                </a:lnTo>
                                <a:lnTo>
                                  <a:pt x="237553" y="0"/>
                                </a:lnTo>
                                <a:lnTo>
                                  <a:pt x="237553" y="500729"/>
                                </a:lnTo>
                                <a:close/>
                              </a:path>
                            </a:pathLst>
                          </a:custGeom>
                          <a:solidFill>
                            <a:srgbClr val="7E7E7E"/>
                          </a:solidFill>
                        </wps:spPr>
                        <wps:bodyPr wrap="square" lIns="0" tIns="0" rIns="0" bIns="0" rtlCol="0">
                          <a:prstTxWarp prst="textNoShape">
                            <a:avLst/>
                          </a:prstTxWarp>
                          <a:noAutofit/>
                        </wps:bodyPr>
                      </wps:wsp>
                      <wps:wsp>
                        <wps:cNvPr id="333" name="Graphic 333"/>
                        <wps:cNvSpPr/>
                        <wps:spPr>
                          <a:xfrm>
                            <a:off x="568070" y="1015270"/>
                            <a:ext cx="238125" cy="421640"/>
                          </a:xfrm>
                          <a:custGeom>
                            <a:avLst/>
                            <a:gdLst/>
                            <a:ahLst/>
                            <a:cxnLst/>
                            <a:rect l="l" t="t" r="r" b="b"/>
                            <a:pathLst>
                              <a:path w="238125" h="421640">
                                <a:moveTo>
                                  <a:pt x="237553" y="421100"/>
                                </a:moveTo>
                                <a:lnTo>
                                  <a:pt x="0" y="421100"/>
                                </a:lnTo>
                                <a:lnTo>
                                  <a:pt x="0" y="0"/>
                                </a:lnTo>
                                <a:lnTo>
                                  <a:pt x="237553" y="0"/>
                                </a:lnTo>
                                <a:lnTo>
                                  <a:pt x="237553" y="421100"/>
                                </a:lnTo>
                                <a:close/>
                              </a:path>
                            </a:pathLst>
                          </a:custGeom>
                          <a:solidFill>
                            <a:srgbClr val="BEBEBE"/>
                          </a:solidFill>
                        </wps:spPr>
                        <wps:bodyPr wrap="square" lIns="0" tIns="0" rIns="0" bIns="0" rtlCol="0">
                          <a:prstTxWarp prst="textNoShape">
                            <a:avLst/>
                          </a:prstTxWarp>
                          <a:noAutofit/>
                        </wps:bodyPr>
                      </wps:wsp>
                      <wps:wsp>
                        <wps:cNvPr id="334" name="Graphic 334"/>
                        <wps:cNvSpPr/>
                        <wps:spPr>
                          <a:xfrm>
                            <a:off x="2381" y="2381"/>
                            <a:ext cx="1402715" cy="2037714"/>
                          </a:xfrm>
                          <a:custGeom>
                            <a:avLst/>
                            <a:gdLst/>
                            <a:ahLst/>
                            <a:cxnLst/>
                            <a:rect l="l" t="t" r="r" b="b"/>
                            <a:pathLst>
                              <a:path w="1402715" h="2037714">
                                <a:moveTo>
                                  <a:pt x="0" y="11334"/>
                                </a:moveTo>
                                <a:lnTo>
                                  <a:pt x="0" y="0"/>
                                </a:lnTo>
                                <a:lnTo>
                                  <a:pt x="11334" y="0"/>
                                </a:lnTo>
                                <a:lnTo>
                                  <a:pt x="0" y="11334"/>
                                </a:lnTo>
                                <a:close/>
                              </a:path>
                              <a:path w="1402715" h="2037714">
                                <a:moveTo>
                                  <a:pt x="1402556" y="2037207"/>
                                </a:moveTo>
                                <a:lnTo>
                                  <a:pt x="0" y="2037207"/>
                                </a:lnTo>
                                <a:lnTo>
                                  <a:pt x="0" y="11334"/>
                                </a:lnTo>
                                <a:lnTo>
                                  <a:pt x="11334" y="0"/>
                                </a:lnTo>
                                <a:lnTo>
                                  <a:pt x="11334" y="2025777"/>
                                </a:lnTo>
                                <a:lnTo>
                                  <a:pt x="1402556" y="2025777"/>
                                </a:lnTo>
                                <a:lnTo>
                                  <a:pt x="1402556" y="2037207"/>
                                </a:lnTo>
                                <a:close/>
                              </a:path>
                              <a:path w="1402715" h="2037714">
                                <a:moveTo>
                                  <a:pt x="1402556" y="11334"/>
                                </a:moveTo>
                                <a:lnTo>
                                  <a:pt x="11334" y="11334"/>
                                </a:lnTo>
                                <a:lnTo>
                                  <a:pt x="11334" y="0"/>
                                </a:lnTo>
                                <a:lnTo>
                                  <a:pt x="1402556" y="0"/>
                                </a:lnTo>
                                <a:lnTo>
                                  <a:pt x="1402556" y="11334"/>
                                </a:lnTo>
                                <a:close/>
                              </a:path>
                            </a:pathLst>
                          </a:custGeom>
                          <a:solidFill>
                            <a:srgbClr val="919293"/>
                          </a:solidFill>
                        </wps:spPr>
                        <wps:bodyPr wrap="square" lIns="0" tIns="0" rIns="0" bIns="0" rtlCol="0">
                          <a:prstTxWarp prst="textNoShape">
                            <a:avLst/>
                          </a:prstTxWarp>
                          <a:noAutofit/>
                        </wps:bodyPr>
                      </wps:wsp>
                      <wps:wsp>
                        <wps:cNvPr id="335" name="Graphic 335"/>
                        <wps:cNvSpPr/>
                        <wps:spPr>
                          <a:xfrm>
                            <a:off x="2381" y="2381"/>
                            <a:ext cx="1402715" cy="2037714"/>
                          </a:xfrm>
                          <a:custGeom>
                            <a:avLst/>
                            <a:gdLst/>
                            <a:ahLst/>
                            <a:cxnLst/>
                            <a:rect l="l" t="t" r="r" b="b"/>
                            <a:pathLst>
                              <a:path w="1402715" h="2037714">
                                <a:moveTo>
                                  <a:pt x="1402556" y="2037207"/>
                                </a:moveTo>
                                <a:lnTo>
                                  <a:pt x="0" y="2037207"/>
                                </a:lnTo>
                                <a:lnTo>
                                  <a:pt x="0" y="2025777"/>
                                </a:lnTo>
                                <a:lnTo>
                                  <a:pt x="0" y="0"/>
                                </a:lnTo>
                                <a:lnTo>
                                  <a:pt x="1402556" y="0"/>
                                </a:lnTo>
                              </a:path>
                              <a:path w="1402715" h="2037714">
                                <a:moveTo>
                                  <a:pt x="1402556" y="11334"/>
                                </a:moveTo>
                                <a:lnTo>
                                  <a:pt x="0" y="11334"/>
                                </a:lnTo>
                                <a:lnTo>
                                  <a:pt x="11334" y="0"/>
                                </a:lnTo>
                                <a:lnTo>
                                  <a:pt x="11334" y="2025777"/>
                                </a:lnTo>
                                <a:lnTo>
                                  <a:pt x="0" y="2025777"/>
                                </a:lnTo>
                                <a:lnTo>
                                  <a:pt x="1402556" y="2025777"/>
                                </a:lnTo>
                              </a:path>
                            </a:pathLst>
                          </a:custGeom>
                          <a:ln w="4762">
                            <a:solidFill>
                              <a:srgbClr val="919293"/>
                            </a:solidFill>
                            <a:prstDash val="solid"/>
                          </a:ln>
                        </wps:spPr>
                        <wps:bodyPr wrap="square" lIns="0" tIns="0" rIns="0" bIns="0" rtlCol="0">
                          <a:prstTxWarp prst="textNoShape">
                            <a:avLst/>
                          </a:prstTxWarp>
                          <a:noAutofit/>
                        </wps:bodyPr>
                      </wps:wsp>
                      <wps:wsp>
                        <wps:cNvPr id="336" name="Graphic 336"/>
                        <wps:cNvSpPr/>
                        <wps:spPr>
                          <a:xfrm>
                            <a:off x="1450466" y="855916"/>
                            <a:ext cx="238125" cy="581025"/>
                          </a:xfrm>
                          <a:custGeom>
                            <a:avLst/>
                            <a:gdLst/>
                            <a:ahLst/>
                            <a:cxnLst/>
                            <a:rect l="l" t="t" r="r" b="b"/>
                            <a:pathLst>
                              <a:path w="238125" h="581025">
                                <a:moveTo>
                                  <a:pt x="237553" y="580453"/>
                                </a:moveTo>
                                <a:lnTo>
                                  <a:pt x="0" y="580453"/>
                                </a:lnTo>
                                <a:lnTo>
                                  <a:pt x="0" y="0"/>
                                </a:lnTo>
                                <a:lnTo>
                                  <a:pt x="237553" y="0"/>
                                </a:lnTo>
                                <a:lnTo>
                                  <a:pt x="237553" y="580453"/>
                                </a:lnTo>
                                <a:close/>
                              </a:path>
                            </a:pathLst>
                          </a:custGeom>
                          <a:solidFill>
                            <a:srgbClr val="8E8581"/>
                          </a:solidFill>
                        </wps:spPr>
                        <wps:bodyPr wrap="square" lIns="0" tIns="0" rIns="0" bIns="0" rtlCol="0">
                          <a:prstTxWarp prst="textNoShape">
                            <a:avLst/>
                          </a:prstTxWarp>
                          <a:noAutofit/>
                        </wps:bodyPr>
                      </wps:wsp>
                      <wps:wsp>
                        <wps:cNvPr id="337" name="Graphic 337"/>
                        <wps:cNvSpPr/>
                        <wps:spPr>
                          <a:xfrm>
                            <a:off x="1902904" y="844582"/>
                            <a:ext cx="226695" cy="591820"/>
                          </a:xfrm>
                          <a:custGeom>
                            <a:avLst/>
                            <a:gdLst/>
                            <a:ahLst/>
                            <a:cxnLst/>
                            <a:rect l="l" t="t" r="r" b="b"/>
                            <a:pathLst>
                              <a:path w="226695" h="591820">
                                <a:moveTo>
                                  <a:pt x="226314" y="591788"/>
                                </a:moveTo>
                                <a:lnTo>
                                  <a:pt x="0" y="591788"/>
                                </a:lnTo>
                                <a:lnTo>
                                  <a:pt x="0" y="0"/>
                                </a:lnTo>
                                <a:lnTo>
                                  <a:pt x="226314" y="0"/>
                                </a:lnTo>
                                <a:lnTo>
                                  <a:pt x="226314" y="591788"/>
                                </a:lnTo>
                                <a:close/>
                              </a:path>
                            </a:pathLst>
                          </a:custGeom>
                          <a:solidFill>
                            <a:srgbClr val="79858D"/>
                          </a:solidFill>
                        </wps:spPr>
                        <wps:bodyPr wrap="square" lIns="0" tIns="0" rIns="0" bIns="0" rtlCol="0">
                          <a:prstTxWarp prst="textNoShape">
                            <a:avLst/>
                          </a:prstTxWarp>
                          <a:noAutofit/>
                        </wps:bodyPr>
                      </wps:wsp>
                      <wps:wsp>
                        <wps:cNvPr id="338" name="Graphic 338"/>
                        <wps:cNvSpPr/>
                        <wps:spPr>
                          <a:xfrm>
                            <a:off x="2344102" y="776294"/>
                            <a:ext cx="678815" cy="660400"/>
                          </a:xfrm>
                          <a:custGeom>
                            <a:avLst/>
                            <a:gdLst/>
                            <a:ahLst/>
                            <a:cxnLst/>
                            <a:rect l="l" t="t" r="r" b="b"/>
                            <a:pathLst>
                              <a:path w="678815" h="660400">
                                <a:moveTo>
                                  <a:pt x="226314" y="22758"/>
                                </a:moveTo>
                                <a:lnTo>
                                  <a:pt x="0" y="22758"/>
                                </a:lnTo>
                                <a:lnTo>
                                  <a:pt x="0" y="660082"/>
                                </a:lnTo>
                                <a:lnTo>
                                  <a:pt x="226314" y="660082"/>
                                </a:lnTo>
                                <a:lnTo>
                                  <a:pt x="226314" y="22758"/>
                                </a:lnTo>
                                <a:close/>
                              </a:path>
                              <a:path w="678815" h="660400">
                                <a:moveTo>
                                  <a:pt x="678751" y="0"/>
                                </a:moveTo>
                                <a:lnTo>
                                  <a:pt x="441198" y="0"/>
                                </a:lnTo>
                                <a:lnTo>
                                  <a:pt x="441198" y="660082"/>
                                </a:lnTo>
                                <a:lnTo>
                                  <a:pt x="678751" y="660082"/>
                                </a:lnTo>
                                <a:lnTo>
                                  <a:pt x="678751" y="0"/>
                                </a:lnTo>
                                <a:close/>
                              </a:path>
                            </a:pathLst>
                          </a:custGeom>
                          <a:solidFill>
                            <a:srgbClr val="6A757B"/>
                          </a:solidFill>
                        </wps:spPr>
                        <wps:bodyPr wrap="square" lIns="0" tIns="0" rIns="0" bIns="0" rtlCol="0">
                          <a:prstTxWarp prst="textNoShape">
                            <a:avLst/>
                          </a:prstTxWarp>
                          <a:noAutofit/>
                        </wps:bodyPr>
                      </wps:wsp>
                      <wps:wsp>
                        <wps:cNvPr id="339" name="Graphic 339"/>
                        <wps:cNvSpPr/>
                        <wps:spPr>
                          <a:xfrm>
                            <a:off x="3226498" y="776287"/>
                            <a:ext cx="238125" cy="660400"/>
                          </a:xfrm>
                          <a:custGeom>
                            <a:avLst/>
                            <a:gdLst/>
                            <a:ahLst/>
                            <a:cxnLst/>
                            <a:rect l="l" t="t" r="r" b="b"/>
                            <a:pathLst>
                              <a:path w="238125" h="660400">
                                <a:moveTo>
                                  <a:pt x="237553" y="660082"/>
                                </a:moveTo>
                                <a:lnTo>
                                  <a:pt x="0" y="660082"/>
                                </a:lnTo>
                                <a:lnTo>
                                  <a:pt x="0" y="0"/>
                                </a:lnTo>
                                <a:lnTo>
                                  <a:pt x="237553" y="0"/>
                                </a:lnTo>
                                <a:lnTo>
                                  <a:pt x="237553" y="660082"/>
                                </a:lnTo>
                                <a:close/>
                              </a:path>
                            </a:pathLst>
                          </a:custGeom>
                          <a:solidFill>
                            <a:srgbClr val="79858D"/>
                          </a:solidFill>
                        </wps:spPr>
                        <wps:bodyPr wrap="square" lIns="0" tIns="0" rIns="0" bIns="0" rtlCol="0">
                          <a:prstTxWarp prst="textNoShape">
                            <a:avLst/>
                          </a:prstTxWarp>
                          <a:noAutofit/>
                        </wps:bodyPr>
                      </wps:wsp>
                      <wps:wsp>
                        <wps:cNvPr id="340" name="Graphic 340"/>
                        <wps:cNvSpPr/>
                        <wps:spPr>
                          <a:xfrm>
                            <a:off x="3667696" y="799052"/>
                            <a:ext cx="238125" cy="637540"/>
                          </a:xfrm>
                          <a:custGeom>
                            <a:avLst/>
                            <a:gdLst/>
                            <a:ahLst/>
                            <a:cxnLst/>
                            <a:rect l="l" t="t" r="r" b="b"/>
                            <a:pathLst>
                              <a:path w="238125" h="637540">
                                <a:moveTo>
                                  <a:pt x="237553" y="637317"/>
                                </a:moveTo>
                                <a:lnTo>
                                  <a:pt x="0" y="637317"/>
                                </a:lnTo>
                                <a:lnTo>
                                  <a:pt x="0" y="0"/>
                                </a:lnTo>
                                <a:lnTo>
                                  <a:pt x="237553" y="0"/>
                                </a:lnTo>
                                <a:lnTo>
                                  <a:pt x="237553" y="637317"/>
                                </a:lnTo>
                                <a:close/>
                              </a:path>
                            </a:pathLst>
                          </a:custGeom>
                          <a:solidFill>
                            <a:srgbClr val="BEBEBE"/>
                          </a:solidFill>
                        </wps:spPr>
                        <wps:bodyPr wrap="square" lIns="0" tIns="0" rIns="0" bIns="0" rtlCol="0">
                          <a:prstTxWarp prst="textNoShape">
                            <a:avLst/>
                          </a:prstTxWarp>
                          <a:noAutofit/>
                        </wps:bodyPr>
                      </wps:wsp>
                      <wps:wsp>
                        <wps:cNvPr id="341" name="Graphic 341"/>
                        <wps:cNvSpPr/>
                        <wps:spPr>
                          <a:xfrm>
                            <a:off x="4108894" y="628363"/>
                            <a:ext cx="28575" cy="808355"/>
                          </a:xfrm>
                          <a:custGeom>
                            <a:avLst/>
                            <a:gdLst/>
                            <a:ahLst/>
                            <a:cxnLst/>
                            <a:rect l="l" t="t" r="r" b="b"/>
                            <a:pathLst>
                              <a:path w="28575" h="808355">
                                <a:moveTo>
                                  <a:pt x="28575" y="808005"/>
                                </a:moveTo>
                                <a:lnTo>
                                  <a:pt x="0" y="808005"/>
                                </a:lnTo>
                                <a:lnTo>
                                  <a:pt x="0" y="0"/>
                                </a:lnTo>
                                <a:lnTo>
                                  <a:pt x="28575" y="0"/>
                                </a:lnTo>
                                <a:lnTo>
                                  <a:pt x="28575" y="808005"/>
                                </a:lnTo>
                                <a:close/>
                              </a:path>
                            </a:pathLst>
                          </a:custGeom>
                          <a:solidFill>
                            <a:srgbClr val="DBDFEB"/>
                          </a:solidFill>
                        </wps:spPr>
                        <wps:bodyPr wrap="square" lIns="0" tIns="0" rIns="0" bIns="0" rtlCol="0">
                          <a:prstTxWarp prst="textNoShape">
                            <a:avLst/>
                          </a:prstTxWarp>
                          <a:noAutofit/>
                        </wps:bodyPr>
                      </wps:wsp>
                      <wps:wsp>
                        <wps:cNvPr id="342" name="Graphic 342"/>
                        <wps:cNvSpPr/>
                        <wps:spPr>
                          <a:xfrm>
                            <a:off x="1404937" y="2381"/>
                            <a:ext cx="2733040" cy="2037714"/>
                          </a:xfrm>
                          <a:custGeom>
                            <a:avLst/>
                            <a:gdLst/>
                            <a:ahLst/>
                            <a:cxnLst/>
                            <a:rect l="l" t="t" r="r" b="b"/>
                            <a:pathLst>
                              <a:path w="2733040" h="2037714">
                                <a:moveTo>
                                  <a:pt x="2732532" y="2025777"/>
                                </a:moveTo>
                                <a:lnTo>
                                  <a:pt x="0" y="2025777"/>
                                </a:lnTo>
                                <a:lnTo>
                                  <a:pt x="0" y="2037207"/>
                                </a:lnTo>
                                <a:lnTo>
                                  <a:pt x="2732532" y="2037207"/>
                                </a:lnTo>
                                <a:lnTo>
                                  <a:pt x="2732532" y="2025777"/>
                                </a:lnTo>
                                <a:close/>
                              </a:path>
                              <a:path w="2733040" h="2037714">
                                <a:moveTo>
                                  <a:pt x="2732532" y="0"/>
                                </a:moveTo>
                                <a:lnTo>
                                  <a:pt x="0" y="0"/>
                                </a:lnTo>
                                <a:lnTo>
                                  <a:pt x="0" y="11341"/>
                                </a:lnTo>
                                <a:lnTo>
                                  <a:pt x="2732532" y="11341"/>
                                </a:lnTo>
                                <a:lnTo>
                                  <a:pt x="2732532" y="0"/>
                                </a:lnTo>
                                <a:close/>
                              </a:path>
                            </a:pathLst>
                          </a:custGeom>
                          <a:solidFill>
                            <a:srgbClr val="919293"/>
                          </a:solidFill>
                        </wps:spPr>
                        <wps:bodyPr wrap="square" lIns="0" tIns="0" rIns="0" bIns="0" rtlCol="0">
                          <a:prstTxWarp prst="textNoShape">
                            <a:avLst/>
                          </a:prstTxWarp>
                          <a:noAutofit/>
                        </wps:bodyPr>
                      </wps:wsp>
                      <wps:wsp>
                        <wps:cNvPr id="343" name="Graphic 343"/>
                        <wps:cNvSpPr/>
                        <wps:spPr>
                          <a:xfrm>
                            <a:off x="1404937" y="2381"/>
                            <a:ext cx="2733040" cy="2037714"/>
                          </a:xfrm>
                          <a:custGeom>
                            <a:avLst/>
                            <a:gdLst/>
                            <a:ahLst/>
                            <a:cxnLst/>
                            <a:rect l="l" t="t" r="r" b="b"/>
                            <a:pathLst>
                              <a:path w="2733040" h="2037714">
                                <a:moveTo>
                                  <a:pt x="0" y="0"/>
                                </a:moveTo>
                                <a:lnTo>
                                  <a:pt x="2732532" y="0"/>
                                </a:lnTo>
                              </a:path>
                              <a:path w="2733040" h="2037714">
                                <a:moveTo>
                                  <a:pt x="2732532" y="2037207"/>
                                </a:moveTo>
                                <a:lnTo>
                                  <a:pt x="0" y="2037207"/>
                                </a:lnTo>
                              </a:path>
                              <a:path w="2733040" h="2037714">
                                <a:moveTo>
                                  <a:pt x="0" y="2025777"/>
                                </a:moveTo>
                                <a:lnTo>
                                  <a:pt x="2732532" y="2025777"/>
                                </a:lnTo>
                              </a:path>
                              <a:path w="2733040" h="2037714">
                                <a:moveTo>
                                  <a:pt x="2732532" y="11334"/>
                                </a:moveTo>
                                <a:lnTo>
                                  <a:pt x="0" y="11334"/>
                                </a:lnTo>
                              </a:path>
                            </a:pathLst>
                          </a:custGeom>
                          <a:ln w="4762">
                            <a:solidFill>
                              <a:srgbClr val="919293"/>
                            </a:solidFill>
                            <a:prstDash val="solid"/>
                          </a:ln>
                        </wps:spPr>
                        <wps:bodyPr wrap="square" lIns="0" tIns="0" rIns="0" bIns="0" rtlCol="0">
                          <a:prstTxWarp prst="textNoShape">
                            <a:avLst/>
                          </a:prstTxWarp>
                          <a:noAutofit/>
                        </wps:bodyPr>
                      </wps:wsp>
                      <wps:wsp>
                        <wps:cNvPr id="344" name="Graphic 344"/>
                        <wps:cNvSpPr/>
                        <wps:spPr>
                          <a:xfrm>
                            <a:off x="4137469" y="2381"/>
                            <a:ext cx="774700" cy="2026285"/>
                          </a:xfrm>
                          <a:custGeom>
                            <a:avLst/>
                            <a:gdLst/>
                            <a:ahLst/>
                            <a:cxnLst/>
                            <a:rect l="l" t="t" r="r" b="b"/>
                            <a:pathLst>
                              <a:path w="774700" h="2026285">
                                <a:moveTo>
                                  <a:pt x="774668" y="2025777"/>
                                </a:moveTo>
                                <a:lnTo>
                                  <a:pt x="0" y="2025777"/>
                                </a:lnTo>
                                <a:lnTo>
                                  <a:pt x="0" y="0"/>
                                </a:lnTo>
                                <a:lnTo>
                                  <a:pt x="774668" y="0"/>
                                </a:lnTo>
                                <a:lnTo>
                                  <a:pt x="774668" y="2025777"/>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4137469" y="628363"/>
                            <a:ext cx="209550" cy="808355"/>
                          </a:xfrm>
                          <a:custGeom>
                            <a:avLst/>
                            <a:gdLst/>
                            <a:ahLst/>
                            <a:cxnLst/>
                            <a:rect l="l" t="t" r="r" b="b"/>
                            <a:pathLst>
                              <a:path w="209550" h="808355">
                                <a:moveTo>
                                  <a:pt x="208978" y="808005"/>
                                </a:moveTo>
                                <a:lnTo>
                                  <a:pt x="0" y="808005"/>
                                </a:lnTo>
                                <a:lnTo>
                                  <a:pt x="0" y="0"/>
                                </a:lnTo>
                                <a:lnTo>
                                  <a:pt x="208978" y="0"/>
                                </a:lnTo>
                                <a:lnTo>
                                  <a:pt x="208978" y="808005"/>
                                </a:lnTo>
                                <a:close/>
                              </a:path>
                            </a:pathLst>
                          </a:custGeom>
                          <a:solidFill>
                            <a:srgbClr val="DBDFEB"/>
                          </a:solidFill>
                        </wps:spPr>
                        <wps:bodyPr wrap="square" lIns="0" tIns="0" rIns="0" bIns="0" rtlCol="0">
                          <a:prstTxWarp prst="textNoShape">
                            <a:avLst/>
                          </a:prstTxWarp>
                          <a:noAutofit/>
                        </wps:bodyPr>
                      </wps:wsp>
                      <wps:wsp>
                        <wps:cNvPr id="346" name="Graphic 346"/>
                        <wps:cNvSpPr/>
                        <wps:spPr>
                          <a:xfrm>
                            <a:off x="4561427" y="594169"/>
                            <a:ext cx="226695" cy="842644"/>
                          </a:xfrm>
                          <a:custGeom>
                            <a:avLst/>
                            <a:gdLst/>
                            <a:ahLst/>
                            <a:cxnLst/>
                            <a:rect l="l" t="t" r="r" b="b"/>
                            <a:pathLst>
                              <a:path w="226695" h="842644">
                                <a:moveTo>
                                  <a:pt x="226218" y="842200"/>
                                </a:moveTo>
                                <a:lnTo>
                                  <a:pt x="0" y="842200"/>
                                </a:lnTo>
                                <a:lnTo>
                                  <a:pt x="0" y="0"/>
                                </a:lnTo>
                                <a:lnTo>
                                  <a:pt x="226218" y="0"/>
                                </a:lnTo>
                                <a:lnTo>
                                  <a:pt x="226218" y="842200"/>
                                </a:lnTo>
                                <a:close/>
                              </a:path>
                            </a:pathLst>
                          </a:custGeom>
                          <a:solidFill>
                            <a:srgbClr val="53B8B0"/>
                          </a:solidFill>
                        </wps:spPr>
                        <wps:bodyPr wrap="square" lIns="0" tIns="0" rIns="0" bIns="0" rtlCol="0">
                          <a:prstTxWarp prst="textNoShape">
                            <a:avLst/>
                          </a:prstTxWarp>
                          <a:noAutofit/>
                        </wps:bodyPr>
                      </wps:wsp>
                      <wps:wsp>
                        <wps:cNvPr id="347" name="Graphic 347"/>
                        <wps:cNvSpPr/>
                        <wps:spPr>
                          <a:xfrm>
                            <a:off x="4137469" y="2381"/>
                            <a:ext cx="774700" cy="2037080"/>
                          </a:xfrm>
                          <a:custGeom>
                            <a:avLst/>
                            <a:gdLst/>
                            <a:ahLst/>
                            <a:cxnLst/>
                            <a:rect l="l" t="t" r="r" b="b"/>
                            <a:pathLst>
                              <a:path w="774700" h="2037080">
                                <a:moveTo>
                                  <a:pt x="774661" y="0"/>
                                </a:moveTo>
                                <a:lnTo>
                                  <a:pt x="769048" y="0"/>
                                </a:lnTo>
                                <a:lnTo>
                                  <a:pt x="763333" y="0"/>
                                </a:lnTo>
                                <a:lnTo>
                                  <a:pt x="0" y="0"/>
                                </a:lnTo>
                                <a:lnTo>
                                  <a:pt x="0" y="11341"/>
                                </a:lnTo>
                                <a:lnTo>
                                  <a:pt x="763333" y="11341"/>
                                </a:lnTo>
                                <a:lnTo>
                                  <a:pt x="763333" y="2025650"/>
                                </a:lnTo>
                                <a:lnTo>
                                  <a:pt x="0" y="2025650"/>
                                </a:lnTo>
                                <a:lnTo>
                                  <a:pt x="0" y="2037080"/>
                                </a:lnTo>
                                <a:lnTo>
                                  <a:pt x="774661" y="2037080"/>
                                </a:lnTo>
                                <a:lnTo>
                                  <a:pt x="774661" y="2025650"/>
                                </a:lnTo>
                                <a:lnTo>
                                  <a:pt x="774661" y="11430"/>
                                </a:lnTo>
                                <a:lnTo>
                                  <a:pt x="769048" y="11430"/>
                                </a:lnTo>
                                <a:lnTo>
                                  <a:pt x="769048" y="5727"/>
                                </a:lnTo>
                                <a:lnTo>
                                  <a:pt x="774661" y="11341"/>
                                </a:lnTo>
                                <a:lnTo>
                                  <a:pt x="774661" y="0"/>
                                </a:lnTo>
                                <a:close/>
                              </a:path>
                            </a:pathLst>
                          </a:custGeom>
                          <a:solidFill>
                            <a:srgbClr val="919293"/>
                          </a:solidFill>
                        </wps:spPr>
                        <wps:bodyPr wrap="square" lIns="0" tIns="0" rIns="0" bIns="0" rtlCol="0">
                          <a:prstTxWarp prst="textNoShape">
                            <a:avLst/>
                          </a:prstTxWarp>
                          <a:noAutofit/>
                        </wps:bodyPr>
                      </wps:wsp>
                      <wps:wsp>
                        <wps:cNvPr id="348" name="Graphic 348"/>
                        <wps:cNvSpPr/>
                        <wps:spPr>
                          <a:xfrm>
                            <a:off x="4137469" y="2381"/>
                            <a:ext cx="774700" cy="2037714"/>
                          </a:xfrm>
                          <a:custGeom>
                            <a:avLst/>
                            <a:gdLst/>
                            <a:ahLst/>
                            <a:cxnLst/>
                            <a:rect l="l" t="t" r="r" b="b"/>
                            <a:pathLst>
                              <a:path w="774700" h="2037714">
                                <a:moveTo>
                                  <a:pt x="0" y="0"/>
                                </a:moveTo>
                                <a:lnTo>
                                  <a:pt x="774668" y="0"/>
                                </a:lnTo>
                                <a:lnTo>
                                  <a:pt x="774668" y="2025777"/>
                                </a:lnTo>
                                <a:lnTo>
                                  <a:pt x="774668" y="2037207"/>
                                </a:lnTo>
                                <a:lnTo>
                                  <a:pt x="0" y="2037207"/>
                                </a:lnTo>
                              </a:path>
                              <a:path w="774700" h="2037714">
                                <a:moveTo>
                                  <a:pt x="0" y="2025777"/>
                                </a:moveTo>
                                <a:lnTo>
                                  <a:pt x="774668" y="2025777"/>
                                </a:lnTo>
                                <a:lnTo>
                                  <a:pt x="763333" y="2025777"/>
                                </a:lnTo>
                                <a:lnTo>
                                  <a:pt x="763333" y="0"/>
                                </a:lnTo>
                                <a:lnTo>
                                  <a:pt x="774668" y="11334"/>
                                </a:lnTo>
                                <a:lnTo>
                                  <a:pt x="0" y="11334"/>
                                </a:lnTo>
                              </a:path>
                            </a:pathLst>
                          </a:custGeom>
                          <a:ln w="4762">
                            <a:solidFill>
                              <a:srgbClr val="919293"/>
                            </a:solidFill>
                            <a:prstDash val="solid"/>
                          </a:ln>
                        </wps:spPr>
                        <wps:bodyPr wrap="square" lIns="0" tIns="0" rIns="0" bIns="0" rtlCol="0">
                          <a:prstTxWarp prst="textNoShape">
                            <a:avLst/>
                          </a:prstTxWarp>
                          <a:noAutofit/>
                        </wps:bodyPr>
                      </wps:wsp>
                      <wps:wsp>
                        <wps:cNvPr id="349" name="Textbox 349"/>
                        <wps:cNvSpPr txBox="1"/>
                        <wps:spPr>
                          <a:xfrm>
                            <a:off x="4108513" y="424158"/>
                            <a:ext cx="252729" cy="140335"/>
                          </a:xfrm>
                          <a:prstGeom prst="rect">
                            <a:avLst/>
                          </a:prstGeom>
                        </wps:spPr>
                        <wps:txbx>
                          <w:txbxContent>
                            <w:p>
                              <w:pPr>
                                <w:spacing w:before="0"/>
                                <w:ind w:left="0" w:right="0" w:firstLine="0"/>
                                <w:jc w:val="left"/>
                                <w:rPr>
                                  <w:b/>
                                  <w:sz w:val="19"/>
                                </w:rPr>
                              </w:pPr>
                              <w:r>
                                <w:rPr>
                                  <w:b/>
                                  <w:color w:val="3A4145"/>
                                  <w:spacing w:val="-4"/>
                                  <w:w w:val="105"/>
                                  <w:sz w:val="19"/>
                                </w:rPr>
                                <w:t>8,49</w:t>
                              </w:r>
                            </w:p>
                          </w:txbxContent>
                        </wps:txbx>
                        <wps:bodyPr wrap="square" lIns="0" tIns="0" rIns="0" bIns="0" rtlCol="0">
                          <a:noAutofit/>
                        </wps:bodyPr>
                      </wps:wsp>
                      <wps:wsp>
                        <wps:cNvPr id="350" name="Textbox 350"/>
                        <wps:cNvSpPr txBox="1"/>
                        <wps:spPr>
                          <a:xfrm>
                            <a:off x="4550473" y="401299"/>
                            <a:ext cx="264160" cy="140335"/>
                          </a:xfrm>
                          <a:prstGeom prst="rect">
                            <a:avLst/>
                          </a:prstGeom>
                        </wps:spPr>
                        <wps:txbx>
                          <w:txbxContent>
                            <w:p>
                              <w:pPr>
                                <w:spacing w:before="0"/>
                                <w:ind w:left="0" w:right="0" w:firstLine="0"/>
                                <w:jc w:val="left"/>
                                <w:rPr>
                                  <w:b/>
                                  <w:sz w:val="19"/>
                                </w:rPr>
                              </w:pPr>
                              <w:r>
                                <w:rPr>
                                  <w:b/>
                                  <w:color w:val="3A4145"/>
                                  <w:spacing w:val="-4"/>
                                  <w:w w:val="105"/>
                                  <w:sz w:val="19"/>
                                </w:rPr>
                                <w:t>8,56</w:t>
                              </w:r>
                            </w:p>
                          </w:txbxContent>
                        </wps:txbx>
                        <wps:bodyPr wrap="square" lIns="0" tIns="0" rIns="0" bIns="0" rtlCol="0">
                          <a:noAutofit/>
                        </wps:bodyPr>
                      </wps:wsp>
                      <wps:wsp>
                        <wps:cNvPr id="351" name="Textbox 351"/>
                        <wps:cNvSpPr txBox="1"/>
                        <wps:spPr>
                          <a:xfrm>
                            <a:off x="2333053" y="582655"/>
                            <a:ext cx="704215" cy="152400"/>
                          </a:xfrm>
                          <a:prstGeom prst="rect">
                            <a:avLst/>
                          </a:prstGeom>
                        </wps:spPr>
                        <wps:txbx>
                          <w:txbxContent>
                            <w:p>
                              <w:pPr>
                                <w:tabs>
                                  <w:tab w:pos="693" w:val="left" w:leader="none"/>
                                </w:tabs>
                                <w:spacing w:line="238" w:lineRule="exact" w:before="0"/>
                                <w:ind w:left="0" w:right="0" w:firstLine="0"/>
                                <w:jc w:val="left"/>
                                <w:rPr>
                                  <w:b/>
                                  <w:position w:val="2"/>
                                  <w:sz w:val="19"/>
                                </w:rPr>
                              </w:pPr>
                              <w:r>
                                <w:rPr>
                                  <w:b/>
                                  <w:color w:val="3A4145"/>
                                  <w:spacing w:val="-4"/>
                                  <w:w w:val="105"/>
                                  <w:sz w:val="19"/>
                                </w:rPr>
                                <w:t>8,07</w:t>
                              </w:r>
                              <w:r>
                                <w:rPr>
                                  <w:b/>
                                  <w:color w:val="3A4145"/>
                                  <w:sz w:val="19"/>
                                </w:rPr>
                                <w:tab/>
                              </w:r>
                              <w:r>
                                <w:rPr>
                                  <w:b/>
                                  <w:color w:val="3A4145"/>
                                  <w:spacing w:val="-4"/>
                                  <w:w w:val="105"/>
                                  <w:position w:val="2"/>
                                  <w:sz w:val="19"/>
                                </w:rPr>
                                <w:t>8,11</w:t>
                              </w:r>
                            </w:p>
                          </w:txbxContent>
                        </wps:txbx>
                        <wps:bodyPr wrap="square" lIns="0" tIns="0" rIns="0" bIns="0" rtlCol="0">
                          <a:noAutofit/>
                        </wps:bodyPr>
                      </wps:wsp>
                      <wps:wsp>
                        <wps:cNvPr id="352" name="Textbox 352"/>
                        <wps:cNvSpPr txBox="1"/>
                        <wps:spPr>
                          <a:xfrm>
                            <a:off x="3226117" y="571987"/>
                            <a:ext cx="252729" cy="140335"/>
                          </a:xfrm>
                          <a:prstGeom prst="rect">
                            <a:avLst/>
                          </a:prstGeom>
                        </wps:spPr>
                        <wps:txbx>
                          <w:txbxContent>
                            <w:p>
                              <w:pPr>
                                <w:spacing w:before="0"/>
                                <w:ind w:left="0" w:right="0" w:firstLine="0"/>
                                <w:jc w:val="left"/>
                                <w:rPr>
                                  <w:b/>
                                  <w:sz w:val="19"/>
                                </w:rPr>
                              </w:pPr>
                              <w:r>
                                <w:rPr>
                                  <w:b/>
                                  <w:color w:val="3A4145"/>
                                  <w:spacing w:val="-4"/>
                                  <w:w w:val="105"/>
                                  <w:sz w:val="19"/>
                                </w:rPr>
                                <w:t>8,13</w:t>
                              </w:r>
                            </w:p>
                          </w:txbxContent>
                        </wps:txbx>
                        <wps:bodyPr wrap="square" lIns="0" tIns="0" rIns="0" bIns="0" rtlCol="0">
                          <a:noAutofit/>
                        </wps:bodyPr>
                      </wps:wsp>
                      <wps:wsp>
                        <wps:cNvPr id="353" name="Textbox 353"/>
                        <wps:cNvSpPr txBox="1"/>
                        <wps:spPr>
                          <a:xfrm>
                            <a:off x="1008697" y="742675"/>
                            <a:ext cx="252729" cy="140335"/>
                          </a:xfrm>
                          <a:prstGeom prst="rect">
                            <a:avLst/>
                          </a:prstGeom>
                        </wps:spPr>
                        <wps:txbx>
                          <w:txbxContent>
                            <w:p>
                              <w:pPr>
                                <w:spacing w:before="0"/>
                                <w:ind w:left="0" w:right="0" w:firstLine="0"/>
                                <w:jc w:val="left"/>
                                <w:rPr>
                                  <w:b/>
                                  <w:sz w:val="19"/>
                                </w:rPr>
                              </w:pPr>
                              <w:r>
                                <w:rPr>
                                  <w:b/>
                                  <w:color w:val="3A4145"/>
                                  <w:spacing w:val="-4"/>
                                  <w:w w:val="105"/>
                                  <w:sz w:val="19"/>
                                </w:rPr>
                                <w:t>7,72</w:t>
                              </w:r>
                            </w:p>
                          </w:txbxContent>
                        </wps:txbx>
                        <wps:bodyPr wrap="square" lIns="0" tIns="0" rIns="0" bIns="0" rtlCol="0">
                          <a:noAutofit/>
                        </wps:bodyPr>
                      </wps:wsp>
                      <wps:wsp>
                        <wps:cNvPr id="354" name="Textbox 354"/>
                        <wps:cNvSpPr txBox="1"/>
                        <wps:spPr>
                          <a:xfrm>
                            <a:off x="1450657" y="651235"/>
                            <a:ext cx="251460" cy="140335"/>
                          </a:xfrm>
                          <a:prstGeom prst="rect">
                            <a:avLst/>
                          </a:prstGeom>
                        </wps:spPr>
                        <wps:txbx>
                          <w:txbxContent>
                            <w:p>
                              <w:pPr>
                                <w:spacing w:before="0"/>
                                <w:ind w:left="0" w:right="0" w:firstLine="0"/>
                                <w:jc w:val="left"/>
                                <w:rPr>
                                  <w:b/>
                                  <w:sz w:val="19"/>
                                </w:rPr>
                              </w:pPr>
                              <w:r>
                                <w:rPr>
                                  <w:b/>
                                  <w:color w:val="3A4145"/>
                                  <w:spacing w:val="-4"/>
                                  <w:w w:val="105"/>
                                  <w:sz w:val="19"/>
                                </w:rPr>
                                <w:t>7,93</w:t>
                              </w:r>
                            </w:p>
                          </w:txbxContent>
                        </wps:txbx>
                        <wps:bodyPr wrap="square" lIns="0" tIns="0" rIns="0" bIns="0" rtlCol="0">
                          <a:noAutofit/>
                        </wps:bodyPr>
                      </wps:wsp>
                      <wps:wsp>
                        <wps:cNvPr id="355" name="Textbox 355"/>
                        <wps:cNvSpPr txBox="1"/>
                        <wps:spPr>
                          <a:xfrm>
                            <a:off x="1891077" y="651235"/>
                            <a:ext cx="264160" cy="140335"/>
                          </a:xfrm>
                          <a:prstGeom prst="rect">
                            <a:avLst/>
                          </a:prstGeom>
                        </wps:spPr>
                        <wps:txbx>
                          <w:txbxContent>
                            <w:p>
                              <w:pPr>
                                <w:spacing w:before="0"/>
                                <w:ind w:left="0" w:right="0" w:firstLine="0"/>
                                <w:jc w:val="left"/>
                                <w:rPr>
                                  <w:b/>
                                  <w:sz w:val="19"/>
                                </w:rPr>
                              </w:pPr>
                              <w:r>
                                <w:rPr>
                                  <w:b/>
                                  <w:color w:val="3A4145"/>
                                  <w:spacing w:val="-4"/>
                                  <w:w w:val="105"/>
                                  <w:sz w:val="19"/>
                                </w:rPr>
                                <w:t>7,94</w:t>
                              </w:r>
                            </w:p>
                          </w:txbxContent>
                        </wps:txbx>
                        <wps:bodyPr wrap="square" lIns="0" tIns="0" rIns="0" bIns="0" rtlCol="0">
                          <a:noAutofit/>
                        </wps:bodyPr>
                      </wps:wsp>
                      <wps:wsp>
                        <wps:cNvPr id="356" name="Textbox 356"/>
                        <wps:cNvSpPr txBox="1"/>
                        <wps:spPr>
                          <a:xfrm>
                            <a:off x="3668077" y="594847"/>
                            <a:ext cx="251460" cy="140335"/>
                          </a:xfrm>
                          <a:prstGeom prst="rect">
                            <a:avLst/>
                          </a:prstGeom>
                        </wps:spPr>
                        <wps:txbx>
                          <w:txbxContent>
                            <w:p>
                              <w:pPr>
                                <w:spacing w:before="0"/>
                                <w:ind w:left="0" w:right="0" w:firstLine="0"/>
                                <w:jc w:val="left"/>
                                <w:rPr>
                                  <w:b/>
                                  <w:sz w:val="19"/>
                                </w:rPr>
                              </w:pPr>
                              <w:r>
                                <w:rPr>
                                  <w:b/>
                                  <w:color w:val="3A4145"/>
                                  <w:spacing w:val="-4"/>
                                  <w:w w:val="105"/>
                                  <w:sz w:val="19"/>
                                </w:rPr>
                                <w:t>8,07</w:t>
                              </w:r>
                            </w:p>
                          </w:txbxContent>
                        </wps:txbx>
                        <wps:bodyPr wrap="square" lIns="0" tIns="0" rIns="0" bIns="0" rtlCol="0">
                          <a:noAutofit/>
                        </wps:bodyPr>
                      </wps:wsp>
                      <wps:wsp>
                        <wps:cNvPr id="357" name="Textbox 357"/>
                        <wps:cNvSpPr txBox="1"/>
                        <wps:spPr>
                          <a:xfrm>
                            <a:off x="115633" y="890503"/>
                            <a:ext cx="264160" cy="140335"/>
                          </a:xfrm>
                          <a:prstGeom prst="rect">
                            <a:avLst/>
                          </a:prstGeom>
                        </wps:spPr>
                        <wps:txbx>
                          <w:txbxContent>
                            <w:p>
                              <w:pPr>
                                <w:spacing w:before="0"/>
                                <w:ind w:left="0" w:right="0" w:firstLine="0"/>
                                <w:jc w:val="left"/>
                                <w:rPr>
                                  <w:b/>
                                  <w:sz w:val="19"/>
                                </w:rPr>
                              </w:pPr>
                              <w:r>
                                <w:rPr>
                                  <w:b/>
                                  <w:color w:val="3A4145"/>
                                  <w:spacing w:val="-4"/>
                                  <w:w w:val="105"/>
                                  <w:sz w:val="19"/>
                                </w:rPr>
                                <w:t>7,36</w:t>
                              </w:r>
                            </w:p>
                          </w:txbxContent>
                        </wps:txbx>
                        <wps:bodyPr wrap="square" lIns="0" tIns="0" rIns="0" bIns="0" rtlCol="0">
                          <a:noAutofit/>
                        </wps:bodyPr>
                      </wps:wsp>
                      <wps:wsp>
                        <wps:cNvPr id="358" name="Textbox 358"/>
                        <wps:cNvSpPr txBox="1"/>
                        <wps:spPr>
                          <a:xfrm>
                            <a:off x="556069" y="811255"/>
                            <a:ext cx="264160" cy="140335"/>
                          </a:xfrm>
                          <a:prstGeom prst="rect">
                            <a:avLst/>
                          </a:prstGeom>
                        </wps:spPr>
                        <wps:txbx>
                          <w:txbxContent>
                            <w:p>
                              <w:pPr>
                                <w:spacing w:before="0"/>
                                <w:ind w:left="0" w:right="0" w:firstLine="0"/>
                                <w:jc w:val="left"/>
                                <w:rPr>
                                  <w:b/>
                                  <w:sz w:val="19"/>
                                </w:rPr>
                              </w:pPr>
                              <w:r>
                                <w:rPr>
                                  <w:b/>
                                  <w:color w:val="3A4145"/>
                                  <w:spacing w:val="-4"/>
                                  <w:w w:val="105"/>
                                  <w:sz w:val="19"/>
                                </w:rPr>
                                <w:t>7,55</w:t>
                              </w:r>
                            </w:p>
                          </w:txbxContent>
                        </wps:txbx>
                        <wps:bodyPr wrap="square" lIns="0" tIns="0" rIns="0" bIns="0" rtlCol="0">
                          <a:noAutofit/>
                        </wps:bodyPr>
                      </wps:wsp>
                      <wps:wsp>
                        <wps:cNvPr id="359" name="Textbox 359"/>
                        <wps:cNvSpPr txBox="1"/>
                        <wps:spPr>
                          <a:xfrm>
                            <a:off x="82105" y="1527534"/>
                            <a:ext cx="4765675" cy="425450"/>
                          </a:xfrm>
                          <a:prstGeom prst="rect">
                            <a:avLst/>
                          </a:prstGeom>
                        </wps:spPr>
                        <wps:txbx>
                          <w:txbxContent>
                            <w:p>
                              <w:pPr>
                                <w:tabs>
                                  <w:tab w:pos="782" w:val="left" w:leader="none"/>
                                  <w:tab w:pos="1478" w:val="left" w:leader="none"/>
                                  <w:tab w:pos="2171" w:val="left" w:leader="none"/>
                                  <w:tab w:pos="2867" w:val="left" w:leader="none"/>
                                  <w:tab w:pos="3580" w:val="left" w:leader="none"/>
                                  <w:tab w:pos="4274" w:val="left" w:leader="none"/>
                                  <w:tab w:pos="4970" w:val="left" w:leader="none"/>
                                  <w:tab w:pos="5663" w:val="left" w:leader="none"/>
                                  <w:tab w:pos="6359" w:val="left" w:leader="none"/>
                                  <w:tab w:pos="7072" w:val="left" w:leader="none"/>
                                </w:tabs>
                                <w:spacing w:line="217" w:lineRule="exact" w:before="0"/>
                                <w:ind w:left="88" w:right="0" w:firstLine="0"/>
                                <w:jc w:val="left"/>
                                <w:rPr>
                                  <w:sz w:val="19"/>
                                </w:rPr>
                              </w:pP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p>
                            <w:p>
                              <w:pPr>
                                <w:tabs>
                                  <w:tab w:pos="729" w:val="left" w:leader="none"/>
                                  <w:tab w:pos="1406" w:val="left" w:leader="none"/>
                                  <w:tab w:pos="2102" w:val="left" w:leader="none"/>
                                  <w:tab w:pos="2795" w:val="left" w:leader="none"/>
                                  <w:tab w:pos="3525" w:val="left" w:leader="none"/>
                                  <w:tab w:pos="4221" w:val="left" w:leader="none"/>
                                  <w:tab w:pos="4915" w:val="left" w:leader="none"/>
                                  <w:tab w:pos="5594" w:val="left" w:leader="none"/>
                                  <w:tab w:pos="6287" w:val="left" w:leader="none"/>
                                  <w:tab w:pos="6413" w:val="left" w:leader="none"/>
                                  <w:tab w:pos="7000" w:val="left" w:leader="none"/>
                                </w:tabs>
                                <w:spacing w:line="256" w:lineRule="auto" w:before="0"/>
                                <w:ind w:left="35" w:right="18" w:hanging="36"/>
                                <w:jc w:val="left"/>
                                <w:rPr>
                                  <w:sz w:val="19"/>
                                </w:rPr>
                              </w:pPr>
                              <w:r>
                                <w:rPr>
                                  <w:color w:val="3A4145"/>
                                  <w:w w:val="105"/>
                                  <w:sz w:val="19"/>
                                </w:rPr>
                                <w:t>Línea</w:t>
                              </w:r>
                              <w:r>
                                <w:rPr>
                                  <w:color w:val="3A4145"/>
                                  <w:spacing w:val="80"/>
                                  <w:w w:val="105"/>
                                  <w:sz w:val="19"/>
                                </w:rPr>
                                <w:t> </w:t>
                              </w:r>
                              <w:r>
                                <w:rPr>
                                  <w:color w:val="3A4145"/>
                                  <w:w w:val="105"/>
                                  <w:sz w:val="19"/>
                                </w:rPr>
                                <w:t>Línea</w:t>
                              </w:r>
                              <w:r>
                                <w:rPr>
                                  <w:color w:val="3A4145"/>
                                  <w:sz w:val="19"/>
                                </w:rPr>
                                <w:tab/>
                              </w:r>
                              <w:r>
                                <w:rPr>
                                  <w:color w:val="3A4145"/>
                                  <w:spacing w:val="-4"/>
                                  <w:w w:val="105"/>
                                  <w:sz w:val="19"/>
                                </w:rPr>
                                <w:t>Línea</w:t>
                              </w:r>
                              <w:r>
                                <w:rPr>
                                  <w:color w:val="3A4145"/>
                                  <w:sz w:val="19"/>
                                </w:rPr>
                                <w:tab/>
                              </w:r>
                              <w:r>
                                <w:rPr>
                                  <w:color w:val="3A4145"/>
                                  <w:spacing w:val="-4"/>
                                  <w:w w:val="105"/>
                                  <w:sz w:val="19"/>
                                </w:rPr>
                                <w:t>Línea</w:t>
                              </w:r>
                              <w:r>
                                <w:rPr>
                                  <w:color w:val="3A4145"/>
                                  <w:sz w:val="19"/>
                                </w:rPr>
                                <w:tab/>
                              </w:r>
                              <w:r>
                                <w:rPr>
                                  <w:color w:val="3A4145"/>
                                  <w:w w:val="105"/>
                                  <w:sz w:val="19"/>
                                </w:rPr>
                                <w:t>Línea</w:t>
                              </w:r>
                              <w:r>
                                <w:rPr>
                                  <w:color w:val="3A4145"/>
                                  <w:spacing w:val="80"/>
                                  <w:w w:val="105"/>
                                  <w:sz w:val="19"/>
                                </w:rPr>
                                <w:t> </w:t>
                              </w:r>
                              <w:r>
                                <w:rPr>
                                  <w:color w:val="3A4145"/>
                                  <w:w w:val="105"/>
                                  <w:sz w:val="19"/>
                                </w:rPr>
                                <w:t>Línea</w:t>
                              </w:r>
                              <w:r>
                                <w:rPr>
                                  <w:color w:val="3A4145"/>
                                  <w:spacing w:val="80"/>
                                  <w:w w:val="105"/>
                                  <w:sz w:val="19"/>
                                </w:rPr>
                                <w:t> </w:t>
                              </w:r>
                              <w:r>
                                <w:rPr>
                                  <w:color w:val="3A4145"/>
                                  <w:w w:val="105"/>
                                  <w:sz w:val="19"/>
                                </w:rPr>
                                <w:t>Línea</w:t>
                              </w:r>
                              <w:r>
                                <w:rPr>
                                  <w:color w:val="3A4145"/>
                                  <w:spacing w:val="80"/>
                                  <w:w w:val="105"/>
                                  <w:sz w:val="19"/>
                                </w:rPr>
                                <w:t> </w:t>
                              </w:r>
                              <w:r>
                                <w:rPr>
                                  <w:color w:val="3A4145"/>
                                  <w:w w:val="105"/>
                                  <w:sz w:val="19"/>
                                </w:rPr>
                                <w:t>Línea</w:t>
                              </w:r>
                              <w:r>
                                <w:rPr>
                                  <w:color w:val="3A4145"/>
                                  <w:sz w:val="19"/>
                                </w:rPr>
                                <w:tab/>
                              </w:r>
                              <w:r>
                                <w:rPr>
                                  <w:color w:val="3A4145"/>
                                  <w:spacing w:val="-2"/>
                                  <w:w w:val="105"/>
                                  <w:sz w:val="19"/>
                                </w:rPr>
                                <w:t>Línea</w:t>
                              </w:r>
                              <w:r>
                                <w:rPr>
                                  <w:color w:val="3A4145"/>
                                  <w:sz w:val="19"/>
                                </w:rPr>
                                <w:tab/>
                              </w:r>
                              <w:r>
                                <w:rPr>
                                  <w:color w:val="3A4145"/>
                                  <w:w w:val="105"/>
                                  <w:sz w:val="19"/>
                                </w:rPr>
                                <w:t>Línea</w:t>
                              </w:r>
                              <w:r>
                                <w:rPr>
                                  <w:color w:val="3A4145"/>
                                  <w:spacing w:val="80"/>
                                  <w:w w:val="105"/>
                                  <w:sz w:val="19"/>
                                </w:rPr>
                                <w:t> </w:t>
                              </w:r>
                              <w:r>
                                <w:rPr>
                                  <w:color w:val="3A4145"/>
                                  <w:w w:val="105"/>
                                  <w:sz w:val="19"/>
                                </w:rPr>
                                <w:t>Línea </w:t>
                              </w:r>
                              <w:r>
                                <w:rPr>
                                  <w:color w:val="3A4145"/>
                                  <w:spacing w:val="-4"/>
                                  <w:w w:val="105"/>
                                  <w:sz w:val="19"/>
                                </w:rPr>
                                <w:t>2011</w:t>
                              </w:r>
                              <w:r>
                                <w:rPr>
                                  <w:color w:val="3A4145"/>
                                  <w:sz w:val="19"/>
                                </w:rPr>
                                <w:tab/>
                              </w:r>
                              <w:r>
                                <w:rPr>
                                  <w:color w:val="3A4145"/>
                                  <w:spacing w:val="-4"/>
                                  <w:w w:val="105"/>
                                  <w:sz w:val="19"/>
                                </w:rPr>
                                <w:t>2013</w:t>
                              </w:r>
                              <w:r>
                                <w:rPr>
                                  <w:color w:val="3A4145"/>
                                  <w:sz w:val="19"/>
                                </w:rPr>
                                <w:tab/>
                              </w:r>
                              <w:r>
                                <w:rPr>
                                  <w:color w:val="3A4145"/>
                                  <w:spacing w:val="-35"/>
                                  <w:sz w:val="19"/>
                                </w:rPr>
                                <w:t> </w:t>
                              </w:r>
                              <w:r>
                                <w:rPr>
                                  <w:color w:val="3A4145"/>
                                  <w:w w:val="105"/>
                                  <w:sz w:val="19"/>
                                </w:rPr>
                                <w:t>2015</w:t>
                              </w:r>
                              <w:r>
                                <w:rPr>
                                  <w:color w:val="3A4145"/>
                                  <w:sz w:val="19"/>
                                </w:rPr>
                                <w:tab/>
                              </w:r>
                              <w:r>
                                <w:rPr>
                                  <w:color w:val="3A4145"/>
                                  <w:spacing w:val="-36"/>
                                  <w:sz w:val="19"/>
                                </w:rPr>
                                <w:t> </w:t>
                              </w:r>
                              <w:r>
                                <w:rPr>
                                  <w:color w:val="3A4145"/>
                                  <w:w w:val="105"/>
                                  <w:sz w:val="19"/>
                                </w:rPr>
                                <w:t>2016</w:t>
                              </w:r>
                              <w:r>
                                <w:rPr>
                                  <w:color w:val="3A4145"/>
                                  <w:sz w:val="19"/>
                                </w:rPr>
                                <w:tab/>
                              </w:r>
                              <w:r>
                                <w:rPr>
                                  <w:color w:val="3A4145"/>
                                  <w:spacing w:val="-34"/>
                                  <w:sz w:val="19"/>
                                </w:rPr>
                                <w:t> </w:t>
                              </w:r>
                              <w:r>
                                <w:rPr>
                                  <w:color w:val="3A4145"/>
                                  <w:w w:val="105"/>
                                  <w:sz w:val="19"/>
                                </w:rPr>
                                <w:t>2017</w:t>
                              </w:r>
                              <w:r>
                                <w:rPr>
                                  <w:color w:val="3A4145"/>
                                  <w:sz w:val="19"/>
                                </w:rPr>
                                <w:tab/>
                              </w:r>
                              <w:r>
                                <w:rPr>
                                  <w:color w:val="3A4145"/>
                                  <w:spacing w:val="-4"/>
                                  <w:w w:val="105"/>
                                  <w:sz w:val="19"/>
                                </w:rPr>
                                <w:t>2018</w:t>
                              </w:r>
                              <w:r>
                                <w:rPr>
                                  <w:color w:val="3A4145"/>
                                  <w:sz w:val="19"/>
                                </w:rPr>
                                <w:tab/>
                              </w:r>
                              <w:r>
                                <w:rPr>
                                  <w:color w:val="3A4145"/>
                                  <w:spacing w:val="-4"/>
                                  <w:w w:val="105"/>
                                  <w:sz w:val="19"/>
                                </w:rPr>
                                <w:t>2019</w:t>
                              </w:r>
                              <w:r>
                                <w:rPr>
                                  <w:color w:val="3A4145"/>
                                  <w:sz w:val="19"/>
                                </w:rPr>
                                <w:tab/>
                              </w:r>
                              <w:r>
                                <w:rPr>
                                  <w:color w:val="3A4145"/>
                                  <w:spacing w:val="-4"/>
                                  <w:w w:val="105"/>
                                  <w:sz w:val="19"/>
                                </w:rPr>
                                <w:t>2021</w:t>
                              </w:r>
                              <w:r>
                                <w:rPr>
                                  <w:color w:val="3A4145"/>
                                  <w:sz w:val="19"/>
                                </w:rPr>
                                <w:tab/>
                              </w:r>
                              <w:r>
                                <w:rPr>
                                  <w:color w:val="3A4145"/>
                                  <w:spacing w:val="-36"/>
                                  <w:sz w:val="19"/>
                                </w:rPr>
                                <w:t> </w:t>
                              </w:r>
                              <w:r>
                                <w:rPr>
                                  <w:color w:val="3A4145"/>
                                  <w:w w:val="105"/>
                                  <w:sz w:val="19"/>
                                </w:rPr>
                                <w:t>2023</w:t>
                              </w:r>
                              <w:r>
                                <w:rPr>
                                  <w:color w:val="3A4145"/>
                                  <w:sz w:val="19"/>
                                </w:rPr>
                                <w:tab/>
                                <w:tab/>
                              </w:r>
                              <w:r>
                                <w:rPr>
                                  <w:color w:val="3A4145"/>
                                  <w:spacing w:val="-5"/>
                                  <w:w w:val="105"/>
                                  <w:sz w:val="19"/>
                                </w:rPr>
                                <w:t>024</w:t>
                              </w:r>
                              <w:r>
                                <w:rPr>
                                  <w:color w:val="3A4145"/>
                                  <w:sz w:val="19"/>
                                </w:rPr>
                                <w:tab/>
                              </w:r>
                              <w:r>
                                <w:rPr>
                                  <w:color w:val="3A4145"/>
                                  <w:spacing w:val="-4"/>
                                  <w:w w:val="105"/>
                                  <w:sz w:val="19"/>
                                </w:rPr>
                                <w:t>2025</w:t>
                              </w:r>
                            </w:p>
                          </w:txbxContent>
                        </wps:txbx>
                        <wps:bodyPr wrap="square" lIns="0" tIns="0" rIns="0" bIns="0" rtlCol="0">
                          <a:noAutofit/>
                        </wps:bodyPr>
                      </wps:wsp>
                    </wpg:wgp>
                  </a:graphicData>
                </a:graphic>
              </wp:anchor>
            </w:drawing>
          </mc:Choice>
          <mc:Fallback>
            <w:pict>
              <v:group style="position:absolute;margin-left:104.535004pt;margin-top:13.450161pt;width:387pt;height:160.8pt;mso-position-horizontal-relative:page;mso-position-vertical-relative:paragraph;z-index:-15626240;mso-wrap-distance-left:0;mso-wrap-distance-right:0" id="docshapegroup268" coordorigin="2091,269" coordsize="7740,3216">
                <v:rect style="position:absolute;left:2290;top:1975;width:375;height:556" id="docshape269" filled="true" fillcolor="#d9d9d9" stroked="false">
                  <v:fill type="solid"/>
                </v:rect>
                <v:rect style="position:absolute;left:3680;top:1742;width:375;height:789" id="docshape270" filled="true" fillcolor="#7e7e7e" stroked="false">
                  <v:fill type="solid"/>
                </v:rect>
                <v:rect style="position:absolute;left:2985;top:1867;width:375;height:664" id="docshape271" filled="true" fillcolor="#bebebe" stroked="false">
                  <v:fill type="solid"/>
                </v:rect>
                <v:shape style="position:absolute;left:2094;top:272;width:2209;height:3209" id="docshape272" coordorigin="2094,273" coordsize="2209,3209" path="m2094,291l2094,273,2112,273,2094,291xm4303,3481l2094,3481,2094,291,2112,273,2112,3463,4303,3463,4303,3481xm4303,291l2112,291,2112,273,4303,273,4303,291xe" filled="true" fillcolor="#919293" stroked="false">
                  <v:path arrowok="t"/>
                  <v:fill type="solid"/>
                </v:shape>
                <v:shape style="position:absolute;left:2094;top:272;width:2209;height:3209" id="docshape273" coordorigin="2094,273" coordsize="2209,3209" path="m4303,3481l2094,3481,2094,3463,2094,273,4303,273m4303,291l2094,291,2112,273,2112,3463,2094,3463,4303,3463e" filled="false" stroked="true" strokeweight=".375pt" strokecolor="#919293">
                  <v:path arrowok="t"/>
                  <v:stroke dashstyle="solid"/>
                </v:shape>
                <v:rect style="position:absolute;left:4374;top:1616;width:375;height:915" id="docshape274" filled="true" fillcolor="#8e8581" stroked="false">
                  <v:fill type="solid"/>
                </v:rect>
                <v:rect style="position:absolute;left:5087;top:1599;width:357;height:932" id="docshape275" filled="true" fillcolor="#79858d" stroked="false">
                  <v:fill type="solid"/>
                </v:rect>
                <v:shape style="position:absolute;left:5782;top:1491;width:1069;height:1040" id="docshape276" coordorigin="5782,1492" coordsize="1069,1040" path="m6139,1527l5782,1527,5782,2531,6139,2531,6139,1527xm6851,1492l6477,1492,6477,2531,6851,2531,6851,1492xe" filled="true" fillcolor="#6a757b" stroked="false">
                  <v:path arrowok="t"/>
                  <v:fill type="solid"/>
                </v:shape>
                <v:rect style="position:absolute;left:7171;top:1491;width:375;height:1040" id="docshape277" filled="true" fillcolor="#79858d" stroked="false">
                  <v:fill type="solid"/>
                </v:rect>
                <v:rect style="position:absolute;left:7866;top:1527;width:375;height:1004" id="docshape278" filled="true" fillcolor="#bebebe" stroked="false">
                  <v:fill type="solid"/>
                </v:rect>
                <v:rect style="position:absolute;left:8561;top:1258;width:45;height:1273" id="docshape279" filled="true" fillcolor="#dbdfeb" stroked="false">
                  <v:fill type="solid"/>
                </v:rect>
                <v:shape style="position:absolute;left:4303;top:272;width:4304;height:3209" id="docshape280" coordorigin="4303,273" coordsize="4304,3209" path="m8606,3463l4303,3463,4303,3481,8606,3481,8606,3463xm8606,273l4303,273,4303,291,8606,291,8606,273xe" filled="true" fillcolor="#919293" stroked="false">
                  <v:path arrowok="t"/>
                  <v:fill type="solid"/>
                </v:shape>
                <v:shape style="position:absolute;left:4303;top:272;width:4304;height:3209" id="docshape281" coordorigin="4303,273" coordsize="4304,3209" path="m4303,273l8606,273m8606,3481l4303,3481m4303,3463l8606,3463m8606,291l4303,291e" filled="false" stroked="true" strokeweight=".375pt" strokecolor="#919293">
                  <v:path arrowok="t"/>
                  <v:stroke dashstyle="solid"/>
                </v:shape>
                <v:rect style="position:absolute;left:8606;top:272;width:1220;height:3191" id="docshape282" filled="true" fillcolor="#ffffff" stroked="false">
                  <v:fill type="solid"/>
                </v:rect>
                <v:rect style="position:absolute;left:8606;top:1258;width:330;height:1273" id="docshape283" filled="true" fillcolor="#dbdfeb" stroked="false">
                  <v:fill type="solid"/>
                </v:rect>
                <v:rect style="position:absolute;left:9274;top:1204;width:357;height:1327" id="docshape284" filled="true" fillcolor="#53b8b0" stroked="false">
                  <v:fill type="solid"/>
                </v:rect>
                <v:shape style="position:absolute;left:8606;top:272;width:1220;height:3208" id="docshape285" coordorigin="8606,273" coordsize="1220,3208" path="m9826,273l9818,273,9809,273,8606,273,8606,291,9809,291,9809,3463,8606,3463,8606,3481,9826,3481,9826,3463,9826,291,9818,291,9818,282,9826,291,9826,273xe" filled="true" fillcolor="#919293" stroked="false">
                  <v:path arrowok="t"/>
                  <v:fill type="solid"/>
                </v:shape>
                <v:shape style="position:absolute;left:8606;top:272;width:1220;height:3209" id="docshape286" coordorigin="8606,273" coordsize="1220,3209" path="m8606,273l9826,273,9826,3463,9826,3481,8606,3481m8606,3463l9826,3463,9809,3463,9809,273,9826,291,8606,291e" filled="false" stroked="true" strokeweight=".375pt" strokecolor="#919293">
                  <v:path arrowok="t"/>
                  <v:stroke dashstyle="solid"/>
                </v:shape>
                <v:shape style="position:absolute;left:8560;top:936;width:398;height:221" type="#_x0000_t202" id="docshape287" filled="false" stroked="false">
                  <v:textbox inset="0,0,0,0">
                    <w:txbxContent>
                      <w:p>
                        <w:pPr>
                          <w:spacing w:before="0"/>
                          <w:ind w:left="0" w:right="0" w:firstLine="0"/>
                          <w:jc w:val="left"/>
                          <w:rPr>
                            <w:b/>
                            <w:sz w:val="19"/>
                          </w:rPr>
                        </w:pPr>
                        <w:r>
                          <w:rPr>
                            <w:b/>
                            <w:color w:val="3A4145"/>
                            <w:spacing w:val="-4"/>
                            <w:w w:val="105"/>
                            <w:sz w:val="19"/>
                          </w:rPr>
                          <w:t>8,49</w:t>
                        </w:r>
                      </w:p>
                    </w:txbxContent>
                  </v:textbox>
                  <w10:wrap type="none"/>
                </v:shape>
                <v:shape style="position:absolute;left:9256;top:900;width:416;height:221" type="#_x0000_t202" id="docshape288" filled="false" stroked="false">
                  <v:textbox inset="0,0,0,0">
                    <w:txbxContent>
                      <w:p>
                        <w:pPr>
                          <w:spacing w:before="0"/>
                          <w:ind w:left="0" w:right="0" w:firstLine="0"/>
                          <w:jc w:val="left"/>
                          <w:rPr>
                            <w:b/>
                            <w:sz w:val="19"/>
                          </w:rPr>
                        </w:pPr>
                        <w:r>
                          <w:rPr>
                            <w:b/>
                            <w:color w:val="3A4145"/>
                            <w:spacing w:val="-4"/>
                            <w:w w:val="105"/>
                            <w:sz w:val="19"/>
                          </w:rPr>
                          <w:t>8,56</w:t>
                        </w:r>
                      </w:p>
                    </w:txbxContent>
                  </v:textbox>
                  <w10:wrap type="none"/>
                </v:shape>
                <v:shape style="position:absolute;left:5764;top:1186;width:1109;height:240" type="#_x0000_t202" id="docshape289" filled="false" stroked="false">
                  <v:textbox inset="0,0,0,0">
                    <w:txbxContent>
                      <w:p>
                        <w:pPr>
                          <w:tabs>
                            <w:tab w:pos="693" w:val="left" w:leader="none"/>
                          </w:tabs>
                          <w:spacing w:line="238" w:lineRule="exact" w:before="0"/>
                          <w:ind w:left="0" w:right="0" w:firstLine="0"/>
                          <w:jc w:val="left"/>
                          <w:rPr>
                            <w:b/>
                            <w:position w:val="2"/>
                            <w:sz w:val="19"/>
                          </w:rPr>
                        </w:pPr>
                        <w:r>
                          <w:rPr>
                            <w:b/>
                            <w:color w:val="3A4145"/>
                            <w:spacing w:val="-4"/>
                            <w:w w:val="105"/>
                            <w:sz w:val="19"/>
                          </w:rPr>
                          <w:t>8,07</w:t>
                        </w:r>
                        <w:r>
                          <w:rPr>
                            <w:b/>
                            <w:color w:val="3A4145"/>
                            <w:sz w:val="19"/>
                          </w:rPr>
                          <w:tab/>
                        </w:r>
                        <w:r>
                          <w:rPr>
                            <w:b/>
                            <w:color w:val="3A4145"/>
                            <w:spacing w:val="-4"/>
                            <w:w w:val="105"/>
                            <w:position w:val="2"/>
                            <w:sz w:val="19"/>
                          </w:rPr>
                          <w:t>8,11</w:t>
                        </w:r>
                      </w:p>
                    </w:txbxContent>
                  </v:textbox>
                  <w10:wrap type="none"/>
                </v:shape>
                <v:shape style="position:absolute;left:7171;top:1169;width:398;height:221" type="#_x0000_t202" id="docshape290" filled="false" stroked="false">
                  <v:textbox inset="0,0,0,0">
                    <w:txbxContent>
                      <w:p>
                        <w:pPr>
                          <w:spacing w:before="0"/>
                          <w:ind w:left="0" w:right="0" w:firstLine="0"/>
                          <w:jc w:val="left"/>
                          <w:rPr>
                            <w:b/>
                            <w:sz w:val="19"/>
                          </w:rPr>
                        </w:pPr>
                        <w:r>
                          <w:rPr>
                            <w:b/>
                            <w:color w:val="3A4145"/>
                            <w:spacing w:val="-4"/>
                            <w:w w:val="105"/>
                            <w:sz w:val="19"/>
                          </w:rPr>
                          <w:t>8,13</w:t>
                        </w:r>
                      </w:p>
                    </w:txbxContent>
                  </v:textbox>
                  <w10:wrap type="none"/>
                </v:shape>
                <v:shape style="position:absolute;left:3679;top:1438;width:398;height:221" type="#_x0000_t202" id="docshape291" filled="false" stroked="false">
                  <v:textbox inset="0,0,0,0">
                    <w:txbxContent>
                      <w:p>
                        <w:pPr>
                          <w:spacing w:before="0"/>
                          <w:ind w:left="0" w:right="0" w:firstLine="0"/>
                          <w:jc w:val="left"/>
                          <w:rPr>
                            <w:b/>
                            <w:sz w:val="19"/>
                          </w:rPr>
                        </w:pPr>
                        <w:r>
                          <w:rPr>
                            <w:b/>
                            <w:color w:val="3A4145"/>
                            <w:spacing w:val="-4"/>
                            <w:w w:val="105"/>
                            <w:sz w:val="19"/>
                          </w:rPr>
                          <w:t>7,72</w:t>
                        </w:r>
                      </w:p>
                    </w:txbxContent>
                  </v:textbox>
                  <w10:wrap type="none"/>
                </v:shape>
                <v:shape style="position:absolute;left:4375;top:1294;width:396;height:221" type="#_x0000_t202" id="docshape292" filled="false" stroked="false">
                  <v:textbox inset="0,0,0,0">
                    <w:txbxContent>
                      <w:p>
                        <w:pPr>
                          <w:spacing w:before="0"/>
                          <w:ind w:left="0" w:right="0" w:firstLine="0"/>
                          <w:jc w:val="left"/>
                          <w:rPr>
                            <w:b/>
                            <w:sz w:val="19"/>
                          </w:rPr>
                        </w:pPr>
                        <w:r>
                          <w:rPr>
                            <w:b/>
                            <w:color w:val="3A4145"/>
                            <w:spacing w:val="-4"/>
                            <w:w w:val="105"/>
                            <w:sz w:val="19"/>
                          </w:rPr>
                          <w:t>7,93</w:t>
                        </w:r>
                      </w:p>
                    </w:txbxContent>
                  </v:textbox>
                  <w10:wrap type="none"/>
                </v:shape>
                <v:shape style="position:absolute;left:5068;top:1294;width:416;height:221" type="#_x0000_t202" id="docshape293" filled="false" stroked="false">
                  <v:textbox inset="0,0,0,0">
                    <w:txbxContent>
                      <w:p>
                        <w:pPr>
                          <w:spacing w:before="0"/>
                          <w:ind w:left="0" w:right="0" w:firstLine="0"/>
                          <w:jc w:val="left"/>
                          <w:rPr>
                            <w:b/>
                            <w:sz w:val="19"/>
                          </w:rPr>
                        </w:pPr>
                        <w:r>
                          <w:rPr>
                            <w:b/>
                            <w:color w:val="3A4145"/>
                            <w:spacing w:val="-4"/>
                            <w:w w:val="105"/>
                            <w:sz w:val="19"/>
                          </w:rPr>
                          <w:t>7,94</w:t>
                        </w:r>
                      </w:p>
                    </w:txbxContent>
                  </v:textbox>
                  <w10:wrap type="none"/>
                </v:shape>
                <v:shape style="position:absolute;left:7867;top:1205;width:396;height:221" type="#_x0000_t202" id="docshape294" filled="false" stroked="false">
                  <v:textbox inset="0,0,0,0">
                    <w:txbxContent>
                      <w:p>
                        <w:pPr>
                          <w:spacing w:before="0"/>
                          <w:ind w:left="0" w:right="0" w:firstLine="0"/>
                          <w:jc w:val="left"/>
                          <w:rPr>
                            <w:b/>
                            <w:sz w:val="19"/>
                          </w:rPr>
                        </w:pPr>
                        <w:r>
                          <w:rPr>
                            <w:b/>
                            <w:color w:val="3A4145"/>
                            <w:spacing w:val="-4"/>
                            <w:w w:val="105"/>
                            <w:sz w:val="19"/>
                          </w:rPr>
                          <w:t>8,07</w:t>
                        </w:r>
                      </w:p>
                    </w:txbxContent>
                  </v:textbox>
                  <w10:wrap type="none"/>
                </v:shape>
                <v:shape style="position:absolute;left:2272;top:1671;width:416;height:221" type="#_x0000_t202" id="docshape295" filled="false" stroked="false">
                  <v:textbox inset="0,0,0,0">
                    <w:txbxContent>
                      <w:p>
                        <w:pPr>
                          <w:spacing w:before="0"/>
                          <w:ind w:left="0" w:right="0" w:firstLine="0"/>
                          <w:jc w:val="left"/>
                          <w:rPr>
                            <w:b/>
                            <w:sz w:val="19"/>
                          </w:rPr>
                        </w:pPr>
                        <w:r>
                          <w:rPr>
                            <w:b/>
                            <w:color w:val="3A4145"/>
                            <w:spacing w:val="-4"/>
                            <w:w w:val="105"/>
                            <w:sz w:val="19"/>
                          </w:rPr>
                          <w:t>7,36</w:t>
                        </w:r>
                      </w:p>
                    </w:txbxContent>
                  </v:textbox>
                  <w10:wrap type="none"/>
                </v:shape>
                <v:shape style="position:absolute;left:2966;top:1546;width:416;height:221" type="#_x0000_t202" id="docshape296" filled="false" stroked="false">
                  <v:textbox inset="0,0,0,0">
                    <w:txbxContent>
                      <w:p>
                        <w:pPr>
                          <w:spacing w:before="0"/>
                          <w:ind w:left="0" w:right="0" w:firstLine="0"/>
                          <w:jc w:val="left"/>
                          <w:rPr>
                            <w:b/>
                            <w:sz w:val="19"/>
                          </w:rPr>
                        </w:pPr>
                        <w:r>
                          <w:rPr>
                            <w:b/>
                            <w:color w:val="3A4145"/>
                            <w:spacing w:val="-4"/>
                            <w:w w:val="105"/>
                            <w:sz w:val="19"/>
                          </w:rPr>
                          <w:t>7,55</w:t>
                        </w:r>
                      </w:p>
                    </w:txbxContent>
                  </v:textbox>
                  <w10:wrap type="none"/>
                </v:shape>
                <v:shape style="position:absolute;left:2220;top:2674;width:7505;height:670" type="#_x0000_t202" id="docshape297" filled="false" stroked="false">
                  <v:textbox inset="0,0,0,0">
                    <w:txbxContent>
                      <w:p>
                        <w:pPr>
                          <w:tabs>
                            <w:tab w:pos="782" w:val="left" w:leader="none"/>
                            <w:tab w:pos="1478" w:val="left" w:leader="none"/>
                            <w:tab w:pos="2171" w:val="left" w:leader="none"/>
                            <w:tab w:pos="2867" w:val="left" w:leader="none"/>
                            <w:tab w:pos="3580" w:val="left" w:leader="none"/>
                            <w:tab w:pos="4274" w:val="left" w:leader="none"/>
                            <w:tab w:pos="4970" w:val="left" w:leader="none"/>
                            <w:tab w:pos="5663" w:val="left" w:leader="none"/>
                            <w:tab w:pos="6359" w:val="left" w:leader="none"/>
                            <w:tab w:pos="7072" w:val="left" w:leader="none"/>
                          </w:tabs>
                          <w:spacing w:line="217" w:lineRule="exact" w:before="0"/>
                          <w:ind w:left="88" w:right="0" w:firstLine="0"/>
                          <w:jc w:val="left"/>
                          <w:rPr>
                            <w:sz w:val="19"/>
                          </w:rPr>
                        </w:pP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r>
                          <w:rPr>
                            <w:color w:val="3A4145"/>
                            <w:sz w:val="19"/>
                          </w:rPr>
                          <w:tab/>
                        </w:r>
                        <w:r>
                          <w:rPr>
                            <w:color w:val="3A4145"/>
                            <w:spacing w:val="-5"/>
                            <w:w w:val="105"/>
                            <w:sz w:val="19"/>
                          </w:rPr>
                          <w:t>ISC</w:t>
                        </w:r>
                      </w:p>
                      <w:p>
                        <w:pPr>
                          <w:tabs>
                            <w:tab w:pos="729" w:val="left" w:leader="none"/>
                            <w:tab w:pos="1406" w:val="left" w:leader="none"/>
                            <w:tab w:pos="2102" w:val="left" w:leader="none"/>
                            <w:tab w:pos="2795" w:val="left" w:leader="none"/>
                            <w:tab w:pos="3525" w:val="left" w:leader="none"/>
                            <w:tab w:pos="4221" w:val="left" w:leader="none"/>
                            <w:tab w:pos="4915" w:val="left" w:leader="none"/>
                            <w:tab w:pos="5594" w:val="left" w:leader="none"/>
                            <w:tab w:pos="6287" w:val="left" w:leader="none"/>
                            <w:tab w:pos="6413" w:val="left" w:leader="none"/>
                            <w:tab w:pos="7000" w:val="left" w:leader="none"/>
                          </w:tabs>
                          <w:spacing w:line="256" w:lineRule="auto" w:before="0"/>
                          <w:ind w:left="35" w:right="18" w:hanging="36"/>
                          <w:jc w:val="left"/>
                          <w:rPr>
                            <w:sz w:val="19"/>
                          </w:rPr>
                        </w:pPr>
                        <w:r>
                          <w:rPr>
                            <w:color w:val="3A4145"/>
                            <w:w w:val="105"/>
                            <w:sz w:val="19"/>
                          </w:rPr>
                          <w:t>Línea</w:t>
                        </w:r>
                        <w:r>
                          <w:rPr>
                            <w:color w:val="3A4145"/>
                            <w:spacing w:val="80"/>
                            <w:w w:val="105"/>
                            <w:sz w:val="19"/>
                          </w:rPr>
                          <w:t> </w:t>
                        </w:r>
                        <w:r>
                          <w:rPr>
                            <w:color w:val="3A4145"/>
                            <w:w w:val="105"/>
                            <w:sz w:val="19"/>
                          </w:rPr>
                          <w:t>Línea</w:t>
                        </w:r>
                        <w:r>
                          <w:rPr>
                            <w:color w:val="3A4145"/>
                            <w:sz w:val="19"/>
                          </w:rPr>
                          <w:tab/>
                        </w:r>
                        <w:r>
                          <w:rPr>
                            <w:color w:val="3A4145"/>
                            <w:spacing w:val="-4"/>
                            <w:w w:val="105"/>
                            <w:sz w:val="19"/>
                          </w:rPr>
                          <w:t>Línea</w:t>
                        </w:r>
                        <w:r>
                          <w:rPr>
                            <w:color w:val="3A4145"/>
                            <w:sz w:val="19"/>
                          </w:rPr>
                          <w:tab/>
                        </w:r>
                        <w:r>
                          <w:rPr>
                            <w:color w:val="3A4145"/>
                            <w:spacing w:val="-4"/>
                            <w:w w:val="105"/>
                            <w:sz w:val="19"/>
                          </w:rPr>
                          <w:t>Línea</w:t>
                        </w:r>
                        <w:r>
                          <w:rPr>
                            <w:color w:val="3A4145"/>
                            <w:sz w:val="19"/>
                          </w:rPr>
                          <w:tab/>
                        </w:r>
                        <w:r>
                          <w:rPr>
                            <w:color w:val="3A4145"/>
                            <w:w w:val="105"/>
                            <w:sz w:val="19"/>
                          </w:rPr>
                          <w:t>Línea</w:t>
                        </w:r>
                        <w:r>
                          <w:rPr>
                            <w:color w:val="3A4145"/>
                            <w:spacing w:val="80"/>
                            <w:w w:val="105"/>
                            <w:sz w:val="19"/>
                          </w:rPr>
                          <w:t> </w:t>
                        </w:r>
                        <w:r>
                          <w:rPr>
                            <w:color w:val="3A4145"/>
                            <w:w w:val="105"/>
                            <w:sz w:val="19"/>
                          </w:rPr>
                          <w:t>Línea</w:t>
                        </w:r>
                        <w:r>
                          <w:rPr>
                            <w:color w:val="3A4145"/>
                            <w:spacing w:val="80"/>
                            <w:w w:val="105"/>
                            <w:sz w:val="19"/>
                          </w:rPr>
                          <w:t> </w:t>
                        </w:r>
                        <w:r>
                          <w:rPr>
                            <w:color w:val="3A4145"/>
                            <w:w w:val="105"/>
                            <w:sz w:val="19"/>
                          </w:rPr>
                          <w:t>Línea</w:t>
                        </w:r>
                        <w:r>
                          <w:rPr>
                            <w:color w:val="3A4145"/>
                            <w:spacing w:val="80"/>
                            <w:w w:val="105"/>
                            <w:sz w:val="19"/>
                          </w:rPr>
                          <w:t> </w:t>
                        </w:r>
                        <w:r>
                          <w:rPr>
                            <w:color w:val="3A4145"/>
                            <w:w w:val="105"/>
                            <w:sz w:val="19"/>
                          </w:rPr>
                          <w:t>Línea</w:t>
                        </w:r>
                        <w:r>
                          <w:rPr>
                            <w:color w:val="3A4145"/>
                            <w:sz w:val="19"/>
                          </w:rPr>
                          <w:tab/>
                        </w:r>
                        <w:r>
                          <w:rPr>
                            <w:color w:val="3A4145"/>
                            <w:spacing w:val="-2"/>
                            <w:w w:val="105"/>
                            <w:sz w:val="19"/>
                          </w:rPr>
                          <w:t>Línea</w:t>
                        </w:r>
                        <w:r>
                          <w:rPr>
                            <w:color w:val="3A4145"/>
                            <w:sz w:val="19"/>
                          </w:rPr>
                          <w:tab/>
                        </w:r>
                        <w:r>
                          <w:rPr>
                            <w:color w:val="3A4145"/>
                            <w:w w:val="105"/>
                            <w:sz w:val="19"/>
                          </w:rPr>
                          <w:t>Línea</w:t>
                        </w:r>
                        <w:r>
                          <w:rPr>
                            <w:color w:val="3A4145"/>
                            <w:spacing w:val="80"/>
                            <w:w w:val="105"/>
                            <w:sz w:val="19"/>
                          </w:rPr>
                          <w:t> </w:t>
                        </w:r>
                        <w:r>
                          <w:rPr>
                            <w:color w:val="3A4145"/>
                            <w:w w:val="105"/>
                            <w:sz w:val="19"/>
                          </w:rPr>
                          <w:t>Línea </w:t>
                        </w:r>
                        <w:r>
                          <w:rPr>
                            <w:color w:val="3A4145"/>
                            <w:spacing w:val="-4"/>
                            <w:w w:val="105"/>
                            <w:sz w:val="19"/>
                          </w:rPr>
                          <w:t>2011</w:t>
                        </w:r>
                        <w:r>
                          <w:rPr>
                            <w:color w:val="3A4145"/>
                            <w:sz w:val="19"/>
                          </w:rPr>
                          <w:tab/>
                        </w:r>
                        <w:r>
                          <w:rPr>
                            <w:color w:val="3A4145"/>
                            <w:spacing w:val="-4"/>
                            <w:w w:val="105"/>
                            <w:sz w:val="19"/>
                          </w:rPr>
                          <w:t>2013</w:t>
                        </w:r>
                        <w:r>
                          <w:rPr>
                            <w:color w:val="3A4145"/>
                            <w:sz w:val="19"/>
                          </w:rPr>
                          <w:tab/>
                        </w:r>
                        <w:r>
                          <w:rPr>
                            <w:color w:val="3A4145"/>
                            <w:spacing w:val="-35"/>
                            <w:sz w:val="19"/>
                          </w:rPr>
                          <w:t> </w:t>
                        </w:r>
                        <w:r>
                          <w:rPr>
                            <w:color w:val="3A4145"/>
                            <w:w w:val="105"/>
                            <w:sz w:val="19"/>
                          </w:rPr>
                          <w:t>2015</w:t>
                        </w:r>
                        <w:r>
                          <w:rPr>
                            <w:color w:val="3A4145"/>
                            <w:sz w:val="19"/>
                          </w:rPr>
                          <w:tab/>
                        </w:r>
                        <w:r>
                          <w:rPr>
                            <w:color w:val="3A4145"/>
                            <w:spacing w:val="-36"/>
                            <w:sz w:val="19"/>
                          </w:rPr>
                          <w:t> </w:t>
                        </w:r>
                        <w:r>
                          <w:rPr>
                            <w:color w:val="3A4145"/>
                            <w:w w:val="105"/>
                            <w:sz w:val="19"/>
                          </w:rPr>
                          <w:t>2016</w:t>
                        </w:r>
                        <w:r>
                          <w:rPr>
                            <w:color w:val="3A4145"/>
                            <w:sz w:val="19"/>
                          </w:rPr>
                          <w:tab/>
                        </w:r>
                        <w:r>
                          <w:rPr>
                            <w:color w:val="3A4145"/>
                            <w:spacing w:val="-34"/>
                            <w:sz w:val="19"/>
                          </w:rPr>
                          <w:t> </w:t>
                        </w:r>
                        <w:r>
                          <w:rPr>
                            <w:color w:val="3A4145"/>
                            <w:w w:val="105"/>
                            <w:sz w:val="19"/>
                          </w:rPr>
                          <w:t>2017</w:t>
                        </w:r>
                        <w:r>
                          <w:rPr>
                            <w:color w:val="3A4145"/>
                            <w:sz w:val="19"/>
                          </w:rPr>
                          <w:tab/>
                        </w:r>
                        <w:r>
                          <w:rPr>
                            <w:color w:val="3A4145"/>
                            <w:spacing w:val="-4"/>
                            <w:w w:val="105"/>
                            <w:sz w:val="19"/>
                          </w:rPr>
                          <w:t>2018</w:t>
                        </w:r>
                        <w:r>
                          <w:rPr>
                            <w:color w:val="3A4145"/>
                            <w:sz w:val="19"/>
                          </w:rPr>
                          <w:tab/>
                        </w:r>
                        <w:r>
                          <w:rPr>
                            <w:color w:val="3A4145"/>
                            <w:spacing w:val="-4"/>
                            <w:w w:val="105"/>
                            <w:sz w:val="19"/>
                          </w:rPr>
                          <w:t>2019</w:t>
                        </w:r>
                        <w:r>
                          <w:rPr>
                            <w:color w:val="3A4145"/>
                            <w:sz w:val="19"/>
                          </w:rPr>
                          <w:tab/>
                        </w:r>
                        <w:r>
                          <w:rPr>
                            <w:color w:val="3A4145"/>
                            <w:spacing w:val="-4"/>
                            <w:w w:val="105"/>
                            <w:sz w:val="19"/>
                          </w:rPr>
                          <w:t>2021</w:t>
                        </w:r>
                        <w:r>
                          <w:rPr>
                            <w:color w:val="3A4145"/>
                            <w:sz w:val="19"/>
                          </w:rPr>
                          <w:tab/>
                        </w:r>
                        <w:r>
                          <w:rPr>
                            <w:color w:val="3A4145"/>
                            <w:spacing w:val="-36"/>
                            <w:sz w:val="19"/>
                          </w:rPr>
                          <w:t> </w:t>
                        </w:r>
                        <w:r>
                          <w:rPr>
                            <w:color w:val="3A4145"/>
                            <w:w w:val="105"/>
                            <w:sz w:val="19"/>
                          </w:rPr>
                          <w:t>2023</w:t>
                        </w:r>
                        <w:r>
                          <w:rPr>
                            <w:color w:val="3A4145"/>
                            <w:sz w:val="19"/>
                          </w:rPr>
                          <w:tab/>
                          <w:tab/>
                        </w:r>
                        <w:r>
                          <w:rPr>
                            <w:color w:val="3A4145"/>
                            <w:spacing w:val="-5"/>
                            <w:w w:val="105"/>
                            <w:sz w:val="19"/>
                          </w:rPr>
                          <w:t>024</w:t>
                        </w:r>
                        <w:r>
                          <w:rPr>
                            <w:color w:val="3A4145"/>
                            <w:sz w:val="19"/>
                          </w:rPr>
                          <w:tab/>
                        </w:r>
                        <w:r>
                          <w:rPr>
                            <w:color w:val="3A4145"/>
                            <w:spacing w:val="-4"/>
                            <w:w w:val="105"/>
                            <w:sz w:val="19"/>
                          </w:rPr>
                          <w:t>2025</w:t>
                        </w:r>
                      </w:p>
                    </w:txbxContent>
                  </v:textbox>
                  <w10:wrap type="none"/>
                </v:shape>
                <w10:wrap type="topAndBottom"/>
              </v:group>
            </w:pict>
          </mc:Fallback>
        </mc:AlternateContent>
      </w:r>
    </w:p>
    <w:p>
      <w:pPr>
        <w:pStyle w:val="BodyText"/>
        <w:spacing w:before="129"/>
      </w:pPr>
    </w:p>
    <w:p>
      <w:pPr>
        <w:pStyle w:val="BodyText"/>
        <w:spacing w:line="360" w:lineRule="auto"/>
        <w:ind w:left="1341" w:right="1337"/>
        <w:jc w:val="both"/>
      </w:pPr>
      <w:r>
        <w:rPr/>
        <mc:AlternateContent>
          <mc:Choice Requires="wps">
            <w:drawing>
              <wp:anchor distT="0" distB="0" distL="0" distR="0" allowOverlap="1" layoutInCell="1" locked="0" behindDoc="1" simplePos="0" relativeHeight="476800512">
                <wp:simplePos x="0" y="0"/>
                <wp:positionH relativeFrom="page">
                  <wp:posOffset>5413247</wp:posOffset>
                </wp:positionH>
                <wp:positionV relativeFrom="paragraph">
                  <wp:posOffset>-457398</wp:posOffset>
                </wp:positionV>
                <wp:extent cx="69850" cy="14033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69850" cy="140335"/>
                        </a:xfrm>
                        <a:prstGeom prst="rect">
                          <a:avLst/>
                        </a:prstGeom>
                      </wps:spPr>
                      <wps:txbx>
                        <w:txbxContent>
                          <w:p>
                            <w:pPr>
                              <w:spacing w:before="0"/>
                              <w:ind w:left="0" w:right="0" w:firstLine="0"/>
                              <w:jc w:val="left"/>
                              <w:rPr>
                                <w:sz w:val="19"/>
                              </w:rPr>
                            </w:pPr>
                            <w:r>
                              <w:rPr>
                                <w:color w:val="3A4145"/>
                                <w:spacing w:val="-10"/>
                                <w:sz w:val="19"/>
                              </w:rPr>
                              <w:t>2</w:t>
                            </w:r>
                          </w:p>
                        </w:txbxContent>
                      </wps:txbx>
                      <wps:bodyPr wrap="square" lIns="0" tIns="0" rIns="0" bIns="0" rtlCol="0">
                        <a:noAutofit/>
                      </wps:bodyPr>
                    </wps:wsp>
                  </a:graphicData>
                </a:graphic>
              </wp:anchor>
            </w:drawing>
          </mc:Choice>
          <mc:Fallback>
            <w:pict>
              <v:shape style="position:absolute;margin-left:426.23999pt;margin-top:-36.015625pt;width:5.5pt;height:11.05pt;mso-position-horizontal-relative:page;mso-position-vertical-relative:paragraph;z-index:-26515968" type="#_x0000_t202" id="docshape298" filled="false" stroked="false">
                <v:textbox inset="0,0,0,0">
                  <w:txbxContent>
                    <w:p>
                      <w:pPr>
                        <w:spacing w:before="0"/>
                        <w:ind w:left="0" w:right="0" w:firstLine="0"/>
                        <w:jc w:val="left"/>
                        <w:rPr>
                          <w:sz w:val="19"/>
                        </w:rPr>
                      </w:pPr>
                      <w:r>
                        <w:rPr>
                          <w:color w:val="3A4145"/>
                          <w:spacing w:val="-10"/>
                          <w:sz w:val="19"/>
                        </w:rPr>
                        <w:t>2</w:t>
                      </w:r>
                    </w:p>
                  </w:txbxContent>
                </v:textbox>
                <w10:wrap type="none"/>
              </v:shape>
            </w:pict>
          </mc:Fallback>
        </mc:AlternateContent>
      </w:r>
      <w:r>
        <w:rPr/>
        <mc:AlternateContent>
          <mc:Choice Requires="wps">
            <w:drawing>
              <wp:anchor distT="0" distB="0" distL="0" distR="0" allowOverlap="1" layoutInCell="1" locked="0" behindDoc="0" simplePos="0" relativeHeight="15832576">
                <wp:simplePos x="0" y="0"/>
                <wp:positionH relativeFrom="page">
                  <wp:posOffset>6966436</wp:posOffset>
                </wp:positionH>
                <wp:positionV relativeFrom="paragraph">
                  <wp:posOffset>953025</wp:posOffset>
                </wp:positionV>
                <wp:extent cx="263525" cy="327596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65</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75.041367pt;width:20.75pt;height:257.95pt;mso-position-horizontal-relative:page;mso-position-vertical-relative:paragraph;z-index:15832576" type="#_x0000_t202" id="docshape29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65</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La mejora continuada de la valoración general se traduce en una mejora significativa de la valoración</w:t>
      </w:r>
      <w:r>
        <w:rPr>
          <w:spacing w:val="-2"/>
        </w:rPr>
        <w:t> </w:t>
      </w:r>
      <w:r>
        <w:rPr/>
        <w:t>de</w:t>
      </w:r>
      <w:r>
        <w:rPr>
          <w:spacing w:val="-2"/>
        </w:rPr>
        <w:t> </w:t>
      </w:r>
      <w:r>
        <w:rPr/>
        <w:t>Guaguas desde</w:t>
      </w:r>
      <w:r>
        <w:rPr>
          <w:spacing w:val="-2"/>
        </w:rPr>
        <w:t> </w:t>
      </w:r>
      <w:r>
        <w:rPr/>
        <w:t>una</w:t>
      </w:r>
      <w:r>
        <w:rPr>
          <w:spacing w:val="-2"/>
        </w:rPr>
        <w:t> </w:t>
      </w:r>
      <w:r>
        <w:rPr/>
        <w:t>perspectiva global, en</w:t>
      </w:r>
      <w:r>
        <w:rPr>
          <w:spacing w:val="-2"/>
        </w:rPr>
        <w:t> </w:t>
      </w:r>
      <w:r>
        <w:rPr/>
        <w:t>el</w:t>
      </w:r>
      <w:r>
        <w:rPr>
          <w:spacing w:val="-3"/>
        </w:rPr>
        <w:t> </w:t>
      </w:r>
      <w:r>
        <w:rPr/>
        <w:t>año</w:t>
      </w:r>
      <w:r>
        <w:rPr>
          <w:spacing w:val="-2"/>
        </w:rPr>
        <w:t> </w:t>
      </w:r>
      <w:r>
        <w:rPr/>
        <w:t>2025 continua con la tendencia de crecimiento moderado pero constante que se viene experimentando desde el año 2013, en comparación con el año 2024, la valoración del servicio es significativamente superior, y se sitúa en el valor máximo de la serie histórica.</w:t>
      </w:r>
    </w:p>
    <w:p>
      <w:pPr>
        <w:pStyle w:val="BodyText"/>
        <w:rPr>
          <w:sz w:val="17"/>
        </w:rPr>
      </w:pPr>
      <w:r>
        <w:rPr>
          <w:sz w:val="17"/>
        </w:rPr>
        <mc:AlternateContent>
          <mc:Choice Requires="wps">
            <w:drawing>
              <wp:anchor distT="0" distB="0" distL="0" distR="0" allowOverlap="1" layoutInCell="1" locked="0" behindDoc="1" simplePos="0" relativeHeight="487690752">
                <wp:simplePos x="0" y="0"/>
                <wp:positionH relativeFrom="page">
                  <wp:posOffset>1089659</wp:posOffset>
                </wp:positionH>
                <wp:positionV relativeFrom="paragraph">
                  <wp:posOffset>139371</wp:posOffset>
                </wp:positionV>
                <wp:extent cx="5419725" cy="201168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5419725" cy="2011680"/>
                          <a:chExt cx="5419725" cy="2011680"/>
                        </a:xfrm>
                      </wpg:grpSpPr>
                      <pic:pic>
                        <pic:nvPicPr>
                          <pic:cNvPr id="363" name="Image 363"/>
                          <pic:cNvPicPr/>
                        </pic:nvPicPr>
                        <pic:blipFill>
                          <a:blip r:embed="rId35" cstate="print"/>
                          <a:stretch>
                            <a:fillRect/>
                          </a:stretch>
                        </pic:blipFill>
                        <pic:spPr>
                          <a:xfrm>
                            <a:off x="10668" y="9144"/>
                            <a:ext cx="1632203" cy="1991867"/>
                          </a:xfrm>
                          <a:prstGeom prst="rect">
                            <a:avLst/>
                          </a:prstGeom>
                        </pic:spPr>
                      </pic:pic>
                      <wps:wsp>
                        <wps:cNvPr id="364" name="Graphic 364"/>
                        <wps:cNvSpPr/>
                        <wps:spPr>
                          <a:xfrm>
                            <a:off x="0" y="0"/>
                            <a:ext cx="1643380" cy="2011680"/>
                          </a:xfrm>
                          <a:custGeom>
                            <a:avLst/>
                            <a:gdLst/>
                            <a:ahLst/>
                            <a:cxnLst/>
                            <a:rect l="l" t="t" r="r" b="b"/>
                            <a:pathLst>
                              <a:path w="1643380" h="2011680">
                                <a:moveTo>
                                  <a:pt x="1642872" y="2011680"/>
                                </a:moveTo>
                                <a:lnTo>
                                  <a:pt x="0" y="2011680"/>
                                </a:lnTo>
                                <a:lnTo>
                                  <a:pt x="0" y="0"/>
                                </a:lnTo>
                                <a:lnTo>
                                  <a:pt x="1642872" y="0"/>
                                </a:lnTo>
                                <a:lnTo>
                                  <a:pt x="1642872" y="4572"/>
                                </a:lnTo>
                                <a:lnTo>
                                  <a:pt x="10668" y="4572"/>
                                </a:lnTo>
                                <a:lnTo>
                                  <a:pt x="6096" y="9144"/>
                                </a:lnTo>
                                <a:lnTo>
                                  <a:pt x="10668" y="9144"/>
                                </a:lnTo>
                                <a:lnTo>
                                  <a:pt x="10668" y="2001012"/>
                                </a:lnTo>
                                <a:lnTo>
                                  <a:pt x="6096" y="2001012"/>
                                </a:lnTo>
                                <a:lnTo>
                                  <a:pt x="10668" y="2005584"/>
                                </a:lnTo>
                                <a:lnTo>
                                  <a:pt x="1642872" y="2005584"/>
                                </a:lnTo>
                                <a:lnTo>
                                  <a:pt x="1642872" y="2011680"/>
                                </a:lnTo>
                                <a:close/>
                              </a:path>
                              <a:path w="1643380" h="2011680">
                                <a:moveTo>
                                  <a:pt x="10668" y="9144"/>
                                </a:moveTo>
                                <a:lnTo>
                                  <a:pt x="6096" y="9144"/>
                                </a:lnTo>
                                <a:lnTo>
                                  <a:pt x="10668" y="4572"/>
                                </a:lnTo>
                                <a:lnTo>
                                  <a:pt x="10668" y="9144"/>
                                </a:lnTo>
                                <a:close/>
                              </a:path>
                              <a:path w="1643380" h="2011680">
                                <a:moveTo>
                                  <a:pt x="1642872" y="9144"/>
                                </a:moveTo>
                                <a:lnTo>
                                  <a:pt x="10668" y="9144"/>
                                </a:lnTo>
                                <a:lnTo>
                                  <a:pt x="10668" y="4572"/>
                                </a:lnTo>
                                <a:lnTo>
                                  <a:pt x="1642872" y="4572"/>
                                </a:lnTo>
                                <a:lnTo>
                                  <a:pt x="1642872" y="9144"/>
                                </a:lnTo>
                                <a:close/>
                              </a:path>
                              <a:path w="1643380" h="2011680">
                                <a:moveTo>
                                  <a:pt x="10668" y="2005584"/>
                                </a:moveTo>
                                <a:lnTo>
                                  <a:pt x="6096" y="2001012"/>
                                </a:lnTo>
                                <a:lnTo>
                                  <a:pt x="10668" y="2001012"/>
                                </a:lnTo>
                                <a:lnTo>
                                  <a:pt x="10668" y="2005584"/>
                                </a:lnTo>
                                <a:close/>
                              </a:path>
                              <a:path w="1643380" h="2011680">
                                <a:moveTo>
                                  <a:pt x="1642872" y="2005584"/>
                                </a:moveTo>
                                <a:lnTo>
                                  <a:pt x="10668" y="2005584"/>
                                </a:lnTo>
                                <a:lnTo>
                                  <a:pt x="10668" y="2001012"/>
                                </a:lnTo>
                                <a:lnTo>
                                  <a:pt x="1642872" y="2001012"/>
                                </a:lnTo>
                                <a:lnTo>
                                  <a:pt x="1642872" y="2005584"/>
                                </a:lnTo>
                                <a:close/>
                              </a:path>
                            </a:pathLst>
                          </a:custGeom>
                          <a:solidFill>
                            <a:srgbClr val="7E7E7E"/>
                          </a:solidFill>
                        </wps:spPr>
                        <wps:bodyPr wrap="square" lIns="0" tIns="0" rIns="0" bIns="0" rtlCol="0">
                          <a:prstTxWarp prst="textNoShape">
                            <a:avLst/>
                          </a:prstTxWarp>
                          <a:noAutofit/>
                        </wps:bodyPr>
                      </wps:wsp>
                      <pic:pic>
                        <pic:nvPicPr>
                          <pic:cNvPr id="365" name="Image 365"/>
                          <pic:cNvPicPr/>
                        </pic:nvPicPr>
                        <pic:blipFill>
                          <a:blip r:embed="rId36" cstate="print"/>
                          <a:stretch>
                            <a:fillRect/>
                          </a:stretch>
                        </pic:blipFill>
                        <pic:spPr>
                          <a:xfrm>
                            <a:off x="1642872" y="9144"/>
                            <a:ext cx="2732532" cy="1961223"/>
                          </a:xfrm>
                          <a:prstGeom prst="rect">
                            <a:avLst/>
                          </a:prstGeom>
                        </pic:spPr>
                      </pic:pic>
                      <wps:wsp>
                        <wps:cNvPr id="366" name="Graphic 366"/>
                        <wps:cNvSpPr/>
                        <wps:spPr>
                          <a:xfrm>
                            <a:off x="1642872" y="0"/>
                            <a:ext cx="2733040" cy="2011680"/>
                          </a:xfrm>
                          <a:custGeom>
                            <a:avLst/>
                            <a:gdLst/>
                            <a:ahLst/>
                            <a:cxnLst/>
                            <a:rect l="l" t="t" r="r" b="b"/>
                            <a:pathLst>
                              <a:path w="2733040" h="2011680">
                                <a:moveTo>
                                  <a:pt x="2732532" y="2001012"/>
                                </a:moveTo>
                                <a:lnTo>
                                  <a:pt x="0" y="2001012"/>
                                </a:lnTo>
                                <a:lnTo>
                                  <a:pt x="0" y="2011680"/>
                                </a:lnTo>
                                <a:lnTo>
                                  <a:pt x="2732532" y="2011680"/>
                                </a:lnTo>
                                <a:lnTo>
                                  <a:pt x="2732532" y="2001012"/>
                                </a:lnTo>
                                <a:close/>
                              </a:path>
                              <a:path w="2733040" h="2011680">
                                <a:moveTo>
                                  <a:pt x="2732532" y="0"/>
                                </a:moveTo>
                                <a:lnTo>
                                  <a:pt x="0" y="0"/>
                                </a:lnTo>
                                <a:lnTo>
                                  <a:pt x="0" y="9144"/>
                                </a:lnTo>
                                <a:lnTo>
                                  <a:pt x="2732532" y="9144"/>
                                </a:lnTo>
                                <a:lnTo>
                                  <a:pt x="2732532" y="0"/>
                                </a:lnTo>
                                <a:close/>
                              </a:path>
                            </a:pathLst>
                          </a:custGeom>
                          <a:solidFill>
                            <a:srgbClr val="7E7E7E"/>
                          </a:solidFill>
                        </wps:spPr>
                        <wps:bodyPr wrap="square" lIns="0" tIns="0" rIns="0" bIns="0" rtlCol="0">
                          <a:prstTxWarp prst="textNoShape">
                            <a:avLst/>
                          </a:prstTxWarp>
                          <a:noAutofit/>
                        </wps:bodyPr>
                      </wps:wsp>
                      <pic:pic>
                        <pic:nvPicPr>
                          <pic:cNvPr id="367" name="Image 367"/>
                          <pic:cNvPicPr/>
                        </pic:nvPicPr>
                        <pic:blipFill>
                          <a:blip r:embed="rId37" cstate="print"/>
                          <a:stretch>
                            <a:fillRect/>
                          </a:stretch>
                        </pic:blipFill>
                        <pic:spPr>
                          <a:xfrm>
                            <a:off x="4375403" y="9144"/>
                            <a:ext cx="1034795" cy="1991867"/>
                          </a:xfrm>
                          <a:prstGeom prst="rect">
                            <a:avLst/>
                          </a:prstGeom>
                        </pic:spPr>
                      </pic:pic>
                      <wps:wsp>
                        <wps:cNvPr id="368" name="Graphic 368"/>
                        <wps:cNvSpPr/>
                        <wps:spPr>
                          <a:xfrm>
                            <a:off x="4375404" y="0"/>
                            <a:ext cx="1043940" cy="2011680"/>
                          </a:xfrm>
                          <a:custGeom>
                            <a:avLst/>
                            <a:gdLst/>
                            <a:ahLst/>
                            <a:cxnLst/>
                            <a:rect l="l" t="t" r="r" b="b"/>
                            <a:pathLst>
                              <a:path w="1043940" h="2011680">
                                <a:moveTo>
                                  <a:pt x="1034796" y="9144"/>
                                </a:moveTo>
                                <a:lnTo>
                                  <a:pt x="0" y="9144"/>
                                </a:lnTo>
                                <a:lnTo>
                                  <a:pt x="0" y="0"/>
                                </a:lnTo>
                                <a:lnTo>
                                  <a:pt x="1043940" y="0"/>
                                </a:lnTo>
                                <a:lnTo>
                                  <a:pt x="1043940" y="4572"/>
                                </a:lnTo>
                                <a:lnTo>
                                  <a:pt x="1034796" y="4572"/>
                                </a:lnTo>
                                <a:lnTo>
                                  <a:pt x="1034796" y="9144"/>
                                </a:lnTo>
                                <a:close/>
                              </a:path>
                              <a:path w="1043940" h="2011680">
                                <a:moveTo>
                                  <a:pt x="1034796" y="2005584"/>
                                </a:moveTo>
                                <a:lnTo>
                                  <a:pt x="1034796" y="4572"/>
                                </a:lnTo>
                                <a:lnTo>
                                  <a:pt x="1039368" y="9144"/>
                                </a:lnTo>
                                <a:lnTo>
                                  <a:pt x="1043940" y="9144"/>
                                </a:lnTo>
                                <a:lnTo>
                                  <a:pt x="1043940" y="2001012"/>
                                </a:lnTo>
                                <a:lnTo>
                                  <a:pt x="1039368" y="2001012"/>
                                </a:lnTo>
                                <a:lnTo>
                                  <a:pt x="1034796" y="2005584"/>
                                </a:lnTo>
                                <a:close/>
                              </a:path>
                              <a:path w="1043940" h="2011680">
                                <a:moveTo>
                                  <a:pt x="1043940" y="9144"/>
                                </a:moveTo>
                                <a:lnTo>
                                  <a:pt x="1039368" y="9144"/>
                                </a:lnTo>
                                <a:lnTo>
                                  <a:pt x="1034796" y="4572"/>
                                </a:lnTo>
                                <a:lnTo>
                                  <a:pt x="1043940" y="4572"/>
                                </a:lnTo>
                                <a:lnTo>
                                  <a:pt x="1043940" y="9144"/>
                                </a:lnTo>
                                <a:close/>
                              </a:path>
                              <a:path w="1043940" h="2011680">
                                <a:moveTo>
                                  <a:pt x="1043940" y="2011680"/>
                                </a:moveTo>
                                <a:lnTo>
                                  <a:pt x="0" y="2011680"/>
                                </a:lnTo>
                                <a:lnTo>
                                  <a:pt x="0" y="2001012"/>
                                </a:lnTo>
                                <a:lnTo>
                                  <a:pt x="1034796" y="2001012"/>
                                </a:lnTo>
                                <a:lnTo>
                                  <a:pt x="1034796" y="2005584"/>
                                </a:lnTo>
                                <a:lnTo>
                                  <a:pt x="1043940" y="2005584"/>
                                </a:lnTo>
                                <a:lnTo>
                                  <a:pt x="1043940" y="2011680"/>
                                </a:lnTo>
                                <a:close/>
                              </a:path>
                              <a:path w="1043940" h="2011680">
                                <a:moveTo>
                                  <a:pt x="1043940" y="2005584"/>
                                </a:moveTo>
                                <a:lnTo>
                                  <a:pt x="1034796" y="2005584"/>
                                </a:lnTo>
                                <a:lnTo>
                                  <a:pt x="1039368" y="2001012"/>
                                </a:lnTo>
                                <a:lnTo>
                                  <a:pt x="1043940" y="2001012"/>
                                </a:lnTo>
                                <a:lnTo>
                                  <a:pt x="1043940" y="2005584"/>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style="position:absolute;margin-left:85.799995pt;margin-top:10.97417pt;width:426.75pt;height:158.4pt;mso-position-horizontal-relative:page;mso-position-vertical-relative:paragraph;z-index:-15625728;mso-wrap-distance-left:0;mso-wrap-distance-right:0" id="docshapegroup300" coordorigin="1716,219" coordsize="8535,3168">
                <v:shape style="position:absolute;left:1732;top:233;width:2571;height:3137" type="#_x0000_t75" id="docshape301" stroked="false">
                  <v:imagedata r:id="rId35" o:title=""/>
                </v:shape>
                <v:shape style="position:absolute;left:1716;top:219;width:2588;height:3168" id="docshape302" coordorigin="1716,219" coordsize="2588,3168" path="m4303,3387l1716,3387,1716,219,4303,219,4303,227,1733,227,1726,234,1733,234,1733,3371,1726,3371,1733,3378,4303,3378,4303,3387xm1733,234l1726,234,1733,227,1733,234xm4303,234l1733,234,1733,227,4303,227,4303,234xm1733,3378l1726,3371,1733,3371,1733,3378xm4303,3378l1733,3378,1733,3371,4303,3371,4303,3378xe" filled="true" fillcolor="#7e7e7e" stroked="false">
                  <v:path arrowok="t"/>
                  <v:fill type="solid"/>
                </v:shape>
                <v:shape style="position:absolute;left:4303;top:233;width:4304;height:3089" type="#_x0000_t75" id="docshape303" stroked="false">
                  <v:imagedata r:id="rId36" o:title=""/>
                </v:shape>
                <v:shape style="position:absolute;left:4303;top:219;width:4304;height:3168" id="docshape304" coordorigin="4303,219" coordsize="4304,3168" path="m8606,3371l4303,3371,4303,3387,8606,3387,8606,3371xm8606,219l4303,219,4303,234,8606,234,8606,219xe" filled="true" fillcolor="#7e7e7e" stroked="false">
                  <v:path arrowok="t"/>
                  <v:fill type="solid"/>
                </v:shape>
                <v:shape style="position:absolute;left:8606;top:233;width:1630;height:3137" type="#_x0000_t75" id="docshape305" stroked="false">
                  <v:imagedata r:id="rId37" o:title=""/>
                </v:shape>
                <v:shape style="position:absolute;left:8606;top:219;width:1644;height:3168" id="docshape306" coordorigin="8606,219" coordsize="1644,3168" path="m10236,234l8606,234,8606,219,10250,219,10250,227,10236,227,10236,234xm10236,3378l10236,227,10243,234,10250,234,10250,3371,10243,3371,10236,3378xm10250,234l10243,234,10236,227,10250,227,10250,234xm10250,3387l8606,3387,8606,3371,10236,3371,10236,3378,10250,3378,10250,3387xm10250,3378l10236,3378,10243,3371,10250,3371,10250,3378xe" filled="true" fillcolor="#7e7e7e" stroked="false">
                  <v:path arrowok="t"/>
                  <v:fill type="solid"/>
                </v:shape>
                <w10:wrap type="topAndBottom"/>
              </v:group>
            </w:pict>
          </mc:Fallback>
        </mc:AlternateContent>
      </w:r>
    </w:p>
    <w:p>
      <w:pPr>
        <w:pStyle w:val="BodyText"/>
        <w:spacing w:after="0"/>
        <w:rPr>
          <w:sz w:val="17"/>
        </w:rPr>
        <w:sectPr>
          <w:pgSz w:w="11910" w:h="16840"/>
          <w:pgMar w:header="384" w:footer="1060" w:top="1200" w:bottom="1260" w:left="360" w:right="360"/>
        </w:sectPr>
      </w:pPr>
    </w:p>
    <w:p>
      <w:pPr>
        <w:pStyle w:val="BodyText"/>
        <w:spacing w:before="218"/>
        <w:ind w:left="1341"/>
      </w:pPr>
      <w:r>
        <w:rPr/>
        <w:t>-Valoración</w:t>
      </w:r>
      <w:r>
        <w:rPr>
          <w:spacing w:val="-13"/>
        </w:rPr>
        <w:t> </w:t>
      </w:r>
      <w:r>
        <w:rPr/>
        <w:t>por</w:t>
      </w:r>
      <w:r>
        <w:rPr>
          <w:spacing w:val="-6"/>
        </w:rPr>
        <w:t> </w:t>
      </w:r>
      <w:r>
        <w:rPr>
          <w:spacing w:val="-2"/>
        </w:rPr>
        <w:t>atributos</w:t>
      </w:r>
    </w:p>
    <w:p>
      <w:pPr>
        <w:pStyle w:val="BodyText"/>
        <w:spacing w:before="96"/>
      </w:pPr>
    </w:p>
    <w:p>
      <w:pPr>
        <w:pStyle w:val="BodyText"/>
        <w:tabs>
          <w:tab w:pos="2060" w:val="left" w:leader="none"/>
        </w:tabs>
        <w:spacing w:before="1"/>
        <w:ind w:left="1701"/>
      </w:pPr>
      <w:r>
        <w:rPr>
          <w:rFonts w:ascii="Z@RA9CD.tmp" w:hAnsi="Z@RA9CD.tmp"/>
          <w:b w:val="0"/>
          <w:spacing w:val="-10"/>
        </w:rPr>
        <w:t></w:t>
      </w:r>
      <w:r>
        <w:rPr>
          <w:rFonts w:ascii="Times New Roman" w:hAnsi="Times New Roman"/>
        </w:rPr>
        <w:tab/>
      </w:r>
      <w:r>
        <w:rPr/>
        <w:t>Se</w:t>
      </w:r>
      <w:r>
        <w:rPr>
          <w:spacing w:val="-7"/>
        </w:rPr>
        <w:t> </w:t>
      </w:r>
      <w:r>
        <w:rPr/>
        <w:t>han</w:t>
      </w:r>
      <w:r>
        <w:rPr>
          <w:spacing w:val="-3"/>
        </w:rPr>
        <w:t> </w:t>
      </w:r>
      <w:r>
        <w:rPr/>
        <w:t>valorado</w:t>
      </w:r>
      <w:r>
        <w:rPr>
          <w:spacing w:val="-5"/>
        </w:rPr>
        <w:t> </w:t>
      </w:r>
      <w:r>
        <w:rPr/>
        <w:t>19</w:t>
      </w:r>
      <w:r>
        <w:rPr>
          <w:spacing w:val="-7"/>
        </w:rPr>
        <w:t> </w:t>
      </w:r>
      <w:r>
        <w:rPr/>
        <w:t>atributos,</w:t>
      </w:r>
      <w:r>
        <w:rPr>
          <w:spacing w:val="-5"/>
        </w:rPr>
        <w:t> </w:t>
      </w:r>
      <w:r>
        <w:rPr/>
        <w:t>atributos</w:t>
      </w:r>
      <w:r>
        <w:rPr>
          <w:spacing w:val="-5"/>
        </w:rPr>
        <w:t> </w:t>
      </w:r>
      <w:r>
        <w:rPr/>
        <w:t>de</w:t>
      </w:r>
      <w:r>
        <w:rPr>
          <w:spacing w:val="-6"/>
        </w:rPr>
        <w:t> </w:t>
      </w:r>
      <w:r>
        <w:rPr/>
        <w:t>Línea</w:t>
      </w:r>
      <w:r>
        <w:rPr>
          <w:spacing w:val="-7"/>
        </w:rPr>
        <w:t> </w:t>
      </w:r>
      <w:r>
        <w:rPr/>
        <w:t>(13)</w:t>
      </w:r>
      <w:r>
        <w:rPr>
          <w:spacing w:val="-2"/>
        </w:rPr>
        <w:t> </w:t>
      </w:r>
      <w:r>
        <w:rPr/>
        <w:t>y</w:t>
      </w:r>
      <w:r>
        <w:rPr>
          <w:spacing w:val="-6"/>
        </w:rPr>
        <w:t> </w:t>
      </w:r>
      <w:r>
        <w:rPr/>
        <w:t>de</w:t>
      </w:r>
      <w:r>
        <w:rPr>
          <w:spacing w:val="-7"/>
        </w:rPr>
        <w:t> </w:t>
      </w:r>
      <w:r>
        <w:rPr/>
        <w:t>Servicio</w:t>
      </w:r>
      <w:r>
        <w:rPr>
          <w:spacing w:val="-6"/>
        </w:rPr>
        <w:t> </w:t>
      </w:r>
      <w:r>
        <w:rPr>
          <w:spacing w:val="-4"/>
        </w:rPr>
        <w:t>(6).</w:t>
      </w:r>
    </w:p>
    <w:p>
      <w:pPr>
        <w:pStyle w:val="BodyText"/>
        <w:tabs>
          <w:tab w:pos="2060" w:val="left" w:leader="none"/>
        </w:tabs>
        <w:spacing w:line="360" w:lineRule="auto" w:before="126"/>
        <w:ind w:left="2061" w:right="1339" w:hanging="360"/>
      </w:pPr>
      <w:r>
        <w:rPr>
          <w:rFonts w:ascii="Z@RA9CD.tmp" w:hAnsi="Z@RA9CD.tmp"/>
          <w:b w:val="0"/>
          <w:spacing w:val="-10"/>
        </w:rPr>
        <w:t></w:t>
      </w:r>
      <w:r>
        <w:rPr>
          <w:rFonts w:ascii="Times New Roman" w:hAnsi="Times New Roman"/>
        </w:rPr>
        <w:tab/>
      </w:r>
      <w:r>
        <w:rPr/>
        <w:t>Ha</w:t>
      </w:r>
      <w:r>
        <w:rPr>
          <w:spacing w:val="-3"/>
        </w:rPr>
        <w:t> </w:t>
      </w:r>
      <w:r>
        <w:rPr/>
        <w:t>habido un incremento</w:t>
      </w:r>
      <w:r>
        <w:rPr>
          <w:spacing w:val="-1"/>
        </w:rPr>
        <w:t> </w:t>
      </w:r>
      <w:r>
        <w:rPr/>
        <w:t>significativo</w:t>
      </w:r>
      <w:r>
        <w:rPr>
          <w:spacing w:val="-1"/>
        </w:rPr>
        <w:t> </w:t>
      </w:r>
      <w:r>
        <w:rPr/>
        <w:t>en 7</w:t>
      </w:r>
      <w:r>
        <w:rPr>
          <w:spacing w:val="-1"/>
        </w:rPr>
        <w:t> </w:t>
      </w:r>
      <w:r>
        <w:rPr/>
        <w:t>de los atributos de línea analizados. El resto de atributos mantienen el nivel de satisfacción estable.</w:t>
      </w:r>
    </w:p>
    <w:p>
      <w:pPr>
        <w:pStyle w:val="BodyText"/>
        <w:tabs>
          <w:tab w:pos="2061" w:val="left" w:leader="none"/>
        </w:tabs>
        <w:spacing w:line="360" w:lineRule="auto" w:before="13"/>
        <w:ind w:left="2061" w:right="1339" w:hanging="360"/>
      </w:pPr>
      <w:r>
        <w:rPr>
          <w:rFonts w:ascii="Z@RA9CD.tmp" w:hAnsi="Z@RA9CD.tmp"/>
          <w:b w:val="0"/>
          <w:spacing w:val="-10"/>
        </w:rPr>
        <w:t></w:t>
      </w:r>
      <w:r>
        <w:rPr>
          <w:rFonts w:ascii="Times New Roman" w:hAnsi="Times New Roman"/>
        </w:rPr>
        <w:tab/>
      </w:r>
      <w:r>
        <w:rPr/>
        <w:t>El atributo de línea mejor valorado continua siendo el de “Amabilidad del conductor”,</w:t>
      </w:r>
      <w:r>
        <w:rPr>
          <w:spacing w:val="80"/>
        </w:rPr>
        <w:t> </w:t>
      </w:r>
      <w:r>
        <w:rPr/>
        <w:t>seguido de la “proximidad y accesibilidad de las paradas”.</w:t>
      </w:r>
    </w:p>
    <w:p>
      <w:pPr>
        <w:pStyle w:val="BodyText"/>
        <w:tabs>
          <w:tab w:pos="2116" w:val="left" w:leader="none"/>
        </w:tabs>
        <w:spacing w:line="360" w:lineRule="auto" w:before="12"/>
        <w:ind w:left="2061" w:right="1339" w:hanging="360"/>
      </w:pPr>
      <w:r>
        <w:rPr>
          <w:rFonts w:ascii="Z@RA9CD.tmp" w:hAnsi="Z@RA9CD.tmp"/>
          <w:b w:val="0"/>
          <w:spacing w:val="-10"/>
        </w:rPr>
        <w:t></w:t>
      </w:r>
      <w:r>
        <w:rPr>
          <w:rFonts w:ascii="Times New Roman" w:hAnsi="Times New Roman"/>
        </w:rPr>
        <w:tab/>
        <w:tab/>
      </w:r>
      <w:r>
        <w:rPr/>
        <w:t>Los atributos peor valorados son los siguientes “capacidad de las guaguas”, “confort</w:t>
      </w:r>
      <w:r>
        <w:rPr>
          <w:spacing w:val="40"/>
        </w:rPr>
        <w:t> </w:t>
      </w:r>
      <w:r>
        <w:rPr/>
        <w:t>de las paradas” y “temperatura en el interior de la guagua”.</w:t>
      </w:r>
    </w:p>
    <w:p>
      <w:pPr>
        <w:pStyle w:val="BodyText"/>
        <w:tabs>
          <w:tab w:pos="2061" w:val="left" w:leader="none"/>
        </w:tabs>
        <w:spacing w:line="357" w:lineRule="auto" w:before="15"/>
        <w:ind w:left="2061" w:right="1339" w:hanging="360"/>
      </w:pPr>
      <w:r>
        <w:rPr>
          <w:rFonts w:ascii="Z@RA9CD.tmp" w:hAnsi="Z@RA9CD.tmp"/>
          <w:b w:val="0"/>
          <w:spacing w:val="-10"/>
        </w:rPr>
        <w:t></w:t>
      </w:r>
      <w:r>
        <w:rPr>
          <w:rFonts w:ascii="Times New Roman" w:hAnsi="Times New Roman"/>
        </w:rPr>
        <w:tab/>
      </w:r>
      <w:r>
        <w:rPr/>
        <w:t>El</w:t>
      </w:r>
      <w:r>
        <w:rPr>
          <w:spacing w:val="25"/>
        </w:rPr>
        <w:t> </w:t>
      </w:r>
      <w:r>
        <w:rPr/>
        <w:t>atributo</w:t>
      </w:r>
      <w:r>
        <w:rPr>
          <w:spacing w:val="27"/>
        </w:rPr>
        <w:t> </w:t>
      </w:r>
      <w:r>
        <w:rPr/>
        <w:t>de</w:t>
      </w:r>
      <w:r>
        <w:rPr>
          <w:spacing w:val="26"/>
        </w:rPr>
        <w:t> </w:t>
      </w:r>
      <w:r>
        <w:rPr/>
        <w:t>servicio</w:t>
      </w:r>
      <w:r>
        <w:rPr>
          <w:spacing w:val="25"/>
        </w:rPr>
        <w:t> </w:t>
      </w:r>
      <w:r>
        <w:rPr/>
        <w:t>mejor</w:t>
      </w:r>
      <w:r>
        <w:rPr>
          <w:spacing w:val="26"/>
        </w:rPr>
        <w:t> </w:t>
      </w:r>
      <w:r>
        <w:rPr/>
        <w:t>valorado</w:t>
      </w:r>
      <w:r>
        <w:rPr>
          <w:spacing w:val="27"/>
        </w:rPr>
        <w:t> </w:t>
      </w:r>
      <w:r>
        <w:rPr/>
        <w:t>sigue</w:t>
      </w:r>
      <w:r>
        <w:rPr>
          <w:spacing w:val="27"/>
        </w:rPr>
        <w:t> </w:t>
      </w:r>
      <w:r>
        <w:rPr/>
        <w:t>siendo</w:t>
      </w:r>
      <w:r>
        <w:rPr>
          <w:spacing w:val="29"/>
        </w:rPr>
        <w:t> </w:t>
      </w:r>
      <w:r>
        <w:rPr/>
        <w:t>el</w:t>
      </w:r>
      <w:r>
        <w:rPr>
          <w:spacing w:val="25"/>
        </w:rPr>
        <w:t> </w:t>
      </w:r>
      <w:r>
        <w:rPr/>
        <w:t>atributo</w:t>
      </w:r>
      <w:r>
        <w:rPr>
          <w:spacing w:val="27"/>
        </w:rPr>
        <w:t> </w:t>
      </w:r>
      <w:r>
        <w:rPr/>
        <w:t>“precio”,</w:t>
      </w:r>
      <w:r>
        <w:rPr>
          <w:spacing w:val="25"/>
        </w:rPr>
        <w:t> </w:t>
      </w:r>
      <w:r>
        <w:rPr/>
        <w:t>situándose</w:t>
      </w:r>
      <w:r>
        <w:rPr>
          <w:spacing w:val="26"/>
        </w:rPr>
        <w:t> </w:t>
      </w:r>
      <w:r>
        <w:rPr/>
        <w:t>el primero del raking con un 9,45.</w:t>
      </w:r>
    </w:p>
    <w:p>
      <w:pPr>
        <w:pStyle w:val="BodyText"/>
        <w:tabs>
          <w:tab w:pos="2060" w:val="left" w:leader="none"/>
        </w:tabs>
        <w:spacing w:line="357" w:lineRule="auto" w:before="17"/>
        <w:ind w:left="2061" w:right="1338" w:hanging="360"/>
      </w:pPr>
      <w:r>
        <w:rPr>
          <w:rFonts w:ascii="Z@RA9CD.tmp" w:hAnsi="Z@RA9CD.tmp"/>
          <w:b w:val="0"/>
          <w:spacing w:val="-10"/>
        </w:rPr>
        <w:t></w:t>
      </w:r>
      <w:r>
        <w:rPr>
          <w:rFonts w:ascii="Times New Roman" w:hAnsi="Times New Roman"/>
        </w:rPr>
        <w:tab/>
      </w:r>
      <w:r>
        <w:rPr/>
        <w:t>Se</w:t>
      </w:r>
      <w:r>
        <w:rPr>
          <w:spacing w:val="33"/>
        </w:rPr>
        <w:t> </w:t>
      </w:r>
      <w:r>
        <w:rPr/>
        <w:t>registran</w:t>
      </w:r>
      <w:r>
        <w:rPr>
          <w:spacing w:val="34"/>
        </w:rPr>
        <w:t> </w:t>
      </w:r>
      <w:r>
        <w:rPr/>
        <w:t>aumentos</w:t>
      </w:r>
      <w:r>
        <w:rPr>
          <w:spacing w:val="35"/>
        </w:rPr>
        <w:t> </w:t>
      </w:r>
      <w:r>
        <w:rPr/>
        <w:t>significativos</w:t>
      </w:r>
      <w:r>
        <w:rPr>
          <w:spacing w:val="35"/>
        </w:rPr>
        <w:t> </w:t>
      </w:r>
      <w:r>
        <w:rPr/>
        <w:t>en</w:t>
      </w:r>
      <w:r>
        <w:rPr>
          <w:spacing w:val="34"/>
        </w:rPr>
        <w:t> </w:t>
      </w:r>
      <w:r>
        <w:rPr/>
        <w:t>“globalmente,</w:t>
      </w:r>
      <w:r>
        <w:rPr>
          <w:spacing w:val="32"/>
        </w:rPr>
        <w:t> </w:t>
      </w:r>
      <w:r>
        <w:rPr/>
        <w:t>la</w:t>
      </w:r>
      <w:r>
        <w:rPr>
          <w:spacing w:val="33"/>
        </w:rPr>
        <w:t> </w:t>
      </w:r>
      <w:r>
        <w:rPr/>
        <w:t>comunicación</w:t>
      </w:r>
      <w:r>
        <w:rPr>
          <w:spacing w:val="33"/>
        </w:rPr>
        <w:t> </w:t>
      </w:r>
      <w:r>
        <w:rPr/>
        <w:t>de</w:t>
      </w:r>
      <w:r>
        <w:rPr>
          <w:spacing w:val="34"/>
        </w:rPr>
        <w:t> </w:t>
      </w:r>
      <w:r>
        <w:rPr/>
        <w:t>Guaguas” pasando de 7,42 a 8,48, “los canales de comunicación” pasando de 7,22 a 8,34.</w:t>
      </w:r>
    </w:p>
    <w:p>
      <w:pPr>
        <w:pStyle w:val="BodyText"/>
        <w:tabs>
          <w:tab w:pos="2061" w:val="left" w:leader="none"/>
        </w:tabs>
        <w:spacing w:before="17"/>
        <w:ind w:left="1701"/>
      </w:pPr>
      <w:r>
        <w:rPr>
          <w:rFonts w:ascii="Z@RA9CD.tmp" w:hAnsi="Z@RA9CD.tmp"/>
          <w:b w:val="0"/>
          <w:spacing w:val="-10"/>
        </w:rPr>
        <w:t></w:t>
      </w:r>
      <w:r>
        <w:rPr>
          <w:rFonts w:ascii="Times New Roman" w:hAnsi="Times New Roman"/>
        </w:rPr>
        <w:tab/>
      </w:r>
      <w:r>
        <w:rPr/>
        <w:t>El</w:t>
      </w:r>
      <w:r>
        <w:rPr>
          <w:spacing w:val="-4"/>
        </w:rPr>
        <w:t> </w:t>
      </w:r>
      <w:r>
        <w:rPr/>
        <w:t>atributo</w:t>
      </w:r>
      <w:r>
        <w:rPr>
          <w:spacing w:val="-6"/>
        </w:rPr>
        <w:t> </w:t>
      </w:r>
      <w:r>
        <w:rPr/>
        <w:t>“La</w:t>
      </w:r>
      <w:r>
        <w:rPr>
          <w:spacing w:val="-6"/>
        </w:rPr>
        <w:t> </w:t>
      </w:r>
      <w:r>
        <w:rPr/>
        <w:t>app</w:t>
      </w:r>
      <w:r>
        <w:rPr>
          <w:spacing w:val="-6"/>
        </w:rPr>
        <w:t> </w:t>
      </w:r>
      <w:r>
        <w:rPr/>
        <w:t>Guaguas</w:t>
      </w:r>
      <w:r>
        <w:rPr>
          <w:spacing w:val="-6"/>
        </w:rPr>
        <w:t> </w:t>
      </w:r>
      <w:r>
        <w:rPr/>
        <w:t>LPA”</w:t>
      </w:r>
      <w:r>
        <w:rPr>
          <w:spacing w:val="-3"/>
        </w:rPr>
        <w:t> </w:t>
      </w:r>
      <w:r>
        <w:rPr/>
        <w:t>ha</w:t>
      </w:r>
      <w:r>
        <w:rPr>
          <w:spacing w:val="-6"/>
        </w:rPr>
        <w:t> </w:t>
      </w:r>
      <w:r>
        <w:rPr/>
        <w:t>mejorado</w:t>
      </w:r>
      <w:r>
        <w:rPr>
          <w:spacing w:val="-5"/>
        </w:rPr>
        <w:t> </w:t>
      </w:r>
      <w:r>
        <w:rPr/>
        <w:t>pasando</w:t>
      </w:r>
      <w:r>
        <w:rPr>
          <w:spacing w:val="-6"/>
        </w:rPr>
        <w:t> </w:t>
      </w:r>
      <w:r>
        <w:rPr/>
        <w:t>de</w:t>
      </w:r>
      <w:r>
        <w:rPr>
          <w:spacing w:val="-7"/>
        </w:rPr>
        <w:t> </w:t>
      </w:r>
      <w:r>
        <w:rPr/>
        <w:t>7,67</w:t>
      </w:r>
      <w:r>
        <w:rPr>
          <w:spacing w:val="-6"/>
        </w:rPr>
        <w:t> </w:t>
      </w:r>
      <w:r>
        <w:rPr/>
        <w:t>a</w:t>
      </w:r>
      <w:r>
        <w:rPr>
          <w:spacing w:val="-5"/>
        </w:rPr>
        <w:t> </w:t>
      </w:r>
      <w:r>
        <w:rPr>
          <w:spacing w:val="-2"/>
        </w:rPr>
        <w:t>8,17.</w:t>
      </w:r>
    </w:p>
    <w:p>
      <w:pPr>
        <w:pStyle w:val="BodyText"/>
        <w:spacing w:before="82"/>
      </w:pPr>
    </w:p>
    <w:p>
      <w:pPr>
        <w:pStyle w:val="Heading3"/>
        <w:numPr>
          <w:ilvl w:val="1"/>
          <w:numId w:val="48"/>
        </w:numPr>
        <w:tabs>
          <w:tab w:pos="1724" w:val="left" w:leader="none"/>
        </w:tabs>
        <w:spacing w:line="240" w:lineRule="auto" w:before="0" w:after="0"/>
        <w:ind w:left="1724" w:right="0" w:hanging="383"/>
        <w:jc w:val="left"/>
      </w:pPr>
      <w:bookmarkStart w:name="_TOC_250002" w:id="50"/>
      <w:r>
        <w:rPr/>
        <w:t>Información</w:t>
      </w:r>
      <w:r>
        <w:rPr>
          <w:spacing w:val="-12"/>
        </w:rPr>
        <w:t> </w:t>
      </w:r>
      <w:bookmarkEnd w:id="50"/>
      <w:r>
        <w:rPr>
          <w:spacing w:val="-2"/>
        </w:rPr>
        <w:t>fiscal</w:t>
      </w:r>
    </w:p>
    <w:p>
      <w:pPr>
        <w:pStyle w:val="BodyText"/>
        <w:spacing w:before="46"/>
        <w:rPr>
          <w:b/>
        </w:rPr>
      </w:pPr>
    </w:p>
    <w:p>
      <w:pPr>
        <w:pStyle w:val="BodyText"/>
        <w:spacing w:line="360" w:lineRule="auto"/>
        <w:ind w:left="1341" w:right="1333"/>
        <w:jc w:val="both"/>
      </w:pPr>
      <w:r>
        <w:rPr/>
        <w:t>GMSA como sociedad ha obtenido beneficios que ascienden a 6.269.808,27€ en 2025, gracias a un incremento en la aportación estatal a la gratuidad de más de siete millones de euros, adecuándose esta al incremento de viajeros experimentado en los últimos años que ha continuado en el ejercicio 2025 (56.589.875 viajeros, lo que supone un incremento del 3,20% con respecto a 2024). GMSA, como sociedad municipal local que realiza el servicio público de transporte colectivo de pasajeros en la ciudad de Las Palmas de Gran Canaria, se encuentra sometida a</w:t>
      </w:r>
      <w:r>
        <w:rPr>
          <w:spacing w:val="-1"/>
        </w:rPr>
        <w:t> </w:t>
      </w:r>
      <w:r>
        <w:rPr/>
        <w:t>una regulación fiscal diferenciada del impuesto sobre</w:t>
      </w:r>
      <w:r>
        <w:rPr>
          <w:spacing w:val="-1"/>
        </w:rPr>
        <w:t> </w:t>
      </w:r>
      <w:r>
        <w:rPr/>
        <w:t>sociedades (en adelante</w:t>
      </w:r>
      <w:r>
        <w:rPr>
          <w:spacing w:val="-1"/>
        </w:rPr>
        <w:t> </w:t>
      </w:r>
      <w:r>
        <w:rPr/>
        <w:t>I.S.), ya que recibe una bonificación por prestación de servicios públicos locales del 99% de la cuota íntegra del I.S., si bien el artículo 30 bis de la Ley 27/2014, de 27 de noviembre, del Impuesto sobre</w:t>
      </w:r>
      <w:r>
        <w:rPr>
          <w:spacing w:val="15"/>
        </w:rPr>
        <w:t> </w:t>
      </w:r>
      <w:r>
        <w:rPr/>
        <w:t>Sociedades,</w:t>
      </w:r>
      <w:r>
        <w:rPr>
          <w:spacing w:val="16"/>
        </w:rPr>
        <w:t> </w:t>
      </w:r>
      <w:r>
        <w:rPr/>
        <w:t>establece</w:t>
      </w:r>
      <w:r>
        <w:rPr>
          <w:spacing w:val="16"/>
        </w:rPr>
        <w:t> </w:t>
      </w:r>
      <w:r>
        <w:rPr/>
        <w:t>una</w:t>
      </w:r>
      <w:r>
        <w:rPr>
          <w:spacing w:val="14"/>
        </w:rPr>
        <w:t> </w:t>
      </w:r>
      <w:r>
        <w:rPr/>
        <w:t>tributación</w:t>
      </w:r>
      <w:r>
        <w:rPr>
          <w:spacing w:val="13"/>
        </w:rPr>
        <w:t> </w:t>
      </w:r>
      <w:r>
        <w:rPr/>
        <w:t>mínima</w:t>
      </w:r>
      <w:r>
        <w:rPr>
          <w:spacing w:val="15"/>
        </w:rPr>
        <w:t> </w:t>
      </w:r>
      <w:r>
        <w:rPr/>
        <w:t>para</w:t>
      </w:r>
      <w:r>
        <w:rPr>
          <w:spacing w:val="13"/>
        </w:rPr>
        <w:t> </w:t>
      </w:r>
      <w:r>
        <w:rPr/>
        <w:t>los</w:t>
      </w:r>
      <w:r>
        <w:rPr>
          <w:spacing w:val="15"/>
        </w:rPr>
        <w:t> </w:t>
      </w:r>
      <w:r>
        <w:rPr/>
        <w:t>contribuyentes</w:t>
      </w:r>
      <w:r>
        <w:rPr>
          <w:spacing w:val="15"/>
        </w:rPr>
        <w:t> </w:t>
      </w:r>
      <w:r>
        <w:rPr/>
        <w:t>con</w:t>
      </w:r>
      <w:r>
        <w:rPr>
          <w:spacing w:val="16"/>
        </w:rPr>
        <w:t> </w:t>
      </w:r>
      <w:r>
        <w:rPr/>
        <w:t>una</w:t>
      </w:r>
      <w:r>
        <w:rPr>
          <w:spacing w:val="13"/>
        </w:rPr>
        <w:t> </w:t>
      </w:r>
      <w:r>
        <w:rPr/>
        <w:t>cifra</w:t>
      </w:r>
      <w:r>
        <w:rPr>
          <w:spacing w:val="15"/>
        </w:rPr>
        <w:t> </w:t>
      </w:r>
      <w:r>
        <w:rPr>
          <w:spacing w:val="-5"/>
        </w:rPr>
        <w:t>de</w:t>
      </w:r>
    </w:p>
    <w:p>
      <w:pPr>
        <w:pStyle w:val="BodyText"/>
        <w:spacing w:line="230" w:lineRule="exact"/>
        <w:ind w:left="1"/>
        <w:jc w:val="center"/>
      </w:pPr>
      <w:r>
        <w:rPr/>
        <mc:AlternateContent>
          <mc:Choice Requires="wps">
            <w:drawing>
              <wp:anchor distT="0" distB="0" distL="0" distR="0" allowOverlap="1" layoutInCell="1" locked="0" behindDoc="0" simplePos="0" relativeHeight="15833088">
                <wp:simplePos x="0" y="0"/>
                <wp:positionH relativeFrom="page">
                  <wp:posOffset>6966436</wp:posOffset>
                </wp:positionH>
                <wp:positionV relativeFrom="paragraph">
                  <wp:posOffset>-18123</wp:posOffset>
                </wp:positionV>
                <wp:extent cx="263525" cy="327596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66</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427061pt;width:20.75pt;height:257.95pt;mso-position-horizontal-relative:page;mso-position-vertical-relative:paragraph;z-index:15833088" type="#_x0000_t202" id="docshape30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66</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negocios</w:t>
      </w:r>
      <w:r>
        <w:rPr>
          <w:spacing w:val="42"/>
        </w:rPr>
        <w:t> </w:t>
      </w:r>
      <w:r>
        <w:rPr/>
        <w:t>de</w:t>
      </w:r>
      <w:r>
        <w:rPr>
          <w:spacing w:val="43"/>
        </w:rPr>
        <w:t> </w:t>
      </w:r>
      <w:r>
        <w:rPr/>
        <w:t>al</w:t>
      </w:r>
      <w:r>
        <w:rPr>
          <w:spacing w:val="39"/>
        </w:rPr>
        <w:t> </w:t>
      </w:r>
      <w:r>
        <w:rPr/>
        <w:t>menos</w:t>
      </w:r>
      <w:r>
        <w:rPr>
          <w:spacing w:val="41"/>
        </w:rPr>
        <w:t> </w:t>
      </w:r>
      <w:r>
        <w:rPr/>
        <w:t>20</w:t>
      </w:r>
      <w:r>
        <w:rPr>
          <w:spacing w:val="43"/>
        </w:rPr>
        <w:t> </w:t>
      </w:r>
      <w:r>
        <w:rPr/>
        <w:t>millones</w:t>
      </w:r>
      <w:r>
        <w:rPr>
          <w:spacing w:val="45"/>
        </w:rPr>
        <w:t> </w:t>
      </w:r>
      <w:r>
        <w:rPr/>
        <w:t>de</w:t>
      </w:r>
      <w:r>
        <w:rPr>
          <w:spacing w:val="44"/>
        </w:rPr>
        <w:t> </w:t>
      </w:r>
      <w:r>
        <w:rPr/>
        <w:t>euros,</w:t>
      </w:r>
      <w:r>
        <w:rPr>
          <w:spacing w:val="41"/>
        </w:rPr>
        <w:t> </w:t>
      </w:r>
      <w:r>
        <w:rPr/>
        <w:t>teniendo</w:t>
      </w:r>
      <w:r>
        <w:rPr>
          <w:spacing w:val="40"/>
        </w:rPr>
        <w:t> </w:t>
      </w:r>
      <w:r>
        <w:rPr/>
        <w:t>como</w:t>
      </w:r>
      <w:r>
        <w:rPr>
          <w:spacing w:val="40"/>
        </w:rPr>
        <w:t> </w:t>
      </w:r>
      <w:r>
        <w:rPr/>
        <w:t>consecuencia</w:t>
      </w:r>
      <w:r>
        <w:rPr>
          <w:spacing w:val="46"/>
        </w:rPr>
        <w:t> </w:t>
      </w:r>
      <w:r>
        <w:rPr/>
        <w:t>una</w:t>
      </w:r>
      <w:r>
        <w:rPr>
          <w:spacing w:val="41"/>
        </w:rPr>
        <w:t> </w:t>
      </w:r>
      <w:r>
        <w:rPr/>
        <w:t>cuota</w:t>
      </w:r>
      <w:r>
        <w:rPr>
          <w:spacing w:val="43"/>
        </w:rPr>
        <w:t> </w:t>
      </w:r>
      <w:r>
        <w:rPr>
          <w:spacing w:val="-4"/>
        </w:rPr>
        <w:t>tras</w:t>
      </w:r>
    </w:p>
    <w:p>
      <w:pPr>
        <w:pStyle w:val="BodyText"/>
        <w:spacing w:before="103"/>
        <w:ind w:left="1341"/>
        <w:rPr>
          <w:rFonts w:ascii="Tahoma" w:hAnsi="Tahoma"/>
          <w:i/>
        </w:rPr>
      </w:pPr>
      <w:r>
        <w:rPr/>
        <w:t>deducciones</w:t>
      </w:r>
      <w:r>
        <w:rPr>
          <w:spacing w:val="-4"/>
        </w:rPr>
        <w:t> </w:t>
      </w:r>
      <w:r>
        <w:rPr/>
        <w:t>de</w:t>
      </w:r>
      <w:r>
        <w:rPr>
          <w:spacing w:val="-7"/>
        </w:rPr>
        <w:t> </w:t>
      </w:r>
      <w:r>
        <w:rPr/>
        <w:t>7.394,28</w:t>
      </w:r>
      <w:r>
        <w:rPr>
          <w:spacing w:val="-4"/>
        </w:rPr>
        <w:t> </w:t>
      </w:r>
      <w:r>
        <w:rPr/>
        <w:t>euros</w:t>
      </w:r>
      <w:r>
        <w:rPr>
          <w:spacing w:val="-4"/>
        </w:rPr>
        <w:t> </w:t>
      </w:r>
      <w:r>
        <w:rPr/>
        <w:t>en</w:t>
      </w:r>
      <w:r>
        <w:rPr>
          <w:spacing w:val="-5"/>
        </w:rPr>
        <w:t> </w:t>
      </w:r>
      <w:r>
        <w:rPr/>
        <w:t>el</w:t>
      </w:r>
      <w:r>
        <w:rPr>
          <w:spacing w:val="-8"/>
        </w:rPr>
        <w:t> </w:t>
      </w:r>
      <w:r>
        <w:rPr/>
        <w:t>año</w:t>
      </w:r>
      <w:r>
        <w:rPr>
          <w:spacing w:val="-3"/>
        </w:rPr>
        <w:t> </w:t>
      </w:r>
      <w:r>
        <w:rPr/>
        <w:t>2024</w:t>
      </w:r>
      <w:r>
        <w:rPr>
          <w:spacing w:val="-2"/>
        </w:rPr>
        <w:t> </w:t>
      </w:r>
      <w:r>
        <w:rPr/>
        <w:t>y</w:t>
      </w:r>
      <w:r>
        <w:rPr>
          <w:spacing w:val="-8"/>
        </w:rPr>
        <w:t> </w:t>
      </w:r>
      <w:r>
        <w:rPr/>
        <w:t>4.175,68</w:t>
      </w:r>
      <w:r>
        <w:rPr>
          <w:spacing w:val="-4"/>
        </w:rPr>
        <w:t> </w:t>
      </w:r>
      <w:r>
        <w:rPr/>
        <w:t>euros</w:t>
      </w:r>
      <w:r>
        <w:rPr>
          <w:spacing w:val="-5"/>
        </w:rPr>
        <w:t> </w:t>
      </w:r>
      <w:r>
        <w:rPr/>
        <w:t>en</w:t>
      </w:r>
      <w:r>
        <w:rPr>
          <w:spacing w:val="-6"/>
        </w:rPr>
        <w:t> </w:t>
      </w:r>
      <w:r>
        <w:rPr/>
        <w:t>el</w:t>
      </w:r>
      <w:r>
        <w:rPr>
          <w:spacing w:val="-7"/>
        </w:rPr>
        <w:t> </w:t>
      </w:r>
      <w:r>
        <w:rPr/>
        <w:t>año</w:t>
      </w:r>
      <w:r>
        <w:rPr>
          <w:spacing w:val="-5"/>
        </w:rPr>
        <w:t> </w:t>
      </w:r>
      <w:r>
        <w:rPr>
          <w:spacing w:val="-2"/>
        </w:rPr>
        <w:t>2025</w:t>
      </w:r>
      <w:r>
        <w:rPr>
          <w:rFonts w:ascii="Tahoma" w:hAnsi="Tahoma"/>
          <w:i/>
          <w:color w:val="FF0000"/>
          <w:spacing w:val="-2"/>
        </w:rPr>
        <w:t>.</w:t>
      </w:r>
    </w:p>
    <w:p>
      <w:pPr>
        <w:pStyle w:val="BodyText"/>
        <w:spacing w:before="114"/>
        <w:rPr>
          <w:rFonts w:ascii="Tahoma"/>
          <w:i/>
        </w:rPr>
      </w:pPr>
    </w:p>
    <w:p>
      <w:pPr>
        <w:pStyle w:val="BodyText"/>
        <w:spacing w:line="360" w:lineRule="auto"/>
        <w:ind w:left="1341" w:right="1336"/>
        <w:jc w:val="both"/>
      </w:pPr>
      <w:r>
        <w:rPr/>
        <w:t>También recibe varias subvenciones públicas: tarifarias (para reducir el precio a pagar por el viajero), a la explotación (para compensar el déficit tarifario del transporte) y de capital (para financiar inversiones) por parte de la AUTGC y del Ayuntamiento de Las Palmas de Gran Canaria. A</w:t>
      </w:r>
      <w:r>
        <w:rPr>
          <w:spacing w:val="-2"/>
        </w:rPr>
        <w:t> </w:t>
      </w:r>
      <w:r>
        <w:rPr/>
        <w:t>continuación</w:t>
      </w:r>
      <w:r>
        <w:rPr>
          <w:spacing w:val="-1"/>
        </w:rPr>
        <w:t> </w:t>
      </w:r>
      <w:r>
        <w:rPr/>
        <w:t>se</w:t>
      </w:r>
      <w:r>
        <w:rPr>
          <w:spacing w:val="-1"/>
        </w:rPr>
        <w:t> </w:t>
      </w:r>
      <w:r>
        <w:rPr/>
        <w:t>detallan</w:t>
      </w:r>
      <w:r>
        <w:rPr>
          <w:spacing w:val="-1"/>
        </w:rPr>
        <w:t> </w:t>
      </w:r>
      <w:r>
        <w:rPr/>
        <w:t>las subvenciones concedidas</w:t>
      </w:r>
      <w:r>
        <w:rPr>
          <w:spacing w:val="-2"/>
        </w:rPr>
        <w:t> </w:t>
      </w:r>
      <w:r>
        <w:rPr/>
        <w:t>en</w:t>
      </w:r>
      <w:r>
        <w:rPr>
          <w:spacing w:val="-1"/>
        </w:rPr>
        <w:t> </w:t>
      </w:r>
      <w:r>
        <w:rPr/>
        <w:t>este</w:t>
      </w:r>
      <w:r>
        <w:rPr>
          <w:spacing w:val="-3"/>
        </w:rPr>
        <w:t> </w:t>
      </w:r>
      <w:r>
        <w:rPr/>
        <w:t>año y</w:t>
      </w:r>
      <w:r>
        <w:rPr>
          <w:spacing w:val="-3"/>
        </w:rPr>
        <w:t> </w:t>
      </w:r>
      <w:r>
        <w:rPr/>
        <w:t>su comparativa con el año anterior. Las subvenciones se han incrementado en más de 8 millones de euros, debido principalmente a la subvención a la gratuidad y la materialización de la subvención Next Generation correspondiente al proyecto Innobustur, impacto minorado por el hecho de que en 2024 se imputó una aportación estatal 1.557.911,76 Euros.</w:t>
      </w:r>
    </w:p>
    <w:p>
      <w:pPr>
        <w:pStyle w:val="BodyText"/>
        <w:spacing w:after="0" w:line="360" w:lineRule="auto"/>
        <w:jc w:val="both"/>
        <w:sectPr>
          <w:pgSz w:w="11910" w:h="16840"/>
          <w:pgMar w:header="384" w:footer="1060" w:top="1200" w:bottom="1260" w:left="360" w:right="360"/>
        </w:sectPr>
      </w:pPr>
    </w:p>
    <w:p>
      <w:pPr>
        <w:pStyle w:val="BodyText"/>
      </w:pPr>
      <w:r>
        <w:rPr/>
        <mc:AlternateContent>
          <mc:Choice Requires="wps">
            <w:drawing>
              <wp:anchor distT="0" distB="0" distL="0" distR="0" allowOverlap="1" layoutInCell="1" locked="0" behindDoc="1" simplePos="0" relativeHeight="476802048">
                <wp:simplePos x="0" y="0"/>
                <wp:positionH relativeFrom="page">
                  <wp:posOffset>2686749</wp:posOffset>
                </wp:positionH>
                <wp:positionV relativeFrom="page">
                  <wp:posOffset>1599982</wp:posOffset>
                </wp:positionV>
                <wp:extent cx="77470" cy="14160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77470" cy="141605"/>
                        </a:xfrm>
                        <a:prstGeom prst="rect">
                          <a:avLst/>
                        </a:prstGeom>
                      </wps:spPr>
                      <wps:txbx>
                        <w:txbxContent>
                          <w:p>
                            <w:pPr>
                              <w:pStyle w:val="BodyText"/>
                              <w:spacing w:line="223" w:lineRule="exact"/>
                            </w:pPr>
                            <w:r>
                              <w:rPr>
                                <w:spacing w:val="-12"/>
                              </w:rPr>
                              <w:t>T</w:t>
                            </w:r>
                          </w:p>
                        </w:txbxContent>
                      </wps:txbx>
                      <wps:bodyPr wrap="square" lIns="0" tIns="0" rIns="0" bIns="0" rtlCol="0">
                        <a:noAutofit/>
                      </wps:bodyPr>
                    </wps:wsp>
                  </a:graphicData>
                </a:graphic>
              </wp:anchor>
            </w:drawing>
          </mc:Choice>
          <mc:Fallback>
            <w:pict>
              <v:shape style="position:absolute;margin-left:211.555069pt;margin-top:125.982857pt;width:6.1pt;height:11.15pt;mso-position-horizontal-relative:page;mso-position-vertical-relative:page;z-index:-26514432" type="#_x0000_t202" id="docshape308" filled="false" stroked="false">
                <v:textbox inset="0,0,0,0">
                  <w:txbxContent>
                    <w:p>
                      <w:pPr>
                        <w:pStyle w:val="BodyText"/>
                        <w:spacing w:line="223" w:lineRule="exact"/>
                      </w:pPr>
                      <w:r>
                        <w:rPr>
                          <w:spacing w:val="-12"/>
                        </w:rPr>
                        <w:t>T</w:t>
                      </w:r>
                    </w:p>
                  </w:txbxContent>
                </v:textbox>
                <w10:wrap type="none"/>
              </v:shape>
            </w:pict>
          </mc:Fallback>
        </mc:AlternateContent>
      </w:r>
    </w:p>
    <w:p>
      <w:pPr>
        <w:pStyle w:val="BodyText"/>
      </w:pPr>
    </w:p>
    <w:p>
      <w:pPr>
        <w:pStyle w:val="BodyText"/>
        <w:spacing w:before="73"/>
      </w:pPr>
    </w:p>
    <w:tbl>
      <w:tblPr>
        <w:tblW w:w="0" w:type="auto"/>
        <w:jc w:val="left"/>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3"/>
        <w:gridCol w:w="1464"/>
        <w:gridCol w:w="1462"/>
        <w:gridCol w:w="1424"/>
      </w:tblGrid>
      <w:tr>
        <w:trPr>
          <w:trHeight w:val="254" w:hRule="atLeast"/>
        </w:trPr>
        <w:tc>
          <w:tcPr>
            <w:tcW w:w="4373" w:type="dxa"/>
            <w:shd w:val="clear" w:color="auto" w:fill="D9D9D9"/>
          </w:tcPr>
          <w:p>
            <w:pPr>
              <w:pStyle w:val="TableParagraph"/>
              <w:spacing w:line="227" w:lineRule="exact" w:before="6"/>
              <w:ind w:left="69"/>
              <w:rPr>
                <w:b/>
                <w:sz w:val="20"/>
              </w:rPr>
            </w:pPr>
            <w:r>
              <w:rPr>
                <w:b/>
                <w:sz w:val="20"/>
              </w:rPr>
              <w:t>Subvenciones</w:t>
            </w:r>
            <w:r>
              <w:rPr>
                <w:b/>
                <w:spacing w:val="-10"/>
                <w:sz w:val="20"/>
              </w:rPr>
              <w:t> </w:t>
            </w:r>
            <w:r>
              <w:rPr>
                <w:b/>
                <w:sz w:val="20"/>
              </w:rPr>
              <w:t>públicas</w:t>
            </w:r>
            <w:r>
              <w:rPr>
                <w:b/>
                <w:spacing w:val="-10"/>
                <w:sz w:val="20"/>
              </w:rPr>
              <w:t> </w:t>
            </w:r>
            <w:r>
              <w:rPr>
                <w:b/>
                <w:sz w:val="20"/>
              </w:rPr>
              <w:t>(en</w:t>
            </w:r>
            <w:r>
              <w:rPr>
                <w:b/>
                <w:spacing w:val="-7"/>
                <w:sz w:val="20"/>
              </w:rPr>
              <w:t> </w:t>
            </w:r>
            <w:r>
              <w:rPr>
                <w:b/>
                <w:spacing w:val="-2"/>
                <w:sz w:val="20"/>
              </w:rPr>
              <w:t>euros)</w:t>
            </w:r>
          </w:p>
        </w:tc>
        <w:tc>
          <w:tcPr>
            <w:tcW w:w="1464" w:type="dxa"/>
            <w:shd w:val="clear" w:color="auto" w:fill="D9D9D9"/>
          </w:tcPr>
          <w:p>
            <w:pPr>
              <w:pStyle w:val="TableParagraph"/>
              <w:spacing w:line="227" w:lineRule="exact" w:before="6"/>
              <w:ind w:left="6" w:right="2"/>
              <w:jc w:val="center"/>
              <w:rPr>
                <w:b/>
                <w:sz w:val="20"/>
              </w:rPr>
            </w:pPr>
            <w:r>
              <w:rPr>
                <w:b/>
                <w:spacing w:val="-4"/>
                <w:sz w:val="20"/>
              </w:rPr>
              <w:t>2024</w:t>
            </w:r>
          </w:p>
        </w:tc>
        <w:tc>
          <w:tcPr>
            <w:tcW w:w="1462" w:type="dxa"/>
            <w:shd w:val="clear" w:color="auto" w:fill="D9D9D9"/>
          </w:tcPr>
          <w:p>
            <w:pPr>
              <w:pStyle w:val="TableParagraph"/>
              <w:spacing w:line="227" w:lineRule="exact" w:before="6"/>
              <w:ind w:left="6"/>
              <w:jc w:val="center"/>
              <w:rPr>
                <w:b/>
                <w:sz w:val="20"/>
              </w:rPr>
            </w:pPr>
            <w:r>
              <w:rPr>
                <w:b/>
                <w:spacing w:val="-4"/>
                <w:sz w:val="20"/>
              </w:rPr>
              <w:t>2025</w:t>
            </w:r>
          </w:p>
        </w:tc>
        <w:tc>
          <w:tcPr>
            <w:tcW w:w="1424" w:type="dxa"/>
            <w:shd w:val="clear" w:color="auto" w:fill="D9D9D9"/>
          </w:tcPr>
          <w:p>
            <w:pPr>
              <w:pStyle w:val="TableParagraph"/>
              <w:spacing w:line="227" w:lineRule="exact" w:before="6"/>
              <w:ind w:left="140"/>
              <w:rPr>
                <w:b/>
                <w:sz w:val="20"/>
              </w:rPr>
            </w:pPr>
            <w:r>
              <w:rPr>
                <w:b/>
                <w:sz w:val="20"/>
              </w:rPr>
              <w:t>∆</w:t>
            </w:r>
            <w:r>
              <w:rPr>
                <w:b/>
                <w:spacing w:val="-9"/>
                <w:sz w:val="20"/>
              </w:rPr>
              <w:t> </w:t>
            </w:r>
            <w:r>
              <w:rPr>
                <w:b/>
                <w:sz w:val="20"/>
              </w:rPr>
              <w:t>2025-</w:t>
            </w:r>
            <w:r>
              <w:rPr>
                <w:b/>
                <w:spacing w:val="-4"/>
                <w:sz w:val="20"/>
              </w:rPr>
              <w:t>2024</w:t>
            </w:r>
          </w:p>
        </w:tc>
      </w:tr>
      <w:tr>
        <w:trPr>
          <w:trHeight w:val="256" w:hRule="atLeast"/>
        </w:trPr>
        <w:tc>
          <w:tcPr>
            <w:tcW w:w="4373" w:type="dxa"/>
          </w:tcPr>
          <w:p>
            <w:pPr>
              <w:pStyle w:val="TableParagraph"/>
              <w:spacing w:line="225" w:lineRule="exact" w:before="11"/>
              <w:ind w:left="69"/>
              <w:rPr>
                <w:sz w:val="20"/>
              </w:rPr>
            </w:pPr>
            <w:r>
              <w:rPr>
                <w:sz w:val="20"/>
              </w:rPr>
              <w:t>Subvenciones</w:t>
            </w:r>
            <w:r>
              <w:rPr>
                <w:spacing w:val="-7"/>
                <w:sz w:val="20"/>
              </w:rPr>
              <w:t> </w:t>
            </w:r>
            <w:r>
              <w:rPr>
                <w:sz w:val="20"/>
              </w:rPr>
              <w:t>al</w:t>
            </w:r>
            <w:r>
              <w:rPr>
                <w:spacing w:val="-8"/>
                <w:sz w:val="20"/>
              </w:rPr>
              <w:t> </w:t>
            </w:r>
            <w:r>
              <w:rPr>
                <w:sz w:val="20"/>
              </w:rPr>
              <w:t>viajero</w:t>
            </w:r>
            <w:r>
              <w:rPr>
                <w:spacing w:val="-9"/>
                <w:sz w:val="20"/>
              </w:rPr>
              <w:t> </w:t>
            </w:r>
            <w:r>
              <w:rPr>
                <w:sz w:val="20"/>
              </w:rPr>
              <w:t>-</w:t>
            </w:r>
            <w:r>
              <w:rPr>
                <w:spacing w:val="-4"/>
                <w:sz w:val="20"/>
              </w:rPr>
              <w:t> </w:t>
            </w:r>
            <w:r>
              <w:rPr>
                <w:sz w:val="20"/>
              </w:rPr>
              <w:t>Ayuntamiento</w:t>
            </w:r>
            <w:r>
              <w:rPr>
                <w:spacing w:val="-5"/>
                <w:sz w:val="20"/>
              </w:rPr>
              <w:t> </w:t>
            </w:r>
            <w:r>
              <w:rPr>
                <w:spacing w:val="-4"/>
                <w:sz w:val="20"/>
              </w:rPr>
              <w:t>LPGC</w:t>
            </w:r>
          </w:p>
        </w:tc>
        <w:tc>
          <w:tcPr>
            <w:tcW w:w="1464" w:type="dxa"/>
          </w:tcPr>
          <w:p>
            <w:pPr>
              <w:pStyle w:val="TableParagraph"/>
              <w:spacing w:line="225" w:lineRule="exact" w:before="11"/>
              <w:ind w:right="61"/>
              <w:jc w:val="right"/>
              <w:rPr>
                <w:sz w:val="20"/>
              </w:rPr>
            </w:pPr>
            <w:r>
              <w:rPr>
                <w:spacing w:val="-2"/>
                <w:sz w:val="20"/>
              </w:rPr>
              <w:t>3.779.549,52</w:t>
            </w:r>
          </w:p>
        </w:tc>
        <w:tc>
          <w:tcPr>
            <w:tcW w:w="1462" w:type="dxa"/>
          </w:tcPr>
          <w:p>
            <w:pPr>
              <w:pStyle w:val="TableParagraph"/>
              <w:spacing w:line="225" w:lineRule="exact" w:before="11"/>
              <w:ind w:right="59"/>
              <w:jc w:val="right"/>
              <w:rPr>
                <w:sz w:val="20"/>
              </w:rPr>
            </w:pPr>
            <w:r>
              <w:rPr>
                <w:spacing w:val="-2"/>
                <w:sz w:val="20"/>
              </w:rPr>
              <w:t>3.670.213,39</w:t>
            </w:r>
          </w:p>
        </w:tc>
        <w:tc>
          <w:tcPr>
            <w:tcW w:w="1424" w:type="dxa"/>
          </w:tcPr>
          <w:p>
            <w:pPr>
              <w:pStyle w:val="TableParagraph"/>
              <w:spacing w:line="225" w:lineRule="exact" w:before="11"/>
              <w:ind w:right="64"/>
              <w:jc w:val="right"/>
              <w:rPr>
                <w:sz w:val="20"/>
              </w:rPr>
            </w:pPr>
            <w:r>
              <w:rPr>
                <w:sz w:val="20"/>
              </w:rPr>
              <w:t>-</w:t>
            </w:r>
            <w:r>
              <w:rPr>
                <w:spacing w:val="-2"/>
                <w:sz w:val="20"/>
              </w:rPr>
              <w:t>109.336,13</w:t>
            </w:r>
          </w:p>
        </w:tc>
      </w:tr>
      <w:tr>
        <w:trPr>
          <w:trHeight w:val="253" w:hRule="atLeast"/>
        </w:trPr>
        <w:tc>
          <w:tcPr>
            <w:tcW w:w="4373" w:type="dxa"/>
          </w:tcPr>
          <w:p>
            <w:pPr>
              <w:pStyle w:val="TableParagraph"/>
              <w:spacing w:line="225" w:lineRule="exact" w:before="9"/>
              <w:ind w:left="69"/>
              <w:rPr>
                <w:sz w:val="20"/>
              </w:rPr>
            </w:pPr>
            <w:r>
              <w:rPr>
                <w:sz w:val="20"/>
              </w:rPr>
              <mc:AlternateContent>
                <mc:Choice Requires="wps">
                  <w:drawing>
                    <wp:anchor distT="0" distB="0" distL="0" distR="0" allowOverlap="1" layoutInCell="1" locked="0" behindDoc="1" simplePos="0" relativeHeight="476803584">
                      <wp:simplePos x="0" y="0"/>
                      <wp:positionH relativeFrom="column">
                        <wp:posOffset>1720595</wp:posOffset>
                      </wp:positionH>
                      <wp:positionV relativeFrom="paragraph">
                        <wp:posOffset>-129</wp:posOffset>
                      </wp:positionV>
                      <wp:extent cx="1053465" cy="16192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1053465" cy="161925"/>
                                <a:chExt cx="1053465" cy="161925"/>
                              </a:xfrm>
                            </wpg:grpSpPr>
                            <wps:wsp>
                              <wps:cNvPr id="372" name="Graphic 372"/>
                              <wps:cNvSpPr/>
                              <wps:spPr>
                                <a:xfrm>
                                  <a:off x="0" y="0"/>
                                  <a:ext cx="1053465" cy="161925"/>
                                </a:xfrm>
                                <a:custGeom>
                                  <a:avLst/>
                                  <a:gdLst/>
                                  <a:ahLst/>
                                  <a:cxnLst/>
                                  <a:rect l="l" t="t" r="r" b="b"/>
                                  <a:pathLst>
                                    <a:path w="1053465" h="161925">
                                      <a:moveTo>
                                        <a:pt x="1053084" y="161544"/>
                                      </a:moveTo>
                                      <a:lnTo>
                                        <a:pt x="0" y="161544"/>
                                      </a:lnTo>
                                      <a:lnTo>
                                        <a:pt x="0" y="0"/>
                                      </a:lnTo>
                                      <a:lnTo>
                                        <a:pt x="1053084" y="0"/>
                                      </a:lnTo>
                                      <a:lnTo>
                                        <a:pt x="1053084" y="1615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35.479996pt;margin-top:-.010178pt;width:82.95pt;height:12.75pt;mso-position-horizontal-relative:column;mso-position-vertical-relative:paragraph;z-index:-26512896" id="docshapegroup309" coordorigin="2710,0" coordsize="1659,255">
                      <v:rect style="position:absolute;left:2709;top:-1;width:1659;height:255" id="docshape310" filled="true" fillcolor="#ffffff" stroked="false">
                        <v:fill type="solid"/>
                      </v:rect>
                      <w10:wrap type="none"/>
                    </v:group>
                  </w:pict>
                </mc:Fallback>
              </mc:AlternateContent>
            </w:r>
            <w:r>
              <w:rPr>
                <w:sz w:val="20"/>
              </w:rPr>
              <w:t>Subvenciones</w:t>
            </w:r>
            <w:r>
              <w:rPr>
                <w:spacing w:val="-4"/>
                <w:sz w:val="20"/>
              </w:rPr>
              <w:t> </w:t>
            </w:r>
            <w:r>
              <w:rPr>
                <w:sz w:val="20"/>
              </w:rPr>
              <w:t>al</w:t>
            </w:r>
            <w:r>
              <w:rPr>
                <w:spacing w:val="-5"/>
                <w:sz w:val="20"/>
              </w:rPr>
              <w:t> </w:t>
            </w:r>
            <w:r>
              <w:rPr>
                <w:sz w:val="20"/>
              </w:rPr>
              <w:t>viajero</w:t>
            </w:r>
            <w:r>
              <w:rPr>
                <w:spacing w:val="-7"/>
                <w:sz w:val="20"/>
              </w:rPr>
              <w:t> </w:t>
            </w:r>
            <w:r>
              <w:rPr>
                <w:sz w:val="20"/>
              </w:rPr>
              <w:t>-</w:t>
            </w:r>
            <w:r>
              <w:rPr>
                <w:spacing w:val="-2"/>
                <w:sz w:val="20"/>
              </w:rPr>
              <w:t> </w:t>
            </w:r>
            <w:r>
              <w:rPr>
                <w:sz w:val="20"/>
              </w:rPr>
              <w:t>AU</w:t>
            </w:r>
            <w:r>
              <w:rPr>
                <w:spacing w:val="63"/>
                <w:sz w:val="20"/>
              </w:rPr>
              <w:t> </w:t>
            </w:r>
            <w:r>
              <w:rPr>
                <w:spacing w:val="-5"/>
                <w:sz w:val="20"/>
              </w:rPr>
              <w:t>GC</w:t>
            </w:r>
          </w:p>
        </w:tc>
        <w:tc>
          <w:tcPr>
            <w:tcW w:w="1464" w:type="dxa"/>
          </w:tcPr>
          <w:p>
            <w:pPr>
              <w:pStyle w:val="TableParagraph"/>
              <w:spacing w:line="225" w:lineRule="exact" w:before="9"/>
              <w:ind w:right="62"/>
              <w:jc w:val="right"/>
              <w:rPr>
                <w:sz w:val="20"/>
              </w:rPr>
            </w:pPr>
            <w:r>
              <w:rPr>
                <w:spacing w:val="-2"/>
                <w:sz w:val="20"/>
              </w:rPr>
              <w:t>28.131.095,10</w:t>
            </w:r>
          </w:p>
        </w:tc>
        <w:tc>
          <w:tcPr>
            <w:tcW w:w="1462" w:type="dxa"/>
          </w:tcPr>
          <w:p>
            <w:pPr>
              <w:pStyle w:val="TableParagraph"/>
              <w:spacing w:line="225" w:lineRule="exact" w:before="9"/>
              <w:ind w:right="60"/>
              <w:jc w:val="right"/>
              <w:rPr>
                <w:sz w:val="20"/>
              </w:rPr>
            </w:pPr>
            <w:r>
              <w:rPr>
                <w:spacing w:val="-2"/>
                <w:sz w:val="20"/>
              </w:rPr>
              <w:t>35.535.997,20</w:t>
            </w:r>
          </w:p>
        </w:tc>
        <w:tc>
          <w:tcPr>
            <w:tcW w:w="1424" w:type="dxa"/>
          </w:tcPr>
          <w:p>
            <w:pPr>
              <w:pStyle w:val="TableParagraph"/>
              <w:spacing w:line="225" w:lineRule="exact" w:before="9"/>
              <w:ind w:right="62"/>
              <w:jc w:val="right"/>
              <w:rPr>
                <w:sz w:val="20"/>
              </w:rPr>
            </w:pPr>
            <w:r>
              <w:rPr>
                <w:spacing w:val="-2"/>
                <w:sz w:val="20"/>
              </w:rPr>
              <w:t>7.404.902,10</w:t>
            </w:r>
          </w:p>
        </w:tc>
      </w:tr>
      <w:tr>
        <w:trPr>
          <w:trHeight w:val="256" w:hRule="atLeast"/>
        </w:trPr>
        <w:tc>
          <w:tcPr>
            <w:tcW w:w="4373" w:type="dxa"/>
          </w:tcPr>
          <w:p>
            <w:pPr>
              <w:pStyle w:val="TableParagraph"/>
              <w:spacing w:line="225" w:lineRule="exact" w:before="11"/>
              <w:ind w:left="69"/>
              <w:rPr>
                <w:sz w:val="20"/>
              </w:rPr>
            </w:pPr>
            <w:r>
              <w:rPr>
                <w:sz w:val="20"/>
              </w:rPr>
              <w:t>Subvenciones</w:t>
            </w:r>
            <w:r>
              <w:rPr>
                <w:spacing w:val="-6"/>
                <w:sz w:val="20"/>
              </w:rPr>
              <w:t> </w:t>
            </w:r>
            <w:r>
              <w:rPr>
                <w:sz w:val="20"/>
              </w:rPr>
              <w:t>al</w:t>
            </w:r>
            <w:r>
              <w:rPr>
                <w:spacing w:val="-7"/>
                <w:sz w:val="20"/>
              </w:rPr>
              <w:t> </w:t>
            </w:r>
            <w:r>
              <w:rPr>
                <w:sz w:val="20"/>
              </w:rPr>
              <w:t>viajero</w:t>
            </w:r>
            <w:r>
              <w:rPr>
                <w:spacing w:val="-8"/>
                <w:sz w:val="20"/>
              </w:rPr>
              <w:t> </w:t>
            </w:r>
            <w:r>
              <w:rPr>
                <w:sz w:val="20"/>
              </w:rPr>
              <w:t>-</w:t>
            </w:r>
            <w:r>
              <w:rPr>
                <w:spacing w:val="-4"/>
                <w:sz w:val="20"/>
              </w:rPr>
              <w:t> MITMA</w:t>
            </w:r>
          </w:p>
        </w:tc>
        <w:tc>
          <w:tcPr>
            <w:tcW w:w="1464" w:type="dxa"/>
          </w:tcPr>
          <w:p>
            <w:pPr>
              <w:pStyle w:val="TableParagraph"/>
              <w:spacing w:line="225" w:lineRule="exact" w:before="11"/>
              <w:ind w:right="61"/>
              <w:jc w:val="right"/>
              <w:rPr>
                <w:sz w:val="20"/>
              </w:rPr>
            </w:pPr>
            <w:r>
              <w:rPr>
                <w:spacing w:val="-2"/>
                <w:sz w:val="20"/>
              </w:rPr>
              <w:t>1.557.911,76</w:t>
            </w:r>
          </w:p>
        </w:tc>
        <w:tc>
          <w:tcPr>
            <w:tcW w:w="1462" w:type="dxa"/>
          </w:tcPr>
          <w:p>
            <w:pPr>
              <w:pStyle w:val="TableParagraph"/>
              <w:spacing w:line="225" w:lineRule="exact" w:before="11"/>
              <w:ind w:right="60"/>
              <w:jc w:val="right"/>
              <w:rPr>
                <w:sz w:val="20"/>
              </w:rPr>
            </w:pPr>
            <w:r>
              <w:rPr>
                <w:spacing w:val="-4"/>
                <w:sz w:val="20"/>
              </w:rPr>
              <w:t>0,00</w:t>
            </w:r>
          </w:p>
        </w:tc>
        <w:tc>
          <w:tcPr>
            <w:tcW w:w="1424" w:type="dxa"/>
          </w:tcPr>
          <w:p>
            <w:pPr>
              <w:pStyle w:val="TableParagraph"/>
              <w:spacing w:line="225" w:lineRule="exact" w:before="11"/>
              <w:ind w:right="64"/>
              <w:jc w:val="right"/>
              <w:rPr>
                <w:sz w:val="20"/>
              </w:rPr>
            </w:pPr>
            <w:r>
              <w:rPr>
                <w:sz w:val="20"/>
              </w:rPr>
              <w:t>-</w:t>
            </w:r>
            <w:r>
              <w:rPr>
                <w:spacing w:val="-2"/>
                <w:sz w:val="20"/>
              </w:rPr>
              <w:t>1.557.911,76</w:t>
            </w:r>
          </w:p>
        </w:tc>
      </w:tr>
      <w:tr>
        <w:trPr>
          <w:trHeight w:val="253" w:hRule="atLeast"/>
        </w:trPr>
        <w:tc>
          <w:tcPr>
            <w:tcW w:w="4373" w:type="dxa"/>
          </w:tcPr>
          <w:p>
            <w:pPr>
              <w:pStyle w:val="TableParagraph"/>
              <w:spacing w:line="227" w:lineRule="exact" w:before="6"/>
              <w:ind w:left="69"/>
              <w:rPr>
                <w:b/>
                <w:sz w:val="20"/>
              </w:rPr>
            </w:pPr>
            <w:r>
              <w:rPr>
                <w:b/>
                <w:sz w:val="20"/>
              </w:rPr>
              <w:t>TOTAL</w:t>
            </w:r>
            <w:r>
              <w:rPr>
                <w:b/>
                <w:spacing w:val="-8"/>
                <w:sz w:val="20"/>
              </w:rPr>
              <w:t> </w:t>
            </w:r>
            <w:r>
              <w:rPr>
                <w:b/>
                <w:sz w:val="20"/>
              </w:rPr>
              <w:t>Subvenciones</w:t>
            </w:r>
            <w:r>
              <w:rPr>
                <w:b/>
                <w:spacing w:val="-9"/>
                <w:sz w:val="20"/>
              </w:rPr>
              <w:t> </w:t>
            </w:r>
            <w:r>
              <w:rPr>
                <w:b/>
                <w:sz w:val="20"/>
              </w:rPr>
              <w:t>al</w:t>
            </w:r>
            <w:r>
              <w:rPr>
                <w:b/>
                <w:spacing w:val="-6"/>
                <w:sz w:val="20"/>
              </w:rPr>
              <w:t> </w:t>
            </w:r>
            <w:r>
              <w:rPr>
                <w:b/>
                <w:spacing w:val="-2"/>
                <w:sz w:val="20"/>
              </w:rPr>
              <w:t>viajero</w:t>
            </w:r>
          </w:p>
        </w:tc>
        <w:tc>
          <w:tcPr>
            <w:tcW w:w="1464" w:type="dxa"/>
          </w:tcPr>
          <w:p>
            <w:pPr>
              <w:pStyle w:val="TableParagraph"/>
              <w:spacing w:line="227" w:lineRule="exact" w:before="6"/>
              <w:ind w:right="62"/>
              <w:jc w:val="right"/>
              <w:rPr>
                <w:b/>
                <w:sz w:val="20"/>
              </w:rPr>
            </w:pPr>
            <w:r>
              <w:rPr>
                <w:b/>
                <w:spacing w:val="-2"/>
                <w:sz w:val="20"/>
              </w:rPr>
              <w:t>33.468.556,38</w:t>
            </w:r>
          </w:p>
        </w:tc>
        <w:tc>
          <w:tcPr>
            <w:tcW w:w="1462" w:type="dxa"/>
          </w:tcPr>
          <w:p>
            <w:pPr>
              <w:pStyle w:val="TableParagraph"/>
              <w:spacing w:line="227" w:lineRule="exact" w:before="6"/>
              <w:ind w:right="60"/>
              <w:jc w:val="right"/>
              <w:rPr>
                <w:b/>
                <w:sz w:val="20"/>
              </w:rPr>
            </w:pPr>
            <w:r>
              <w:rPr>
                <w:b/>
                <w:spacing w:val="-2"/>
                <w:sz w:val="20"/>
              </w:rPr>
              <w:t>39.206.210,59</w:t>
            </w:r>
          </w:p>
        </w:tc>
        <w:tc>
          <w:tcPr>
            <w:tcW w:w="1424" w:type="dxa"/>
          </w:tcPr>
          <w:p>
            <w:pPr>
              <w:pStyle w:val="TableParagraph"/>
              <w:spacing w:line="227" w:lineRule="exact" w:before="6"/>
              <w:ind w:right="62"/>
              <w:jc w:val="right"/>
              <w:rPr>
                <w:b/>
                <w:sz w:val="20"/>
              </w:rPr>
            </w:pPr>
            <w:r>
              <w:rPr>
                <w:b/>
                <w:spacing w:val="-2"/>
                <w:sz w:val="20"/>
              </w:rPr>
              <w:t>5.737.654,21</w:t>
            </w:r>
          </w:p>
        </w:tc>
      </w:tr>
      <w:tr>
        <w:trPr>
          <w:trHeight w:val="254" w:hRule="atLeast"/>
        </w:trPr>
        <w:tc>
          <w:tcPr>
            <w:tcW w:w="4373" w:type="dxa"/>
          </w:tcPr>
          <w:p>
            <w:pPr>
              <w:pStyle w:val="TableParagraph"/>
              <w:spacing w:line="225" w:lineRule="exact" w:before="9"/>
              <w:ind w:left="69"/>
              <w:rPr>
                <w:sz w:val="20"/>
              </w:rPr>
            </w:pPr>
            <w:r>
              <w:rPr>
                <w:sz w:val="20"/>
              </w:rPr>
              <w:t>Subvenciones</w:t>
            </w:r>
            <w:r>
              <w:rPr>
                <w:spacing w:val="-6"/>
                <w:sz w:val="20"/>
              </w:rPr>
              <w:t> </w:t>
            </w:r>
            <w:r>
              <w:rPr>
                <w:sz w:val="20"/>
              </w:rPr>
              <w:t>al</w:t>
            </w:r>
            <w:r>
              <w:rPr>
                <w:spacing w:val="-7"/>
                <w:sz w:val="20"/>
              </w:rPr>
              <w:t> </w:t>
            </w:r>
            <w:r>
              <w:rPr>
                <w:sz w:val="20"/>
              </w:rPr>
              <w:t>déficit</w:t>
            </w:r>
            <w:r>
              <w:rPr>
                <w:spacing w:val="42"/>
                <w:sz w:val="20"/>
              </w:rPr>
              <w:t> </w:t>
            </w:r>
            <w:r>
              <w:rPr>
                <w:sz w:val="20"/>
              </w:rPr>
              <w:t>-</w:t>
            </w:r>
            <w:r>
              <w:rPr>
                <w:spacing w:val="-5"/>
                <w:sz w:val="20"/>
              </w:rPr>
              <w:t> </w:t>
            </w:r>
            <w:r>
              <w:rPr>
                <w:sz w:val="20"/>
              </w:rPr>
              <w:t>Ayuntamiento</w:t>
            </w:r>
            <w:r>
              <w:rPr>
                <w:spacing w:val="-5"/>
                <w:sz w:val="20"/>
              </w:rPr>
              <w:t> </w:t>
            </w:r>
            <w:r>
              <w:rPr>
                <w:spacing w:val="-4"/>
                <w:sz w:val="20"/>
              </w:rPr>
              <w:t>LPGC</w:t>
            </w:r>
          </w:p>
        </w:tc>
        <w:tc>
          <w:tcPr>
            <w:tcW w:w="1464" w:type="dxa"/>
          </w:tcPr>
          <w:p>
            <w:pPr>
              <w:pStyle w:val="TableParagraph"/>
              <w:spacing w:line="225" w:lineRule="exact" w:before="9"/>
              <w:ind w:right="62"/>
              <w:jc w:val="right"/>
              <w:rPr>
                <w:sz w:val="20"/>
              </w:rPr>
            </w:pPr>
            <w:r>
              <w:rPr>
                <w:spacing w:val="-2"/>
                <w:sz w:val="20"/>
              </w:rPr>
              <w:t>19.928.688,76</w:t>
            </w:r>
          </w:p>
        </w:tc>
        <w:tc>
          <w:tcPr>
            <w:tcW w:w="1462" w:type="dxa"/>
          </w:tcPr>
          <w:p>
            <w:pPr>
              <w:pStyle w:val="TableParagraph"/>
              <w:spacing w:line="225" w:lineRule="exact" w:before="9"/>
              <w:ind w:right="60"/>
              <w:jc w:val="right"/>
              <w:rPr>
                <w:sz w:val="20"/>
              </w:rPr>
            </w:pPr>
            <w:r>
              <w:rPr>
                <w:spacing w:val="-2"/>
                <w:sz w:val="20"/>
              </w:rPr>
              <w:t>19.928.688,76</w:t>
            </w:r>
          </w:p>
        </w:tc>
        <w:tc>
          <w:tcPr>
            <w:tcW w:w="1424" w:type="dxa"/>
          </w:tcPr>
          <w:p>
            <w:pPr>
              <w:pStyle w:val="TableParagraph"/>
              <w:spacing w:line="225" w:lineRule="exact" w:before="9"/>
              <w:ind w:right="63"/>
              <w:jc w:val="right"/>
              <w:rPr>
                <w:sz w:val="20"/>
              </w:rPr>
            </w:pPr>
            <w:r>
              <w:rPr>
                <w:spacing w:val="-4"/>
                <w:sz w:val="20"/>
              </w:rPr>
              <w:t>0,00</w:t>
            </w:r>
          </w:p>
        </w:tc>
      </w:tr>
      <w:tr>
        <w:trPr>
          <w:trHeight w:val="256" w:hRule="atLeast"/>
        </w:trPr>
        <w:tc>
          <w:tcPr>
            <w:tcW w:w="4373" w:type="dxa"/>
          </w:tcPr>
          <w:p>
            <w:pPr>
              <w:pStyle w:val="TableParagraph"/>
              <w:spacing w:line="225" w:lineRule="exact" w:before="11"/>
              <w:ind w:left="69"/>
              <w:rPr>
                <w:sz w:val="20"/>
              </w:rPr>
            </w:pPr>
            <w:r>
              <w:rPr>
                <w:sz w:val="20"/>
              </w:rPr>
              <mc:AlternateContent>
                <mc:Choice Requires="wps">
                  <w:drawing>
                    <wp:anchor distT="0" distB="0" distL="0" distR="0" allowOverlap="1" layoutInCell="1" locked="0" behindDoc="1" simplePos="0" relativeHeight="476804096">
                      <wp:simplePos x="0" y="0"/>
                      <wp:positionH relativeFrom="column">
                        <wp:posOffset>1720595</wp:posOffset>
                      </wp:positionH>
                      <wp:positionV relativeFrom="paragraph">
                        <wp:posOffset>1141</wp:posOffset>
                      </wp:positionV>
                      <wp:extent cx="1053465" cy="16192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053465" cy="161925"/>
                                <a:chExt cx="1053465" cy="161925"/>
                              </a:xfrm>
                            </wpg:grpSpPr>
                            <wps:wsp>
                              <wps:cNvPr id="374" name="Graphic 374"/>
                              <wps:cNvSpPr/>
                              <wps:spPr>
                                <a:xfrm>
                                  <a:off x="0" y="0"/>
                                  <a:ext cx="1053465" cy="161925"/>
                                </a:xfrm>
                                <a:custGeom>
                                  <a:avLst/>
                                  <a:gdLst/>
                                  <a:ahLst/>
                                  <a:cxnLst/>
                                  <a:rect l="l" t="t" r="r" b="b"/>
                                  <a:pathLst>
                                    <a:path w="1053465" h="161925">
                                      <a:moveTo>
                                        <a:pt x="1053084" y="161544"/>
                                      </a:moveTo>
                                      <a:lnTo>
                                        <a:pt x="0" y="161544"/>
                                      </a:lnTo>
                                      <a:lnTo>
                                        <a:pt x="0" y="0"/>
                                      </a:lnTo>
                                      <a:lnTo>
                                        <a:pt x="1053084" y="0"/>
                                      </a:lnTo>
                                      <a:lnTo>
                                        <a:pt x="1053084" y="1615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35.479996pt;margin-top:.089844pt;width:82.95pt;height:12.75pt;mso-position-horizontal-relative:column;mso-position-vertical-relative:paragraph;z-index:-26512384" id="docshapegroup311" coordorigin="2710,2" coordsize="1659,255">
                      <v:rect style="position:absolute;left:2709;top:1;width:1659;height:255" id="docshape312" filled="true" fillcolor="#ffffff" stroked="false">
                        <v:fill type="solid"/>
                      </v:rect>
                      <w10:wrap type="none"/>
                    </v:group>
                  </w:pict>
                </mc:Fallback>
              </mc:AlternateContent>
            </w:r>
            <w:r>
              <w:rPr>
                <w:sz w:val="20"/>
              </w:rPr>
              <w:t>Subvenciones</w:t>
            </w:r>
            <w:r>
              <w:rPr>
                <w:spacing w:val="-4"/>
                <w:sz w:val="20"/>
              </w:rPr>
              <w:t> </w:t>
            </w:r>
            <w:r>
              <w:rPr>
                <w:sz w:val="20"/>
              </w:rPr>
              <w:t>al</w:t>
            </w:r>
            <w:r>
              <w:rPr>
                <w:spacing w:val="-5"/>
                <w:sz w:val="20"/>
              </w:rPr>
              <w:t> </w:t>
            </w:r>
            <w:r>
              <w:rPr>
                <w:sz w:val="20"/>
              </w:rPr>
              <w:t>déficit</w:t>
            </w:r>
            <w:r>
              <w:rPr>
                <w:spacing w:val="47"/>
                <w:sz w:val="20"/>
              </w:rPr>
              <w:t> </w:t>
            </w:r>
            <w:r>
              <w:rPr>
                <w:sz w:val="20"/>
              </w:rPr>
              <w:t>-</w:t>
            </w:r>
            <w:r>
              <w:rPr>
                <w:spacing w:val="-4"/>
                <w:sz w:val="20"/>
              </w:rPr>
              <w:t> </w:t>
            </w:r>
            <w:r>
              <w:rPr>
                <w:sz w:val="20"/>
              </w:rPr>
              <w:t>AU</w:t>
            </w:r>
            <w:r>
              <w:rPr>
                <w:spacing w:val="63"/>
                <w:sz w:val="20"/>
              </w:rPr>
              <w:t> </w:t>
            </w:r>
            <w:r>
              <w:rPr>
                <w:spacing w:val="-5"/>
                <w:sz w:val="20"/>
              </w:rPr>
              <w:t>GC</w:t>
            </w:r>
          </w:p>
        </w:tc>
        <w:tc>
          <w:tcPr>
            <w:tcW w:w="1464" w:type="dxa"/>
          </w:tcPr>
          <w:p>
            <w:pPr>
              <w:pStyle w:val="TableParagraph"/>
              <w:spacing w:line="225" w:lineRule="exact" w:before="11"/>
              <w:ind w:right="61"/>
              <w:jc w:val="right"/>
              <w:rPr>
                <w:sz w:val="20"/>
              </w:rPr>
            </w:pPr>
            <w:r>
              <w:rPr>
                <w:spacing w:val="-2"/>
                <w:sz w:val="20"/>
              </w:rPr>
              <w:t>5.648.666,24</w:t>
            </w:r>
          </w:p>
        </w:tc>
        <w:tc>
          <w:tcPr>
            <w:tcW w:w="1462" w:type="dxa"/>
          </w:tcPr>
          <w:p>
            <w:pPr>
              <w:pStyle w:val="TableParagraph"/>
              <w:spacing w:line="225" w:lineRule="exact" w:before="11"/>
              <w:ind w:right="59"/>
              <w:jc w:val="right"/>
              <w:rPr>
                <w:sz w:val="20"/>
              </w:rPr>
            </w:pPr>
            <w:r>
              <w:rPr>
                <w:spacing w:val="-2"/>
                <w:sz w:val="20"/>
              </w:rPr>
              <w:t>5.648.666,24</w:t>
            </w:r>
          </w:p>
        </w:tc>
        <w:tc>
          <w:tcPr>
            <w:tcW w:w="1424" w:type="dxa"/>
          </w:tcPr>
          <w:p>
            <w:pPr>
              <w:pStyle w:val="TableParagraph"/>
              <w:spacing w:line="225" w:lineRule="exact" w:before="11"/>
              <w:ind w:right="63"/>
              <w:jc w:val="right"/>
              <w:rPr>
                <w:sz w:val="20"/>
              </w:rPr>
            </w:pPr>
            <w:r>
              <w:rPr>
                <w:spacing w:val="-4"/>
                <w:sz w:val="20"/>
              </w:rPr>
              <w:t>0,00</w:t>
            </w:r>
          </w:p>
        </w:tc>
      </w:tr>
      <w:tr>
        <w:trPr>
          <w:trHeight w:val="253" w:hRule="atLeast"/>
        </w:trPr>
        <w:tc>
          <w:tcPr>
            <w:tcW w:w="4373" w:type="dxa"/>
          </w:tcPr>
          <w:p>
            <w:pPr>
              <w:pStyle w:val="TableParagraph"/>
              <w:spacing w:line="225" w:lineRule="exact" w:before="9"/>
              <w:ind w:left="69"/>
              <w:rPr>
                <w:sz w:val="20"/>
              </w:rPr>
            </w:pPr>
            <w:r>
              <w:rPr>
                <w:sz w:val="20"/>
              </w:rPr>
              <w:t>Subvenciones</w:t>
            </w:r>
            <w:r>
              <w:rPr>
                <w:spacing w:val="-5"/>
                <w:sz w:val="20"/>
              </w:rPr>
              <w:t> </w:t>
            </w:r>
            <w:r>
              <w:rPr>
                <w:sz w:val="20"/>
              </w:rPr>
              <w:t>al</w:t>
            </w:r>
            <w:r>
              <w:rPr>
                <w:spacing w:val="-7"/>
                <w:sz w:val="20"/>
              </w:rPr>
              <w:t> </w:t>
            </w:r>
            <w:r>
              <w:rPr>
                <w:sz w:val="20"/>
              </w:rPr>
              <w:t>déficit</w:t>
            </w:r>
            <w:r>
              <w:rPr>
                <w:spacing w:val="44"/>
                <w:sz w:val="20"/>
              </w:rPr>
              <w:t> </w:t>
            </w:r>
            <w:r>
              <w:rPr>
                <w:sz w:val="20"/>
              </w:rPr>
              <w:t>-</w:t>
            </w:r>
            <w:r>
              <w:rPr>
                <w:spacing w:val="-5"/>
                <w:sz w:val="20"/>
              </w:rPr>
              <w:t> </w:t>
            </w:r>
            <w:r>
              <w:rPr>
                <w:spacing w:val="-4"/>
                <w:sz w:val="20"/>
              </w:rPr>
              <w:t>MITMA</w:t>
            </w:r>
          </w:p>
        </w:tc>
        <w:tc>
          <w:tcPr>
            <w:tcW w:w="1464" w:type="dxa"/>
          </w:tcPr>
          <w:p>
            <w:pPr>
              <w:pStyle w:val="TableParagraph"/>
              <w:spacing w:line="225" w:lineRule="exact" w:before="9"/>
              <w:ind w:right="63"/>
              <w:jc w:val="right"/>
              <w:rPr>
                <w:sz w:val="20"/>
              </w:rPr>
            </w:pPr>
            <w:r>
              <w:rPr>
                <w:spacing w:val="-2"/>
                <w:sz w:val="20"/>
              </w:rPr>
              <w:t>189.750,00</w:t>
            </w:r>
          </w:p>
        </w:tc>
        <w:tc>
          <w:tcPr>
            <w:tcW w:w="1462" w:type="dxa"/>
          </w:tcPr>
          <w:p>
            <w:pPr>
              <w:pStyle w:val="TableParagraph"/>
              <w:rPr>
                <w:rFonts w:ascii="Times New Roman"/>
                <w:sz w:val="18"/>
              </w:rPr>
            </w:pPr>
          </w:p>
        </w:tc>
        <w:tc>
          <w:tcPr>
            <w:tcW w:w="1424" w:type="dxa"/>
          </w:tcPr>
          <w:p>
            <w:pPr>
              <w:pStyle w:val="TableParagraph"/>
              <w:spacing w:line="225" w:lineRule="exact" w:before="9"/>
              <w:ind w:right="64"/>
              <w:jc w:val="right"/>
              <w:rPr>
                <w:sz w:val="20"/>
              </w:rPr>
            </w:pPr>
            <w:r>
              <w:rPr>
                <w:sz w:val="20"/>
              </w:rPr>
              <w:t>-</w:t>
            </w:r>
            <w:r>
              <w:rPr>
                <w:spacing w:val="-2"/>
                <w:sz w:val="20"/>
              </w:rPr>
              <w:t>189.750,00</w:t>
            </w:r>
          </w:p>
        </w:tc>
      </w:tr>
      <w:tr>
        <w:trPr>
          <w:trHeight w:val="256" w:hRule="atLeast"/>
        </w:trPr>
        <w:tc>
          <w:tcPr>
            <w:tcW w:w="4373" w:type="dxa"/>
          </w:tcPr>
          <w:p>
            <w:pPr>
              <w:pStyle w:val="TableParagraph"/>
              <w:spacing w:line="227" w:lineRule="exact" w:before="9"/>
              <w:ind w:left="69"/>
              <w:rPr>
                <w:b/>
                <w:sz w:val="20"/>
              </w:rPr>
            </w:pPr>
            <w:r>
              <w:rPr>
                <w:b/>
                <w:sz w:val="20"/>
              </w:rPr>
              <w:t>TOTAL</w:t>
            </w:r>
            <w:r>
              <w:rPr>
                <w:b/>
                <w:spacing w:val="-8"/>
                <w:sz w:val="20"/>
              </w:rPr>
              <w:t> </w:t>
            </w:r>
            <w:r>
              <w:rPr>
                <w:b/>
                <w:sz w:val="20"/>
              </w:rPr>
              <w:t>Subvenciones</w:t>
            </w:r>
            <w:r>
              <w:rPr>
                <w:b/>
                <w:spacing w:val="-9"/>
                <w:sz w:val="20"/>
              </w:rPr>
              <w:t> </w:t>
            </w:r>
            <w:r>
              <w:rPr>
                <w:b/>
                <w:sz w:val="20"/>
              </w:rPr>
              <w:t>al</w:t>
            </w:r>
            <w:r>
              <w:rPr>
                <w:b/>
                <w:spacing w:val="-6"/>
                <w:sz w:val="20"/>
              </w:rPr>
              <w:t> </w:t>
            </w:r>
            <w:r>
              <w:rPr>
                <w:b/>
                <w:spacing w:val="-2"/>
                <w:sz w:val="20"/>
              </w:rPr>
              <w:t>déficit</w:t>
            </w:r>
          </w:p>
        </w:tc>
        <w:tc>
          <w:tcPr>
            <w:tcW w:w="1464" w:type="dxa"/>
          </w:tcPr>
          <w:p>
            <w:pPr>
              <w:pStyle w:val="TableParagraph"/>
              <w:spacing w:line="227" w:lineRule="exact" w:before="9"/>
              <w:ind w:right="62"/>
              <w:jc w:val="right"/>
              <w:rPr>
                <w:b/>
                <w:sz w:val="20"/>
              </w:rPr>
            </w:pPr>
            <w:r>
              <w:rPr>
                <w:b/>
                <w:spacing w:val="-2"/>
                <w:sz w:val="20"/>
              </w:rPr>
              <w:t>25.767.105,00</w:t>
            </w:r>
          </w:p>
        </w:tc>
        <w:tc>
          <w:tcPr>
            <w:tcW w:w="1462" w:type="dxa"/>
          </w:tcPr>
          <w:p>
            <w:pPr>
              <w:pStyle w:val="TableParagraph"/>
              <w:spacing w:line="227" w:lineRule="exact" w:before="9"/>
              <w:ind w:right="60"/>
              <w:jc w:val="right"/>
              <w:rPr>
                <w:b/>
                <w:sz w:val="20"/>
              </w:rPr>
            </w:pPr>
            <w:r>
              <w:rPr>
                <w:b/>
                <w:spacing w:val="-2"/>
                <w:sz w:val="20"/>
              </w:rPr>
              <w:t>25.577.355,00</w:t>
            </w:r>
          </w:p>
        </w:tc>
        <w:tc>
          <w:tcPr>
            <w:tcW w:w="1424" w:type="dxa"/>
          </w:tcPr>
          <w:p>
            <w:pPr>
              <w:pStyle w:val="TableParagraph"/>
              <w:spacing w:line="227" w:lineRule="exact" w:before="9"/>
              <w:ind w:right="64"/>
              <w:jc w:val="right"/>
              <w:rPr>
                <w:b/>
                <w:sz w:val="20"/>
              </w:rPr>
            </w:pPr>
            <w:r>
              <w:rPr>
                <w:b/>
                <w:sz w:val="20"/>
              </w:rPr>
              <w:t>-</w:t>
            </w:r>
            <w:r>
              <w:rPr>
                <w:b/>
                <w:spacing w:val="-2"/>
                <w:sz w:val="20"/>
              </w:rPr>
              <w:t>189.750,00</w:t>
            </w:r>
          </w:p>
        </w:tc>
      </w:tr>
      <w:tr>
        <w:trPr>
          <w:trHeight w:val="253" w:hRule="atLeast"/>
        </w:trPr>
        <w:tc>
          <w:tcPr>
            <w:tcW w:w="4373" w:type="dxa"/>
          </w:tcPr>
          <w:p>
            <w:pPr>
              <w:pStyle w:val="TableParagraph"/>
              <w:spacing w:line="225" w:lineRule="exact" w:before="9"/>
              <w:ind w:left="69"/>
              <w:rPr>
                <w:sz w:val="20"/>
              </w:rPr>
            </w:pPr>
            <w:r>
              <w:rPr>
                <w:sz w:val="20"/>
              </w:rPr>
              <mc:AlternateContent>
                <mc:Choice Requires="wps">
                  <w:drawing>
                    <wp:anchor distT="0" distB="0" distL="0" distR="0" allowOverlap="1" layoutInCell="1" locked="0" behindDoc="1" simplePos="0" relativeHeight="476804608">
                      <wp:simplePos x="0" y="0"/>
                      <wp:positionH relativeFrom="column">
                        <wp:posOffset>1720595</wp:posOffset>
                      </wp:positionH>
                      <wp:positionV relativeFrom="paragraph">
                        <wp:posOffset>-129</wp:posOffset>
                      </wp:positionV>
                      <wp:extent cx="1053465" cy="16192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1053465" cy="161925"/>
                                <a:chExt cx="1053465" cy="161925"/>
                              </a:xfrm>
                            </wpg:grpSpPr>
                            <wps:wsp>
                              <wps:cNvPr id="376" name="Graphic 376"/>
                              <wps:cNvSpPr/>
                              <wps:spPr>
                                <a:xfrm>
                                  <a:off x="0" y="0"/>
                                  <a:ext cx="1053465" cy="161925"/>
                                </a:xfrm>
                                <a:custGeom>
                                  <a:avLst/>
                                  <a:gdLst/>
                                  <a:ahLst/>
                                  <a:cxnLst/>
                                  <a:rect l="l" t="t" r="r" b="b"/>
                                  <a:pathLst>
                                    <a:path w="1053465" h="161925">
                                      <a:moveTo>
                                        <a:pt x="1053084" y="161544"/>
                                      </a:moveTo>
                                      <a:lnTo>
                                        <a:pt x="0" y="161544"/>
                                      </a:lnTo>
                                      <a:lnTo>
                                        <a:pt x="0" y="0"/>
                                      </a:lnTo>
                                      <a:lnTo>
                                        <a:pt x="1053084" y="0"/>
                                      </a:lnTo>
                                      <a:lnTo>
                                        <a:pt x="1053084" y="1615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35.479996pt;margin-top:-.010188pt;width:82.95pt;height:12.75pt;mso-position-horizontal-relative:column;mso-position-vertical-relative:paragraph;z-index:-26511872" id="docshapegroup313" coordorigin="2710,0" coordsize="1659,255">
                      <v:rect style="position:absolute;left:2709;top:-1;width:1659;height:255" id="docshape314" filled="true" fillcolor="#ffffff" stroked="false">
                        <v:fill type="solid"/>
                      </v:rect>
                      <w10:wrap type="none"/>
                    </v:group>
                  </w:pict>
                </mc:Fallback>
              </mc:AlternateContent>
            </w:r>
            <w:r>
              <w:rPr>
                <w:sz w:val="20"/>
              </w:rPr>
              <w:t>Subvenciones</w:t>
            </w:r>
            <w:r>
              <w:rPr>
                <w:spacing w:val="-6"/>
                <w:sz w:val="20"/>
              </w:rPr>
              <w:t> </w:t>
            </w:r>
            <w:r>
              <w:rPr>
                <w:sz w:val="20"/>
              </w:rPr>
              <w:t>de</w:t>
            </w:r>
            <w:r>
              <w:rPr>
                <w:spacing w:val="-4"/>
                <w:sz w:val="20"/>
              </w:rPr>
              <w:t> </w:t>
            </w:r>
            <w:r>
              <w:rPr>
                <w:sz w:val="20"/>
              </w:rPr>
              <w:t>capital</w:t>
            </w:r>
            <w:r>
              <w:rPr>
                <w:spacing w:val="-6"/>
                <w:sz w:val="20"/>
              </w:rPr>
              <w:t> </w:t>
            </w:r>
            <w:r>
              <w:rPr>
                <w:sz w:val="20"/>
              </w:rPr>
              <w:t>-</w:t>
            </w:r>
            <w:r>
              <w:rPr>
                <w:spacing w:val="-3"/>
                <w:sz w:val="20"/>
              </w:rPr>
              <w:t> </w:t>
            </w:r>
            <w:r>
              <w:rPr>
                <w:sz w:val="20"/>
              </w:rPr>
              <w:t>Ay</w:t>
            </w:r>
            <w:r>
              <w:rPr>
                <w:spacing w:val="44"/>
                <w:sz w:val="20"/>
              </w:rPr>
              <w:t> </w:t>
            </w:r>
            <w:r>
              <w:rPr>
                <w:sz w:val="20"/>
              </w:rPr>
              <w:t>ntamiento</w:t>
            </w:r>
            <w:r>
              <w:rPr>
                <w:spacing w:val="-7"/>
                <w:sz w:val="20"/>
              </w:rPr>
              <w:t> </w:t>
            </w:r>
            <w:r>
              <w:rPr>
                <w:spacing w:val="-4"/>
                <w:sz w:val="20"/>
              </w:rPr>
              <w:t>LPGC</w:t>
            </w:r>
          </w:p>
        </w:tc>
        <w:tc>
          <w:tcPr>
            <w:tcW w:w="1464" w:type="dxa"/>
          </w:tcPr>
          <w:p>
            <w:pPr>
              <w:pStyle w:val="TableParagraph"/>
              <w:spacing w:line="225" w:lineRule="exact" w:before="9"/>
              <w:ind w:right="61"/>
              <w:jc w:val="right"/>
              <w:rPr>
                <w:sz w:val="20"/>
              </w:rPr>
            </w:pPr>
            <w:r>
              <w:rPr>
                <w:spacing w:val="-2"/>
                <w:sz w:val="20"/>
              </w:rPr>
              <w:t>4.000.000,00</w:t>
            </w:r>
          </w:p>
        </w:tc>
        <w:tc>
          <w:tcPr>
            <w:tcW w:w="1462" w:type="dxa"/>
          </w:tcPr>
          <w:p>
            <w:pPr>
              <w:pStyle w:val="TableParagraph"/>
              <w:spacing w:line="225" w:lineRule="exact" w:before="9"/>
              <w:ind w:right="59"/>
              <w:jc w:val="right"/>
              <w:rPr>
                <w:sz w:val="20"/>
              </w:rPr>
            </w:pPr>
            <w:r>
              <w:rPr>
                <w:spacing w:val="-2"/>
                <w:sz w:val="20"/>
              </w:rPr>
              <w:t>6.816.131,33</w:t>
            </w:r>
          </w:p>
        </w:tc>
        <w:tc>
          <w:tcPr>
            <w:tcW w:w="1424" w:type="dxa"/>
          </w:tcPr>
          <w:p>
            <w:pPr>
              <w:pStyle w:val="TableParagraph"/>
              <w:spacing w:line="225" w:lineRule="exact" w:before="9"/>
              <w:ind w:right="62"/>
              <w:jc w:val="right"/>
              <w:rPr>
                <w:sz w:val="20"/>
              </w:rPr>
            </w:pPr>
            <w:r>
              <w:rPr>
                <w:spacing w:val="-2"/>
                <w:sz w:val="20"/>
              </w:rPr>
              <w:t>2.816.131,33</w:t>
            </w:r>
          </w:p>
        </w:tc>
      </w:tr>
      <w:tr>
        <w:trPr>
          <w:trHeight w:val="254" w:hRule="atLeast"/>
        </w:trPr>
        <w:tc>
          <w:tcPr>
            <w:tcW w:w="4373" w:type="dxa"/>
          </w:tcPr>
          <w:p>
            <w:pPr>
              <w:pStyle w:val="TableParagraph"/>
              <w:spacing w:line="225" w:lineRule="exact" w:before="9"/>
              <w:ind w:left="69"/>
              <w:rPr>
                <w:sz w:val="20"/>
              </w:rPr>
            </w:pPr>
            <w:r>
              <w:rPr>
                <w:sz w:val="20"/>
              </w:rPr>
              <w:t>Subvenciones</w:t>
            </w:r>
            <w:r>
              <w:rPr>
                <w:spacing w:val="-7"/>
                <w:sz w:val="20"/>
              </w:rPr>
              <w:t> </w:t>
            </w:r>
            <w:r>
              <w:rPr>
                <w:sz w:val="20"/>
              </w:rPr>
              <w:t>de</w:t>
            </w:r>
            <w:r>
              <w:rPr>
                <w:spacing w:val="-6"/>
                <w:sz w:val="20"/>
              </w:rPr>
              <w:t> </w:t>
            </w:r>
            <w:r>
              <w:rPr>
                <w:sz w:val="20"/>
              </w:rPr>
              <w:t>capital</w:t>
            </w:r>
            <w:r>
              <w:rPr>
                <w:spacing w:val="-7"/>
                <w:sz w:val="20"/>
              </w:rPr>
              <w:t> </w:t>
            </w:r>
            <w:r>
              <w:rPr>
                <w:sz w:val="20"/>
              </w:rPr>
              <w:t>-</w:t>
            </w:r>
            <w:r>
              <w:rPr>
                <w:spacing w:val="-5"/>
                <w:sz w:val="20"/>
              </w:rPr>
              <w:t> </w:t>
            </w:r>
            <w:r>
              <w:rPr>
                <w:spacing w:val="-4"/>
                <w:sz w:val="20"/>
              </w:rPr>
              <w:t>AUTGC</w:t>
            </w:r>
          </w:p>
        </w:tc>
        <w:tc>
          <w:tcPr>
            <w:tcW w:w="1464" w:type="dxa"/>
          </w:tcPr>
          <w:p>
            <w:pPr>
              <w:pStyle w:val="TableParagraph"/>
              <w:spacing w:line="225" w:lineRule="exact" w:before="9"/>
              <w:ind w:right="62"/>
              <w:jc w:val="right"/>
              <w:rPr>
                <w:sz w:val="20"/>
              </w:rPr>
            </w:pPr>
            <w:r>
              <w:rPr>
                <w:spacing w:val="-4"/>
                <w:sz w:val="20"/>
              </w:rPr>
              <w:t>0,00</w:t>
            </w:r>
          </w:p>
        </w:tc>
        <w:tc>
          <w:tcPr>
            <w:tcW w:w="1462" w:type="dxa"/>
          </w:tcPr>
          <w:p>
            <w:pPr>
              <w:pStyle w:val="TableParagraph"/>
              <w:spacing w:line="225" w:lineRule="exact" w:before="9"/>
              <w:ind w:right="60"/>
              <w:jc w:val="right"/>
              <w:rPr>
                <w:sz w:val="20"/>
              </w:rPr>
            </w:pPr>
            <w:r>
              <w:rPr>
                <w:spacing w:val="-4"/>
                <w:sz w:val="20"/>
              </w:rPr>
              <w:t>0,00</w:t>
            </w:r>
          </w:p>
        </w:tc>
        <w:tc>
          <w:tcPr>
            <w:tcW w:w="1424" w:type="dxa"/>
          </w:tcPr>
          <w:p>
            <w:pPr>
              <w:pStyle w:val="TableParagraph"/>
              <w:spacing w:line="225" w:lineRule="exact" w:before="9"/>
              <w:ind w:right="63"/>
              <w:jc w:val="right"/>
              <w:rPr>
                <w:sz w:val="20"/>
              </w:rPr>
            </w:pPr>
            <w:r>
              <w:rPr>
                <w:spacing w:val="-4"/>
                <w:sz w:val="20"/>
              </w:rPr>
              <w:t>0,00</w:t>
            </w:r>
          </w:p>
        </w:tc>
      </w:tr>
      <w:tr>
        <w:trPr>
          <w:trHeight w:val="256" w:hRule="atLeast"/>
        </w:trPr>
        <w:tc>
          <w:tcPr>
            <w:tcW w:w="4373" w:type="dxa"/>
          </w:tcPr>
          <w:p>
            <w:pPr>
              <w:pStyle w:val="TableParagraph"/>
              <w:spacing w:line="227" w:lineRule="exact" w:before="9"/>
              <w:ind w:left="69"/>
              <w:rPr>
                <w:b/>
                <w:sz w:val="20"/>
              </w:rPr>
            </w:pPr>
            <w:r>
              <w:rPr>
                <w:b/>
                <w:sz w:val="20"/>
              </w:rPr>
              <w:t>TOTAL</w:t>
            </w:r>
            <w:r>
              <w:rPr>
                <w:b/>
                <w:spacing w:val="-9"/>
                <w:sz w:val="20"/>
              </w:rPr>
              <w:t> </w:t>
            </w:r>
            <w:r>
              <w:rPr>
                <w:b/>
                <w:sz w:val="20"/>
              </w:rPr>
              <w:t>Subvenciones</w:t>
            </w:r>
            <w:r>
              <w:rPr>
                <w:b/>
                <w:spacing w:val="-10"/>
                <w:sz w:val="20"/>
              </w:rPr>
              <w:t> </w:t>
            </w:r>
            <w:r>
              <w:rPr>
                <w:b/>
                <w:sz w:val="20"/>
              </w:rPr>
              <w:t>de</w:t>
            </w:r>
            <w:r>
              <w:rPr>
                <w:b/>
                <w:spacing w:val="-8"/>
                <w:sz w:val="20"/>
              </w:rPr>
              <w:t> </w:t>
            </w:r>
            <w:r>
              <w:rPr>
                <w:b/>
                <w:spacing w:val="-2"/>
                <w:sz w:val="20"/>
              </w:rPr>
              <w:t>capital</w:t>
            </w:r>
          </w:p>
        </w:tc>
        <w:tc>
          <w:tcPr>
            <w:tcW w:w="1464" w:type="dxa"/>
          </w:tcPr>
          <w:p>
            <w:pPr>
              <w:pStyle w:val="TableParagraph"/>
              <w:spacing w:line="227" w:lineRule="exact" w:before="9"/>
              <w:ind w:right="61"/>
              <w:jc w:val="right"/>
              <w:rPr>
                <w:b/>
                <w:sz w:val="20"/>
              </w:rPr>
            </w:pPr>
            <w:r>
              <w:rPr>
                <w:b/>
                <w:spacing w:val="-2"/>
                <w:sz w:val="20"/>
              </w:rPr>
              <w:t>4.000.000,00</w:t>
            </w:r>
          </w:p>
        </w:tc>
        <w:tc>
          <w:tcPr>
            <w:tcW w:w="1462" w:type="dxa"/>
          </w:tcPr>
          <w:p>
            <w:pPr>
              <w:pStyle w:val="TableParagraph"/>
              <w:spacing w:line="227" w:lineRule="exact" w:before="9"/>
              <w:ind w:right="59"/>
              <w:jc w:val="right"/>
              <w:rPr>
                <w:b/>
                <w:sz w:val="20"/>
              </w:rPr>
            </w:pPr>
            <w:r>
              <w:rPr>
                <w:b/>
                <w:spacing w:val="-2"/>
                <w:sz w:val="20"/>
              </w:rPr>
              <w:t>6.816.131,33</w:t>
            </w:r>
          </w:p>
        </w:tc>
        <w:tc>
          <w:tcPr>
            <w:tcW w:w="1424" w:type="dxa"/>
          </w:tcPr>
          <w:p>
            <w:pPr>
              <w:pStyle w:val="TableParagraph"/>
              <w:spacing w:line="227" w:lineRule="exact" w:before="9"/>
              <w:ind w:right="62"/>
              <w:jc w:val="right"/>
              <w:rPr>
                <w:b/>
                <w:sz w:val="20"/>
              </w:rPr>
            </w:pPr>
            <w:r>
              <w:rPr>
                <w:b/>
                <w:spacing w:val="-2"/>
                <w:sz w:val="20"/>
              </w:rPr>
              <w:t>2.816.131,33</w:t>
            </w:r>
          </w:p>
        </w:tc>
      </w:tr>
      <w:tr>
        <w:trPr>
          <w:trHeight w:val="254" w:hRule="atLeast"/>
        </w:trPr>
        <w:tc>
          <w:tcPr>
            <w:tcW w:w="4373" w:type="dxa"/>
          </w:tcPr>
          <w:p>
            <w:pPr>
              <w:pStyle w:val="TableParagraph"/>
              <w:spacing w:line="227" w:lineRule="exact" w:before="6"/>
              <w:ind w:left="69"/>
              <w:rPr>
                <w:b/>
                <w:sz w:val="20"/>
              </w:rPr>
            </w:pPr>
            <w:r>
              <w:rPr>
                <w:b/>
                <w:sz w:val="20"/>
              </w:rPr>
              <w:t>TOTAL</w:t>
            </w:r>
            <w:r>
              <w:rPr>
                <w:b/>
                <w:spacing w:val="-13"/>
                <w:sz w:val="20"/>
              </w:rPr>
              <w:t> </w:t>
            </w:r>
            <w:r>
              <w:rPr>
                <w:b/>
                <w:sz w:val="20"/>
              </w:rPr>
              <w:t>SUBVENCIONES</w:t>
            </w:r>
            <w:r>
              <w:rPr>
                <w:b/>
                <w:spacing w:val="-10"/>
                <w:sz w:val="20"/>
              </w:rPr>
              <w:t> </w:t>
            </w:r>
            <w:r>
              <w:rPr>
                <w:b/>
                <w:spacing w:val="-2"/>
                <w:sz w:val="20"/>
              </w:rPr>
              <w:t>PÚBLICAS</w:t>
            </w:r>
          </w:p>
        </w:tc>
        <w:tc>
          <w:tcPr>
            <w:tcW w:w="1464" w:type="dxa"/>
          </w:tcPr>
          <w:p>
            <w:pPr>
              <w:pStyle w:val="TableParagraph"/>
              <w:spacing w:line="227" w:lineRule="exact" w:before="6"/>
              <w:ind w:right="62"/>
              <w:jc w:val="right"/>
              <w:rPr>
                <w:b/>
                <w:sz w:val="20"/>
              </w:rPr>
            </w:pPr>
            <w:r>
              <w:rPr>
                <w:b/>
                <w:spacing w:val="-2"/>
                <w:sz w:val="20"/>
              </w:rPr>
              <w:t>63.235.661,38</w:t>
            </w:r>
          </w:p>
        </w:tc>
        <w:tc>
          <w:tcPr>
            <w:tcW w:w="1462" w:type="dxa"/>
          </w:tcPr>
          <w:p>
            <w:pPr>
              <w:pStyle w:val="TableParagraph"/>
              <w:spacing w:line="227" w:lineRule="exact" w:before="6"/>
              <w:ind w:right="60"/>
              <w:jc w:val="right"/>
              <w:rPr>
                <w:b/>
                <w:sz w:val="20"/>
              </w:rPr>
            </w:pPr>
            <w:r>
              <w:rPr>
                <w:b/>
                <w:spacing w:val="-2"/>
                <w:sz w:val="20"/>
              </w:rPr>
              <w:t>71.599.696,92</w:t>
            </w:r>
          </w:p>
        </w:tc>
        <w:tc>
          <w:tcPr>
            <w:tcW w:w="1424" w:type="dxa"/>
          </w:tcPr>
          <w:p>
            <w:pPr>
              <w:pStyle w:val="TableParagraph"/>
              <w:spacing w:line="227" w:lineRule="exact" w:before="6"/>
              <w:ind w:right="62"/>
              <w:jc w:val="right"/>
              <w:rPr>
                <w:b/>
                <w:sz w:val="20"/>
              </w:rPr>
            </w:pPr>
            <w:r>
              <w:rPr>
                <w:b/>
                <w:spacing w:val="-2"/>
                <w:sz w:val="20"/>
              </w:rPr>
              <w:t>8.364.035,54</w:t>
            </w:r>
          </w:p>
        </w:tc>
      </w:tr>
    </w:tbl>
    <w:p>
      <w:pPr>
        <w:pStyle w:val="BodyText"/>
        <w:spacing w:before="12"/>
      </w:pPr>
    </w:p>
    <w:p>
      <w:pPr>
        <w:pStyle w:val="BodyText"/>
        <w:spacing w:line="360" w:lineRule="auto" w:before="1"/>
        <w:ind w:left="1341" w:right="1336"/>
        <w:jc w:val="both"/>
      </w:pPr>
      <w:r>
        <w:rPr/>
        <mc:AlternateContent>
          <mc:Choice Requires="wps">
            <w:drawing>
              <wp:anchor distT="0" distB="0" distL="0" distR="0" allowOverlap="1" layoutInCell="1" locked="0" behindDoc="1" simplePos="0" relativeHeight="476802560">
                <wp:simplePos x="0" y="0"/>
                <wp:positionH relativeFrom="page">
                  <wp:posOffset>2679129</wp:posOffset>
                </wp:positionH>
                <wp:positionV relativeFrom="paragraph">
                  <wp:posOffset>-1316179</wp:posOffset>
                </wp:positionV>
                <wp:extent cx="77470" cy="14160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77470" cy="141605"/>
                        </a:xfrm>
                        <a:prstGeom prst="rect">
                          <a:avLst/>
                        </a:prstGeom>
                      </wps:spPr>
                      <wps:txbx>
                        <w:txbxContent>
                          <w:p>
                            <w:pPr>
                              <w:pStyle w:val="BodyText"/>
                              <w:spacing w:line="223" w:lineRule="exact"/>
                            </w:pPr>
                            <w:r>
                              <w:rPr>
                                <w:spacing w:val="-12"/>
                              </w:rPr>
                              <w:t>T</w:t>
                            </w:r>
                          </w:p>
                        </w:txbxContent>
                      </wps:txbx>
                      <wps:bodyPr wrap="square" lIns="0" tIns="0" rIns="0" bIns="0" rtlCol="0">
                        <a:noAutofit/>
                      </wps:bodyPr>
                    </wps:wsp>
                  </a:graphicData>
                </a:graphic>
              </wp:anchor>
            </w:drawing>
          </mc:Choice>
          <mc:Fallback>
            <w:pict>
              <v:shape style="position:absolute;margin-left:210.955078pt;margin-top:-103.636162pt;width:6.1pt;height:11.15pt;mso-position-horizontal-relative:page;mso-position-vertical-relative:paragraph;z-index:-26513920" type="#_x0000_t202" id="docshape315" filled="false" stroked="false">
                <v:textbox inset="0,0,0,0">
                  <w:txbxContent>
                    <w:p>
                      <w:pPr>
                        <w:pStyle w:val="BodyText"/>
                        <w:spacing w:line="223" w:lineRule="exact"/>
                      </w:pPr>
                      <w:r>
                        <w:rPr>
                          <w:spacing w:val="-12"/>
                        </w:rPr>
                        <w:t>T</w:t>
                      </w:r>
                    </w:p>
                  </w:txbxContent>
                </v:textbox>
                <w10:wrap type="none"/>
              </v:shape>
            </w:pict>
          </mc:Fallback>
        </mc:AlternateContent>
      </w:r>
      <w:r>
        <w:rPr/>
        <mc:AlternateContent>
          <mc:Choice Requires="wps">
            <w:drawing>
              <wp:anchor distT="0" distB="0" distL="0" distR="0" allowOverlap="1" layoutInCell="1" locked="0" behindDoc="1" simplePos="0" relativeHeight="476803072">
                <wp:simplePos x="0" y="0"/>
                <wp:positionH relativeFrom="page">
                  <wp:posOffset>2692965</wp:posOffset>
                </wp:positionH>
                <wp:positionV relativeFrom="paragraph">
                  <wp:posOffset>-811735</wp:posOffset>
                </wp:positionV>
                <wp:extent cx="70485" cy="14160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70485" cy="141605"/>
                        </a:xfrm>
                        <a:prstGeom prst="rect">
                          <a:avLst/>
                        </a:prstGeom>
                      </wps:spPr>
                      <wps:txbx>
                        <w:txbxContent>
                          <w:p>
                            <w:pPr>
                              <w:pStyle w:val="BodyText"/>
                              <w:spacing w:line="223" w:lineRule="exact"/>
                            </w:pPr>
                            <w:r>
                              <w:rPr>
                                <w:spacing w:val="-12"/>
                              </w:rPr>
                              <w:t>u</w:t>
                            </w:r>
                          </w:p>
                        </w:txbxContent>
                      </wps:txbx>
                      <wps:bodyPr wrap="square" lIns="0" tIns="0" rIns="0" bIns="0" rtlCol="0">
                        <a:noAutofit/>
                      </wps:bodyPr>
                    </wps:wsp>
                  </a:graphicData>
                </a:graphic>
              </wp:anchor>
            </w:drawing>
          </mc:Choice>
          <mc:Fallback>
            <w:pict>
              <v:shape style="position:absolute;margin-left:212.044525pt;margin-top:-63.916164pt;width:5.55pt;height:11.15pt;mso-position-horizontal-relative:page;mso-position-vertical-relative:paragraph;z-index:-26513408" type="#_x0000_t202" id="docshape316" filled="false" stroked="false">
                <v:textbox inset="0,0,0,0">
                  <w:txbxContent>
                    <w:p>
                      <w:pPr>
                        <w:pStyle w:val="BodyText"/>
                        <w:spacing w:line="223" w:lineRule="exact"/>
                      </w:pPr>
                      <w:r>
                        <w:rPr>
                          <w:spacing w:val="-12"/>
                        </w:rPr>
                        <w:t>u</w:t>
                      </w:r>
                    </w:p>
                  </w:txbxContent>
                </v:textbox>
                <w10:wrap type="none"/>
              </v:shape>
            </w:pict>
          </mc:Fallback>
        </mc:AlternateContent>
      </w:r>
      <w:r>
        <w:rPr/>
        <w:t>El proyecto del sistema rápido de transporte denominado MetroGuagua, constituye un gran avance para el sistema de movilidad de la Ciudad, y un aumento de la cuota de mercado del transporte</w:t>
      </w:r>
      <w:r>
        <w:rPr>
          <w:spacing w:val="-1"/>
        </w:rPr>
        <w:t> </w:t>
      </w:r>
      <w:r>
        <w:rPr/>
        <w:t>público,</w:t>
      </w:r>
      <w:r>
        <w:rPr>
          <w:spacing w:val="-1"/>
        </w:rPr>
        <w:t> </w:t>
      </w:r>
      <w:r>
        <w:rPr/>
        <w:t>mejorando</w:t>
      </w:r>
      <w:r>
        <w:rPr>
          <w:spacing w:val="2"/>
        </w:rPr>
        <w:t> </w:t>
      </w:r>
      <w:r>
        <w:rPr/>
        <w:t>la</w:t>
      </w:r>
      <w:r>
        <w:rPr>
          <w:spacing w:val="3"/>
        </w:rPr>
        <w:t> </w:t>
      </w:r>
      <w:r>
        <w:rPr/>
        <w:t>prestación</w:t>
      </w:r>
      <w:r>
        <w:rPr>
          <w:spacing w:val="-1"/>
        </w:rPr>
        <w:t> </w:t>
      </w:r>
      <w:r>
        <w:rPr/>
        <w:t>del servicio</w:t>
      </w:r>
      <w:r>
        <w:rPr>
          <w:spacing w:val="-1"/>
        </w:rPr>
        <w:t> </w:t>
      </w:r>
      <w:r>
        <w:rPr/>
        <w:t>para</w:t>
      </w:r>
      <w:r>
        <w:rPr>
          <w:spacing w:val="-2"/>
        </w:rPr>
        <w:t> </w:t>
      </w:r>
      <w:r>
        <w:rPr/>
        <w:t>el</w:t>
      </w:r>
      <w:r>
        <w:rPr>
          <w:spacing w:val="-1"/>
        </w:rPr>
        <w:t> </w:t>
      </w:r>
      <w:r>
        <w:rPr/>
        <w:t>cliente. Dicho</w:t>
      </w:r>
      <w:r>
        <w:rPr>
          <w:spacing w:val="3"/>
        </w:rPr>
        <w:t> </w:t>
      </w:r>
      <w:r>
        <w:rPr/>
        <w:t>proyecto</w:t>
      </w:r>
      <w:r>
        <w:rPr>
          <w:spacing w:val="-1"/>
        </w:rPr>
        <w:t> </w:t>
      </w:r>
      <w:r>
        <w:rPr>
          <w:spacing w:val="-2"/>
        </w:rPr>
        <w:t>conlleva</w:t>
      </w:r>
    </w:p>
    <w:p>
      <w:pPr>
        <w:pStyle w:val="BodyText"/>
        <w:spacing w:before="1"/>
        <w:ind w:right="1"/>
        <w:jc w:val="center"/>
      </w:pPr>
      <w:r>
        <w:rPr/>
        <w:t>una</w:t>
      </w:r>
      <w:r>
        <w:rPr>
          <w:spacing w:val="51"/>
        </w:rPr>
        <w:t> </w:t>
      </w:r>
      <w:r>
        <w:rPr/>
        <w:t>reordenación</w:t>
      </w:r>
      <w:r>
        <w:rPr>
          <w:spacing w:val="50"/>
        </w:rPr>
        <w:t> </w:t>
      </w:r>
      <w:r>
        <w:rPr/>
        <w:t>de</w:t>
      </w:r>
      <w:r>
        <w:rPr>
          <w:spacing w:val="52"/>
        </w:rPr>
        <w:t> </w:t>
      </w:r>
      <w:r>
        <w:rPr/>
        <w:t>líneas</w:t>
      </w:r>
      <w:r>
        <w:rPr>
          <w:spacing w:val="53"/>
        </w:rPr>
        <w:t> </w:t>
      </w:r>
      <w:r>
        <w:rPr/>
        <w:t>hasta</w:t>
      </w:r>
      <w:r>
        <w:rPr>
          <w:spacing w:val="53"/>
        </w:rPr>
        <w:t> </w:t>
      </w:r>
      <w:r>
        <w:rPr/>
        <w:t>los</w:t>
      </w:r>
      <w:r>
        <w:rPr>
          <w:spacing w:val="55"/>
        </w:rPr>
        <w:t> </w:t>
      </w:r>
      <w:r>
        <w:rPr/>
        <w:t>grandes</w:t>
      </w:r>
      <w:r>
        <w:rPr>
          <w:spacing w:val="51"/>
        </w:rPr>
        <w:t> </w:t>
      </w:r>
      <w:r>
        <w:rPr/>
        <w:t>corredores</w:t>
      </w:r>
      <w:r>
        <w:rPr>
          <w:spacing w:val="53"/>
        </w:rPr>
        <w:t> </w:t>
      </w:r>
      <w:r>
        <w:rPr/>
        <w:t>en</w:t>
      </w:r>
      <w:r>
        <w:rPr>
          <w:spacing w:val="51"/>
        </w:rPr>
        <w:t> </w:t>
      </w:r>
      <w:r>
        <w:rPr/>
        <w:t>la</w:t>
      </w:r>
      <w:r>
        <w:rPr>
          <w:spacing w:val="51"/>
        </w:rPr>
        <w:t> </w:t>
      </w:r>
      <w:r>
        <w:rPr/>
        <w:t>parte</w:t>
      </w:r>
      <w:r>
        <w:rPr>
          <w:spacing w:val="50"/>
        </w:rPr>
        <w:t> </w:t>
      </w:r>
      <w:r>
        <w:rPr/>
        <w:t>baja</w:t>
      </w:r>
      <w:r>
        <w:rPr>
          <w:spacing w:val="51"/>
        </w:rPr>
        <w:t> </w:t>
      </w:r>
      <w:r>
        <w:rPr/>
        <w:t>de</w:t>
      </w:r>
      <w:r>
        <w:rPr>
          <w:spacing w:val="52"/>
        </w:rPr>
        <w:t> </w:t>
      </w:r>
      <w:r>
        <w:rPr/>
        <w:t>la</w:t>
      </w:r>
      <w:r>
        <w:rPr>
          <w:spacing w:val="51"/>
        </w:rPr>
        <w:t> </w:t>
      </w:r>
      <w:r>
        <w:rPr>
          <w:spacing w:val="-2"/>
        </w:rPr>
        <w:t>ciudad,</w:t>
      </w:r>
    </w:p>
    <w:p>
      <w:pPr>
        <w:pStyle w:val="BodyText"/>
        <w:spacing w:before="114"/>
        <w:ind w:left="2"/>
        <w:jc w:val="center"/>
      </w:pPr>
      <w:r>
        <w:rPr/>
        <w:t>incrementando</w:t>
      </w:r>
      <w:r>
        <w:rPr>
          <w:spacing w:val="60"/>
        </w:rPr>
        <w:t> </w:t>
      </w:r>
      <w:r>
        <w:rPr/>
        <w:t>sustancialmente</w:t>
      </w:r>
      <w:r>
        <w:rPr>
          <w:spacing w:val="60"/>
        </w:rPr>
        <w:t> </w:t>
      </w:r>
      <w:r>
        <w:rPr/>
        <w:t>la</w:t>
      </w:r>
      <w:r>
        <w:rPr>
          <w:spacing w:val="58"/>
        </w:rPr>
        <w:t> </w:t>
      </w:r>
      <w:r>
        <w:rPr/>
        <w:t>frecuencia</w:t>
      </w:r>
      <w:r>
        <w:rPr>
          <w:spacing w:val="58"/>
        </w:rPr>
        <w:t> </w:t>
      </w:r>
      <w:r>
        <w:rPr/>
        <w:t>de</w:t>
      </w:r>
      <w:r>
        <w:rPr>
          <w:spacing w:val="63"/>
        </w:rPr>
        <w:t> </w:t>
      </w:r>
      <w:r>
        <w:rPr/>
        <w:t>paso</w:t>
      </w:r>
      <w:r>
        <w:rPr>
          <w:spacing w:val="58"/>
        </w:rPr>
        <w:t> </w:t>
      </w:r>
      <w:r>
        <w:rPr/>
        <w:t>de</w:t>
      </w:r>
      <w:r>
        <w:rPr>
          <w:spacing w:val="63"/>
        </w:rPr>
        <w:t> </w:t>
      </w:r>
      <w:r>
        <w:rPr/>
        <w:t>las</w:t>
      </w:r>
      <w:r>
        <w:rPr>
          <w:spacing w:val="61"/>
        </w:rPr>
        <w:t> </w:t>
      </w:r>
      <w:r>
        <w:rPr/>
        <w:t>líneas</w:t>
      </w:r>
      <w:r>
        <w:rPr>
          <w:spacing w:val="61"/>
        </w:rPr>
        <w:t> </w:t>
      </w:r>
      <w:r>
        <w:rPr/>
        <w:t>del</w:t>
      </w:r>
      <w:r>
        <w:rPr>
          <w:spacing w:val="58"/>
        </w:rPr>
        <w:t> </w:t>
      </w:r>
      <w:r>
        <w:rPr/>
        <w:t>resto</w:t>
      </w:r>
      <w:r>
        <w:rPr>
          <w:spacing w:val="59"/>
        </w:rPr>
        <w:t> </w:t>
      </w:r>
      <w:r>
        <w:rPr/>
        <w:t>de</w:t>
      </w:r>
      <w:r>
        <w:rPr>
          <w:spacing w:val="63"/>
        </w:rPr>
        <w:t> </w:t>
      </w:r>
      <w:r>
        <w:rPr>
          <w:spacing w:val="-2"/>
        </w:rPr>
        <w:t>zonas,</w:t>
      </w:r>
    </w:p>
    <w:p>
      <w:pPr>
        <w:pStyle w:val="BodyText"/>
        <w:spacing w:line="362" w:lineRule="auto" w:before="115"/>
        <w:ind w:left="1341" w:right="1336"/>
        <w:jc w:val="both"/>
      </w:pPr>
      <w:r>
        <w:rPr/>
        <w:t>reforzando el concepto de red global y evitando allí donde sea posible la superposición de líneas. La implementación de este proyecto también facilitará el refuerzo de la identificación del personal con la marca en el medio plazo.</w:t>
      </w:r>
    </w:p>
    <w:p>
      <w:pPr>
        <w:pStyle w:val="Heading3"/>
        <w:numPr>
          <w:ilvl w:val="1"/>
          <w:numId w:val="48"/>
        </w:numPr>
        <w:tabs>
          <w:tab w:pos="1724" w:val="left" w:leader="none"/>
        </w:tabs>
        <w:spacing w:line="240" w:lineRule="auto" w:before="194" w:after="0"/>
        <w:ind w:left="1724" w:right="0" w:hanging="383"/>
        <w:jc w:val="left"/>
      </w:pPr>
      <w:bookmarkStart w:name="_TOC_250001" w:id="51"/>
      <w:r>
        <w:rPr/>
        <w:t>Colaboraciones</w:t>
      </w:r>
      <w:r>
        <w:rPr>
          <w:spacing w:val="-11"/>
        </w:rPr>
        <w:t> </w:t>
      </w:r>
      <w:r>
        <w:rPr/>
        <w:t>con</w:t>
      </w:r>
      <w:r>
        <w:rPr>
          <w:spacing w:val="-8"/>
        </w:rPr>
        <w:t> </w:t>
      </w:r>
      <w:bookmarkEnd w:id="51"/>
      <w:r>
        <w:rPr>
          <w:spacing w:val="-2"/>
        </w:rPr>
        <w:t>entidades</w:t>
      </w:r>
    </w:p>
    <w:p>
      <w:pPr>
        <w:pStyle w:val="BodyText"/>
        <w:spacing w:before="44"/>
        <w:rPr>
          <w:b/>
        </w:rPr>
      </w:pPr>
    </w:p>
    <w:p>
      <w:pPr>
        <w:pStyle w:val="BodyText"/>
        <w:spacing w:line="362" w:lineRule="auto"/>
        <w:ind w:left="1341" w:right="1336"/>
        <w:jc w:val="both"/>
      </w:pPr>
      <w:r>
        <w:rPr/>
        <w:t>A continuación se detallan las colaboraciones desarrolladas por Guaguas con entidades de su </w:t>
      </w:r>
      <w:r>
        <w:rPr>
          <w:spacing w:val="-2"/>
        </w:rPr>
        <w:t>entorno.</w:t>
      </w:r>
    </w:p>
    <w:p>
      <w:pPr>
        <w:pStyle w:val="Heading4"/>
        <w:spacing w:before="196"/>
        <w:ind w:left="1341"/>
        <w:jc w:val="both"/>
        <w:rPr>
          <w:i/>
          <w:u w:val="none"/>
        </w:rPr>
      </w:pPr>
      <w:r>
        <w:rPr>
          <w:i/>
          <w:u w:val="none"/>
        </w:rPr>
        <w:t>Convenios</w:t>
      </w:r>
      <w:r>
        <w:rPr>
          <w:i/>
          <w:spacing w:val="-8"/>
          <w:u w:val="none"/>
        </w:rPr>
        <w:t> </w:t>
      </w:r>
      <w:r>
        <w:rPr>
          <w:i/>
          <w:u w:val="none"/>
        </w:rPr>
        <w:t>y</w:t>
      </w:r>
      <w:r>
        <w:rPr>
          <w:i/>
          <w:spacing w:val="-9"/>
          <w:u w:val="none"/>
        </w:rPr>
        <w:t> </w:t>
      </w:r>
      <w:r>
        <w:rPr>
          <w:i/>
          <w:spacing w:val="-2"/>
          <w:u w:val="none"/>
        </w:rPr>
        <w:t>patrocinios:</w:t>
      </w:r>
    </w:p>
    <w:p>
      <w:pPr>
        <w:pStyle w:val="ListParagraph"/>
        <w:numPr>
          <w:ilvl w:val="2"/>
          <w:numId w:val="48"/>
        </w:numPr>
        <w:tabs>
          <w:tab w:pos="1623" w:val="left" w:leader="none"/>
        </w:tabs>
        <w:spacing w:line="240" w:lineRule="auto" w:before="114" w:after="0"/>
        <w:ind w:left="1623" w:right="0" w:hanging="282"/>
        <w:jc w:val="both"/>
        <w:rPr>
          <w:sz w:val="20"/>
        </w:rPr>
      </w:pPr>
      <w:r>
        <w:rPr>
          <w:sz w:val="20"/>
        </w:rPr>
        <mc:AlternateContent>
          <mc:Choice Requires="wps">
            <w:drawing>
              <wp:anchor distT="0" distB="0" distL="0" distR="0" allowOverlap="1" layoutInCell="1" locked="0" behindDoc="0" simplePos="0" relativeHeight="15836672">
                <wp:simplePos x="0" y="0"/>
                <wp:positionH relativeFrom="page">
                  <wp:posOffset>6966436</wp:posOffset>
                </wp:positionH>
                <wp:positionV relativeFrom="paragraph">
                  <wp:posOffset>51377</wp:posOffset>
                </wp:positionV>
                <wp:extent cx="263525" cy="327596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67</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4.045488pt;width:20.75pt;height:257.95pt;mso-position-horizontal-relative:page;mso-position-vertical-relative:paragraph;z-index:15836672" type="#_x0000_t202" id="docshape317"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67</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sz w:val="20"/>
        </w:rPr>
        <w:t>Fundación</w:t>
      </w:r>
      <w:r>
        <w:rPr>
          <w:spacing w:val="-7"/>
          <w:sz w:val="20"/>
        </w:rPr>
        <w:t> </w:t>
      </w:r>
      <w:r>
        <w:rPr>
          <w:sz w:val="20"/>
        </w:rPr>
        <w:t>Adecco:</w:t>
      </w:r>
      <w:r>
        <w:rPr>
          <w:spacing w:val="-6"/>
          <w:sz w:val="20"/>
        </w:rPr>
        <w:t> </w:t>
      </w:r>
      <w:r>
        <w:rPr>
          <w:sz w:val="20"/>
        </w:rPr>
        <w:t>Donación</w:t>
      </w:r>
      <w:r>
        <w:rPr>
          <w:spacing w:val="-8"/>
          <w:sz w:val="20"/>
        </w:rPr>
        <w:t> </w:t>
      </w:r>
      <w:r>
        <w:rPr>
          <w:sz w:val="20"/>
        </w:rPr>
        <w:t>de</w:t>
      </w:r>
      <w:r>
        <w:rPr>
          <w:spacing w:val="-7"/>
          <w:sz w:val="20"/>
        </w:rPr>
        <w:t> </w:t>
      </w:r>
      <w:r>
        <w:rPr>
          <w:sz w:val="20"/>
        </w:rPr>
        <w:t>1.440</w:t>
      </w:r>
      <w:r>
        <w:rPr>
          <w:spacing w:val="-7"/>
          <w:sz w:val="20"/>
        </w:rPr>
        <w:t> </w:t>
      </w:r>
      <w:r>
        <w:rPr>
          <w:spacing w:val="-2"/>
          <w:sz w:val="20"/>
        </w:rPr>
        <w:t>euros.</w:t>
      </w:r>
    </w:p>
    <w:p>
      <w:pPr>
        <w:pStyle w:val="ListParagraph"/>
        <w:numPr>
          <w:ilvl w:val="2"/>
          <w:numId w:val="48"/>
        </w:numPr>
        <w:tabs>
          <w:tab w:pos="1623" w:val="left" w:leader="none"/>
        </w:tabs>
        <w:spacing w:line="240" w:lineRule="auto" w:before="115" w:after="0"/>
        <w:ind w:left="1623" w:right="0" w:hanging="282"/>
        <w:jc w:val="both"/>
        <w:rPr>
          <w:sz w:val="20"/>
        </w:rPr>
      </w:pPr>
      <w:r>
        <w:rPr>
          <w:sz w:val="20"/>
        </w:rPr>
        <w:t>Aula</w:t>
      </w:r>
      <w:r>
        <w:rPr>
          <w:spacing w:val="-5"/>
          <w:sz w:val="20"/>
        </w:rPr>
        <w:t> </w:t>
      </w:r>
      <w:r>
        <w:rPr>
          <w:sz w:val="20"/>
        </w:rPr>
        <w:t>Voley</w:t>
      </w:r>
      <w:r>
        <w:rPr>
          <w:spacing w:val="-6"/>
          <w:sz w:val="20"/>
        </w:rPr>
        <w:t> </w:t>
      </w:r>
      <w:r>
        <w:rPr>
          <w:sz w:val="20"/>
        </w:rPr>
        <w:t>Playa-</w:t>
      </w:r>
      <w:r>
        <w:rPr>
          <w:spacing w:val="-6"/>
          <w:sz w:val="20"/>
        </w:rPr>
        <w:t> </w:t>
      </w:r>
      <w:r>
        <w:rPr>
          <w:sz w:val="20"/>
        </w:rPr>
        <w:t>ULPGC.</w:t>
      </w:r>
      <w:r>
        <w:rPr>
          <w:spacing w:val="-6"/>
          <w:sz w:val="20"/>
        </w:rPr>
        <w:t> </w:t>
      </w:r>
      <w:r>
        <w:rPr>
          <w:sz w:val="20"/>
        </w:rPr>
        <w:t>La</w:t>
      </w:r>
      <w:r>
        <w:rPr>
          <w:spacing w:val="-7"/>
          <w:sz w:val="20"/>
        </w:rPr>
        <w:t> </w:t>
      </w:r>
      <w:r>
        <w:rPr>
          <w:sz w:val="20"/>
        </w:rPr>
        <w:t>aportación</w:t>
      </w:r>
      <w:r>
        <w:rPr>
          <w:spacing w:val="-7"/>
          <w:sz w:val="20"/>
        </w:rPr>
        <w:t> </w:t>
      </w:r>
      <w:r>
        <w:rPr>
          <w:sz w:val="20"/>
        </w:rPr>
        <w:t>total</w:t>
      </w:r>
      <w:r>
        <w:rPr>
          <w:spacing w:val="-8"/>
          <w:sz w:val="20"/>
        </w:rPr>
        <w:t> </w:t>
      </w:r>
      <w:r>
        <w:rPr>
          <w:sz w:val="20"/>
        </w:rPr>
        <w:t>asciende</w:t>
      </w:r>
      <w:r>
        <w:rPr>
          <w:spacing w:val="-7"/>
          <w:sz w:val="20"/>
        </w:rPr>
        <w:t> </w:t>
      </w:r>
      <w:r>
        <w:rPr>
          <w:sz w:val="20"/>
        </w:rPr>
        <w:t>a</w:t>
      </w:r>
      <w:r>
        <w:rPr>
          <w:spacing w:val="-7"/>
          <w:sz w:val="20"/>
        </w:rPr>
        <w:t> </w:t>
      </w:r>
      <w:r>
        <w:rPr>
          <w:sz w:val="20"/>
        </w:rPr>
        <w:t>4.991,40</w:t>
      </w:r>
      <w:r>
        <w:rPr>
          <w:spacing w:val="-6"/>
          <w:sz w:val="20"/>
        </w:rPr>
        <w:t> </w:t>
      </w:r>
      <w:r>
        <w:rPr>
          <w:spacing w:val="-2"/>
          <w:sz w:val="20"/>
        </w:rPr>
        <w:t>euros.</w:t>
      </w:r>
    </w:p>
    <w:p>
      <w:pPr>
        <w:pStyle w:val="ListParagraph"/>
        <w:numPr>
          <w:ilvl w:val="2"/>
          <w:numId w:val="48"/>
        </w:numPr>
        <w:tabs>
          <w:tab w:pos="1622" w:val="left" w:leader="none"/>
          <w:tab w:pos="1624" w:val="left" w:leader="none"/>
        </w:tabs>
        <w:spacing w:line="360" w:lineRule="auto" w:before="116" w:after="0"/>
        <w:ind w:left="1624" w:right="1339" w:hanging="284"/>
        <w:jc w:val="both"/>
        <w:rPr>
          <w:sz w:val="20"/>
        </w:rPr>
      </w:pPr>
      <w:r>
        <w:rPr>
          <w:sz w:val="20"/>
        </w:rPr>
        <w:t>Convenio con la Fundación de Orientación Familiar de Canarias. En el año 2025 se ha mantenido</w:t>
      </w:r>
      <w:r>
        <w:rPr>
          <w:spacing w:val="-2"/>
          <w:sz w:val="20"/>
        </w:rPr>
        <w:t> </w:t>
      </w:r>
      <w:r>
        <w:rPr>
          <w:sz w:val="20"/>
        </w:rPr>
        <w:t>el convenio</w:t>
      </w:r>
      <w:r>
        <w:rPr>
          <w:spacing w:val="-2"/>
          <w:sz w:val="20"/>
        </w:rPr>
        <w:t> </w:t>
      </w:r>
      <w:r>
        <w:rPr>
          <w:sz w:val="20"/>
        </w:rPr>
        <w:t>con las siguientes aportaciones 648 bonos de 2 viajes.</w:t>
      </w:r>
      <w:r>
        <w:rPr>
          <w:spacing w:val="-2"/>
          <w:sz w:val="20"/>
        </w:rPr>
        <w:t> </w:t>
      </w:r>
      <w:r>
        <w:rPr>
          <w:sz w:val="20"/>
        </w:rPr>
        <w:t>La aportación total asciende a 1.555,20 euros.</w:t>
      </w:r>
    </w:p>
    <w:p>
      <w:pPr>
        <w:pStyle w:val="ListParagraph"/>
        <w:numPr>
          <w:ilvl w:val="2"/>
          <w:numId w:val="48"/>
        </w:numPr>
        <w:tabs>
          <w:tab w:pos="1622" w:val="left" w:leader="none"/>
          <w:tab w:pos="1624" w:val="left" w:leader="none"/>
        </w:tabs>
        <w:spacing w:line="360" w:lineRule="auto" w:before="0" w:after="0"/>
        <w:ind w:left="1624" w:right="1338" w:hanging="284"/>
        <w:jc w:val="both"/>
        <w:rPr>
          <w:sz w:val="20"/>
        </w:rPr>
      </w:pPr>
      <w:r>
        <w:rPr>
          <w:sz w:val="20"/>
        </w:rPr>
        <w:t>Green Flow Canarias. Colaboración con 400 soportes Bono Guagua con 8,50 euros cada una de ellas y merchandising. La aportación total asciende a 6.534 euros.</w:t>
      </w:r>
    </w:p>
    <w:p>
      <w:pPr>
        <w:pStyle w:val="ListParagraph"/>
        <w:numPr>
          <w:ilvl w:val="2"/>
          <w:numId w:val="48"/>
        </w:numPr>
        <w:tabs>
          <w:tab w:pos="1622" w:val="left" w:leader="none"/>
          <w:tab w:pos="1624" w:val="left" w:leader="none"/>
        </w:tabs>
        <w:spacing w:line="357" w:lineRule="auto" w:before="1" w:after="0"/>
        <w:ind w:left="1624" w:right="1337" w:hanging="284"/>
        <w:jc w:val="both"/>
        <w:rPr>
          <w:sz w:val="20"/>
        </w:rPr>
      </w:pPr>
      <w:r>
        <w:rPr>
          <w:sz w:val="20"/>
        </w:rPr>
        <w:t>Foro de Recursos Humanos edición 2025. Patrocinio con el foro de recursos humanos en Canarias. La colaboración ascendió a 750 euros.</w:t>
      </w:r>
    </w:p>
    <w:p>
      <w:pPr>
        <w:pStyle w:val="ListParagraph"/>
        <w:numPr>
          <w:ilvl w:val="2"/>
          <w:numId w:val="48"/>
        </w:numPr>
        <w:tabs>
          <w:tab w:pos="283" w:val="left" w:leader="none"/>
        </w:tabs>
        <w:spacing w:line="240" w:lineRule="auto" w:before="3" w:after="0"/>
        <w:ind w:left="283" w:right="0" w:hanging="283"/>
        <w:jc w:val="center"/>
        <w:rPr>
          <w:sz w:val="20"/>
        </w:rPr>
      </w:pPr>
      <w:r>
        <w:rPr>
          <w:sz w:val="20"/>
        </w:rPr>
        <w:t>Fundación</w:t>
      </w:r>
      <w:r>
        <w:rPr>
          <w:spacing w:val="56"/>
          <w:sz w:val="20"/>
        </w:rPr>
        <w:t> </w:t>
      </w:r>
      <w:r>
        <w:rPr>
          <w:sz w:val="20"/>
        </w:rPr>
        <w:t>Bancaria</w:t>
      </w:r>
      <w:r>
        <w:rPr>
          <w:spacing w:val="54"/>
          <w:sz w:val="20"/>
        </w:rPr>
        <w:t> </w:t>
      </w:r>
      <w:r>
        <w:rPr>
          <w:sz w:val="20"/>
        </w:rPr>
        <w:t>La</w:t>
      </w:r>
      <w:r>
        <w:rPr>
          <w:spacing w:val="55"/>
          <w:sz w:val="20"/>
        </w:rPr>
        <w:t> </w:t>
      </w:r>
      <w:r>
        <w:rPr>
          <w:sz w:val="20"/>
        </w:rPr>
        <w:t>Caixa</w:t>
      </w:r>
      <w:r>
        <w:rPr>
          <w:spacing w:val="55"/>
          <w:sz w:val="20"/>
        </w:rPr>
        <w:t> </w:t>
      </w:r>
      <w:r>
        <w:rPr>
          <w:sz w:val="20"/>
        </w:rPr>
        <w:t>en</w:t>
      </w:r>
      <w:r>
        <w:rPr>
          <w:spacing w:val="54"/>
          <w:sz w:val="20"/>
        </w:rPr>
        <w:t> </w:t>
      </w:r>
      <w:r>
        <w:rPr>
          <w:sz w:val="20"/>
        </w:rPr>
        <w:t>el</w:t>
      </w:r>
      <w:r>
        <w:rPr>
          <w:spacing w:val="56"/>
          <w:sz w:val="20"/>
        </w:rPr>
        <w:t> </w:t>
      </w:r>
      <w:r>
        <w:rPr>
          <w:sz w:val="20"/>
        </w:rPr>
        <w:t>programa</w:t>
      </w:r>
      <w:r>
        <w:rPr>
          <w:spacing w:val="54"/>
          <w:sz w:val="20"/>
        </w:rPr>
        <w:t> </w:t>
      </w:r>
      <w:r>
        <w:rPr>
          <w:sz w:val="20"/>
        </w:rPr>
        <w:t>“Caixaproinfancia”.</w:t>
      </w:r>
      <w:r>
        <w:rPr>
          <w:spacing w:val="55"/>
          <w:sz w:val="20"/>
        </w:rPr>
        <w:t> </w:t>
      </w:r>
      <w:r>
        <w:rPr>
          <w:sz w:val="20"/>
        </w:rPr>
        <w:t>Se</w:t>
      </w:r>
      <w:r>
        <w:rPr>
          <w:spacing w:val="54"/>
          <w:sz w:val="20"/>
        </w:rPr>
        <w:t> </w:t>
      </w:r>
      <w:r>
        <w:rPr>
          <w:sz w:val="20"/>
        </w:rPr>
        <w:t>colabora</w:t>
      </w:r>
      <w:r>
        <w:rPr>
          <w:spacing w:val="55"/>
          <w:sz w:val="20"/>
        </w:rPr>
        <w:t> </w:t>
      </w:r>
      <w:r>
        <w:rPr>
          <w:sz w:val="20"/>
        </w:rPr>
        <w:t>con</w:t>
      </w:r>
      <w:r>
        <w:rPr>
          <w:spacing w:val="54"/>
          <w:sz w:val="20"/>
        </w:rPr>
        <w:t> </w:t>
      </w:r>
      <w:r>
        <w:rPr>
          <w:spacing w:val="-5"/>
          <w:sz w:val="20"/>
        </w:rPr>
        <w:t>37</w:t>
      </w:r>
    </w:p>
    <w:p>
      <w:pPr>
        <w:pStyle w:val="BodyText"/>
        <w:spacing w:line="360" w:lineRule="auto" w:before="116"/>
        <w:ind w:left="1624" w:right="1308"/>
      </w:pPr>
      <w:r>
        <w:rPr/>
        <w:t>soportes Bono Guagua sin contacto y recargas por valor de 3.538 viajes. La colaboración</w:t>
      </w:r>
      <w:r>
        <w:rPr>
          <w:spacing w:val="40"/>
        </w:rPr>
        <w:t> </w:t>
      </w:r>
      <w:r>
        <w:rPr/>
        <w:t>ascendió a 1.541,46 euros.</w:t>
      </w:r>
    </w:p>
    <w:p>
      <w:pPr>
        <w:pStyle w:val="ListParagraph"/>
        <w:numPr>
          <w:ilvl w:val="2"/>
          <w:numId w:val="48"/>
        </w:numPr>
        <w:tabs>
          <w:tab w:pos="1624" w:val="left" w:leader="none"/>
        </w:tabs>
        <w:spacing w:line="360" w:lineRule="auto" w:before="0" w:after="0"/>
        <w:ind w:left="1624" w:right="1339" w:hanging="284"/>
        <w:jc w:val="left"/>
        <w:rPr>
          <w:sz w:val="20"/>
        </w:rPr>
      </w:pPr>
      <w:r>
        <w:rPr>
          <w:sz w:val="20"/>
        </w:rPr>
        <w:t>Club Natación Las Palmas. Se colabora con 260 soportes Bono Guagua con recargas de</w:t>
      </w:r>
      <w:r>
        <w:rPr>
          <w:spacing w:val="80"/>
          <w:sz w:val="20"/>
        </w:rPr>
        <w:t> </w:t>
      </w:r>
      <w:r>
        <w:rPr>
          <w:sz w:val="20"/>
        </w:rPr>
        <w:t>8,50 euros cada una y merchandising. La colaboración asciende a 5.470 euros.</w:t>
      </w:r>
    </w:p>
    <w:p>
      <w:pPr>
        <w:pStyle w:val="ListParagraph"/>
        <w:spacing w:after="0" w:line="360" w:lineRule="auto"/>
        <w:jc w:val="left"/>
        <w:rPr>
          <w:sz w:val="20"/>
        </w:rPr>
        <w:sectPr>
          <w:pgSz w:w="11910" w:h="16840"/>
          <w:pgMar w:header="384" w:footer="1060" w:top="1200" w:bottom="1260" w:left="360" w:right="360"/>
        </w:sectPr>
      </w:pPr>
    </w:p>
    <w:p>
      <w:pPr>
        <w:pStyle w:val="ListParagraph"/>
        <w:numPr>
          <w:ilvl w:val="2"/>
          <w:numId w:val="48"/>
        </w:numPr>
        <w:tabs>
          <w:tab w:pos="285" w:val="left" w:leader="none"/>
        </w:tabs>
        <w:spacing w:line="240" w:lineRule="auto" w:before="215" w:after="0"/>
        <w:ind w:left="285" w:right="0" w:hanging="283"/>
        <w:jc w:val="center"/>
        <w:rPr>
          <w:sz w:val="20"/>
        </w:rPr>
      </w:pPr>
      <w:r>
        <w:rPr>
          <w:sz w:val="20"/>
        </w:rPr>
        <w:t>Asociación</w:t>
      </w:r>
      <w:r>
        <w:rPr>
          <w:spacing w:val="45"/>
          <w:sz w:val="20"/>
        </w:rPr>
        <w:t> </w:t>
      </w:r>
      <w:r>
        <w:rPr>
          <w:sz w:val="20"/>
        </w:rPr>
        <w:t>de</w:t>
      </w:r>
      <w:r>
        <w:rPr>
          <w:spacing w:val="44"/>
          <w:sz w:val="20"/>
        </w:rPr>
        <w:t> </w:t>
      </w:r>
      <w:r>
        <w:rPr>
          <w:sz w:val="20"/>
        </w:rPr>
        <w:t>Síndrome</w:t>
      </w:r>
      <w:r>
        <w:rPr>
          <w:spacing w:val="45"/>
          <w:sz w:val="20"/>
        </w:rPr>
        <w:t> </w:t>
      </w:r>
      <w:r>
        <w:rPr>
          <w:sz w:val="20"/>
        </w:rPr>
        <w:t>de</w:t>
      </w:r>
      <w:r>
        <w:rPr>
          <w:spacing w:val="43"/>
          <w:sz w:val="20"/>
        </w:rPr>
        <w:t> </w:t>
      </w:r>
      <w:r>
        <w:rPr>
          <w:sz w:val="20"/>
        </w:rPr>
        <w:t>Down</w:t>
      </w:r>
      <w:r>
        <w:rPr>
          <w:spacing w:val="43"/>
          <w:sz w:val="20"/>
        </w:rPr>
        <w:t> </w:t>
      </w:r>
      <w:r>
        <w:rPr>
          <w:sz w:val="20"/>
        </w:rPr>
        <w:t>de</w:t>
      </w:r>
      <w:r>
        <w:rPr>
          <w:spacing w:val="46"/>
          <w:sz w:val="20"/>
        </w:rPr>
        <w:t> </w:t>
      </w:r>
      <w:r>
        <w:rPr>
          <w:sz w:val="20"/>
        </w:rPr>
        <w:t>Las</w:t>
      </w:r>
      <w:r>
        <w:rPr>
          <w:spacing w:val="47"/>
          <w:sz w:val="20"/>
        </w:rPr>
        <w:t> </w:t>
      </w:r>
      <w:r>
        <w:rPr>
          <w:sz w:val="20"/>
        </w:rPr>
        <w:t>Palmas.</w:t>
      </w:r>
      <w:r>
        <w:rPr>
          <w:spacing w:val="42"/>
          <w:sz w:val="20"/>
        </w:rPr>
        <w:t> </w:t>
      </w:r>
      <w:r>
        <w:rPr>
          <w:sz w:val="20"/>
        </w:rPr>
        <w:t>Se</w:t>
      </w:r>
      <w:r>
        <w:rPr>
          <w:spacing w:val="43"/>
          <w:sz w:val="20"/>
        </w:rPr>
        <w:t> </w:t>
      </w:r>
      <w:r>
        <w:rPr>
          <w:sz w:val="20"/>
        </w:rPr>
        <w:t>colabora</w:t>
      </w:r>
      <w:r>
        <w:rPr>
          <w:spacing w:val="44"/>
          <w:sz w:val="20"/>
        </w:rPr>
        <w:t> </w:t>
      </w:r>
      <w:r>
        <w:rPr>
          <w:sz w:val="20"/>
        </w:rPr>
        <w:t>con</w:t>
      </w:r>
      <w:r>
        <w:rPr>
          <w:spacing w:val="43"/>
          <w:sz w:val="20"/>
        </w:rPr>
        <w:t> </w:t>
      </w:r>
      <w:r>
        <w:rPr>
          <w:sz w:val="20"/>
        </w:rPr>
        <w:t>10</w:t>
      </w:r>
      <w:r>
        <w:rPr>
          <w:spacing w:val="45"/>
          <w:sz w:val="20"/>
        </w:rPr>
        <w:t> </w:t>
      </w:r>
      <w:r>
        <w:rPr>
          <w:sz w:val="20"/>
        </w:rPr>
        <w:t>soportes</w:t>
      </w:r>
      <w:r>
        <w:rPr>
          <w:spacing w:val="46"/>
          <w:sz w:val="20"/>
        </w:rPr>
        <w:t> </w:t>
      </w:r>
      <w:r>
        <w:rPr>
          <w:spacing w:val="-4"/>
          <w:sz w:val="20"/>
        </w:rPr>
        <w:t>Bono</w:t>
      </w:r>
    </w:p>
    <w:p>
      <w:pPr>
        <w:pStyle w:val="BodyText"/>
        <w:spacing w:line="357" w:lineRule="auto" w:before="116"/>
        <w:ind w:left="1624" w:right="1388"/>
      </w:pPr>
      <w:r>
        <w:rPr/>
        <w:t>Guagua y recargas por valor de 672 euros y merchandising. La colaboración total ascendió</w:t>
      </w:r>
      <w:r>
        <w:rPr>
          <w:spacing w:val="40"/>
        </w:rPr>
        <w:t> </w:t>
      </w:r>
      <w:r>
        <w:rPr/>
        <w:t>a 807 euros.</w:t>
      </w:r>
    </w:p>
    <w:p>
      <w:pPr>
        <w:pStyle w:val="ListParagraph"/>
        <w:numPr>
          <w:ilvl w:val="2"/>
          <w:numId w:val="48"/>
        </w:numPr>
        <w:tabs>
          <w:tab w:pos="1624" w:val="left" w:leader="none"/>
        </w:tabs>
        <w:spacing w:line="240" w:lineRule="auto" w:before="3" w:after="0"/>
        <w:ind w:left="1624" w:right="0" w:hanging="283"/>
        <w:jc w:val="left"/>
        <w:rPr>
          <w:sz w:val="20"/>
        </w:rPr>
      </w:pPr>
      <w:r>
        <w:rPr>
          <w:sz w:val="20"/>
        </w:rPr>
        <w:t>Asociación</w:t>
      </w:r>
      <w:r>
        <w:rPr>
          <w:spacing w:val="36"/>
          <w:sz w:val="20"/>
        </w:rPr>
        <w:t> </w:t>
      </w:r>
      <w:r>
        <w:rPr>
          <w:sz w:val="20"/>
        </w:rPr>
        <w:t>de</w:t>
      </w:r>
      <w:r>
        <w:rPr>
          <w:spacing w:val="36"/>
          <w:sz w:val="20"/>
        </w:rPr>
        <w:t> </w:t>
      </w:r>
      <w:r>
        <w:rPr>
          <w:sz w:val="20"/>
        </w:rPr>
        <w:t>Empresarios</w:t>
      </w:r>
      <w:r>
        <w:rPr>
          <w:spacing w:val="35"/>
          <w:sz w:val="20"/>
        </w:rPr>
        <w:t> </w:t>
      </w:r>
      <w:r>
        <w:rPr>
          <w:sz w:val="20"/>
        </w:rPr>
        <w:t>de</w:t>
      </w:r>
      <w:r>
        <w:rPr>
          <w:spacing w:val="35"/>
          <w:sz w:val="20"/>
        </w:rPr>
        <w:t> </w:t>
      </w:r>
      <w:r>
        <w:rPr>
          <w:sz w:val="20"/>
        </w:rPr>
        <w:t>la</w:t>
      </w:r>
      <w:r>
        <w:rPr>
          <w:spacing w:val="32"/>
          <w:sz w:val="20"/>
        </w:rPr>
        <w:t> </w:t>
      </w:r>
      <w:r>
        <w:rPr>
          <w:sz w:val="20"/>
        </w:rPr>
        <w:t>Zona</w:t>
      </w:r>
      <w:r>
        <w:rPr>
          <w:spacing w:val="36"/>
          <w:sz w:val="20"/>
        </w:rPr>
        <w:t> </w:t>
      </w:r>
      <w:r>
        <w:rPr>
          <w:sz w:val="20"/>
        </w:rPr>
        <w:t>Comercial</w:t>
      </w:r>
      <w:r>
        <w:rPr>
          <w:spacing w:val="35"/>
          <w:sz w:val="20"/>
        </w:rPr>
        <w:t> </w:t>
      </w:r>
      <w:r>
        <w:rPr>
          <w:sz w:val="20"/>
        </w:rPr>
        <w:t>Mesa</w:t>
      </w:r>
      <w:r>
        <w:rPr>
          <w:spacing w:val="38"/>
          <w:sz w:val="20"/>
        </w:rPr>
        <w:t> </w:t>
      </w:r>
      <w:r>
        <w:rPr>
          <w:sz w:val="20"/>
        </w:rPr>
        <w:t>y</w:t>
      </w:r>
      <w:r>
        <w:rPr>
          <w:spacing w:val="33"/>
          <w:sz w:val="20"/>
        </w:rPr>
        <w:t> </w:t>
      </w:r>
      <w:r>
        <w:rPr>
          <w:sz w:val="20"/>
        </w:rPr>
        <w:t>López.</w:t>
      </w:r>
      <w:r>
        <w:rPr>
          <w:spacing w:val="35"/>
          <w:sz w:val="20"/>
        </w:rPr>
        <w:t> </w:t>
      </w:r>
      <w:r>
        <w:rPr>
          <w:sz w:val="20"/>
        </w:rPr>
        <w:t>Patrocinio</w:t>
      </w:r>
      <w:r>
        <w:rPr>
          <w:spacing w:val="36"/>
          <w:sz w:val="20"/>
        </w:rPr>
        <w:t> </w:t>
      </w:r>
      <w:r>
        <w:rPr>
          <w:sz w:val="20"/>
        </w:rPr>
        <w:t>en</w:t>
      </w:r>
      <w:r>
        <w:rPr>
          <w:spacing w:val="36"/>
          <w:sz w:val="20"/>
        </w:rPr>
        <w:t> </w:t>
      </w:r>
      <w:r>
        <w:rPr>
          <w:sz w:val="20"/>
        </w:rPr>
        <w:t>el</w:t>
      </w:r>
      <w:r>
        <w:rPr>
          <w:spacing w:val="35"/>
          <w:sz w:val="20"/>
        </w:rPr>
        <w:t> </w:t>
      </w:r>
      <w:r>
        <w:rPr>
          <w:spacing w:val="-4"/>
          <w:sz w:val="20"/>
        </w:rPr>
        <w:t>XXIX</w:t>
      </w:r>
    </w:p>
    <w:p>
      <w:pPr>
        <w:pStyle w:val="ListParagraph"/>
        <w:spacing w:after="0" w:line="240" w:lineRule="auto"/>
        <w:jc w:val="left"/>
        <w:rPr>
          <w:sz w:val="20"/>
        </w:rPr>
        <w:sectPr>
          <w:pgSz w:w="11910" w:h="16840"/>
          <w:pgMar w:header="384" w:footer="1060" w:top="1200" w:bottom="1260" w:left="360" w:right="360"/>
        </w:sectPr>
      </w:pPr>
    </w:p>
    <w:p>
      <w:pPr>
        <w:pStyle w:val="BodyText"/>
        <w:spacing w:line="360" w:lineRule="auto" w:before="116"/>
        <w:ind w:left="1624"/>
      </w:pPr>
      <w:r>
        <w:rPr/>
        <w:t>concurso</w:t>
      </w:r>
      <w:r>
        <w:rPr>
          <w:spacing w:val="40"/>
        </w:rPr>
        <w:t> </w:t>
      </w:r>
      <w:r>
        <w:rPr/>
        <w:t>de</w:t>
      </w:r>
      <w:r>
        <w:rPr>
          <w:spacing w:val="40"/>
        </w:rPr>
        <w:t> </w:t>
      </w:r>
      <w:r>
        <w:rPr/>
        <w:t>pintura</w:t>
      </w:r>
      <w:r>
        <w:rPr>
          <w:spacing w:val="40"/>
        </w:rPr>
        <w:t> </w:t>
      </w:r>
      <w:r>
        <w:rPr/>
        <w:t>rápida</w:t>
      </w:r>
      <w:r>
        <w:rPr>
          <w:spacing w:val="40"/>
        </w:rPr>
        <w:t> </w:t>
      </w:r>
      <w:r>
        <w:rPr/>
        <w:t>al</w:t>
      </w:r>
      <w:r>
        <w:rPr>
          <w:spacing w:val="40"/>
        </w:rPr>
        <w:t> </w:t>
      </w:r>
      <w:r>
        <w:rPr/>
        <w:t>aire</w:t>
      </w:r>
      <w:r>
        <w:rPr>
          <w:spacing w:val="40"/>
        </w:rPr>
        <w:t> </w:t>
      </w:r>
      <w:r>
        <w:rPr/>
        <w:t>libre</w:t>
      </w:r>
      <w:r>
        <w:rPr>
          <w:spacing w:val="40"/>
        </w:rPr>
        <w:t> </w:t>
      </w:r>
      <w:r>
        <w:rPr/>
        <w:t>y</w:t>
      </w:r>
      <w:r>
        <w:rPr>
          <w:spacing w:val="40"/>
        </w:rPr>
        <w:t> </w:t>
      </w:r>
      <w:r>
        <w:rPr/>
        <w:t>el</w:t>
      </w:r>
      <w:r>
        <w:rPr>
          <w:spacing w:val="40"/>
        </w:rPr>
        <w:t> </w:t>
      </w:r>
      <w:r>
        <w:rPr/>
        <w:t>XIX</w:t>
      </w:r>
      <w:r>
        <w:rPr>
          <w:spacing w:val="40"/>
        </w:rPr>
        <w:t> </w:t>
      </w:r>
      <w:r>
        <w:rPr/>
        <w:t>concurso</w:t>
      </w:r>
      <w:r>
        <w:rPr>
          <w:spacing w:val="40"/>
        </w:rPr>
        <w:t> </w:t>
      </w:r>
      <w:r>
        <w:rPr/>
        <w:t>fotográfico. ascendió a 1.600 euros.</w:t>
      </w:r>
    </w:p>
    <w:p>
      <w:pPr>
        <w:pStyle w:val="BodyText"/>
        <w:spacing w:line="229" w:lineRule="exact"/>
        <w:ind w:left="1341"/>
      </w:pPr>
      <w:r>
        <w:rPr/>
        <w:t>Total</w:t>
      </w:r>
      <w:r>
        <w:rPr>
          <w:spacing w:val="-9"/>
        </w:rPr>
        <w:t> </w:t>
      </w:r>
      <w:r>
        <w:rPr/>
        <w:t>convenios</w:t>
      </w:r>
      <w:r>
        <w:rPr>
          <w:spacing w:val="-2"/>
        </w:rPr>
        <w:t> </w:t>
      </w:r>
      <w:r>
        <w:rPr/>
        <w:t>y</w:t>
      </w:r>
      <w:r>
        <w:rPr>
          <w:spacing w:val="-12"/>
        </w:rPr>
        <w:t> </w:t>
      </w:r>
      <w:r>
        <w:rPr/>
        <w:t>patrocinios:</w:t>
      </w:r>
      <w:r>
        <w:rPr>
          <w:spacing w:val="-8"/>
        </w:rPr>
        <w:t> </w:t>
      </w:r>
      <w:r>
        <w:rPr/>
        <w:t>24.689,06</w:t>
      </w:r>
      <w:r>
        <w:rPr>
          <w:spacing w:val="-7"/>
        </w:rPr>
        <w:t> </w:t>
      </w:r>
      <w:r>
        <w:rPr>
          <w:spacing w:val="-2"/>
        </w:rPr>
        <w:t>euros.</w:t>
      </w:r>
    </w:p>
    <w:p>
      <w:pPr>
        <w:pStyle w:val="BodyText"/>
        <w:spacing w:before="116"/>
        <w:ind w:left="70"/>
      </w:pPr>
      <w:r>
        <w:rPr/>
        <w:br w:type="column"/>
      </w:r>
      <w:r>
        <w:rPr/>
        <w:t>La</w:t>
      </w:r>
      <w:r>
        <w:rPr>
          <w:spacing w:val="50"/>
        </w:rPr>
        <w:t> </w:t>
      </w:r>
      <w:r>
        <w:rPr>
          <w:spacing w:val="-2"/>
        </w:rPr>
        <w:t>colaboración</w:t>
      </w:r>
    </w:p>
    <w:p>
      <w:pPr>
        <w:pStyle w:val="BodyText"/>
        <w:spacing w:after="0"/>
        <w:sectPr>
          <w:type w:val="continuous"/>
          <w:pgSz w:w="11910" w:h="16840"/>
          <w:pgMar w:header="384" w:footer="1060" w:top="1700" w:bottom="1040" w:left="360" w:right="360"/>
          <w:cols w:num="2" w:equalWidth="0">
            <w:col w:w="8270" w:space="40"/>
            <w:col w:w="2880"/>
          </w:cols>
        </w:sectPr>
      </w:pPr>
    </w:p>
    <w:p>
      <w:pPr>
        <w:pStyle w:val="BodyText"/>
      </w:pPr>
    </w:p>
    <w:p>
      <w:pPr>
        <w:pStyle w:val="BodyText"/>
        <w:spacing w:before="1"/>
      </w:pPr>
    </w:p>
    <w:p>
      <w:pPr>
        <w:pStyle w:val="Heading4"/>
        <w:ind w:left="1341"/>
        <w:jc w:val="both"/>
        <w:rPr>
          <w:i/>
          <w:u w:val="none"/>
        </w:rPr>
      </w:pPr>
      <w:r>
        <w:rPr>
          <w:i/>
          <w:u w:val="none"/>
        </w:rPr>
        <w:t>Aportaciones</w:t>
      </w:r>
      <w:r>
        <w:rPr>
          <w:i/>
          <w:spacing w:val="-11"/>
          <w:u w:val="none"/>
        </w:rPr>
        <w:t> </w:t>
      </w:r>
      <w:r>
        <w:rPr>
          <w:i/>
          <w:u w:val="none"/>
        </w:rPr>
        <w:t>en</w:t>
      </w:r>
      <w:r>
        <w:rPr>
          <w:i/>
          <w:spacing w:val="-10"/>
          <w:u w:val="none"/>
        </w:rPr>
        <w:t> </w:t>
      </w:r>
      <w:r>
        <w:rPr>
          <w:i/>
          <w:spacing w:val="-2"/>
          <w:u w:val="none"/>
        </w:rPr>
        <w:t>especies:</w:t>
      </w:r>
    </w:p>
    <w:p>
      <w:pPr>
        <w:pStyle w:val="ListParagraph"/>
        <w:numPr>
          <w:ilvl w:val="2"/>
          <w:numId w:val="48"/>
        </w:numPr>
        <w:tabs>
          <w:tab w:pos="1622" w:val="left" w:leader="none"/>
          <w:tab w:pos="1624" w:val="left" w:leader="none"/>
        </w:tabs>
        <w:spacing w:line="360" w:lineRule="auto" w:before="113" w:after="0"/>
        <w:ind w:left="1624" w:right="1339" w:hanging="284"/>
        <w:jc w:val="both"/>
        <w:rPr>
          <w:sz w:val="20"/>
        </w:rPr>
      </w:pPr>
      <w:r>
        <w:rPr>
          <w:sz w:val="20"/>
        </w:rPr>
        <w:t>Asociación Rehoyando-Proyecto Almogarén. Colaboración con la Asociación Rehoyando con el proyecto Almogarén con el fin de ofrecer una respuesta a las personas presas, no solo en su etapa de internamiento en los centros penitenciarios sino también cuando van obteniendo la libertad, el objetivo que persiguen es el de la inserción socio-laboral de estas personas. La colaboración asciende a 2.812,32 euros.</w:t>
      </w:r>
    </w:p>
    <w:p>
      <w:pPr>
        <w:pStyle w:val="ListParagraph"/>
        <w:numPr>
          <w:ilvl w:val="2"/>
          <w:numId w:val="48"/>
        </w:numPr>
        <w:tabs>
          <w:tab w:pos="1622" w:val="left" w:leader="none"/>
          <w:tab w:pos="1624" w:val="left" w:leader="none"/>
        </w:tabs>
        <w:spacing w:line="360" w:lineRule="auto" w:before="1" w:after="0"/>
        <w:ind w:left="1624" w:right="1339" w:hanging="284"/>
        <w:jc w:val="both"/>
        <w:rPr>
          <w:sz w:val="20"/>
        </w:rPr>
      </w:pPr>
      <w:r>
        <w:rPr>
          <w:sz w:val="20"/>
        </w:rPr>
        <w:t>Comedor social Nuestra Señora del Carmen. Se colabora con 60 soportes Bono Guagua</w:t>
      </w:r>
      <w:r>
        <w:rPr>
          <w:spacing w:val="40"/>
          <w:sz w:val="20"/>
        </w:rPr>
        <w:t> </w:t>
      </w:r>
      <w:r>
        <w:rPr>
          <w:sz w:val="20"/>
        </w:rPr>
        <w:t>con una recarga de 8,50 euros cada una. La colaboración asciende a 600 euros.</w:t>
      </w:r>
    </w:p>
    <w:p>
      <w:pPr>
        <w:pStyle w:val="ListParagraph"/>
        <w:numPr>
          <w:ilvl w:val="2"/>
          <w:numId w:val="48"/>
        </w:numPr>
        <w:tabs>
          <w:tab w:pos="1623" w:val="left" w:leader="none"/>
        </w:tabs>
        <w:spacing w:line="240" w:lineRule="auto" w:before="1" w:after="0"/>
        <w:ind w:left="1623" w:right="0" w:hanging="282"/>
        <w:jc w:val="both"/>
        <w:rPr>
          <w:sz w:val="20"/>
        </w:rPr>
      </w:pPr>
      <w:r>
        <w:rPr>
          <w:sz w:val="20"/>
        </w:rPr>
        <w:t>Campaña</w:t>
      </w:r>
      <w:r>
        <w:rPr>
          <w:spacing w:val="-7"/>
          <w:sz w:val="20"/>
        </w:rPr>
        <w:t> </w:t>
      </w:r>
      <w:r>
        <w:rPr>
          <w:sz w:val="20"/>
        </w:rPr>
        <w:t>“Por</w:t>
      </w:r>
      <w:r>
        <w:rPr>
          <w:spacing w:val="-4"/>
          <w:sz w:val="20"/>
        </w:rPr>
        <w:t> </w:t>
      </w:r>
      <w:r>
        <w:rPr>
          <w:sz w:val="20"/>
        </w:rPr>
        <w:t>un</w:t>
      </w:r>
      <w:r>
        <w:rPr>
          <w:spacing w:val="-7"/>
          <w:sz w:val="20"/>
        </w:rPr>
        <w:t> </w:t>
      </w:r>
      <w:r>
        <w:rPr>
          <w:sz w:val="20"/>
        </w:rPr>
        <w:t>cacho</w:t>
      </w:r>
      <w:r>
        <w:rPr>
          <w:spacing w:val="-4"/>
          <w:sz w:val="20"/>
        </w:rPr>
        <w:t> </w:t>
      </w:r>
      <w:r>
        <w:rPr>
          <w:sz w:val="20"/>
        </w:rPr>
        <w:t>de</w:t>
      </w:r>
      <w:r>
        <w:rPr>
          <w:spacing w:val="-3"/>
          <w:sz w:val="20"/>
        </w:rPr>
        <w:t> </w:t>
      </w:r>
      <w:r>
        <w:rPr>
          <w:sz w:val="20"/>
        </w:rPr>
        <w:t>turrón”.</w:t>
      </w:r>
      <w:r>
        <w:rPr>
          <w:spacing w:val="-7"/>
          <w:sz w:val="20"/>
        </w:rPr>
        <w:t> </w:t>
      </w:r>
      <w:r>
        <w:rPr>
          <w:sz w:val="20"/>
        </w:rPr>
        <w:t>La</w:t>
      </w:r>
      <w:r>
        <w:rPr>
          <w:spacing w:val="-7"/>
          <w:sz w:val="20"/>
        </w:rPr>
        <w:t> </w:t>
      </w:r>
      <w:r>
        <w:rPr>
          <w:sz w:val="20"/>
        </w:rPr>
        <w:t>colaboración</w:t>
      </w:r>
      <w:r>
        <w:rPr>
          <w:spacing w:val="-7"/>
          <w:sz w:val="20"/>
        </w:rPr>
        <w:t> </w:t>
      </w:r>
      <w:r>
        <w:rPr>
          <w:sz w:val="20"/>
        </w:rPr>
        <w:t>asciende</w:t>
      </w:r>
      <w:r>
        <w:rPr>
          <w:spacing w:val="-7"/>
          <w:sz w:val="20"/>
        </w:rPr>
        <w:t> </w:t>
      </w:r>
      <w:r>
        <w:rPr>
          <w:sz w:val="20"/>
        </w:rPr>
        <w:t>a</w:t>
      </w:r>
      <w:r>
        <w:rPr>
          <w:spacing w:val="-3"/>
          <w:sz w:val="20"/>
        </w:rPr>
        <w:t> </w:t>
      </w:r>
      <w:r>
        <w:rPr>
          <w:sz w:val="20"/>
        </w:rPr>
        <w:t>1.500</w:t>
      </w:r>
      <w:r>
        <w:rPr>
          <w:spacing w:val="-7"/>
          <w:sz w:val="20"/>
        </w:rPr>
        <w:t> </w:t>
      </w:r>
      <w:r>
        <w:rPr>
          <w:spacing w:val="-2"/>
          <w:sz w:val="20"/>
        </w:rPr>
        <w:t>euros.</w:t>
      </w:r>
    </w:p>
    <w:p>
      <w:pPr>
        <w:pStyle w:val="ListParagraph"/>
        <w:numPr>
          <w:ilvl w:val="2"/>
          <w:numId w:val="48"/>
        </w:numPr>
        <w:tabs>
          <w:tab w:pos="1622" w:val="left" w:leader="none"/>
          <w:tab w:pos="1624" w:val="left" w:leader="none"/>
        </w:tabs>
        <w:spacing w:line="360" w:lineRule="auto" w:before="114" w:after="0"/>
        <w:ind w:left="1624" w:right="1338" w:hanging="284"/>
        <w:jc w:val="both"/>
        <w:rPr>
          <w:sz w:val="20"/>
        </w:rPr>
      </w:pPr>
      <w:r>
        <w:rPr>
          <w:sz w:val="20"/>
        </w:rPr>
        <w:t>Colegio Oficial de Graduados Sociales de Gran Canaria. Se colabora con diferentes</w:t>
      </w:r>
      <w:r>
        <w:rPr>
          <w:spacing w:val="40"/>
          <w:sz w:val="20"/>
        </w:rPr>
        <w:t> </w:t>
      </w:r>
      <w:r>
        <w:rPr>
          <w:sz w:val="20"/>
        </w:rPr>
        <w:t>artículos de merchandising. La colaboración total asciende a 241 euros.</w:t>
      </w:r>
    </w:p>
    <w:p>
      <w:pPr>
        <w:pStyle w:val="ListParagraph"/>
        <w:numPr>
          <w:ilvl w:val="2"/>
          <w:numId w:val="48"/>
        </w:numPr>
        <w:tabs>
          <w:tab w:pos="1622" w:val="left" w:leader="none"/>
          <w:tab w:pos="1624" w:val="left" w:leader="none"/>
        </w:tabs>
        <w:spacing w:line="360" w:lineRule="auto" w:before="1" w:after="0"/>
        <w:ind w:left="1624" w:right="1335" w:hanging="284"/>
        <w:jc w:val="both"/>
        <w:rPr>
          <w:sz w:val="20"/>
        </w:rPr>
      </w:pPr>
      <w:r>
        <w:rPr>
          <w:sz w:val="20"/>
        </w:rPr>
        <w:t>Universidad de Las Palmas de Gran Canaria para el evento XXVII AGO de CESED. Se colabora con 60 soportes Bono Guagua con una recarga de 8,50 euros cada una. La colaboración asciende a 600 euros.</w:t>
      </w:r>
    </w:p>
    <w:p>
      <w:pPr>
        <w:pStyle w:val="ListParagraph"/>
        <w:numPr>
          <w:ilvl w:val="2"/>
          <w:numId w:val="48"/>
        </w:numPr>
        <w:tabs>
          <w:tab w:pos="1622" w:val="left" w:leader="none"/>
          <w:tab w:pos="1624" w:val="left" w:leader="none"/>
        </w:tabs>
        <w:spacing w:line="360" w:lineRule="auto" w:before="0" w:after="0"/>
        <w:ind w:left="1624" w:right="1338" w:hanging="284"/>
        <w:jc w:val="both"/>
        <w:rPr>
          <w:sz w:val="20"/>
        </w:rPr>
      </w:pPr>
      <w:r>
        <w:rPr>
          <w:sz w:val="20"/>
        </w:rPr>
        <w:t>Colaboración con el programa “Vacaciones en paz” de niños saharauis con diferentes artículos de merchandising. La colaboración asciende a 366,30 euros.</w:t>
      </w:r>
    </w:p>
    <w:p>
      <w:pPr>
        <w:pStyle w:val="ListParagraph"/>
        <w:numPr>
          <w:ilvl w:val="2"/>
          <w:numId w:val="48"/>
        </w:numPr>
        <w:tabs>
          <w:tab w:pos="284" w:val="left" w:leader="none"/>
        </w:tabs>
        <w:spacing w:line="240" w:lineRule="auto" w:before="1" w:after="0"/>
        <w:ind w:left="284" w:right="0" w:hanging="283"/>
        <w:jc w:val="center"/>
        <w:rPr>
          <w:sz w:val="20"/>
        </w:rPr>
      </w:pPr>
      <w:r>
        <w:rPr>
          <w:sz w:val="20"/>
        </w:rPr>
        <w:t>Casa</w:t>
      </w:r>
      <w:r>
        <w:rPr>
          <w:spacing w:val="38"/>
          <w:sz w:val="20"/>
        </w:rPr>
        <w:t> </w:t>
      </w:r>
      <w:r>
        <w:rPr>
          <w:sz w:val="20"/>
        </w:rPr>
        <w:t>de</w:t>
      </w:r>
      <w:r>
        <w:rPr>
          <w:spacing w:val="40"/>
          <w:sz w:val="20"/>
        </w:rPr>
        <w:t> </w:t>
      </w:r>
      <w:r>
        <w:rPr>
          <w:sz w:val="20"/>
        </w:rPr>
        <w:t>Galicia.</w:t>
      </w:r>
      <w:r>
        <w:rPr>
          <w:spacing w:val="42"/>
          <w:sz w:val="20"/>
        </w:rPr>
        <w:t> </w:t>
      </w:r>
      <w:r>
        <w:rPr>
          <w:sz w:val="20"/>
        </w:rPr>
        <w:t>Se</w:t>
      </w:r>
      <w:r>
        <w:rPr>
          <w:spacing w:val="41"/>
          <w:sz w:val="20"/>
        </w:rPr>
        <w:t> </w:t>
      </w:r>
      <w:r>
        <w:rPr>
          <w:sz w:val="20"/>
        </w:rPr>
        <w:t>hacen</w:t>
      </w:r>
      <w:r>
        <w:rPr>
          <w:spacing w:val="40"/>
          <w:sz w:val="20"/>
        </w:rPr>
        <w:t> </w:t>
      </w:r>
      <w:r>
        <w:rPr>
          <w:sz w:val="20"/>
        </w:rPr>
        <w:t>entrega</w:t>
      </w:r>
      <w:r>
        <w:rPr>
          <w:spacing w:val="42"/>
          <w:sz w:val="20"/>
        </w:rPr>
        <w:t> </w:t>
      </w:r>
      <w:r>
        <w:rPr>
          <w:sz w:val="20"/>
        </w:rPr>
        <w:t>de</w:t>
      </w:r>
      <w:r>
        <w:rPr>
          <w:spacing w:val="41"/>
          <w:sz w:val="20"/>
        </w:rPr>
        <w:t> </w:t>
      </w:r>
      <w:r>
        <w:rPr>
          <w:sz w:val="20"/>
        </w:rPr>
        <w:t>un</w:t>
      </w:r>
      <w:r>
        <w:rPr>
          <w:spacing w:val="39"/>
          <w:sz w:val="20"/>
        </w:rPr>
        <w:t> </w:t>
      </w:r>
      <w:r>
        <w:rPr>
          <w:sz w:val="20"/>
        </w:rPr>
        <w:t>total</w:t>
      </w:r>
      <w:r>
        <w:rPr>
          <w:spacing w:val="42"/>
          <w:sz w:val="20"/>
        </w:rPr>
        <w:t> </w:t>
      </w:r>
      <w:r>
        <w:rPr>
          <w:sz w:val="20"/>
        </w:rPr>
        <w:t>de</w:t>
      </w:r>
      <w:r>
        <w:rPr>
          <w:spacing w:val="41"/>
          <w:sz w:val="20"/>
        </w:rPr>
        <w:t> </w:t>
      </w:r>
      <w:r>
        <w:rPr>
          <w:sz w:val="20"/>
        </w:rPr>
        <w:t>75</w:t>
      </w:r>
      <w:r>
        <w:rPr>
          <w:spacing w:val="40"/>
          <w:sz w:val="20"/>
        </w:rPr>
        <w:t> </w:t>
      </w:r>
      <w:r>
        <w:rPr>
          <w:sz w:val="20"/>
        </w:rPr>
        <w:t>soportes</w:t>
      </w:r>
      <w:r>
        <w:rPr>
          <w:spacing w:val="44"/>
          <w:sz w:val="20"/>
        </w:rPr>
        <w:t> </w:t>
      </w:r>
      <w:r>
        <w:rPr>
          <w:sz w:val="20"/>
        </w:rPr>
        <w:t>Bono</w:t>
      </w:r>
      <w:r>
        <w:rPr>
          <w:spacing w:val="40"/>
          <w:sz w:val="20"/>
        </w:rPr>
        <w:t> </w:t>
      </w:r>
      <w:r>
        <w:rPr>
          <w:sz w:val="20"/>
        </w:rPr>
        <w:t>Guagua</w:t>
      </w:r>
      <w:r>
        <w:rPr>
          <w:spacing w:val="39"/>
          <w:sz w:val="20"/>
        </w:rPr>
        <w:t> </w:t>
      </w:r>
      <w:r>
        <w:rPr>
          <w:sz w:val="20"/>
        </w:rPr>
        <w:t>con</w:t>
      </w:r>
      <w:r>
        <w:rPr>
          <w:spacing w:val="41"/>
          <w:sz w:val="20"/>
        </w:rPr>
        <w:t> </w:t>
      </w:r>
      <w:r>
        <w:rPr>
          <w:spacing w:val="-5"/>
          <w:sz w:val="20"/>
        </w:rPr>
        <w:t>una</w:t>
      </w:r>
    </w:p>
    <w:p>
      <w:pPr>
        <w:pStyle w:val="BodyText"/>
        <w:spacing w:line="360" w:lineRule="auto" w:before="113"/>
        <w:ind w:left="1624" w:right="1335"/>
        <w:jc w:val="both"/>
      </w:pPr>
      <w:r>
        <w:rPr/>
        <mc:AlternateContent>
          <mc:Choice Requires="wps">
            <w:drawing>
              <wp:anchor distT="0" distB="0" distL="0" distR="0" allowOverlap="1" layoutInCell="1" locked="0" behindDoc="0" simplePos="0" relativeHeight="15837184">
                <wp:simplePos x="0" y="0"/>
                <wp:positionH relativeFrom="page">
                  <wp:posOffset>6966436</wp:posOffset>
                </wp:positionH>
                <wp:positionV relativeFrom="paragraph">
                  <wp:posOffset>250622</wp:posOffset>
                </wp:positionV>
                <wp:extent cx="263525" cy="327596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68</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19.734089pt;width:20.75pt;height:257.95pt;mso-position-horizontal-relative:page;mso-position-vertical-relative:paragraph;z-index:15837184" type="#_x0000_t202" id="docshape318"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68</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recarga de 8,50 euros cada una para el transporte de los voluntarios de la Casa de Galicia durante</w:t>
      </w:r>
      <w:r>
        <w:rPr>
          <w:spacing w:val="-2"/>
        </w:rPr>
        <w:t> </w:t>
      </w:r>
      <w:r>
        <w:rPr/>
        <w:t>la</w:t>
      </w:r>
      <w:r>
        <w:rPr>
          <w:spacing w:val="-3"/>
        </w:rPr>
        <w:t> </w:t>
      </w:r>
      <w:r>
        <w:rPr/>
        <w:t>campaña</w:t>
      </w:r>
      <w:r>
        <w:rPr>
          <w:spacing w:val="-2"/>
        </w:rPr>
        <w:t> </w:t>
      </w:r>
      <w:r>
        <w:rPr/>
        <w:t>de</w:t>
      </w:r>
      <w:r>
        <w:rPr>
          <w:spacing w:val="-2"/>
        </w:rPr>
        <w:t> </w:t>
      </w:r>
      <w:r>
        <w:rPr/>
        <w:t>Navidad.</w:t>
      </w:r>
      <w:r>
        <w:rPr>
          <w:spacing w:val="-2"/>
        </w:rPr>
        <w:t> </w:t>
      </w:r>
      <w:r>
        <w:rPr/>
        <w:t>La</w:t>
      </w:r>
      <w:r>
        <w:rPr>
          <w:spacing w:val="-3"/>
        </w:rPr>
        <w:t> </w:t>
      </w:r>
      <w:r>
        <w:rPr/>
        <w:t>entrega</w:t>
      </w:r>
      <w:r>
        <w:rPr>
          <w:spacing w:val="-2"/>
        </w:rPr>
        <w:t> </w:t>
      </w:r>
      <w:r>
        <w:rPr/>
        <w:t>de</w:t>
      </w:r>
      <w:r>
        <w:rPr>
          <w:spacing w:val="-2"/>
        </w:rPr>
        <w:t> </w:t>
      </w:r>
      <w:r>
        <w:rPr/>
        <w:t>los bonos supone</w:t>
      </w:r>
      <w:r>
        <w:rPr>
          <w:spacing w:val="-3"/>
        </w:rPr>
        <w:t> </w:t>
      </w:r>
      <w:r>
        <w:rPr/>
        <w:t>una</w:t>
      </w:r>
      <w:r>
        <w:rPr>
          <w:spacing w:val="-2"/>
        </w:rPr>
        <w:t> </w:t>
      </w:r>
      <w:r>
        <w:rPr/>
        <w:t>colaboración</w:t>
      </w:r>
      <w:r>
        <w:rPr>
          <w:spacing w:val="-2"/>
        </w:rPr>
        <w:t> </w:t>
      </w:r>
      <w:r>
        <w:rPr/>
        <w:t>valorada en 750 euros.</w:t>
      </w:r>
    </w:p>
    <w:p>
      <w:pPr>
        <w:pStyle w:val="ListParagraph"/>
        <w:numPr>
          <w:ilvl w:val="2"/>
          <w:numId w:val="48"/>
        </w:numPr>
        <w:tabs>
          <w:tab w:pos="1624" w:val="left" w:leader="none"/>
        </w:tabs>
        <w:spacing w:line="360" w:lineRule="auto" w:before="0" w:after="0"/>
        <w:ind w:left="1624" w:right="1339" w:hanging="284"/>
        <w:jc w:val="left"/>
        <w:rPr>
          <w:sz w:val="20"/>
        </w:rPr>
      </w:pPr>
      <w:r>
        <w:rPr>
          <w:sz w:val="20"/>
        </w:rPr>
        <w:t>Colegio Salesianas San Juan Bosco. Se colabora con diferentes artículos de merchandising para una tómbola solidaria. La colaboración total asciende a 117 euros.</w:t>
      </w:r>
    </w:p>
    <w:p>
      <w:pPr>
        <w:pStyle w:val="ListParagraph"/>
        <w:numPr>
          <w:ilvl w:val="2"/>
          <w:numId w:val="48"/>
        </w:numPr>
        <w:tabs>
          <w:tab w:pos="1615" w:val="left" w:leader="none"/>
          <w:tab w:pos="1624" w:val="left" w:leader="none"/>
        </w:tabs>
        <w:spacing w:line="360" w:lineRule="auto" w:before="1" w:after="0"/>
        <w:ind w:left="1624" w:right="1336" w:hanging="284"/>
        <w:jc w:val="left"/>
        <w:rPr>
          <w:sz w:val="20"/>
        </w:rPr>
      </w:pPr>
      <w:r>
        <w:rPr>
          <w:sz w:val="20"/>
        </w:rPr>
        <w:t>CD Rojemar: Se colabora con 14 soportes Bono Guagua con una recarga de 5 euros cada una. La colaboración total asciende a 91 euros.</w:t>
      </w:r>
    </w:p>
    <w:p>
      <w:pPr>
        <w:pStyle w:val="BodyText"/>
        <w:spacing w:line="229" w:lineRule="exact"/>
        <w:ind w:left="1341"/>
      </w:pPr>
      <w:r>
        <w:rPr/>
        <w:t>Total</w:t>
      </w:r>
      <w:r>
        <w:rPr>
          <w:spacing w:val="-9"/>
        </w:rPr>
        <w:t> </w:t>
      </w:r>
      <w:r>
        <w:rPr/>
        <w:t>aportaciones</w:t>
      </w:r>
      <w:r>
        <w:rPr>
          <w:spacing w:val="-9"/>
        </w:rPr>
        <w:t> </w:t>
      </w:r>
      <w:r>
        <w:rPr/>
        <w:t>en</w:t>
      </w:r>
      <w:r>
        <w:rPr>
          <w:spacing w:val="-6"/>
        </w:rPr>
        <w:t> </w:t>
      </w:r>
      <w:r>
        <w:rPr/>
        <w:t>especies:</w:t>
      </w:r>
      <w:r>
        <w:rPr>
          <w:spacing w:val="-9"/>
        </w:rPr>
        <w:t> </w:t>
      </w:r>
      <w:r>
        <w:rPr/>
        <w:t>7.077,62</w:t>
      </w:r>
      <w:r>
        <w:rPr>
          <w:spacing w:val="-10"/>
        </w:rPr>
        <w:t> </w:t>
      </w:r>
      <w:r>
        <w:rPr>
          <w:spacing w:val="-2"/>
        </w:rPr>
        <w:t>euros.</w:t>
      </w:r>
    </w:p>
    <w:p>
      <w:pPr>
        <w:pStyle w:val="BodyText"/>
      </w:pPr>
    </w:p>
    <w:p>
      <w:pPr>
        <w:pStyle w:val="BodyText"/>
        <w:spacing w:before="1"/>
      </w:pPr>
    </w:p>
    <w:p>
      <w:pPr>
        <w:pStyle w:val="Heading4"/>
        <w:ind w:left="1341"/>
        <w:rPr>
          <w:i/>
          <w:u w:val="none"/>
        </w:rPr>
      </w:pPr>
      <w:r>
        <w:rPr>
          <w:i/>
          <w:u w:val="none"/>
        </w:rPr>
        <w:t>Cesión</w:t>
      </w:r>
      <w:r>
        <w:rPr>
          <w:i/>
          <w:spacing w:val="-10"/>
          <w:u w:val="none"/>
        </w:rPr>
        <w:t> </w:t>
      </w:r>
      <w:r>
        <w:rPr>
          <w:i/>
          <w:u w:val="none"/>
        </w:rPr>
        <w:t>de</w:t>
      </w:r>
      <w:r>
        <w:rPr>
          <w:i/>
          <w:spacing w:val="-7"/>
          <w:u w:val="none"/>
        </w:rPr>
        <w:t> </w:t>
      </w:r>
      <w:r>
        <w:rPr>
          <w:i/>
          <w:u w:val="none"/>
        </w:rPr>
        <w:t>espacio</w:t>
      </w:r>
      <w:r>
        <w:rPr>
          <w:i/>
          <w:spacing w:val="-8"/>
          <w:u w:val="none"/>
        </w:rPr>
        <w:t> </w:t>
      </w:r>
      <w:r>
        <w:rPr>
          <w:i/>
          <w:u w:val="none"/>
        </w:rPr>
        <w:t>gratuito</w:t>
      </w:r>
      <w:r>
        <w:rPr>
          <w:i/>
          <w:spacing w:val="-7"/>
          <w:u w:val="none"/>
        </w:rPr>
        <w:t> </w:t>
      </w:r>
      <w:r>
        <w:rPr>
          <w:i/>
          <w:u w:val="none"/>
        </w:rPr>
        <w:t>promocional</w:t>
      </w:r>
      <w:r>
        <w:rPr>
          <w:i/>
          <w:spacing w:val="-9"/>
          <w:u w:val="none"/>
        </w:rPr>
        <w:t> </w:t>
      </w:r>
      <w:r>
        <w:rPr>
          <w:i/>
          <w:u w:val="none"/>
        </w:rPr>
        <w:t>(rotulación</w:t>
      </w:r>
      <w:r>
        <w:rPr>
          <w:i/>
          <w:spacing w:val="-10"/>
          <w:u w:val="none"/>
        </w:rPr>
        <w:t> </w:t>
      </w:r>
      <w:r>
        <w:rPr>
          <w:i/>
          <w:spacing w:val="-2"/>
          <w:u w:val="none"/>
        </w:rPr>
        <w:t>guaguas)</w:t>
      </w:r>
    </w:p>
    <w:p>
      <w:pPr>
        <w:pStyle w:val="ListParagraph"/>
        <w:numPr>
          <w:ilvl w:val="2"/>
          <w:numId w:val="48"/>
        </w:numPr>
        <w:tabs>
          <w:tab w:pos="1624" w:val="left" w:leader="none"/>
        </w:tabs>
        <w:spacing w:line="240" w:lineRule="auto" w:before="116" w:after="0"/>
        <w:ind w:left="1624" w:right="0" w:hanging="283"/>
        <w:jc w:val="left"/>
        <w:rPr>
          <w:sz w:val="20"/>
        </w:rPr>
      </w:pPr>
      <w:r>
        <w:rPr>
          <w:sz w:val="20"/>
        </w:rPr>
        <w:t>Se</w:t>
      </w:r>
      <w:r>
        <w:rPr>
          <w:spacing w:val="-1"/>
          <w:sz w:val="20"/>
        </w:rPr>
        <w:t> </w:t>
      </w:r>
      <w:r>
        <w:rPr>
          <w:sz w:val="20"/>
        </w:rPr>
        <w:t>ha</w:t>
      </w:r>
      <w:r>
        <w:rPr>
          <w:spacing w:val="-2"/>
          <w:sz w:val="20"/>
        </w:rPr>
        <w:t> </w:t>
      </w:r>
      <w:r>
        <w:rPr>
          <w:sz w:val="20"/>
        </w:rPr>
        <w:t>cedido</w:t>
      </w:r>
      <w:r>
        <w:rPr>
          <w:spacing w:val="1"/>
          <w:sz w:val="20"/>
        </w:rPr>
        <w:t> </w:t>
      </w:r>
      <w:r>
        <w:rPr>
          <w:sz w:val="20"/>
        </w:rPr>
        <w:t>espacio</w:t>
      </w:r>
      <w:r>
        <w:rPr>
          <w:spacing w:val="2"/>
          <w:sz w:val="20"/>
        </w:rPr>
        <w:t> </w:t>
      </w:r>
      <w:r>
        <w:rPr>
          <w:sz w:val="20"/>
        </w:rPr>
        <w:t>para</w:t>
      </w:r>
      <w:r>
        <w:rPr>
          <w:spacing w:val="1"/>
          <w:sz w:val="20"/>
        </w:rPr>
        <w:t> </w:t>
      </w:r>
      <w:r>
        <w:rPr>
          <w:sz w:val="20"/>
        </w:rPr>
        <w:t>campañas</w:t>
      </w:r>
      <w:r>
        <w:rPr>
          <w:spacing w:val="1"/>
          <w:sz w:val="20"/>
        </w:rPr>
        <w:t> </w:t>
      </w:r>
      <w:r>
        <w:rPr>
          <w:sz w:val="20"/>
        </w:rPr>
        <w:t>institucionales</w:t>
      </w:r>
      <w:r>
        <w:rPr>
          <w:spacing w:val="3"/>
          <w:sz w:val="20"/>
        </w:rPr>
        <w:t> </w:t>
      </w:r>
      <w:r>
        <w:rPr>
          <w:sz w:val="20"/>
        </w:rPr>
        <w:t>del Ayuntamiento</w:t>
      </w:r>
      <w:r>
        <w:rPr>
          <w:spacing w:val="-1"/>
          <w:sz w:val="20"/>
        </w:rPr>
        <w:t> </w:t>
      </w:r>
      <w:r>
        <w:rPr>
          <w:sz w:val="20"/>
        </w:rPr>
        <w:t>de Las Palmas</w:t>
      </w:r>
      <w:r>
        <w:rPr>
          <w:spacing w:val="1"/>
          <w:sz w:val="20"/>
        </w:rPr>
        <w:t> </w:t>
      </w:r>
      <w:r>
        <w:rPr>
          <w:spacing w:val="-4"/>
          <w:sz w:val="20"/>
        </w:rPr>
        <w:t>Gran</w:t>
      </w:r>
    </w:p>
    <w:p>
      <w:pPr>
        <w:pStyle w:val="BodyText"/>
        <w:spacing w:line="360" w:lineRule="auto" w:before="113"/>
        <w:ind w:left="1624" w:right="1308"/>
      </w:pPr>
      <w:r>
        <w:rPr/>
        <w:t>Canaria,</w:t>
      </w:r>
      <w:r>
        <w:rPr>
          <w:spacing w:val="40"/>
        </w:rPr>
        <w:t> </w:t>
      </w:r>
      <w:r>
        <w:rPr/>
        <w:t>Gobierno</w:t>
      </w:r>
      <w:r>
        <w:rPr>
          <w:spacing w:val="40"/>
        </w:rPr>
        <w:t> </w:t>
      </w:r>
      <w:r>
        <w:rPr/>
        <w:t>de</w:t>
      </w:r>
      <w:r>
        <w:rPr>
          <w:spacing w:val="40"/>
        </w:rPr>
        <w:t> </w:t>
      </w:r>
      <w:r>
        <w:rPr/>
        <w:t>Canarias,</w:t>
      </w:r>
      <w:r>
        <w:rPr>
          <w:spacing w:val="40"/>
        </w:rPr>
        <w:t> </w:t>
      </w:r>
      <w:r>
        <w:rPr/>
        <w:t>Universidad</w:t>
      </w:r>
      <w:r>
        <w:rPr>
          <w:spacing w:val="40"/>
        </w:rPr>
        <w:t> </w:t>
      </w:r>
      <w:r>
        <w:rPr/>
        <w:t>de</w:t>
      </w:r>
      <w:r>
        <w:rPr>
          <w:spacing w:val="40"/>
        </w:rPr>
        <w:t> </w:t>
      </w:r>
      <w:r>
        <w:rPr/>
        <w:t>Las</w:t>
      </w:r>
      <w:r>
        <w:rPr>
          <w:spacing w:val="40"/>
        </w:rPr>
        <w:t> </w:t>
      </w:r>
      <w:r>
        <w:rPr/>
        <w:t>Palmas</w:t>
      </w:r>
      <w:r>
        <w:rPr>
          <w:spacing w:val="40"/>
        </w:rPr>
        <w:t> </w:t>
      </w:r>
      <w:r>
        <w:rPr/>
        <w:t>de</w:t>
      </w:r>
      <w:r>
        <w:rPr>
          <w:spacing w:val="40"/>
        </w:rPr>
        <w:t> </w:t>
      </w:r>
      <w:r>
        <w:rPr/>
        <w:t>Gran</w:t>
      </w:r>
      <w:r>
        <w:rPr>
          <w:spacing w:val="40"/>
        </w:rPr>
        <w:t> </w:t>
      </w:r>
      <w:r>
        <w:rPr/>
        <w:t>Canaria</w:t>
      </w:r>
      <w:r>
        <w:rPr>
          <w:spacing w:val="40"/>
        </w:rPr>
        <w:t> </w:t>
      </w:r>
      <w:r>
        <w:rPr/>
        <w:t>y</w:t>
      </w:r>
      <w:r>
        <w:rPr>
          <w:spacing w:val="40"/>
        </w:rPr>
        <w:t> </w:t>
      </w:r>
      <w:r>
        <w:rPr/>
        <w:t>Real</w:t>
      </w:r>
      <w:r>
        <w:rPr>
          <w:spacing w:val="40"/>
        </w:rPr>
        <w:t> </w:t>
      </w:r>
      <w:r>
        <w:rPr/>
        <w:t>Sociedad Económica de Amigos del País de Gran Canaria.</w:t>
      </w:r>
    </w:p>
    <w:p>
      <w:pPr>
        <w:pStyle w:val="BodyText"/>
        <w:spacing w:after="0" w:line="360" w:lineRule="auto"/>
        <w:sectPr>
          <w:type w:val="continuous"/>
          <w:pgSz w:w="11910" w:h="16840"/>
          <w:pgMar w:header="384" w:footer="1060" w:top="1700" w:bottom="1040" w:left="360" w:right="360"/>
        </w:sectPr>
      </w:pPr>
    </w:p>
    <w:p>
      <w:pPr>
        <w:pStyle w:val="Heading4"/>
        <w:spacing w:before="215"/>
        <w:ind w:left="1341"/>
        <w:jc w:val="both"/>
        <w:rPr>
          <w:i/>
          <w:u w:val="none"/>
        </w:rPr>
      </w:pPr>
      <w:r>
        <w:rPr>
          <w:i/>
          <w:u w:val="none"/>
        </w:rPr>
        <w:t>Otras</w:t>
      </w:r>
      <w:r>
        <w:rPr>
          <w:i/>
          <w:spacing w:val="-9"/>
          <w:u w:val="none"/>
        </w:rPr>
        <w:t> </w:t>
      </w:r>
      <w:r>
        <w:rPr>
          <w:i/>
          <w:spacing w:val="-2"/>
          <w:u w:val="none"/>
        </w:rPr>
        <w:t>colaboraciones</w:t>
      </w:r>
    </w:p>
    <w:p>
      <w:pPr>
        <w:pStyle w:val="ListParagraph"/>
        <w:numPr>
          <w:ilvl w:val="2"/>
          <w:numId w:val="48"/>
        </w:numPr>
        <w:tabs>
          <w:tab w:pos="1551" w:val="left" w:leader="none"/>
          <w:tab w:pos="1624" w:val="left" w:leader="none"/>
        </w:tabs>
        <w:spacing w:line="360" w:lineRule="auto" w:before="116" w:after="0"/>
        <w:ind w:left="1624" w:right="1339" w:hanging="284"/>
        <w:jc w:val="both"/>
        <w:rPr>
          <w:sz w:val="20"/>
        </w:rPr>
      </w:pPr>
      <w:r>
        <w:rPr>
          <w:sz w:val="20"/>
        </w:rPr>
        <w:t>Promoción del proyecto cultural “Canarias suena” consistente en la puesta a disposición de los viajeros de Guaguas Municipales de playlists elaboradas por la FUNDACIÓN SGAE con obras de autores canarios de diferentes géneros y épocas.</w:t>
      </w:r>
    </w:p>
    <w:p>
      <w:pPr>
        <w:pStyle w:val="ListParagraph"/>
        <w:numPr>
          <w:ilvl w:val="2"/>
          <w:numId w:val="48"/>
        </w:numPr>
        <w:tabs>
          <w:tab w:pos="1623" w:val="left" w:leader="none"/>
        </w:tabs>
        <w:spacing w:line="229" w:lineRule="exact" w:before="0" w:after="0"/>
        <w:ind w:left="1623" w:right="0" w:hanging="282"/>
        <w:jc w:val="both"/>
        <w:rPr>
          <w:sz w:val="20"/>
        </w:rPr>
      </w:pPr>
      <w:r>
        <w:rPr>
          <w:sz w:val="20"/>
        </w:rPr>
        <w:t>Semana</w:t>
      </w:r>
      <w:r>
        <w:rPr>
          <w:spacing w:val="-6"/>
          <w:sz w:val="20"/>
        </w:rPr>
        <w:t> </w:t>
      </w:r>
      <w:r>
        <w:rPr>
          <w:sz w:val="20"/>
        </w:rPr>
        <w:t>Europea</w:t>
      </w:r>
      <w:r>
        <w:rPr>
          <w:spacing w:val="-7"/>
          <w:sz w:val="20"/>
        </w:rPr>
        <w:t> </w:t>
      </w:r>
      <w:r>
        <w:rPr>
          <w:sz w:val="20"/>
        </w:rPr>
        <w:t>de</w:t>
      </w:r>
      <w:r>
        <w:rPr>
          <w:spacing w:val="-7"/>
          <w:sz w:val="20"/>
        </w:rPr>
        <w:t> </w:t>
      </w:r>
      <w:r>
        <w:rPr>
          <w:sz w:val="20"/>
        </w:rPr>
        <w:t>la</w:t>
      </w:r>
      <w:r>
        <w:rPr>
          <w:spacing w:val="-6"/>
          <w:sz w:val="20"/>
        </w:rPr>
        <w:t> </w:t>
      </w:r>
      <w:r>
        <w:rPr>
          <w:sz w:val="20"/>
        </w:rPr>
        <w:t>Movilidad.</w:t>
      </w:r>
      <w:r>
        <w:rPr>
          <w:spacing w:val="-3"/>
          <w:sz w:val="20"/>
        </w:rPr>
        <w:t> </w:t>
      </w:r>
      <w:r>
        <w:rPr>
          <w:sz w:val="20"/>
        </w:rPr>
        <w:t>Del</w:t>
      </w:r>
      <w:r>
        <w:rPr>
          <w:spacing w:val="-6"/>
          <w:sz w:val="20"/>
        </w:rPr>
        <w:t> </w:t>
      </w:r>
      <w:r>
        <w:rPr>
          <w:sz w:val="20"/>
        </w:rPr>
        <w:t>16</w:t>
      </w:r>
      <w:r>
        <w:rPr>
          <w:spacing w:val="-3"/>
          <w:sz w:val="20"/>
        </w:rPr>
        <w:t> </w:t>
      </w:r>
      <w:r>
        <w:rPr>
          <w:sz w:val="20"/>
        </w:rPr>
        <w:t>al</w:t>
      </w:r>
      <w:r>
        <w:rPr>
          <w:spacing w:val="-4"/>
          <w:sz w:val="20"/>
        </w:rPr>
        <w:t> </w:t>
      </w:r>
      <w:r>
        <w:rPr>
          <w:sz w:val="20"/>
        </w:rPr>
        <w:t>22</w:t>
      </w:r>
      <w:r>
        <w:rPr>
          <w:spacing w:val="-5"/>
          <w:sz w:val="20"/>
        </w:rPr>
        <w:t> </w:t>
      </w:r>
      <w:r>
        <w:rPr>
          <w:sz w:val="20"/>
        </w:rPr>
        <w:t>de</w:t>
      </w:r>
      <w:r>
        <w:rPr>
          <w:spacing w:val="-6"/>
          <w:sz w:val="20"/>
        </w:rPr>
        <w:t> </w:t>
      </w:r>
      <w:r>
        <w:rPr>
          <w:sz w:val="20"/>
        </w:rPr>
        <w:t>septiembre</w:t>
      </w:r>
      <w:r>
        <w:rPr>
          <w:spacing w:val="-7"/>
          <w:sz w:val="20"/>
        </w:rPr>
        <w:t> </w:t>
      </w:r>
      <w:r>
        <w:rPr>
          <w:sz w:val="20"/>
        </w:rPr>
        <w:t>de</w:t>
      </w:r>
      <w:r>
        <w:rPr>
          <w:spacing w:val="-6"/>
          <w:sz w:val="20"/>
        </w:rPr>
        <w:t> </w:t>
      </w:r>
      <w:r>
        <w:rPr>
          <w:spacing w:val="-2"/>
          <w:sz w:val="20"/>
        </w:rPr>
        <w:t>2025.</w:t>
      </w:r>
    </w:p>
    <w:p>
      <w:pPr>
        <w:pStyle w:val="BodyText"/>
      </w:pPr>
    </w:p>
    <w:p>
      <w:pPr>
        <w:pStyle w:val="BodyText"/>
        <w:spacing w:before="135"/>
      </w:pPr>
    </w:p>
    <w:p>
      <w:pPr>
        <w:pStyle w:val="Heading3"/>
        <w:numPr>
          <w:ilvl w:val="0"/>
          <w:numId w:val="31"/>
        </w:numPr>
        <w:tabs>
          <w:tab w:pos="1559" w:val="left" w:leader="none"/>
        </w:tabs>
        <w:spacing w:line="240" w:lineRule="auto" w:before="1" w:after="0"/>
        <w:ind w:left="1559" w:right="0" w:hanging="218"/>
        <w:jc w:val="left"/>
      </w:pPr>
      <w:bookmarkStart w:name="_TOC_250000" w:id="52"/>
      <w:r>
        <w:rPr/>
        <w:t>Criterios</w:t>
      </w:r>
      <w:r>
        <w:rPr>
          <w:spacing w:val="-5"/>
        </w:rPr>
        <w:t> </w:t>
      </w:r>
      <w:r>
        <w:rPr/>
        <w:t>utilizados</w:t>
      </w:r>
      <w:r>
        <w:rPr>
          <w:spacing w:val="-8"/>
        </w:rPr>
        <w:t> </w:t>
      </w:r>
      <w:r>
        <w:rPr/>
        <w:t>en</w:t>
      </w:r>
      <w:r>
        <w:rPr>
          <w:spacing w:val="-5"/>
        </w:rPr>
        <w:t> </w:t>
      </w:r>
      <w:r>
        <w:rPr/>
        <w:t>la</w:t>
      </w:r>
      <w:r>
        <w:rPr>
          <w:spacing w:val="-6"/>
        </w:rPr>
        <w:t> </w:t>
      </w:r>
      <w:r>
        <w:rPr/>
        <w:t>elaboración</w:t>
      </w:r>
      <w:r>
        <w:rPr>
          <w:spacing w:val="-5"/>
        </w:rPr>
        <w:t> </w:t>
      </w:r>
      <w:r>
        <w:rPr/>
        <w:t>del</w:t>
      </w:r>
      <w:r>
        <w:rPr>
          <w:spacing w:val="-7"/>
        </w:rPr>
        <w:t> </w:t>
      </w:r>
      <w:r>
        <w:rPr/>
        <w:t>estado</w:t>
      </w:r>
      <w:r>
        <w:rPr>
          <w:spacing w:val="-5"/>
        </w:rPr>
        <w:t> </w:t>
      </w:r>
      <w:r>
        <w:rPr/>
        <w:t>de</w:t>
      </w:r>
      <w:r>
        <w:rPr>
          <w:spacing w:val="-7"/>
        </w:rPr>
        <w:t> </w:t>
      </w:r>
      <w:r>
        <w:rPr/>
        <w:t>información</w:t>
      </w:r>
      <w:r>
        <w:rPr>
          <w:spacing w:val="-7"/>
        </w:rPr>
        <w:t> </w:t>
      </w:r>
      <w:r>
        <w:rPr/>
        <w:t>no</w:t>
      </w:r>
      <w:r>
        <w:rPr>
          <w:spacing w:val="-7"/>
        </w:rPr>
        <w:t> </w:t>
      </w:r>
      <w:bookmarkEnd w:id="52"/>
      <w:r>
        <w:rPr>
          <w:spacing w:val="-2"/>
        </w:rPr>
        <w:t>financiera:</w:t>
      </w:r>
    </w:p>
    <w:p>
      <w:pPr>
        <w:pStyle w:val="BodyText"/>
        <w:spacing w:before="43"/>
        <w:rPr>
          <w:b/>
        </w:rPr>
      </w:pPr>
    </w:p>
    <w:p>
      <w:pPr>
        <w:pStyle w:val="BodyText"/>
        <w:spacing w:line="360" w:lineRule="auto" w:before="1"/>
        <w:ind w:left="1341" w:right="1336"/>
        <w:jc w:val="both"/>
      </w:pPr>
      <w:r>
        <w:rPr/>
        <w:t>La elaboración de este documento, como informe separado al informe de gestión al 31 de diciembre de 2025 de Guaguas Municipales, S.A., se ha realizado de conformidad con los requisitos previstos en la Ley 11/2018, de 28 de diciembre, por el que se modifican el Código</w:t>
      </w:r>
      <w:r>
        <w:rPr>
          <w:spacing w:val="40"/>
        </w:rPr>
        <w:t> </w:t>
      </w:r>
      <w:r>
        <w:rPr/>
        <w:t>de Comercio, el texto refundido de la Ley de Sociedades de Capital aprobado por el Real Decreto</w:t>
      </w:r>
      <w:r>
        <w:rPr>
          <w:spacing w:val="29"/>
        </w:rPr>
        <w:t> </w:t>
      </w:r>
      <w:r>
        <w:rPr/>
        <w:t>Legislativo</w:t>
      </w:r>
      <w:r>
        <w:rPr>
          <w:spacing w:val="31"/>
        </w:rPr>
        <w:t> </w:t>
      </w:r>
      <w:r>
        <w:rPr/>
        <w:t>1/2010,</w:t>
      </w:r>
      <w:r>
        <w:rPr>
          <w:spacing w:val="32"/>
        </w:rPr>
        <w:t> </w:t>
      </w:r>
      <w:r>
        <w:rPr/>
        <w:t>de</w:t>
      </w:r>
      <w:r>
        <w:rPr>
          <w:spacing w:val="28"/>
        </w:rPr>
        <w:t> </w:t>
      </w:r>
      <w:r>
        <w:rPr/>
        <w:t>2</w:t>
      </w:r>
      <w:r>
        <w:rPr>
          <w:spacing w:val="30"/>
        </w:rPr>
        <w:t> </w:t>
      </w:r>
      <w:r>
        <w:rPr/>
        <w:t>de</w:t>
      </w:r>
      <w:r>
        <w:rPr>
          <w:spacing w:val="28"/>
        </w:rPr>
        <w:t> </w:t>
      </w:r>
      <w:r>
        <w:rPr/>
        <w:t>julio,</w:t>
      </w:r>
      <w:r>
        <w:rPr>
          <w:spacing w:val="33"/>
        </w:rPr>
        <w:t> </w:t>
      </w:r>
      <w:r>
        <w:rPr/>
        <w:t>y</w:t>
      </w:r>
      <w:r>
        <w:rPr>
          <w:spacing w:val="26"/>
        </w:rPr>
        <w:t> </w:t>
      </w:r>
      <w:r>
        <w:rPr/>
        <w:t>la</w:t>
      </w:r>
      <w:r>
        <w:rPr>
          <w:spacing w:val="29"/>
        </w:rPr>
        <w:t> </w:t>
      </w:r>
      <w:r>
        <w:rPr/>
        <w:t>Ley</w:t>
      </w:r>
      <w:r>
        <w:rPr>
          <w:spacing w:val="26"/>
        </w:rPr>
        <w:t> </w:t>
      </w:r>
      <w:r>
        <w:rPr/>
        <w:t>22/2015,</w:t>
      </w:r>
      <w:r>
        <w:rPr>
          <w:spacing w:val="30"/>
        </w:rPr>
        <w:t> </w:t>
      </w:r>
      <w:r>
        <w:rPr/>
        <w:t>de</w:t>
      </w:r>
      <w:r>
        <w:rPr>
          <w:spacing w:val="28"/>
        </w:rPr>
        <w:t> </w:t>
      </w:r>
      <w:r>
        <w:rPr/>
        <w:t>20</w:t>
      </w:r>
      <w:r>
        <w:rPr>
          <w:spacing w:val="30"/>
        </w:rPr>
        <w:t> </w:t>
      </w:r>
      <w:r>
        <w:rPr/>
        <w:t>de</w:t>
      </w:r>
      <w:r>
        <w:rPr>
          <w:spacing w:val="29"/>
        </w:rPr>
        <w:t> </w:t>
      </w:r>
      <w:r>
        <w:rPr/>
        <w:t>julio,</w:t>
      </w:r>
      <w:r>
        <w:rPr>
          <w:spacing w:val="30"/>
        </w:rPr>
        <w:t> </w:t>
      </w:r>
      <w:r>
        <w:rPr/>
        <w:t>de</w:t>
      </w:r>
      <w:r>
        <w:rPr>
          <w:spacing w:val="32"/>
        </w:rPr>
        <w:t> </w:t>
      </w:r>
      <w:r>
        <w:rPr/>
        <w:t>Auditoría</w:t>
      </w:r>
      <w:r>
        <w:rPr>
          <w:spacing w:val="31"/>
        </w:rPr>
        <w:t> </w:t>
      </w:r>
      <w:r>
        <w:rPr>
          <w:spacing w:val="-5"/>
        </w:rPr>
        <w:t>de</w:t>
      </w:r>
    </w:p>
    <w:p>
      <w:pPr>
        <w:pStyle w:val="BodyText"/>
        <w:spacing w:line="228" w:lineRule="exact"/>
        <w:jc w:val="center"/>
      </w:pPr>
      <w:r>
        <w:rPr/>
        <w:t>Cuentas,</w:t>
      </w:r>
      <w:r>
        <w:rPr>
          <w:spacing w:val="47"/>
        </w:rPr>
        <w:t> </w:t>
      </w:r>
      <w:r>
        <w:rPr/>
        <w:t>en</w:t>
      </w:r>
      <w:r>
        <w:rPr>
          <w:spacing w:val="48"/>
        </w:rPr>
        <w:t> </w:t>
      </w:r>
      <w:r>
        <w:rPr/>
        <w:t>materia</w:t>
      </w:r>
      <w:r>
        <w:rPr>
          <w:spacing w:val="49"/>
        </w:rPr>
        <w:t> </w:t>
      </w:r>
      <w:r>
        <w:rPr/>
        <w:t>de</w:t>
      </w:r>
      <w:r>
        <w:rPr>
          <w:spacing w:val="51"/>
        </w:rPr>
        <w:t> </w:t>
      </w:r>
      <w:r>
        <w:rPr/>
        <w:t>información</w:t>
      </w:r>
      <w:r>
        <w:rPr>
          <w:spacing w:val="49"/>
        </w:rPr>
        <w:t> </w:t>
      </w:r>
      <w:r>
        <w:rPr/>
        <w:t>no</w:t>
      </w:r>
      <w:r>
        <w:rPr>
          <w:spacing w:val="50"/>
        </w:rPr>
        <w:t> </w:t>
      </w:r>
      <w:r>
        <w:rPr/>
        <w:t>financiera</w:t>
      </w:r>
      <w:r>
        <w:rPr>
          <w:spacing w:val="50"/>
        </w:rPr>
        <w:t> </w:t>
      </w:r>
      <w:r>
        <w:rPr/>
        <w:t>y</w:t>
      </w:r>
      <w:r>
        <w:rPr>
          <w:spacing w:val="47"/>
        </w:rPr>
        <w:t> </w:t>
      </w:r>
      <w:r>
        <w:rPr/>
        <w:t>diversidad.</w:t>
      </w:r>
      <w:r>
        <w:rPr>
          <w:spacing w:val="51"/>
        </w:rPr>
        <w:t> </w:t>
      </w:r>
      <w:r>
        <w:rPr/>
        <w:t>Al</w:t>
      </w:r>
      <w:r>
        <w:rPr>
          <w:spacing w:val="49"/>
        </w:rPr>
        <w:t> </w:t>
      </w:r>
      <w:r>
        <w:rPr/>
        <w:t>objeto</w:t>
      </w:r>
      <w:r>
        <w:rPr>
          <w:spacing w:val="48"/>
        </w:rPr>
        <w:t> </w:t>
      </w:r>
      <w:r>
        <w:rPr/>
        <w:t>de</w:t>
      </w:r>
      <w:r>
        <w:rPr>
          <w:spacing w:val="48"/>
        </w:rPr>
        <w:t> </w:t>
      </w:r>
      <w:r>
        <w:rPr/>
        <w:t>facilitar</w:t>
      </w:r>
      <w:r>
        <w:rPr>
          <w:spacing w:val="48"/>
        </w:rPr>
        <w:t> </w:t>
      </w:r>
      <w:r>
        <w:rPr>
          <w:spacing w:val="-4"/>
        </w:rPr>
        <w:t>esta</w:t>
      </w:r>
    </w:p>
    <w:p>
      <w:pPr>
        <w:pStyle w:val="BodyText"/>
        <w:spacing w:line="360" w:lineRule="auto" w:before="115"/>
        <w:ind w:left="1341" w:right="1339"/>
        <w:jc w:val="both"/>
      </w:pPr>
      <w:r>
        <w:rPr/>
        <w:t>información, Guaguas Municipales, S.A. se ha basado en la Iniciativa Mundial de Presentación de memorias de sostenibilidad de Global Reporting Initiative (GRI Standards). El alcance del presente Estado de Información No Financiera incluye la información relativa al ejercicio 2025 de Guaguas Municipales, S.A.</w:t>
      </w:r>
    </w:p>
    <w:p>
      <w:pPr>
        <w:pStyle w:val="BodyText"/>
        <w:spacing w:before="200"/>
        <w:jc w:val="center"/>
      </w:pPr>
      <w:r>
        <w:rPr/>
        <w:t>La</w:t>
      </w:r>
      <w:r>
        <w:rPr>
          <w:spacing w:val="17"/>
        </w:rPr>
        <w:t> </w:t>
      </w:r>
      <w:r>
        <w:rPr/>
        <w:t>Iniciativa</w:t>
      </w:r>
      <w:r>
        <w:rPr>
          <w:spacing w:val="18"/>
        </w:rPr>
        <w:t> </w:t>
      </w:r>
      <w:r>
        <w:rPr/>
        <w:t>de</w:t>
      </w:r>
      <w:r>
        <w:rPr>
          <w:spacing w:val="18"/>
        </w:rPr>
        <w:t> </w:t>
      </w:r>
      <w:r>
        <w:rPr/>
        <w:t>Reporte</w:t>
      </w:r>
      <w:r>
        <w:rPr>
          <w:spacing w:val="16"/>
        </w:rPr>
        <w:t> </w:t>
      </w:r>
      <w:r>
        <w:rPr/>
        <w:t>Global</w:t>
      </w:r>
      <w:r>
        <w:rPr>
          <w:spacing w:val="16"/>
        </w:rPr>
        <w:t> </w:t>
      </w:r>
      <w:r>
        <w:rPr/>
        <w:t>o</w:t>
      </w:r>
      <w:r>
        <w:rPr>
          <w:spacing w:val="17"/>
        </w:rPr>
        <w:t> </w:t>
      </w:r>
      <w:r>
        <w:rPr/>
        <w:t>Global</w:t>
      </w:r>
      <w:r>
        <w:rPr>
          <w:spacing w:val="18"/>
        </w:rPr>
        <w:t> </w:t>
      </w:r>
      <w:r>
        <w:rPr/>
        <w:t>Reporting</w:t>
      </w:r>
      <w:r>
        <w:rPr>
          <w:spacing w:val="17"/>
        </w:rPr>
        <w:t> </w:t>
      </w:r>
      <w:r>
        <w:rPr/>
        <w:t>Initiative,</w:t>
      </w:r>
      <w:r>
        <w:rPr>
          <w:spacing w:val="19"/>
        </w:rPr>
        <w:t> </w:t>
      </w:r>
      <w:r>
        <w:rPr/>
        <w:t>es</w:t>
      </w:r>
      <w:r>
        <w:rPr>
          <w:spacing w:val="20"/>
        </w:rPr>
        <w:t> </w:t>
      </w:r>
      <w:r>
        <w:rPr/>
        <w:t>una</w:t>
      </w:r>
      <w:r>
        <w:rPr>
          <w:spacing w:val="16"/>
        </w:rPr>
        <w:t> </w:t>
      </w:r>
      <w:r>
        <w:rPr/>
        <w:t>institución</w:t>
      </w:r>
      <w:r>
        <w:rPr>
          <w:spacing w:val="20"/>
        </w:rPr>
        <w:t> </w:t>
      </w:r>
      <w:r>
        <w:rPr>
          <w:spacing w:val="-2"/>
        </w:rPr>
        <w:t>independiente</w:t>
      </w:r>
    </w:p>
    <w:p>
      <w:pPr>
        <w:pStyle w:val="BodyText"/>
        <w:spacing w:before="115"/>
        <w:ind w:left="2"/>
        <w:jc w:val="center"/>
      </w:pPr>
      <w:r>
        <w:rPr/>
        <w:t>que</w:t>
      </w:r>
      <w:r>
        <w:rPr>
          <w:spacing w:val="38"/>
        </w:rPr>
        <w:t> </w:t>
      </w:r>
      <w:r>
        <w:rPr/>
        <w:t>creó</w:t>
      </w:r>
      <w:r>
        <w:rPr>
          <w:spacing w:val="38"/>
        </w:rPr>
        <w:t> </w:t>
      </w:r>
      <w:r>
        <w:rPr/>
        <w:t>el</w:t>
      </w:r>
      <w:r>
        <w:rPr>
          <w:spacing w:val="41"/>
        </w:rPr>
        <w:t> </w:t>
      </w:r>
      <w:r>
        <w:rPr/>
        <w:t>primer</w:t>
      </w:r>
      <w:r>
        <w:rPr>
          <w:spacing w:val="39"/>
        </w:rPr>
        <w:t> </w:t>
      </w:r>
      <w:r>
        <w:rPr/>
        <w:t>estándar</w:t>
      </w:r>
      <w:r>
        <w:rPr>
          <w:spacing w:val="41"/>
        </w:rPr>
        <w:t> </w:t>
      </w:r>
      <w:r>
        <w:rPr/>
        <w:t>mundial</w:t>
      </w:r>
      <w:r>
        <w:rPr>
          <w:spacing w:val="39"/>
        </w:rPr>
        <w:t> </w:t>
      </w:r>
      <w:r>
        <w:rPr/>
        <w:t>de</w:t>
      </w:r>
      <w:r>
        <w:rPr>
          <w:spacing w:val="40"/>
        </w:rPr>
        <w:t> </w:t>
      </w:r>
      <w:r>
        <w:rPr/>
        <w:t>lineamientos</w:t>
      </w:r>
      <w:r>
        <w:rPr>
          <w:spacing w:val="38"/>
        </w:rPr>
        <w:t> </w:t>
      </w:r>
      <w:r>
        <w:rPr/>
        <w:t>para</w:t>
      </w:r>
      <w:r>
        <w:rPr>
          <w:spacing w:val="40"/>
        </w:rPr>
        <w:t> </w:t>
      </w:r>
      <w:r>
        <w:rPr/>
        <w:t>la</w:t>
      </w:r>
      <w:r>
        <w:rPr>
          <w:spacing w:val="40"/>
        </w:rPr>
        <w:t> </w:t>
      </w:r>
      <w:r>
        <w:rPr/>
        <w:t>elaboración</w:t>
      </w:r>
      <w:r>
        <w:rPr>
          <w:spacing w:val="40"/>
        </w:rPr>
        <w:t> </w:t>
      </w:r>
      <w:r>
        <w:rPr/>
        <w:t>de</w:t>
      </w:r>
      <w:r>
        <w:rPr>
          <w:spacing w:val="41"/>
        </w:rPr>
        <w:t> </w:t>
      </w:r>
      <w:r>
        <w:rPr/>
        <w:t>memorias</w:t>
      </w:r>
      <w:r>
        <w:rPr>
          <w:spacing w:val="39"/>
        </w:rPr>
        <w:t> </w:t>
      </w:r>
      <w:r>
        <w:rPr>
          <w:spacing w:val="-5"/>
        </w:rPr>
        <w:t>de</w:t>
      </w:r>
    </w:p>
    <w:p>
      <w:pPr>
        <w:pStyle w:val="BodyText"/>
        <w:spacing w:before="116"/>
        <w:ind w:left="1"/>
        <w:jc w:val="center"/>
      </w:pPr>
      <w:r>
        <w:rPr/>
        <w:t>sostenibilidad</w:t>
      </w:r>
      <w:r>
        <w:rPr>
          <w:spacing w:val="65"/>
          <w:w w:val="150"/>
        </w:rPr>
        <w:t> </w:t>
      </w:r>
      <w:r>
        <w:rPr/>
        <w:t>de</w:t>
      </w:r>
      <w:r>
        <w:rPr>
          <w:spacing w:val="66"/>
          <w:w w:val="150"/>
        </w:rPr>
        <w:t> </w:t>
      </w:r>
      <w:r>
        <w:rPr/>
        <w:t>aquellas</w:t>
      </w:r>
      <w:r>
        <w:rPr>
          <w:spacing w:val="71"/>
          <w:w w:val="150"/>
        </w:rPr>
        <w:t> </w:t>
      </w:r>
      <w:r>
        <w:rPr/>
        <w:t>compañías</w:t>
      </w:r>
      <w:r>
        <w:rPr>
          <w:spacing w:val="66"/>
          <w:w w:val="150"/>
        </w:rPr>
        <w:t> </w:t>
      </w:r>
      <w:r>
        <w:rPr/>
        <w:t>que</w:t>
      </w:r>
      <w:r>
        <w:rPr>
          <w:spacing w:val="67"/>
          <w:w w:val="150"/>
        </w:rPr>
        <w:t> </w:t>
      </w:r>
      <w:r>
        <w:rPr/>
        <w:t>desean</w:t>
      </w:r>
      <w:r>
        <w:rPr>
          <w:spacing w:val="65"/>
          <w:w w:val="150"/>
        </w:rPr>
        <w:t> </w:t>
      </w:r>
      <w:r>
        <w:rPr/>
        <w:t>evaluar</w:t>
      </w:r>
      <w:r>
        <w:rPr>
          <w:spacing w:val="68"/>
          <w:w w:val="150"/>
        </w:rPr>
        <w:t> </w:t>
      </w:r>
      <w:r>
        <w:rPr/>
        <w:t>su</w:t>
      </w:r>
      <w:r>
        <w:rPr>
          <w:spacing w:val="67"/>
          <w:w w:val="150"/>
        </w:rPr>
        <w:t> </w:t>
      </w:r>
      <w:r>
        <w:rPr/>
        <w:t>desempeño</w:t>
      </w:r>
      <w:r>
        <w:rPr>
          <w:spacing w:val="65"/>
          <w:w w:val="150"/>
        </w:rPr>
        <w:t> </w:t>
      </w:r>
      <w:r>
        <w:rPr>
          <w:spacing w:val="-2"/>
        </w:rPr>
        <w:t>económico,</w:t>
      </w:r>
    </w:p>
    <w:p>
      <w:pPr>
        <w:pStyle w:val="BodyText"/>
        <w:spacing w:before="115"/>
        <w:ind w:right="1"/>
        <w:jc w:val="center"/>
      </w:pPr>
      <w:r>
        <w:rPr/>
        <w:t>ambiental</w:t>
      </w:r>
      <w:r>
        <w:rPr>
          <w:spacing w:val="14"/>
        </w:rPr>
        <w:t> </w:t>
      </w:r>
      <w:r>
        <w:rPr/>
        <w:t>y</w:t>
      </w:r>
      <w:r>
        <w:rPr>
          <w:spacing w:val="8"/>
        </w:rPr>
        <w:t> </w:t>
      </w:r>
      <w:r>
        <w:rPr/>
        <w:t>social.</w:t>
      </w:r>
      <w:r>
        <w:rPr>
          <w:spacing w:val="13"/>
        </w:rPr>
        <w:t> </w:t>
      </w:r>
      <w:r>
        <w:rPr/>
        <w:t>Es</w:t>
      </w:r>
      <w:r>
        <w:rPr>
          <w:spacing w:val="12"/>
        </w:rPr>
        <w:t> </w:t>
      </w:r>
      <w:r>
        <w:rPr/>
        <w:t>un</w:t>
      </w:r>
      <w:r>
        <w:rPr>
          <w:spacing w:val="12"/>
        </w:rPr>
        <w:t> </w:t>
      </w:r>
      <w:r>
        <w:rPr/>
        <w:t>centro</w:t>
      </w:r>
      <w:r>
        <w:rPr>
          <w:spacing w:val="9"/>
        </w:rPr>
        <w:t> </w:t>
      </w:r>
      <w:r>
        <w:rPr/>
        <w:t>oficial</w:t>
      </w:r>
      <w:r>
        <w:rPr>
          <w:spacing w:val="12"/>
        </w:rPr>
        <w:t> </w:t>
      </w:r>
      <w:r>
        <w:rPr/>
        <w:t>de</w:t>
      </w:r>
      <w:r>
        <w:rPr>
          <w:spacing w:val="12"/>
        </w:rPr>
        <w:t> </w:t>
      </w:r>
      <w:r>
        <w:rPr/>
        <w:t>colaboración</w:t>
      </w:r>
      <w:r>
        <w:rPr>
          <w:spacing w:val="10"/>
        </w:rPr>
        <w:t> </w:t>
      </w:r>
      <w:r>
        <w:rPr/>
        <w:t>del</w:t>
      </w:r>
      <w:r>
        <w:rPr>
          <w:spacing w:val="8"/>
        </w:rPr>
        <w:t> </w:t>
      </w:r>
      <w:r>
        <w:rPr/>
        <w:t>Programa</w:t>
      </w:r>
      <w:r>
        <w:rPr>
          <w:spacing w:val="9"/>
        </w:rPr>
        <w:t> </w:t>
      </w:r>
      <w:r>
        <w:rPr/>
        <w:t>de</w:t>
      </w:r>
      <w:r>
        <w:rPr>
          <w:spacing w:val="10"/>
        </w:rPr>
        <w:t> </w:t>
      </w:r>
      <w:r>
        <w:rPr/>
        <w:t>las</w:t>
      </w:r>
      <w:r>
        <w:rPr>
          <w:spacing w:val="12"/>
        </w:rPr>
        <w:t> </w:t>
      </w:r>
      <w:r>
        <w:rPr/>
        <w:t>Naciones</w:t>
      </w:r>
      <w:r>
        <w:rPr>
          <w:spacing w:val="13"/>
        </w:rPr>
        <w:t> </w:t>
      </w:r>
      <w:r>
        <w:rPr>
          <w:spacing w:val="-2"/>
        </w:rPr>
        <w:t>Unidas</w:t>
      </w:r>
    </w:p>
    <w:p>
      <w:pPr>
        <w:pStyle w:val="BodyText"/>
        <w:spacing w:before="114"/>
        <w:jc w:val="center"/>
      </w:pPr>
      <w:r>
        <w:rPr/>
        <w:t>para</w:t>
      </w:r>
      <w:r>
        <w:rPr>
          <w:spacing w:val="60"/>
        </w:rPr>
        <w:t> </w:t>
      </w:r>
      <w:r>
        <w:rPr/>
        <w:t>el</w:t>
      </w:r>
      <w:r>
        <w:rPr>
          <w:spacing w:val="59"/>
        </w:rPr>
        <w:t> </w:t>
      </w:r>
      <w:r>
        <w:rPr/>
        <w:t>Medio</w:t>
      </w:r>
      <w:r>
        <w:rPr>
          <w:spacing w:val="64"/>
        </w:rPr>
        <w:t> </w:t>
      </w:r>
      <w:r>
        <w:rPr/>
        <w:t>Ambiente</w:t>
      </w:r>
      <w:r>
        <w:rPr>
          <w:spacing w:val="63"/>
        </w:rPr>
        <w:t> </w:t>
      </w:r>
      <w:r>
        <w:rPr/>
        <w:t>(PNUMA).</w:t>
      </w:r>
      <w:r>
        <w:rPr>
          <w:spacing w:val="60"/>
        </w:rPr>
        <w:t> </w:t>
      </w:r>
      <w:r>
        <w:rPr/>
        <w:t>Los</w:t>
      </w:r>
      <w:r>
        <w:rPr>
          <w:spacing w:val="62"/>
        </w:rPr>
        <w:t> </w:t>
      </w:r>
      <w:r>
        <w:rPr/>
        <w:t>Estándares</w:t>
      </w:r>
      <w:r>
        <w:rPr>
          <w:spacing w:val="61"/>
        </w:rPr>
        <w:t> </w:t>
      </w:r>
      <w:r>
        <w:rPr/>
        <w:t>Internacionales</w:t>
      </w:r>
      <w:r>
        <w:rPr>
          <w:spacing w:val="62"/>
        </w:rPr>
        <w:t> </w:t>
      </w:r>
      <w:r>
        <w:rPr/>
        <w:t>del</w:t>
      </w:r>
      <w:r>
        <w:rPr>
          <w:spacing w:val="59"/>
        </w:rPr>
        <w:t> </w:t>
      </w:r>
      <w:r>
        <w:rPr/>
        <w:t>Global</w:t>
      </w:r>
      <w:r>
        <w:rPr>
          <w:spacing w:val="62"/>
        </w:rPr>
        <w:t> </w:t>
      </w:r>
      <w:r>
        <w:rPr>
          <w:spacing w:val="-2"/>
        </w:rPr>
        <w:t>Reporting</w:t>
      </w:r>
    </w:p>
    <w:p>
      <w:pPr>
        <w:pStyle w:val="BodyText"/>
        <w:spacing w:before="115"/>
        <w:ind w:left="2"/>
        <w:jc w:val="center"/>
      </w:pPr>
      <w:r>
        <w:rPr/>
        <w:t>Initiative</w:t>
      </w:r>
      <w:r>
        <w:rPr>
          <w:spacing w:val="41"/>
        </w:rPr>
        <w:t> </w:t>
      </w:r>
      <w:r>
        <w:rPr/>
        <w:t>(en</w:t>
      </w:r>
      <w:r>
        <w:rPr>
          <w:spacing w:val="44"/>
        </w:rPr>
        <w:t> </w:t>
      </w:r>
      <w:r>
        <w:rPr/>
        <w:t>adelante</w:t>
      </w:r>
      <w:r>
        <w:rPr>
          <w:spacing w:val="41"/>
        </w:rPr>
        <w:t> </w:t>
      </w:r>
      <w:r>
        <w:rPr/>
        <w:t>GRI)</w:t>
      </w:r>
      <w:r>
        <w:rPr>
          <w:spacing w:val="46"/>
        </w:rPr>
        <w:t> </w:t>
      </w:r>
      <w:r>
        <w:rPr/>
        <w:t>representan</w:t>
      </w:r>
      <w:r>
        <w:rPr>
          <w:spacing w:val="40"/>
        </w:rPr>
        <w:t> </w:t>
      </w:r>
      <w:r>
        <w:rPr/>
        <w:t>las</w:t>
      </w:r>
      <w:r>
        <w:rPr>
          <w:spacing w:val="44"/>
        </w:rPr>
        <w:t> </w:t>
      </w:r>
      <w:r>
        <w:rPr/>
        <w:t>mejores</w:t>
      </w:r>
      <w:r>
        <w:rPr>
          <w:spacing w:val="43"/>
        </w:rPr>
        <w:t> </w:t>
      </w:r>
      <w:r>
        <w:rPr/>
        <w:t>prácticas</w:t>
      </w:r>
      <w:r>
        <w:rPr>
          <w:spacing w:val="44"/>
        </w:rPr>
        <w:t> </w:t>
      </w:r>
      <w:r>
        <w:rPr/>
        <w:t>a</w:t>
      </w:r>
      <w:r>
        <w:rPr>
          <w:spacing w:val="41"/>
        </w:rPr>
        <w:t> </w:t>
      </w:r>
      <w:r>
        <w:rPr/>
        <w:t>nivel</w:t>
      </w:r>
      <w:r>
        <w:rPr>
          <w:spacing w:val="41"/>
        </w:rPr>
        <w:t> </w:t>
      </w:r>
      <w:r>
        <w:rPr/>
        <w:t>global</w:t>
      </w:r>
      <w:r>
        <w:rPr>
          <w:spacing w:val="44"/>
        </w:rPr>
        <w:t> </w:t>
      </w:r>
      <w:r>
        <w:rPr/>
        <w:t>para</w:t>
      </w:r>
      <w:r>
        <w:rPr>
          <w:spacing w:val="41"/>
        </w:rPr>
        <w:t> </w:t>
      </w:r>
      <w:r>
        <w:rPr>
          <w:spacing w:val="-2"/>
        </w:rPr>
        <w:t>informar</w:t>
      </w:r>
    </w:p>
    <w:p>
      <w:pPr>
        <w:pStyle w:val="BodyText"/>
        <w:spacing w:line="360" w:lineRule="auto" w:before="116"/>
        <w:ind w:left="1341" w:right="1334"/>
        <w:jc w:val="both"/>
      </w:pPr>
      <w:r>
        <w:rPr/>
        <mc:AlternateContent>
          <mc:Choice Requires="wps">
            <w:drawing>
              <wp:anchor distT="0" distB="0" distL="0" distR="0" allowOverlap="1" layoutInCell="1" locked="0" behindDoc="0" simplePos="0" relativeHeight="15837696">
                <wp:simplePos x="0" y="0"/>
                <wp:positionH relativeFrom="page">
                  <wp:posOffset>6966436</wp:posOffset>
                </wp:positionH>
                <wp:positionV relativeFrom="paragraph">
                  <wp:posOffset>375988</wp:posOffset>
                </wp:positionV>
                <wp:extent cx="263525" cy="327596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63525" cy="3275965"/>
                        </a:xfrm>
                        <a:prstGeom prst="rect">
                          <a:avLst/>
                        </a:prstGeom>
                      </wps:spPr>
                      <wps:txbx>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69</w:t>
                            </w:r>
                            <w:r>
                              <w:rPr>
                                <w:spacing w:val="-6"/>
                                <w:sz w:val="12"/>
                              </w:rPr>
                              <w:t> </w:t>
                            </w:r>
                            <w:r>
                              <w:rPr>
                                <w:sz w:val="12"/>
                              </w:rPr>
                              <w:t>de</w:t>
                            </w:r>
                            <w:r>
                              <w:rPr>
                                <w:spacing w:val="-6"/>
                                <w:sz w:val="12"/>
                              </w:rPr>
                              <w:t> </w:t>
                            </w:r>
                            <w:r>
                              <w:rPr>
                                <w:spacing w:val="-5"/>
                                <w:sz w:val="12"/>
                              </w:rPr>
                              <w:t>69</w:t>
                            </w:r>
                          </w:p>
                        </w:txbxContent>
                      </wps:txbx>
                      <wps:bodyPr wrap="square" lIns="0" tIns="0" rIns="0" bIns="0" rtlCol="0" vert="vert270">
                        <a:noAutofit/>
                      </wps:bodyPr>
                    </wps:wsp>
                  </a:graphicData>
                </a:graphic>
              </wp:anchor>
            </w:drawing>
          </mc:Choice>
          <mc:Fallback>
            <w:pict>
              <v:shape style="position:absolute;margin-left:548.53833pt;margin-top:29.605391pt;width:20.75pt;height:257.95pt;mso-position-horizontal-relative:page;mso-position-vertical-relative:paragraph;z-index:15837696" type="#_x0000_t202" id="docshape319" filled="false" stroked="false">
                <v:textbox inset="0,0,0,0" style="layout-flow:vertical;mso-layout-flow-alt:bottom-to-top">
                  <w:txbxContent>
                    <w:p>
                      <w:pPr>
                        <w:spacing w:line="129" w:lineRule="exact" w:before="16"/>
                        <w:ind w:left="20" w:right="0" w:firstLine="0"/>
                        <w:jc w:val="left"/>
                        <w:rPr>
                          <w:sz w:val="12"/>
                        </w:rPr>
                      </w:pPr>
                      <w:r>
                        <w:rPr>
                          <w:spacing w:val="-2"/>
                          <w:sz w:val="12"/>
                        </w:rPr>
                        <w:t>Cód.</w:t>
                      </w:r>
                      <w:r>
                        <w:rPr>
                          <w:spacing w:val="3"/>
                          <w:sz w:val="12"/>
                        </w:rPr>
                        <w:t> </w:t>
                      </w:r>
                      <w:r>
                        <w:rPr>
                          <w:spacing w:val="-2"/>
                          <w:sz w:val="12"/>
                        </w:rPr>
                        <w:t>Validación:</w:t>
                      </w:r>
                      <w:r>
                        <w:rPr>
                          <w:spacing w:val="4"/>
                          <w:sz w:val="12"/>
                        </w:rPr>
                        <w:t> </w:t>
                      </w:r>
                      <w:r>
                        <w:rPr>
                          <w:spacing w:val="-2"/>
                          <w:sz w:val="12"/>
                        </w:rPr>
                        <w:t>3HT5PCHALPE425E5NLDPRGE3X</w:t>
                      </w:r>
                    </w:p>
                    <w:p>
                      <w:pPr>
                        <w:spacing w:line="120" w:lineRule="exact" w:before="0"/>
                        <w:ind w:left="20" w:right="0" w:firstLine="0"/>
                        <w:jc w:val="left"/>
                        <w:rPr>
                          <w:sz w:val="12"/>
                        </w:rPr>
                      </w:pPr>
                      <w:r>
                        <w:rPr>
                          <w:spacing w:val="-2"/>
                          <w:sz w:val="12"/>
                        </w:rPr>
                        <w:t>Verificación:</w:t>
                      </w:r>
                      <w:r>
                        <w:rPr>
                          <w:spacing w:val="7"/>
                          <w:sz w:val="12"/>
                        </w:rPr>
                        <w:t> </w:t>
                      </w:r>
                      <w:hyperlink r:id="rId10">
                        <w:r>
                          <w:rPr>
                            <w:spacing w:val="-2"/>
                            <w:sz w:val="12"/>
                          </w:rPr>
                          <w:t>https://guaguas.sedelectronica.es/</w:t>
                        </w:r>
                      </w:hyperlink>
                    </w:p>
                    <w:p>
                      <w:pPr>
                        <w:spacing w:line="129" w:lineRule="exact" w:before="0"/>
                        <w:ind w:left="20" w:right="0" w:firstLine="0"/>
                        <w:jc w:val="left"/>
                        <w:rPr>
                          <w:sz w:val="12"/>
                        </w:rPr>
                      </w:pPr>
                      <w:r>
                        <w:rPr>
                          <w:sz w:val="12"/>
                        </w:rPr>
                        <w:t>Documento</w:t>
                      </w:r>
                      <w:r>
                        <w:rPr>
                          <w:spacing w:val="-9"/>
                          <w:sz w:val="12"/>
                        </w:rPr>
                        <w:t> </w:t>
                      </w:r>
                      <w:r>
                        <w:rPr>
                          <w:sz w:val="12"/>
                        </w:rPr>
                        <w:t>firmado</w:t>
                      </w:r>
                      <w:r>
                        <w:rPr>
                          <w:spacing w:val="-6"/>
                          <w:sz w:val="12"/>
                        </w:rPr>
                        <w:t> </w:t>
                      </w:r>
                      <w:r>
                        <w:rPr>
                          <w:sz w:val="12"/>
                        </w:rPr>
                        <w:t>electrónicamente</w:t>
                      </w:r>
                      <w:r>
                        <w:rPr>
                          <w:spacing w:val="-7"/>
                          <w:sz w:val="12"/>
                        </w:rPr>
                        <w:t> </w:t>
                      </w:r>
                      <w:r>
                        <w:rPr>
                          <w:sz w:val="12"/>
                        </w:rPr>
                        <w:t>desde</w:t>
                      </w:r>
                      <w:r>
                        <w:rPr>
                          <w:spacing w:val="-6"/>
                          <w:sz w:val="12"/>
                        </w:rPr>
                        <w:t> </w:t>
                      </w:r>
                      <w:r>
                        <w:rPr>
                          <w:sz w:val="12"/>
                        </w:rPr>
                        <w:t>la</w:t>
                      </w:r>
                      <w:r>
                        <w:rPr>
                          <w:spacing w:val="-7"/>
                          <w:sz w:val="12"/>
                        </w:rPr>
                        <w:t> </w:t>
                      </w:r>
                      <w:r>
                        <w:rPr>
                          <w:sz w:val="12"/>
                        </w:rPr>
                        <w:t>plataforma</w:t>
                      </w:r>
                      <w:r>
                        <w:rPr>
                          <w:spacing w:val="-6"/>
                          <w:sz w:val="12"/>
                        </w:rPr>
                        <w:t> </w:t>
                      </w:r>
                      <w:r>
                        <w:rPr>
                          <w:sz w:val="12"/>
                        </w:rPr>
                        <w:t>esPublico</w:t>
                      </w:r>
                      <w:r>
                        <w:rPr>
                          <w:spacing w:val="-6"/>
                          <w:sz w:val="12"/>
                        </w:rPr>
                        <w:t> </w:t>
                      </w:r>
                      <w:r>
                        <w:rPr>
                          <w:sz w:val="12"/>
                        </w:rPr>
                        <w:t>Gestiona</w:t>
                      </w:r>
                      <w:r>
                        <w:rPr>
                          <w:spacing w:val="-7"/>
                          <w:sz w:val="12"/>
                        </w:rPr>
                        <w:t> </w:t>
                      </w:r>
                      <w:r>
                        <w:rPr>
                          <w:sz w:val="12"/>
                        </w:rPr>
                        <w:t>|</w:t>
                      </w:r>
                      <w:r>
                        <w:rPr>
                          <w:spacing w:val="-6"/>
                          <w:sz w:val="12"/>
                        </w:rPr>
                        <w:t> </w:t>
                      </w:r>
                      <w:r>
                        <w:rPr>
                          <w:sz w:val="12"/>
                        </w:rPr>
                        <w:t>Página</w:t>
                      </w:r>
                      <w:r>
                        <w:rPr>
                          <w:spacing w:val="-7"/>
                          <w:sz w:val="12"/>
                        </w:rPr>
                        <w:t> </w:t>
                      </w:r>
                      <w:r>
                        <w:rPr>
                          <w:sz w:val="12"/>
                        </w:rPr>
                        <w:t>69</w:t>
                      </w:r>
                      <w:r>
                        <w:rPr>
                          <w:spacing w:val="-6"/>
                          <w:sz w:val="12"/>
                        </w:rPr>
                        <w:t> </w:t>
                      </w:r>
                      <w:r>
                        <w:rPr>
                          <w:sz w:val="12"/>
                        </w:rPr>
                        <w:t>de</w:t>
                      </w:r>
                      <w:r>
                        <w:rPr>
                          <w:spacing w:val="-6"/>
                          <w:sz w:val="12"/>
                        </w:rPr>
                        <w:t> </w:t>
                      </w:r>
                      <w:r>
                        <w:rPr>
                          <w:spacing w:val="-5"/>
                          <w:sz w:val="12"/>
                        </w:rPr>
                        <w:t>69</w:t>
                      </w:r>
                    </w:p>
                  </w:txbxContent>
                </v:textbox>
                <w10:wrap type="none"/>
              </v:shape>
            </w:pict>
          </mc:Fallback>
        </mc:AlternateContent>
      </w:r>
      <w:r>
        <w:rPr/>
        <w:t>públicamente de los impactos económicos, ambientales y sociales de una organización. La elaboración de informes de sostenibilidad a partir de estos Estándares proporciona información acerca de las contribuciones positivas y negativas de las organizaciones al desarrollo </w:t>
      </w:r>
      <w:r>
        <w:rPr>
          <w:spacing w:val="-2"/>
        </w:rPr>
        <w:t>sostenible.</w:t>
      </w:r>
    </w:p>
    <w:p>
      <w:pPr>
        <w:pStyle w:val="BodyText"/>
        <w:spacing w:before="199"/>
        <w:ind w:left="1341"/>
        <w:jc w:val="both"/>
      </w:pPr>
      <w:r>
        <w:rPr/>
        <w:t>La</w:t>
      </w:r>
      <w:r>
        <w:rPr>
          <w:spacing w:val="25"/>
        </w:rPr>
        <w:t> </w:t>
      </w:r>
      <w:r>
        <w:rPr/>
        <w:t>elaboración</w:t>
      </w:r>
      <w:r>
        <w:rPr>
          <w:spacing w:val="25"/>
        </w:rPr>
        <w:t> </w:t>
      </w:r>
      <w:r>
        <w:rPr/>
        <w:t>de</w:t>
      </w:r>
      <w:r>
        <w:rPr>
          <w:spacing w:val="28"/>
        </w:rPr>
        <w:t> </w:t>
      </w:r>
      <w:r>
        <w:rPr/>
        <w:t>informes</w:t>
      </w:r>
      <w:r>
        <w:rPr>
          <w:spacing w:val="28"/>
        </w:rPr>
        <w:t> </w:t>
      </w:r>
      <w:r>
        <w:rPr/>
        <w:t>de</w:t>
      </w:r>
      <w:r>
        <w:rPr>
          <w:spacing w:val="26"/>
        </w:rPr>
        <w:t> </w:t>
      </w:r>
      <w:r>
        <w:rPr/>
        <w:t>conformidad</w:t>
      </w:r>
      <w:r>
        <w:rPr>
          <w:spacing w:val="25"/>
        </w:rPr>
        <w:t> </w:t>
      </w:r>
      <w:r>
        <w:rPr/>
        <w:t>con</w:t>
      </w:r>
      <w:r>
        <w:rPr>
          <w:spacing w:val="27"/>
        </w:rPr>
        <w:t> </w:t>
      </w:r>
      <w:r>
        <w:rPr/>
        <w:t>los</w:t>
      </w:r>
      <w:r>
        <w:rPr>
          <w:spacing w:val="30"/>
        </w:rPr>
        <w:t> </w:t>
      </w:r>
      <w:r>
        <w:rPr/>
        <w:t>Estándares</w:t>
      </w:r>
      <w:r>
        <w:rPr>
          <w:spacing w:val="26"/>
        </w:rPr>
        <w:t> </w:t>
      </w:r>
      <w:r>
        <w:rPr/>
        <w:t>GRI</w:t>
      </w:r>
      <w:r>
        <w:rPr>
          <w:spacing w:val="24"/>
        </w:rPr>
        <w:t> </w:t>
      </w:r>
      <w:r>
        <w:rPr/>
        <w:t>aporta</w:t>
      </w:r>
      <w:r>
        <w:rPr>
          <w:spacing w:val="25"/>
        </w:rPr>
        <w:t> </w:t>
      </w:r>
      <w:r>
        <w:rPr/>
        <w:t>una</w:t>
      </w:r>
      <w:r>
        <w:rPr>
          <w:spacing w:val="25"/>
        </w:rPr>
        <w:t> </w:t>
      </w:r>
      <w:r>
        <w:rPr>
          <w:spacing w:val="-2"/>
        </w:rPr>
        <w:t>perspectiva</w:t>
      </w:r>
    </w:p>
    <w:p>
      <w:pPr>
        <w:pStyle w:val="BodyText"/>
        <w:spacing w:before="116"/>
        <w:jc w:val="center"/>
      </w:pPr>
      <w:r>
        <w:rPr/>
        <w:t>general</w:t>
      </w:r>
      <w:r>
        <w:rPr>
          <w:spacing w:val="62"/>
          <w:w w:val="150"/>
        </w:rPr>
        <w:t> </w:t>
      </w:r>
      <w:r>
        <w:rPr/>
        <w:t>y</w:t>
      </w:r>
      <w:r>
        <w:rPr>
          <w:spacing w:val="55"/>
          <w:w w:val="150"/>
        </w:rPr>
        <w:t> </w:t>
      </w:r>
      <w:r>
        <w:rPr/>
        <w:t>equilibrada</w:t>
      </w:r>
      <w:r>
        <w:rPr>
          <w:spacing w:val="58"/>
          <w:w w:val="150"/>
        </w:rPr>
        <w:t> </w:t>
      </w:r>
      <w:r>
        <w:rPr/>
        <w:t>de</w:t>
      </w:r>
      <w:r>
        <w:rPr>
          <w:spacing w:val="61"/>
          <w:w w:val="150"/>
        </w:rPr>
        <w:t> </w:t>
      </w:r>
      <w:r>
        <w:rPr/>
        <w:t>los</w:t>
      </w:r>
      <w:r>
        <w:rPr>
          <w:spacing w:val="59"/>
          <w:w w:val="150"/>
        </w:rPr>
        <w:t> </w:t>
      </w:r>
      <w:r>
        <w:rPr/>
        <w:t>temas</w:t>
      </w:r>
      <w:r>
        <w:rPr>
          <w:spacing w:val="57"/>
          <w:w w:val="150"/>
        </w:rPr>
        <w:t> </w:t>
      </w:r>
      <w:r>
        <w:rPr/>
        <w:t>materiales</w:t>
      </w:r>
      <w:r>
        <w:rPr>
          <w:spacing w:val="61"/>
          <w:w w:val="150"/>
        </w:rPr>
        <w:t> </w:t>
      </w:r>
      <w:r>
        <w:rPr/>
        <w:t>de</w:t>
      </w:r>
      <w:r>
        <w:rPr>
          <w:spacing w:val="58"/>
          <w:w w:val="150"/>
        </w:rPr>
        <w:t> </w:t>
      </w:r>
      <w:r>
        <w:rPr/>
        <w:t>una</w:t>
      </w:r>
      <w:r>
        <w:rPr>
          <w:spacing w:val="58"/>
          <w:w w:val="150"/>
        </w:rPr>
        <w:t> </w:t>
      </w:r>
      <w:r>
        <w:rPr/>
        <w:t>organización,</w:t>
      </w:r>
      <w:r>
        <w:rPr>
          <w:spacing w:val="61"/>
          <w:w w:val="150"/>
        </w:rPr>
        <w:t> </w:t>
      </w:r>
      <w:r>
        <w:rPr/>
        <w:t>de</w:t>
      </w:r>
      <w:r>
        <w:rPr>
          <w:spacing w:val="59"/>
          <w:w w:val="150"/>
        </w:rPr>
        <w:t> </w:t>
      </w:r>
      <w:r>
        <w:rPr/>
        <w:t>los</w:t>
      </w:r>
      <w:r>
        <w:rPr>
          <w:spacing w:val="61"/>
          <w:w w:val="150"/>
        </w:rPr>
        <w:t> </w:t>
      </w:r>
      <w:r>
        <w:rPr>
          <w:spacing w:val="-2"/>
        </w:rPr>
        <w:t>impactos</w:t>
      </w:r>
    </w:p>
    <w:p>
      <w:pPr>
        <w:pStyle w:val="BodyText"/>
        <w:spacing w:before="116"/>
        <w:jc w:val="center"/>
      </w:pPr>
      <w:r>
        <w:rPr/>
        <w:t>relacionados</w:t>
      </w:r>
      <w:r>
        <w:rPr>
          <w:spacing w:val="44"/>
        </w:rPr>
        <w:t> </w:t>
      </w:r>
      <w:r>
        <w:rPr/>
        <w:t>y</w:t>
      </w:r>
      <w:r>
        <w:rPr>
          <w:spacing w:val="38"/>
        </w:rPr>
        <w:t> </w:t>
      </w:r>
      <w:r>
        <w:rPr/>
        <w:t>de</w:t>
      </w:r>
      <w:r>
        <w:rPr>
          <w:spacing w:val="40"/>
        </w:rPr>
        <w:t> </w:t>
      </w:r>
      <w:r>
        <w:rPr/>
        <w:t>cómo</w:t>
      </w:r>
      <w:r>
        <w:rPr>
          <w:spacing w:val="40"/>
        </w:rPr>
        <w:t> </w:t>
      </w:r>
      <w:r>
        <w:rPr/>
        <w:t>los</w:t>
      </w:r>
      <w:r>
        <w:rPr>
          <w:spacing w:val="44"/>
        </w:rPr>
        <w:t> </w:t>
      </w:r>
      <w:r>
        <w:rPr/>
        <w:t>gestiona.</w:t>
      </w:r>
      <w:r>
        <w:rPr>
          <w:spacing w:val="42"/>
        </w:rPr>
        <w:t> </w:t>
      </w:r>
      <w:r>
        <w:rPr/>
        <w:t>Las</w:t>
      </w:r>
      <w:r>
        <w:rPr>
          <w:spacing w:val="42"/>
        </w:rPr>
        <w:t> </w:t>
      </w:r>
      <w:r>
        <w:rPr/>
        <w:t>organizaciones</w:t>
      </w:r>
      <w:r>
        <w:rPr>
          <w:spacing w:val="42"/>
        </w:rPr>
        <w:t> </w:t>
      </w:r>
      <w:r>
        <w:rPr/>
        <w:t>también</w:t>
      </w:r>
      <w:r>
        <w:rPr>
          <w:spacing w:val="44"/>
        </w:rPr>
        <w:t> </w:t>
      </w:r>
      <w:r>
        <w:rPr/>
        <w:t>pueden</w:t>
      </w:r>
      <w:r>
        <w:rPr>
          <w:spacing w:val="42"/>
        </w:rPr>
        <w:t> </w:t>
      </w:r>
      <w:r>
        <w:rPr/>
        <w:t>utilizar</w:t>
      </w:r>
      <w:r>
        <w:rPr>
          <w:spacing w:val="41"/>
        </w:rPr>
        <w:t> </w:t>
      </w:r>
      <w:r>
        <w:rPr/>
        <w:t>todos</w:t>
      </w:r>
      <w:r>
        <w:rPr>
          <w:spacing w:val="42"/>
        </w:rPr>
        <w:t> </w:t>
      </w:r>
      <w:r>
        <w:rPr>
          <w:spacing w:val="-10"/>
        </w:rPr>
        <w:t>o</w:t>
      </w:r>
    </w:p>
    <w:p>
      <w:pPr>
        <w:pStyle w:val="BodyText"/>
        <w:spacing w:line="360" w:lineRule="auto" w:before="113"/>
        <w:ind w:left="1341" w:right="1335"/>
        <w:jc w:val="both"/>
      </w:pPr>
      <w:r>
        <w:rPr/>
        <w:t>partes de algunos Estándares GRI para presentar información específica. Adicionalmente la aplicación de los estándares GRI, sirve como herramienta de reconocimiento en el mercado, ofreciendo confianza de las prácticas en favor de la sostenibilidad, utilizando un lenguaje de referencia común y conocido por todos y como complemento de los sistemas propios de </w:t>
      </w:r>
      <w:r>
        <w:rPr>
          <w:spacing w:val="-2"/>
        </w:rPr>
        <w:t>gestión.</w:t>
      </w:r>
    </w:p>
    <w:sectPr>
      <w:pgSz w:w="11910" w:h="16840"/>
      <w:pgMar w:header="384" w:footer="1060" w:top="1200" w:bottom="126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Tahoma">
    <w:altName w:val="Tahoma"/>
    <w:charset w:val="0"/>
    <w:family w:val="swiss"/>
    <w:pitch w:val="variable"/>
  </w:font>
  <w:font w:name="Z@RA9CD.tmp">
    <w:altName w:val="Z@RA9CD.tmp"/>
    <w:charset w:val="2"/>
    <w:family w:val="auto"/>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6697600">
              <wp:simplePos x="0" y="0"/>
              <wp:positionH relativeFrom="page">
                <wp:posOffset>1446022</wp:posOffset>
              </wp:positionH>
              <wp:positionV relativeFrom="page">
                <wp:posOffset>9381293</wp:posOffset>
              </wp:positionV>
              <wp:extent cx="5295900" cy="3994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295900" cy="399415"/>
                      </a:xfrm>
                      <a:prstGeom prst="rect">
                        <a:avLst/>
                      </a:prstGeom>
                    </wps:spPr>
                    <wps:txbx>
                      <w:txbxContent>
                        <w:p>
                          <w:pPr>
                            <w:pStyle w:val="BodyText"/>
                            <w:spacing w:before="10"/>
                            <w:ind w:right="535"/>
                            <w:jc w:val="center"/>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p>
                          <w:pPr>
                            <w:spacing w:before="184"/>
                            <w:ind w:left="20" w:right="0" w:firstLine="0"/>
                            <w:jc w:val="left"/>
                            <w:rPr>
                              <w:sz w:val="16"/>
                            </w:rPr>
                          </w:pPr>
                          <w:r>
                            <w:rPr>
                              <w:b/>
                              <w:color w:val="808080"/>
                              <w:sz w:val="16"/>
                            </w:rPr>
                            <w:t>GRUPO</w:t>
                          </w:r>
                          <w:r>
                            <w:rPr>
                              <w:b/>
                              <w:color w:val="808080"/>
                              <w:spacing w:val="-6"/>
                              <w:sz w:val="16"/>
                            </w:rPr>
                            <w:t> </w:t>
                          </w:r>
                          <w:r>
                            <w:rPr>
                              <w:b/>
                              <w:color w:val="808080"/>
                              <w:sz w:val="16"/>
                            </w:rPr>
                            <w:t>DE</w:t>
                          </w:r>
                          <w:r>
                            <w:rPr>
                              <w:b/>
                              <w:color w:val="808080"/>
                              <w:spacing w:val="-5"/>
                              <w:sz w:val="16"/>
                            </w:rPr>
                            <w:t> </w:t>
                          </w:r>
                          <w:r>
                            <w:rPr>
                              <w:b/>
                              <w:color w:val="808080"/>
                              <w:sz w:val="16"/>
                            </w:rPr>
                            <w:t>AUDITORES</w:t>
                          </w:r>
                          <w:r>
                            <w:rPr>
                              <w:b/>
                              <w:color w:val="808080"/>
                              <w:spacing w:val="-4"/>
                              <w:sz w:val="16"/>
                            </w:rPr>
                            <w:t> </w:t>
                          </w:r>
                          <w:r>
                            <w:rPr>
                              <w:b/>
                              <w:color w:val="808080"/>
                              <w:sz w:val="16"/>
                            </w:rPr>
                            <w:t>PÚBLICOS,</w:t>
                          </w:r>
                          <w:r>
                            <w:rPr>
                              <w:b/>
                              <w:color w:val="808080"/>
                              <w:spacing w:val="-5"/>
                              <w:sz w:val="16"/>
                            </w:rPr>
                            <w:t> </w:t>
                          </w:r>
                          <w:r>
                            <w:rPr>
                              <w:b/>
                              <w:color w:val="808080"/>
                              <w:sz w:val="16"/>
                            </w:rPr>
                            <w:t>S.A.P</w:t>
                          </w:r>
                          <w:r>
                            <w:rPr>
                              <w:b/>
                              <w:color w:val="808080"/>
                              <w:spacing w:val="35"/>
                              <w:sz w:val="16"/>
                            </w:rPr>
                            <w:t> </w:t>
                          </w:r>
                          <w:r>
                            <w:rPr>
                              <w:b/>
                              <w:color w:val="808080"/>
                              <w:sz w:val="16"/>
                            </w:rPr>
                            <w:t>●</w:t>
                          </w:r>
                          <w:r>
                            <w:rPr>
                              <w:b/>
                              <w:color w:val="808080"/>
                              <w:spacing w:val="-2"/>
                              <w:sz w:val="16"/>
                            </w:rPr>
                            <w:t> </w:t>
                          </w:r>
                          <w:r>
                            <w:rPr>
                              <w:color w:val="808080"/>
                              <w:sz w:val="16"/>
                            </w:rPr>
                            <w:t>Avda.</w:t>
                          </w:r>
                          <w:r>
                            <w:rPr>
                              <w:color w:val="808080"/>
                              <w:spacing w:val="-2"/>
                              <w:sz w:val="16"/>
                            </w:rPr>
                            <w:t> </w:t>
                          </w:r>
                          <w:r>
                            <w:rPr>
                              <w:color w:val="808080"/>
                              <w:sz w:val="16"/>
                            </w:rPr>
                            <w:t>Rafael</w:t>
                          </w:r>
                          <w:r>
                            <w:rPr>
                              <w:color w:val="808080"/>
                              <w:spacing w:val="-2"/>
                              <w:sz w:val="16"/>
                            </w:rPr>
                            <w:t> </w:t>
                          </w:r>
                          <w:r>
                            <w:rPr>
                              <w:color w:val="808080"/>
                              <w:sz w:val="16"/>
                            </w:rPr>
                            <w:t>Cabrera,</w:t>
                          </w:r>
                          <w:r>
                            <w:rPr>
                              <w:color w:val="808080"/>
                              <w:spacing w:val="-3"/>
                              <w:sz w:val="16"/>
                            </w:rPr>
                            <w:t> </w:t>
                          </w:r>
                          <w:r>
                            <w:rPr>
                              <w:color w:val="808080"/>
                              <w:sz w:val="16"/>
                            </w:rPr>
                            <w:t>18-6ºA</w:t>
                          </w:r>
                          <w:r>
                            <w:rPr>
                              <w:color w:val="808080"/>
                              <w:spacing w:val="-6"/>
                              <w:sz w:val="16"/>
                            </w:rPr>
                            <w:t> </w:t>
                          </w:r>
                          <w:r>
                            <w:rPr>
                              <w:color w:val="808080"/>
                              <w:sz w:val="16"/>
                            </w:rPr>
                            <w:t>●</w:t>
                          </w:r>
                          <w:r>
                            <w:rPr>
                              <w:color w:val="808080"/>
                              <w:spacing w:val="-2"/>
                              <w:sz w:val="16"/>
                            </w:rPr>
                            <w:t> </w:t>
                          </w:r>
                          <w:r>
                            <w:rPr>
                              <w:color w:val="808080"/>
                              <w:sz w:val="16"/>
                            </w:rPr>
                            <w:t>35002</w:t>
                          </w:r>
                          <w:r>
                            <w:rPr>
                              <w:color w:val="808080"/>
                              <w:spacing w:val="-4"/>
                              <w:sz w:val="16"/>
                            </w:rPr>
                            <w:t> </w:t>
                          </w:r>
                          <w:r>
                            <w:rPr>
                              <w:color w:val="808080"/>
                              <w:sz w:val="16"/>
                            </w:rPr>
                            <w:t>Las</w:t>
                          </w:r>
                          <w:r>
                            <w:rPr>
                              <w:color w:val="808080"/>
                              <w:spacing w:val="-5"/>
                              <w:sz w:val="16"/>
                            </w:rPr>
                            <w:t> </w:t>
                          </w:r>
                          <w:r>
                            <w:rPr>
                              <w:color w:val="808080"/>
                              <w:sz w:val="16"/>
                            </w:rPr>
                            <w:t>Palmas</w:t>
                          </w:r>
                          <w:r>
                            <w:rPr>
                              <w:color w:val="808080"/>
                              <w:spacing w:val="-4"/>
                              <w:sz w:val="16"/>
                            </w:rPr>
                            <w:t> </w:t>
                          </w:r>
                          <w:r>
                            <w:rPr>
                              <w:color w:val="808080"/>
                              <w:sz w:val="16"/>
                            </w:rPr>
                            <w:t>de</w:t>
                          </w:r>
                          <w:r>
                            <w:rPr>
                              <w:color w:val="808080"/>
                              <w:spacing w:val="-4"/>
                              <w:sz w:val="16"/>
                            </w:rPr>
                            <w:t> </w:t>
                          </w:r>
                          <w:r>
                            <w:rPr>
                              <w:color w:val="808080"/>
                              <w:sz w:val="16"/>
                            </w:rPr>
                            <w:t>Gran</w:t>
                          </w:r>
                          <w:r>
                            <w:rPr>
                              <w:color w:val="808080"/>
                              <w:spacing w:val="-3"/>
                              <w:sz w:val="16"/>
                            </w:rPr>
                            <w:t> </w:t>
                          </w:r>
                          <w:r>
                            <w:rPr>
                              <w:color w:val="808080"/>
                              <w:spacing w:val="-2"/>
                              <w:sz w:val="16"/>
                            </w:rPr>
                            <w:t>Canaria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3.860001pt;margin-top:738.684509pt;width:417pt;height:31.45pt;mso-position-horizontal-relative:page;mso-position-vertical-relative:page;z-index:-26618880" type="#_x0000_t202" id="docshape1" filled="false" stroked="false">
              <v:textbox inset="0,0,0,0">
                <w:txbxContent>
                  <w:p>
                    <w:pPr>
                      <w:pStyle w:val="BodyText"/>
                      <w:spacing w:before="10"/>
                      <w:ind w:right="535"/>
                      <w:jc w:val="center"/>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p>
                    <w:pPr>
                      <w:spacing w:before="184"/>
                      <w:ind w:left="20" w:right="0" w:firstLine="0"/>
                      <w:jc w:val="left"/>
                      <w:rPr>
                        <w:sz w:val="16"/>
                      </w:rPr>
                    </w:pPr>
                    <w:r>
                      <w:rPr>
                        <w:b/>
                        <w:color w:val="808080"/>
                        <w:sz w:val="16"/>
                      </w:rPr>
                      <w:t>GRUPO</w:t>
                    </w:r>
                    <w:r>
                      <w:rPr>
                        <w:b/>
                        <w:color w:val="808080"/>
                        <w:spacing w:val="-6"/>
                        <w:sz w:val="16"/>
                      </w:rPr>
                      <w:t> </w:t>
                    </w:r>
                    <w:r>
                      <w:rPr>
                        <w:b/>
                        <w:color w:val="808080"/>
                        <w:sz w:val="16"/>
                      </w:rPr>
                      <w:t>DE</w:t>
                    </w:r>
                    <w:r>
                      <w:rPr>
                        <w:b/>
                        <w:color w:val="808080"/>
                        <w:spacing w:val="-5"/>
                        <w:sz w:val="16"/>
                      </w:rPr>
                      <w:t> </w:t>
                    </w:r>
                    <w:r>
                      <w:rPr>
                        <w:b/>
                        <w:color w:val="808080"/>
                        <w:sz w:val="16"/>
                      </w:rPr>
                      <w:t>AUDITORES</w:t>
                    </w:r>
                    <w:r>
                      <w:rPr>
                        <w:b/>
                        <w:color w:val="808080"/>
                        <w:spacing w:val="-4"/>
                        <w:sz w:val="16"/>
                      </w:rPr>
                      <w:t> </w:t>
                    </w:r>
                    <w:r>
                      <w:rPr>
                        <w:b/>
                        <w:color w:val="808080"/>
                        <w:sz w:val="16"/>
                      </w:rPr>
                      <w:t>PÚBLICOS,</w:t>
                    </w:r>
                    <w:r>
                      <w:rPr>
                        <w:b/>
                        <w:color w:val="808080"/>
                        <w:spacing w:val="-5"/>
                        <w:sz w:val="16"/>
                      </w:rPr>
                      <w:t> </w:t>
                    </w:r>
                    <w:r>
                      <w:rPr>
                        <w:b/>
                        <w:color w:val="808080"/>
                        <w:sz w:val="16"/>
                      </w:rPr>
                      <w:t>S.A.P</w:t>
                    </w:r>
                    <w:r>
                      <w:rPr>
                        <w:b/>
                        <w:color w:val="808080"/>
                        <w:spacing w:val="35"/>
                        <w:sz w:val="16"/>
                      </w:rPr>
                      <w:t> </w:t>
                    </w:r>
                    <w:r>
                      <w:rPr>
                        <w:b/>
                        <w:color w:val="808080"/>
                        <w:sz w:val="16"/>
                      </w:rPr>
                      <w:t>●</w:t>
                    </w:r>
                    <w:r>
                      <w:rPr>
                        <w:b/>
                        <w:color w:val="808080"/>
                        <w:spacing w:val="-2"/>
                        <w:sz w:val="16"/>
                      </w:rPr>
                      <w:t> </w:t>
                    </w:r>
                    <w:r>
                      <w:rPr>
                        <w:color w:val="808080"/>
                        <w:sz w:val="16"/>
                      </w:rPr>
                      <w:t>Avda.</w:t>
                    </w:r>
                    <w:r>
                      <w:rPr>
                        <w:color w:val="808080"/>
                        <w:spacing w:val="-2"/>
                        <w:sz w:val="16"/>
                      </w:rPr>
                      <w:t> </w:t>
                    </w:r>
                    <w:r>
                      <w:rPr>
                        <w:color w:val="808080"/>
                        <w:sz w:val="16"/>
                      </w:rPr>
                      <w:t>Rafael</w:t>
                    </w:r>
                    <w:r>
                      <w:rPr>
                        <w:color w:val="808080"/>
                        <w:spacing w:val="-2"/>
                        <w:sz w:val="16"/>
                      </w:rPr>
                      <w:t> </w:t>
                    </w:r>
                    <w:r>
                      <w:rPr>
                        <w:color w:val="808080"/>
                        <w:sz w:val="16"/>
                      </w:rPr>
                      <w:t>Cabrera,</w:t>
                    </w:r>
                    <w:r>
                      <w:rPr>
                        <w:color w:val="808080"/>
                        <w:spacing w:val="-3"/>
                        <w:sz w:val="16"/>
                      </w:rPr>
                      <w:t> </w:t>
                    </w:r>
                    <w:r>
                      <w:rPr>
                        <w:color w:val="808080"/>
                        <w:sz w:val="16"/>
                      </w:rPr>
                      <w:t>18-6ºA</w:t>
                    </w:r>
                    <w:r>
                      <w:rPr>
                        <w:color w:val="808080"/>
                        <w:spacing w:val="-6"/>
                        <w:sz w:val="16"/>
                      </w:rPr>
                      <w:t> </w:t>
                    </w:r>
                    <w:r>
                      <w:rPr>
                        <w:color w:val="808080"/>
                        <w:sz w:val="16"/>
                      </w:rPr>
                      <w:t>●</w:t>
                    </w:r>
                    <w:r>
                      <w:rPr>
                        <w:color w:val="808080"/>
                        <w:spacing w:val="-2"/>
                        <w:sz w:val="16"/>
                      </w:rPr>
                      <w:t> </w:t>
                    </w:r>
                    <w:r>
                      <w:rPr>
                        <w:color w:val="808080"/>
                        <w:sz w:val="16"/>
                      </w:rPr>
                      <w:t>35002</w:t>
                    </w:r>
                    <w:r>
                      <w:rPr>
                        <w:color w:val="808080"/>
                        <w:spacing w:val="-4"/>
                        <w:sz w:val="16"/>
                      </w:rPr>
                      <w:t> </w:t>
                    </w:r>
                    <w:r>
                      <w:rPr>
                        <w:color w:val="808080"/>
                        <w:sz w:val="16"/>
                      </w:rPr>
                      <w:t>Las</w:t>
                    </w:r>
                    <w:r>
                      <w:rPr>
                        <w:color w:val="808080"/>
                        <w:spacing w:val="-5"/>
                        <w:sz w:val="16"/>
                      </w:rPr>
                      <w:t> </w:t>
                    </w:r>
                    <w:r>
                      <w:rPr>
                        <w:color w:val="808080"/>
                        <w:sz w:val="16"/>
                      </w:rPr>
                      <w:t>Palmas</w:t>
                    </w:r>
                    <w:r>
                      <w:rPr>
                        <w:color w:val="808080"/>
                        <w:spacing w:val="-4"/>
                        <w:sz w:val="16"/>
                      </w:rPr>
                      <w:t> </w:t>
                    </w:r>
                    <w:r>
                      <w:rPr>
                        <w:color w:val="808080"/>
                        <w:sz w:val="16"/>
                      </w:rPr>
                      <w:t>de</w:t>
                    </w:r>
                    <w:r>
                      <w:rPr>
                        <w:color w:val="808080"/>
                        <w:spacing w:val="-4"/>
                        <w:sz w:val="16"/>
                      </w:rPr>
                      <w:t> </w:t>
                    </w:r>
                    <w:r>
                      <w:rPr>
                        <w:color w:val="808080"/>
                        <w:sz w:val="16"/>
                      </w:rPr>
                      <w:t>Gran</w:t>
                    </w:r>
                    <w:r>
                      <w:rPr>
                        <w:color w:val="808080"/>
                        <w:spacing w:val="-3"/>
                        <w:sz w:val="16"/>
                      </w:rPr>
                      <w:t> </w:t>
                    </w:r>
                    <w:r>
                      <w:rPr>
                        <w:color w:val="808080"/>
                        <w:spacing w:val="-2"/>
                        <w:sz w:val="16"/>
                      </w:rPr>
                      <w:t>Canaria</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13472">
          <wp:simplePos x="0" y="0"/>
          <wp:positionH relativeFrom="page">
            <wp:posOffset>6781418</wp:posOffset>
          </wp:positionH>
          <wp:positionV relativeFrom="page">
            <wp:posOffset>9892284</wp:posOffset>
          </wp:positionV>
          <wp:extent cx="419100" cy="419100"/>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 cstate="print"/>
                  <a:stretch>
                    <a:fillRect/>
                  </a:stretch>
                </pic:blipFill>
                <pic:spPr>
                  <a:xfrm>
                    <a:off x="0" y="0"/>
                    <a:ext cx="419100" cy="419100"/>
                  </a:xfrm>
                  <a:prstGeom prst="rect">
                    <a:avLst/>
                  </a:prstGeom>
                </pic:spPr>
              </pic:pic>
            </a:graphicData>
          </a:graphic>
        </wp:anchor>
      </w:drawing>
    </w:r>
    <w:r>
      <w:rPr/>
      <mc:AlternateContent>
        <mc:Choice Requires="wps">
          <w:drawing>
            <wp:anchor distT="0" distB="0" distL="0" distR="0" allowOverlap="1" layoutInCell="1" locked="0" behindDoc="1" simplePos="0" relativeHeight="476713984">
              <wp:simplePos x="0" y="0"/>
              <wp:positionH relativeFrom="page">
                <wp:posOffset>6313423</wp:posOffset>
              </wp:positionH>
              <wp:positionV relativeFrom="page">
                <wp:posOffset>9911145</wp:posOffset>
              </wp:positionV>
              <wp:extent cx="219075" cy="18224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19075" cy="182245"/>
                      </a:xfrm>
                      <a:prstGeom prst="rect">
                        <a:avLst/>
                      </a:prstGeom>
                    </wps:spPr>
                    <wps:txbx>
                      <w:txbxContent>
                        <w:p>
                          <w:pPr>
                            <w:spacing w:before="13"/>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7.119995pt;margin-top:780.405151pt;width:17.25pt;height:14.35pt;mso-position-horizontal-relative:page;mso-position-vertical-relative:page;z-index:-26602496" type="#_x0000_t202" id="docshape177" filled="false" stroked="false">
              <v:textbox inset="0,0,0,0">
                <w:txbxContent>
                  <w:p>
                    <w:pPr>
                      <w:spacing w:before="13"/>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6699648">
              <wp:simplePos x="0" y="0"/>
              <wp:positionH relativeFrom="page">
                <wp:posOffset>3710940</wp:posOffset>
              </wp:positionH>
              <wp:positionV relativeFrom="page">
                <wp:posOffset>10326050</wp:posOffset>
              </wp:positionV>
              <wp:extent cx="151765" cy="16383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1765" cy="163830"/>
                      </a:xfrm>
                      <a:prstGeom prst="rect">
                        <a:avLst/>
                      </a:prstGeom>
                    </wps:spPr>
                    <wps:txbx>
                      <w:txbxContent>
                        <w:p>
                          <w:pPr>
                            <w:spacing w:before="20"/>
                            <w:ind w:left="60" w:right="0" w:firstLine="0"/>
                            <w:jc w:val="left"/>
                            <w:rPr>
                              <w:rFonts w:ascii="Tahoma"/>
                              <w:sz w:val="18"/>
                            </w:rPr>
                          </w:pPr>
                          <w:r>
                            <w:rPr>
                              <w:rFonts w:ascii="Tahoma"/>
                              <w:spacing w:val="-10"/>
                              <w:sz w:val="18"/>
                            </w:rPr>
                            <w:fldChar w:fldCharType="begin"/>
                          </w:r>
                          <w:r>
                            <w:rPr>
                              <w:rFonts w:ascii="Tahoma"/>
                              <w:spacing w:val="-10"/>
                              <w:sz w:val="18"/>
                            </w:rPr>
                            <w:instrText> PAGE </w:instrText>
                          </w:r>
                          <w:r>
                            <w:rPr>
                              <w:rFonts w:ascii="Tahoma"/>
                              <w:spacing w:val="-10"/>
                              <w:sz w:val="18"/>
                            </w:rPr>
                            <w:fldChar w:fldCharType="separate"/>
                          </w:r>
                          <w:r>
                            <w:rPr>
                              <w:rFonts w:ascii="Tahoma"/>
                              <w:spacing w:val="-10"/>
                              <w:sz w:val="18"/>
                            </w:rPr>
                            <w:t>1</w:t>
                          </w:r>
                          <w:r>
                            <w:rPr>
                              <w:rFonts w:ascii="Tahoma"/>
                              <w:spacing w:val="-10"/>
                              <w:sz w:val="18"/>
                            </w:rPr>
                            <w:fldChar w:fldCharType="end"/>
                          </w:r>
                        </w:p>
                      </w:txbxContent>
                    </wps:txbx>
                    <wps:bodyPr wrap="square" lIns="0" tIns="0" rIns="0" bIns="0" rtlCol="0">
                      <a:noAutofit/>
                    </wps:bodyPr>
                  </wps:wsp>
                </a:graphicData>
              </a:graphic>
            </wp:anchor>
          </w:drawing>
        </mc:Choice>
        <mc:Fallback>
          <w:pict>
            <v:shape style="position:absolute;margin-left:292.200012pt;margin-top:813.074829pt;width:11.95pt;height:12.9pt;mso-position-horizontal-relative:page;mso-position-vertical-relative:page;z-index:-26616832" type="#_x0000_t202" id="docshape8" filled="false" stroked="false">
              <v:textbox inset="0,0,0,0">
                <w:txbxContent>
                  <w:p>
                    <w:pPr>
                      <w:spacing w:before="20"/>
                      <w:ind w:left="60" w:right="0" w:firstLine="0"/>
                      <w:jc w:val="left"/>
                      <w:rPr>
                        <w:rFonts w:ascii="Tahoma"/>
                        <w:sz w:val="18"/>
                      </w:rPr>
                    </w:pPr>
                    <w:r>
                      <w:rPr>
                        <w:rFonts w:ascii="Tahoma"/>
                        <w:spacing w:val="-10"/>
                        <w:sz w:val="18"/>
                      </w:rPr>
                      <w:fldChar w:fldCharType="begin"/>
                    </w:r>
                    <w:r>
                      <w:rPr>
                        <w:rFonts w:ascii="Tahoma"/>
                        <w:spacing w:val="-10"/>
                        <w:sz w:val="18"/>
                      </w:rPr>
                      <w:instrText> PAGE </w:instrText>
                    </w:r>
                    <w:r>
                      <w:rPr>
                        <w:rFonts w:ascii="Tahoma"/>
                        <w:spacing w:val="-10"/>
                        <w:sz w:val="18"/>
                      </w:rPr>
                      <w:fldChar w:fldCharType="separate"/>
                    </w:r>
                    <w:r>
                      <w:rPr>
                        <w:rFonts w:ascii="Tahoma"/>
                        <w:spacing w:val="-10"/>
                        <w:sz w:val="18"/>
                      </w:rPr>
                      <w:t>1</w:t>
                    </w:r>
                    <w:r>
                      <w:rPr>
                        <w:rFonts w:ascii="Tahoma"/>
                        <w:spacing w:val="-10"/>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1696">
          <wp:simplePos x="0" y="0"/>
          <wp:positionH relativeFrom="page">
            <wp:posOffset>6781418</wp:posOffset>
          </wp:positionH>
          <wp:positionV relativeFrom="page">
            <wp:posOffset>9892284</wp:posOffset>
          </wp:positionV>
          <wp:extent cx="419100" cy="41910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419100" cy="419100"/>
                  </a:xfrm>
                  <a:prstGeom prst="rect">
                    <a:avLst/>
                  </a:prstGeom>
                </pic:spPr>
              </pic:pic>
            </a:graphicData>
          </a:graphic>
        </wp:anchor>
      </w:drawing>
    </w:r>
    <w:r>
      <w:rPr/>
      <mc:AlternateContent>
        <mc:Choice Requires="wps">
          <w:drawing>
            <wp:anchor distT="0" distB="0" distL="0" distR="0" allowOverlap="1" layoutInCell="1" locked="0" behindDoc="1" simplePos="0" relativeHeight="476702208">
              <wp:simplePos x="0" y="0"/>
              <wp:positionH relativeFrom="page">
                <wp:posOffset>3710940</wp:posOffset>
              </wp:positionH>
              <wp:positionV relativeFrom="page">
                <wp:posOffset>10326050</wp:posOffset>
              </wp:positionV>
              <wp:extent cx="151765" cy="16383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51765" cy="163830"/>
                      </a:xfrm>
                      <a:prstGeom prst="rect">
                        <a:avLst/>
                      </a:prstGeom>
                    </wps:spPr>
                    <wps:txbx>
                      <w:txbxContent>
                        <w:p>
                          <w:pPr>
                            <w:spacing w:before="20"/>
                            <w:ind w:left="60" w:right="0" w:firstLine="0"/>
                            <w:jc w:val="left"/>
                            <w:rPr>
                              <w:rFonts w:ascii="Tahoma"/>
                              <w:sz w:val="18"/>
                            </w:rPr>
                          </w:pPr>
                          <w:r>
                            <w:rPr>
                              <w:rFonts w:ascii="Tahoma"/>
                              <w:spacing w:val="-10"/>
                              <w:sz w:val="18"/>
                            </w:rPr>
                            <w:t>9</w:t>
                          </w:r>
                        </w:p>
                      </w:txbxContent>
                    </wps:txbx>
                    <wps:bodyPr wrap="square" lIns="0" tIns="0" rIns="0" bIns="0" rtlCol="0">
                      <a:noAutofit/>
                    </wps:bodyPr>
                  </wps:wsp>
                </a:graphicData>
              </a:graphic>
            </wp:anchor>
          </w:drawing>
        </mc:Choice>
        <mc:Fallback>
          <w:pict>
            <v:shape style="position:absolute;margin-left:292.200012pt;margin-top:813.074829pt;width:11.95pt;height:12.9pt;mso-position-horizontal-relative:page;mso-position-vertical-relative:page;z-index:-26614272" type="#_x0000_t202" id="docshape20" filled="false" stroked="false">
              <v:textbox inset="0,0,0,0">
                <w:txbxContent>
                  <w:p>
                    <w:pPr>
                      <w:spacing w:before="20"/>
                      <w:ind w:left="60" w:right="0" w:firstLine="0"/>
                      <w:jc w:val="left"/>
                      <w:rPr>
                        <w:rFonts w:ascii="Tahoma"/>
                        <w:sz w:val="18"/>
                      </w:rPr>
                    </w:pPr>
                    <w:r>
                      <w:rPr>
                        <w:rFonts w:ascii="Tahoma"/>
                        <w:spacing w:val="-10"/>
                        <w:sz w:val="18"/>
                      </w:rPr>
                      <w:t>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4256">
          <wp:simplePos x="0" y="0"/>
          <wp:positionH relativeFrom="page">
            <wp:posOffset>6781418</wp:posOffset>
          </wp:positionH>
          <wp:positionV relativeFrom="page">
            <wp:posOffset>9892284</wp:posOffset>
          </wp:positionV>
          <wp:extent cx="419100" cy="419100"/>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 cstate="print"/>
                  <a:stretch>
                    <a:fillRect/>
                  </a:stretch>
                </pic:blipFill>
                <pic:spPr>
                  <a:xfrm>
                    <a:off x="0" y="0"/>
                    <a:ext cx="419100" cy="419100"/>
                  </a:xfrm>
                  <a:prstGeom prst="rect">
                    <a:avLst/>
                  </a:prstGeom>
                </pic:spPr>
              </pic:pic>
            </a:graphicData>
          </a:graphic>
        </wp:anchor>
      </w:drawing>
    </w:r>
    <w:r>
      <w:rPr/>
      <mc:AlternateContent>
        <mc:Choice Requires="wps">
          <w:drawing>
            <wp:anchor distT="0" distB="0" distL="0" distR="0" allowOverlap="1" layoutInCell="1" locked="0" behindDoc="1" simplePos="0" relativeHeight="476704768">
              <wp:simplePos x="0" y="0"/>
              <wp:positionH relativeFrom="page">
                <wp:posOffset>3705859</wp:posOffset>
              </wp:positionH>
              <wp:positionV relativeFrom="page">
                <wp:posOffset>10326050</wp:posOffset>
              </wp:positionV>
              <wp:extent cx="150495" cy="16383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50495" cy="163830"/>
                      </a:xfrm>
                      <a:prstGeom prst="rect">
                        <a:avLst/>
                      </a:prstGeom>
                    </wps:spPr>
                    <wps:txbx>
                      <w:txbxContent>
                        <w:p>
                          <w:pPr>
                            <w:spacing w:before="20"/>
                            <w:ind w:left="20" w:right="0" w:firstLine="0"/>
                            <w:jc w:val="left"/>
                            <w:rPr>
                              <w:rFonts w:ascii="Tahoma"/>
                              <w:sz w:val="18"/>
                            </w:rPr>
                          </w:pPr>
                          <w:r>
                            <w:rPr>
                              <w:rFonts w:ascii="Tahoma"/>
                              <w:spacing w:val="-5"/>
                              <w:sz w:val="18"/>
                            </w:rPr>
                            <w:t>10</w:t>
                          </w:r>
                        </w:p>
                      </w:txbxContent>
                    </wps:txbx>
                    <wps:bodyPr wrap="square" lIns="0" tIns="0" rIns="0" bIns="0" rtlCol="0">
                      <a:noAutofit/>
                    </wps:bodyPr>
                  </wps:wsp>
                </a:graphicData>
              </a:graphic>
            </wp:anchor>
          </w:drawing>
        </mc:Choice>
        <mc:Fallback>
          <w:pict>
            <v:shape style="position:absolute;margin-left:291.799988pt;margin-top:813.074829pt;width:11.85pt;height:12.9pt;mso-position-horizontal-relative:page;mso-position-vertical-relative:page;z-index:-26611712" type="#_x0000_t202" id="docshape73" filled="false" stroked="false">
              <v:textbox inset="0,0,0,0">
                <w:txbxContent>
                  <w:p>
                    <w:pPr>
                      <w:spacing w:before="20"/>
                      <w:ind w:left="20" w:right="0" w:firstLine="0"/>
                      <w:jc w:val="left"/>
                      <w:rPr>
                        <w:rFonts w:ascii="Tahoma"/>
                        <w:sz w:val="18"/>
                      </w:rPr>
                    </w:pPr>
                    <w:r>
                      <w:rPr>
                        <w:rFonts w:ascii="Tahoma"/>
                        <w:spacing w:val="-5"/>
                        <w:sz w:val="18"/>
                      </w:rPr>
                      <w:t>10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6816">
          <wp:simplePos x="0" y="0"/>
          <wp:positionH relativeFrom="page">
            <wp:posOffset>6781418</wp:posOffset>
          </wp:positionH>
          <wp:positionV relativeFrom="page">
            <wp:posOffset>9892284</wp:posOffset>
          </wp:positionV>
          <wp:extent cx="419100" cy="419100"/>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1" cstate="print"/>
                  <a:stretch>
                    <a:fillRect/>
                  </a:stretch>
                </pic:blipFill>
                <pic:spPr>
                  <a:xfrm>
                    <a:off x="0" y="0"/>
                    <a:ext cx="419100" cy="419100"/>
                  </a:xfrm>
                  <a:prstGeom prst="rect">
                    <a:avLst/>
                  </a:prstGeom>
                </pic:spPr>
              </pic:pic>
            </a:graphicData>
          </a:graphic>
        </wp:anchor>
      </w:drawing>
    </w:r>
    <w:r>
      <w:rPr/>
      <mc:AlternateContent>
        <mc:Choice Requires="wps">
          <w:drawing>
            <wp:anchor distT="0" distB="0" distL="0" distR="0" allowOverlap="1" layoutInCell="1" locked="0" behindDoc="1" simplePos="0" relativeHeight="476707328">
              <wp:simplePos x="0" y="0"/>
              <wp:positionH relativeFrom="page">
                <wp:posOffset>3678935</wp:posOffset>
              </wp:positionH>
              <wp:positionV relativeFrom="page">
                <wp:posOffset>10327789</wp:posOffset>
              </wp:positionV>
              <wp:extent cx="216535" cy="15367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16535"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89.679993pt;margin-top:813.211792pt;width:17.05pt;height:12.1pt;mso-position-horizontal-relative:page;mso-position-vertical-relative:page;z-index:-26609152" type="#_x0000_t202" id="docshape7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11</w:t>
                    </w:r>
                    <w:r>
                      <w:rPr>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6708352">
              <wp:simplePos x="0" y="0"/>
              <wp:positionH relativeFrom="page">
                <wp:posOffset>3734815</wp:posOffset>
              </wp:positionH>
              <wp:positionV relativeFrom="page">
                <wp:posOffset>10187367</wp:posOffset>
              </wp:positionV>
              <wp:extent cx="88265" cy="16383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88265" cy="163830"/>
                      </a:xfrm>
                      <a:prstGeom prst="rect">
                        <a:avLst/>
                      </a:prstGeom>
                    </wps:spPr>
                    <wps:txbx>
                      <w:txbxContent>
                        <w:p>
                          <w:pPr>
                            <w:spacing w:before="31"/>
                            <w:ind w:left="20" w:right="0" w:firstLine="0"/>
                            <w:jc w:val="left"/>
                            <w:rPr>
                              <w:sz w:val="18"/>
                            </w:rPr>
                          </w:pPr>
                          <w:r>
                            <w:rPr>
                              <w:spacing w:val="-10"/>
                              <w:sz w:val="18"/>
                            </w:rPr>
                            <w:t>1</w:t>
                          </w:r>
                        </w:p>
                      </w:txbxContent>
                    </wps:txbx>
                    <wps:bodyPr wrap="square" lIns="0" tIns="0" rIns="0" bIns="0" rtlCol="0">
                      <a:noAutofit/>
                    </wps:bodyPr>
                  </wps:wsp>
                </a:graphicData>
              </a:graphic>
            </wp:anchor>
          </w:drawing>
        </mc:Choice>
        <mc:Fallback>
          <w:pict>
            <v:shape style="position:absolute;margin-left:294.079987pt;margin-top:802.154907pt;width:6.95pt;height:12.9pt;mso-position-horizontal-relative:page;mso-position-vertical-relative:page;z-index:-26608128" type="#_x0000_t202" id="docshape158" filled="false" stroked="false">
              <v:textbox inset="0,0,0,0">
                <w:txbxContent>
                  <w:p>
                    <w:pPr>
                      <w:spacing w:before="31"/>
                      <w:ind w:left="20" w:right="0" w:firstLine="0"/>
                      <w:jc w:val="left"/>
                      <w:rPr>
                        <w:sz w:val="18"/>
                      </w:rPr>
                    </w:pPr>
                    <w:r>
                      <w:rPr>
                        <w:spacing w:val="-10"/>
                        <w:sz w:val="18"/>
                      </w:rPr>
                      <w:t>1</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9888">
          <wp:simplePos x="0" y="0"/>
          <wp:positionH relativeFrom="page">
            <wp:posOffset>6781418</wp:posOffset>
          </wp:positionH>
          <wp:positionV relativeFrom="page">
            <wp:posOffset>9892284</wp:posOffset>
          </wp:positionV>
          <wp:extent cx="419100" cy="41910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 cstate="print"/>
                  <a:stretch>
                    <a:fillRect/>
                  </a:stretch>
                </pic:blipFill>
                <pic:spPr>
                  <a:xfrm>
                    <a:off x="0" y="0"/>
                    <a:ext cx="419100" cy="419100"/>
                  </a:xfrm>
                  <a:prstGeom prst="rect">
                    <a:avLst/>
                  </a:prstGeom>
                </pic:spPr>
              </pic:pic>
            </a:graphicData>
          </a:graphic>
        </wp:anchor>
      </w:drawing>
    </w:r>
    <w:r>
      <w:rPr/>
      <mc:AlternateContent>
        <mc:Choice Requires="wps">
          <w:drawing>
            <wp:anchor distT="0" distB="0" distL="0" distR="0" allowOverlap="1" layoutInCell="1" locked="0" behindDoc="1" simplePos="0" relativeHeight="476710400">
              <wp:simplePos x="0" y="0"/>
              <wp:positionH relativeFrom="page">
                <wp:posOffset>3709415</wp:posOffset>
              </wp:positionH>
              <wp:positionV relativeFrom="page">
                <wp:posOffset>10187367</wp:posOffset>
              </wp:positionV>
              <wp:extent cx="151765" cy="16383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51765" cy="163830"/>
                      </a:xfrm>
                      <a:prstGeom prst="rect">
                        <a:avLst/>
                      </a:prstGeom>
                    </wps:spPr>
                    <wps:txbx>
                      <w:txbxContent>
                        <w:p>
                          <w:pPr>
                            <w:spacing w:before="31"/>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292.079987pt;margin-top:802.154907pt;width:11.95pt;height:12.9pt;mso-position-horizontal-relative:page;mso-position-vertical-relative:page;z-index:-26606080" type="#_x0000_t202" id="docshape167" filled="false" stroked="false">
              <v:textbox inset="0,0,0,0">
                <w:txbxContent>
                  <w:p>
                    <w:pPr>
                      <w:spacing w:before="31"/>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3</w:t>
                    </w:r>
                    <w:r>
                      <w:rPr>
                        <w:spacing w:val="-10"/>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11936">
          <wp:simplePos x="0" y="0"/>
          <wp:positionH relativeFrom="page">
            <wp:posOffset>6781418</wp:posOffset>
          </wp:positionH>
          <wp:positionV relativeFrom="page">
            <wp:posOffset>9892284</wp:posOffset>
          </wp:positionV>
          <wp:extent cx="419100" cy="4191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 cstate="print"/>
                  <a:stretch>
                    <a:fillRect/>
                  </a:stretch>
                </pic:blipFill>
                <pic:spPr>
                  <a:xfrm>
                    <a:off x="0" y="0"/>
                    <a:ext cx="419100" cy="41910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697088">
          <wp:simplePos x="0" y="0"/>
          <wp:positionH relativeFrom="page">
            <wp:posOffset>2971800</wp:posOffset>
          </wp:positionH>
          <wp:positionV relativeFrom="page">
            <wp:posOffset>88264</wp:posOffset>
          </wp:positionV>
          <wp:extent cx="1819275" cy="96036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819275" cy="960365"/>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12448">
          <wp:simplePos x="0" y="0"/>
          <wp:positionH relativeFrom="page">
            <wp:posOffset>649224</wp:posOffset>
          </wp:positionH>
          <wp:positionV relativeFrom="page">
            <wp:posOffset>243840</wp:posOffset>
          </wp:positionV>
          <wp:extent cx="1828799" cy="518159"/>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 cstate="print"/>
                  <a:stretch>
                    <a:fillRect/>
                  </a:stretch>
                </pic:blipFill>
                <pic:spPr>
                  <a:xfrm>
                    <a:off x="0" y="0"/>
                    <a:ext cx="1828799" cy="518159"/>
                  </a:xfrm>
                  <a:prstGeom prst="rect">
                    <a:avLst/>
                  </a:prstGeom>
                </pic:spPr>
              </pic:pic>
            </a:graphicData>
          </a:graphic>
        </wp:anchor>
      </w:drawing>
    </w:r>
    <w:r>
      <w:rPr/>
      <mc:AlternateContent>
        <mc:Choice Requires="wps">
          <w:drawing>
            <wp:anchor distT="0" distB="0" distL="0" distR="0" allowOverlap="1" layoutInCell="1" locked="0" behindDoc="1" simplePos="0" relativeHeight="476712960">
              <wp:simplePos x="0" y="0"/>
              <wp:positionH relativeFrom="page">
                <wp:posOffset>5170423</wp:posOffset>
              </wp:positionH>
              <wp:positionV relativeFrom="page">
                <wp:posOffset>435885</wp:posOffset>
              </wp:positionV>
              <wp:extent cx="1324610" cy="25717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324610" cy="257175"/>
                      </a:xfrm>
                      <a:prstGeom prst="rect">
                        <a:avLst/>
                      </a:prstGeom>
                    </wps:spPr>
                    <wps:txbx>
                      <w:txbxContent>
                        <w:p>
                          <w:pPr>
                            <w:spacing w:before="15"/>
                            <w:ind w:left="20" w:right="0" w:firstLine="0"/>
                            <w:jc w:val="left"/>
                            <w:rPr>
                              <w:b/>
                              <w:sz w:val="16"/>
                            </w:rPr>
                          </w:pPr>
                          <w:r>
                            <w:rPr>
                              <w:b/>
                              <w:sz w:val="16"/>
                            </w:rPr>
                            <w:t>Guaguas</w:t>
                          </w:r>
                          <w:r>
                            <w:rPr>
                              <w:b/>
                              <w:spacing w:val="-10"/>
                              <w:sz w:val="16"/>
                            </w:rPr>
                            <w:t> </w:t>
                          </w:r>
                          <w:r>
                            <w:rPr>
                              <w:b/>
                              <w:sz w:val="16"/>
                            </w:rPr>
                            <w:t>Municipales,</w:t>
                          </w:r>
                          <w:r>
                            <w:rPr>
                              <w:b/>
                              <w:spacing w:val="-6"/>
                              <w:sz w:val="16"/>
                            </w:rPr>
                            <w:t> </w:t>
                          </w:r>
                          <w:r>
                            <w:rPr>
                              <w:b/>
                              <w:spacing w:val="-4"/>
                              <w:sz w:val="16"/>
                            </w:rPr>
                            <w:t>S.A.</w:t>
                          </w:r>
                        </w:p>
                        <w:p>
                          <w:pPr>
                            <w:spacing w:before="1"/>
                            <w:ind w:left="767" w:right="0" w:firstLine="0"/>
                            <w:jc w:val="left"/>
                            <w:rPr>
                              <w:b/>
                              <w:sz w:val="16"/>
                            </w:rPr>
                          </w:pPr>
                          <w:r>
                            <w:rPr>
                              <w:b/>
                              <w:sz w:val="16"/>
                            </w:rPr>
                            <w:t>E.I.N.F</w:t>
                          </w:r>
                          <w:r>
                            <w:rPr>
                              <w:b/>
                              <w:spacing w:val="-4"/>
                              <w:sz w:val="16"/>
                            </w:rPr>
                            <w:t> </w:t>
                          </w:r>
                          <w:r>
                            <w:rPr>
                              <w:b/>
                              <w:sz w:val="16"/>
                            </w:rPr>
                            <w:t>AÑO</w:t>
                          </w:r>
                          <w:r>
                            <w:rPr>
                              <w:b/>
                              <w:spacing w:val="-5"/>
                              <w:sz w:val="16"/>
                            </w:rPr>
                            <w:t> </w:t>
                          </w:r>
                          <w:r>
                            <w:rPr>
                              <w:b/>
                              <w:spacing w:val="-4"/>
                              <w:sz w:val="16"/>
                            </w:rPr>
                            <w:t>2025</w:t>
                          </w:r>
                        </w:p>
                      </w:txbxContent>
                    </wps:txbx>
                    <wps:bodyPr wrap="square" lIns="0" tIns="0" rIns="0" bIns="0" rtlCol="0">
                      <a:noAutofit/>
                    </wps:bodyPr>
                  </wps:wsp>
                </a:graphicData>
              </a:graphic>
            </wp:anchor>
          </w:drawing>
        </mc:Choice>
        <mc:Fallback>
          <w:pict>
            <v:shape style="position:absolute;margin-left:407.119995pt;margin-top:34.321667pt;width:104.3pt;height:20.25pt;mso-position-horizontal-relative:page;mso-position-vertical-relative:page;z-index:-26603520" type="#_x0000_t202" id="docshape176" filled="false" stroked="false">
              <v:textbox inset="0,0,0,0">
                <w:txbxContent>
                  <w:p>
                    <w:pPr>
                      <w:spacing w:before="15"/>
                      <w:ind w:left="20" w:right="0" w:firstLine="0"/>
                      <w:jc w:val="left"/>
                      <w:rPr>
                        <w:b/>
                        <w:sz w:val="16"/>
                      </w:rPr>
                    </w:pPr>
                    <w:r>
                      <w:rPr>
                        <w:b/>
                        <w:sz w:val="16"/>
                      </w:rPr>
                      <w:t>Guaguas</w:t>
                    </w:r>
                    <w:r>
                      <w:rPr>
                        <w:b/>
                        <w:spacing w:val="-10"/>
                        <w:sz w:val="16"/>
                      </w:rPr>
                      <w:t> </w:t>
                    </w:r>
                    <w:r>
                      <w:rPr>
                        <w:b/>
                        <w:sz w:val="16"/>
                      </w:rPr>
                      <w:t>Municipales,</w:t>
                    </w:r>
                    <w:r>
                      <w:rPr>
                        <w:b/>
                        <w:spacing w:val="-6"/>
                        <w:sz w:val="16"/>
                      </w:rPr>
                      <w:t> </w:t>
                    </w:r>
                    <w:r>
                      <w:rPr>
                        <w:b/>
                        <w:spacing w:val="-4"/>
                        <w:sz w:val="16"/>
                      </w:rPr>
                      <w:t>S.A.</w:t>
                    </w:r>
                  </w:p>
                  <w:p>
                    <w:pPr>
                      <w:spacing w:before="1"/>
                      <w:ind w:left="767" w:right="0" w:firstLine="0"/>
                      <w:jc w:val="left"/>
                      <w:rPr>
                        <w:b/>
                        <w:sz w:val="16"/>
                      </w:rPr>
                    </w:pPr>
                    <w:r>
                      <w:rPr>
                        <w:b/>
                        <w:sz w:val="16"/>
                      </w:rPr>
                      <w:t>E.I.N.F</w:t>
                    </w:r>
                    <w:r>
                      <w:rPr>
                        <w:b/>
                        <w:spacing w:val="-4"/>
                        <w:sz w:val="16"/>
                      </w:rPr>
                      <w:t> </w:t>
                    </w:r>
                    <w:r>
                      <w:rPr>
                        <w:b/>
                        <w:sz w:val="16"/>
                      </w:rPr>
                      <w:t>AÑO</w:t>
                    </w:r>
                    <w:r>
                      <w:rPr>
                        <w:b/>
                        <w:spacing w:val="-5"/>
                        <w:sz w:val="16"/>
                      </w:rPr>
                      <w:t> </w:t>
                    </w:r>
                    <w:r>
                      <w:rPr>
                        <w:b/>
                        <w:spacing w:val="-4"/>
                        <w:sz w:val="16"/>
                      </w:rPr>
                      <w:t>2025</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698112">
          <wp:simplePos x="0" y="0"/>
          <wp:positionH relativeFrom="page">
            <wp:posOffset>1103380</wp:posOffset>
          </wp:positionH>
          <wp:positionV relativeFrom="page">
            <wp:posOffset>181356</wp:posOffset>
          </wp:positionV>
          <wp:extent cx="1987291" cy="580643"/>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1987291" cy="580643"/>
                  </a:xfrm>
                  <a:prstGeom prst="rect">
                    <a:avLst/>
                  </a:prstGeom>
                </pic:spPr>
              </pic:pic>
            </a:graphicData>
          </a:graphic>
        </wp:anchor>
      </w:drawing>
    </w:r>
    <w:r>
      <w:rPr/>
      <mc:AlternateContent>
        <mc:Choice Requires="wps">
          <w:drawing>
            <wp:anchor distT="0" distB="0" distL="0" distR="0" allowOverlap="1" layoutInCell="1" locked="0" behindDoc="1" simplePos="0" relativeHeight="476698624">
              <wp:simplePos x="0" y="0"/>
              <wp:positionH relativeFrom="page">
                <wp:posOffset>1062227</wp:posOffset>
              </wp:positionH>
              <wp:positionV relativeFrom="page">
                <wp:posOffset>1225296</wp:posOffset>
              </wp:positionV>
              <wp:extent cx="5438140" cy="635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438140" cy="6350"/>
                      </a:xfrm>
                      <a:custGeom>
                        <a:avLst/>
                        <a:gdLst/>
                        <a:ahLst/>
                        <a:cxnLst/>
                        <a:rect l="l" t="t" r="r" b="b"/>
                        <a:pathLst>
                          <a:path w="5438140" h="6350">
                            <a:moveTo>
                              <a:pt x="5437632" y="6096"/>
                            </a:moveTo>
                            <a:lnTo>
                              <a:pt x="0" y="6096"/>
                            </a:lnTo>
                            <a:lnTo>
                              <a:pt x="0" y="0"/>
                            </a:lnTo>
                            <a:lnTo>
                              <a:pt x="5437632" y="0"/>
                            </a:lnTo>
                            <a:lnTo>
                              <a:pt x="543763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96.480003pt;width:428.16pt;height:.48pt;mso-position-horizontal-relative:page;mso-position-vertical-relative:page;z-index:-26617856" id="docshape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6699136">
              <wp:simplePos x="0" y="0"/>
              <wp:positionH relativeFrom="page">
                <wp:posOffset>1067816</wp:posOffset>
              </wp:positionH>
              <wp:positionV relativeFrom="page">
                <wp:posOffset>924495</wp:posOffset>
              </wp:positionV>
              <wp:extent cx="1860550" cy="30226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860550" cy="302260"/>
                      </a:xfrm>
                      <a:prstGeom prst="rect">
                        <a:avLst/>
                      </a:prstGeom>
                    </wps:spPr>
                    <wps:txbx>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wps:txbx>
                    <wps:bodyPr wrap="square" lIns="0" tIns="0" rIns="0" bIns="0" rtlCol="0">
                      <a:noAutofit/>
                    </wps:bodyPr>
                  </wps:wsp>
                </a:graphicData>
              </a:graphic>
            </wp:anchor>
          </w:drawing>
        </mc:Choice>
        <mc:Fallback>
          <w:pict>
            <v:shape style="position:absolute;margin-left:84.080002pt;margin-top:72.794899pt;width:146.5pt;height:23.8pt;mso-position-horizontal-relative:page;mso-position-vertical-relative:page;z-index:-26617344" type="#_x0000_t202" id="docshape7" filled="false" stroked="false">
              <v:textbox inset="0,0,0,0">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0160">
          <wp:simplePos x="0" y="0"/>
          <wp:positionH relativeFrom="page">
            <wp:posOffset>1103380</wp:posOffset>
          </wp:positionH>
          <wp:positionV relativeFrom="page">
            <wp:posOffset>181356</wp:posOffset>
          </wp:positionV>
          <wp:extent cx="1987291" cy="58064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1987291" cy="580643"/>
                  </a:xfrm>
                  <a:prstGeom prst="rect">
                    <a:avLst/>
                  </a:prstGeom>
                </pic:spPr>
              </pic:pic>
            </a:graphicData>
          </a:graphic>
        </wp:anchor>
      </w:drawing>
    </w:r>
    <w:r>
      <w:rPr/>
      <mc:AlternateContent>
        <mc:Choice Requires="wps">
          <w:drawing>
            <wp:anchor distT="0" distB="0" distL="0" distR="0" allowOverlap="1" layoutInCell="1" locked="0" behindDoc="1" simplePos="0" relativeHeight="476700672">
              <wp:simplePos x="0" y="0"/>
              <wp:positionH relativeFrom="page">
                <wp:posOffset>1062227</wp:posOffset>
              </wp:positionH>
              <wp:positionV relativeFrom="page">
                <wp:posOffset>1225296</wp:posOffset>
              </wp:positionV>
              <wp:extent cx="5438140" cy="63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438140" cy="6350"/>
                      </a:xfrm>
                      <a:custGeom>
                        <a:avLst/>
                        <a:gdLst/>
                        <a:ahLst/>
                        <a:cxnLst/>
                        <a:rect l="l" t="t" r="r" b="b"/>
                        <a:pathLst>
                          <a:path w="5438140" h="6350">
                            <a:moveTo>
                              <a:pt x="5437632" y="6096"/>
                            </a:moveTo>
                            <a:lnTo>
                              <a:pt x="0" y="6096"/>
                            </a:lnTo>
                            <a:lnTo>
                              <a:pt x="0" y="0"/>
                            </a:lnTo>
                            <a:lnTo>
                              <a:pt x="5437632" y="0"/>
                            </a:lnTo>
                            <a:lnTo>
                              <a:pt x="543763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96.480003pt;width:428.16pt;height:.48pt;mso-position-horizontal-relative:page;mso-position-vertical-relative:page;z-index:-26615808" id="docshape1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6701184">
              <wp:simplePos x="0" y="0"/>
              <wp:positionH relativeFrom="page">
                <wp:posOffset>1067816</wp:posOffset>
              </wp:positionH>
              <wp:positionV relativeFrom="page">
                <wp:posOffset>924495</wp:posOffset>
              </wp:positionV>
              <wp:extent cx="1860550" cy="30226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860550" cy="302260"/>
                      </a:xfrm>
                      <a:prstGeom prst="rect">
                        <a:avLst/>
                      </a:prstGeom>
                    </wps:spPr>
                    <wps:txbx>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wps:txbx>
                    <wps:bodyPr wrap="square" lIns="0" tIns="0" rIns="0" bIns="0" rtlCol="0">
                      <a:noAutofit/>
                    </wps:bodyPr>
                  </wps:wsp>
                </a:graphicData>
              </a:graphic>
            </wp:anchor>
          </w:drawing>
        </mc:Choice>
        <mc:Fallback>
          <w:pict>
            <v:shape style="position:absolute;margin-left:84.080002pt;margin-top:72.794899pt;width:146.5pt;height:23.8pt;mso-position-horizontal-relative:page;mso-position-vertical-relative:page;z-index:-26615296" type="#_x0000_t202" id="docshape19" filled="false" stroked="false">
              <v:textbox inset="0,0,0,0">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2720">
          <wp:simplePos x="0" y="0"/>
          <wp:positionH relativeFrom="page">
            <wp:posOffset>1103380</wp:posOffset>
          </wp:positionH>
          <wp:positionV relativeFrom="page">
            <wp:posOffset>181356</wp:posOffset>
          </wp:positionV>
          <wp:extent cx="1987291" cy="580643"/>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 cstate="print"/>
                  <a:stretch>
                    <a:fillRect/>
                  </a:stretch>
                </pic:blipFill>
                <pic:spPr>
                  <a:xfrm>
                    <a:off x="0" y="0"/>
                    <a:ext cx="1987291" cy="580643"/>
                  </a:xfrm>
                  <a:prstGeom prst="rect">
                    <a:avLst/>
                  </a:prstGeom>
                </pic:spPr>
              </pic:pic>
            </a:graphicData>
          </a:graphic>
        </wp:anchor>
      </w:drawing>
    </w:r>
    <w:r>
      <w:rPr/>
      <mc:AlternateContent>
        <mc:Choice Requires="wps">
          <w:drawing>
            <wp:anchor distT="0" distB="0" distL="0" distR="0" allowOverlap="1" layoutInCell="1" locked="0" behindDoc="1" simplePos="0" relativeHeight="476703232">
              <wp:simplePos x="0" y="0"/>
              <wp:positionH relativeFrom="page">
                <wp:posOffset>1062227</wp:posOffset>
              </wp:positionH>
              <wp:positionV relativeFrom="page">
                <wp:posOffset>1225296</wp:posOffset>
              </wp:positionV>
              <wp:extent cx="5438140" cy="635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438140" cy="6350"/>
                      </a:xfrm>
                      <a:custGeom>
                        <a:avLst/>
                        <a:gdLst/>
                        <a:ahLst/>
                        <a:cxnLst/>
                        <a:rect l="l" t="t" r="r" b="b"/>
                        <a:pathLst>
                          <a:path w="5438140" h="6350">
                            <a:moveTo>
                              <a:pt x="5437632" y="6096"/>
                            </a:moveTo>
                            <a:lnTo>
                              <a:pt x="0" y="6096"/>
                            </a:lnTo>
                            <a:lnTo>
                              <a:pt x="0" y="0"/>
                            </a:lnTo>
                            <a:lnTo>
                              <a:pt x="5437632" y="0"/>
                            </a:lnTo>
                            <a:lnTo>
                              <a:pt x="543763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96.480003pt;width:428.16pt;height:.48pt;mso-position-horizontal-relative:page;mso-position-vertical-relative:page;z-index:-26613248" id="docshape7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6703744">
              <wp:simplePos x="0" y="0"/>
              <wp:positionH relativeFrom="page">
                <wp:posOffset>1067816</wp:posOffset>
              </wp:positionH>
              <wp:positionV relativeFrom="page">
                <wp:posOffset>924495</wp:posOffset>
              </wp:positionV>
              <wp:extent cx="1860550" cy="30226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860550" cy="302260"/>
                      </a:xfrm>
                      <a:prstGeom prst="rect">
                        <a:avLst/>
                      </a:prstGeom>
                    </wps:spPr>
                    <wps:txbx>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wps:txbx>
                    <wps:bodyPr wrap="square" lIns="0" tIns="0" rIns="0" bIns="0" rtlCol="0">
                      <a:noAutofit/>
                    </wps:bodyPr>
                  </wps:wsp>
                </a:graphicData>
              </a:graphic>
            </wp:anchor>
          </w:drawing>
        </mc:Choice>
        <mc:Fallback>
          <w:pict>
            <v:shape style="position:absolute;margin-left:84.080002pt;margin-top:72.794899pt;width:146.5pt;height:23.8pt;mso-position-horizontal-relative:page;mso-position-vertical-relative:page;z-index:-26612736" type="#_x0000_t202" id="docshape72" filled="false" stroked="false">
              <v:textbox inset="0,0,0,0">
                <w:txbxContent>
                  <w:p>
                    <w:pPr>
                      <w:spacing w:line="254" w:lineRule="auto" w:before="31"/>
                      <w:ind w:left="20" w:right="0" w:firstLine="0"/>
                      <w:jc w:val="left"/>
                      <w:rPr>
                        <w:b/>
                        <w:sz w:val="18"/>
                      </w:rPr>
                    </w:pPr>
                    <w:r>
                      <w:rPr>
                        <w:b/>
                        <w:sz w:val="18"/>
                      </w:rPr>
                      <w:t>GUAGUAS MUNICIPALES, S.A.U. </w:t>
                    </w:r>
                    <w:r>
                      <w:rPr>
                        <w:b/>
                        <w:w w:val="105"/>
                        <w:sz w:val="18"/>
                      </w:rPr>
                      <w:t>CUENTAS ANUALES DE 2025.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5280">
          <wp:simplePos x="0" y="0"/>
          <wp:positionH relativeFrom="page">
            <wp:posOffset>1103380</wp:posOffset>
          </wp:positionH>
          <wp:positionV relativeFrom="page">
            <wp:posOffset>181356</wp:posOffset>
          </wp:positionV>
          <wp:extent cx="1987291" cy="580643"/>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1987291" cy="580643"/>
                  </a:xfrm>
                  <a:prstGeom prst="rect">
                    <a:avLst/>
                  </a:prstGeom>
                </pic:spPr>
              </pic:pic>
            </a:graphicData>
          </a:graphic>
        </wp:anchor>
      </w:drawing>
    </w:r>
    <w:r>
      <w:rPr/>
      <mc:AlternateContent>
        <mc:Choice Requires="wps">
          <w:drawing>
            <wp:anchor distT="0" distB="0" distL="0" distR="0" allowOverlap="1" layoutInCell="1" locked="0" behindDoc="1" simplePos="0" relativeHeight="476705792">
              <wp:simplePos x="0" y="0"/>
              <wp:positionH relativeFrom="page">
                <wp:posOffset>1062227</wp:posOffset>
              </wp:positionH>
              <wp:positionV relativeFrom="page">
                <wp:posOffset>1213103</wp:posOffset>
              </wp:positionV>
              <wp:extent cx="5438140" cy="635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438140" cy="6350"/>
                      </a:xfrm>
                      <a:custGeom>
                        <a:avLst/>
                        <a:gdLst/>
                        <a:ahLst/>
                        <a:cxnLst/>
                        <a:rect l="l" t="t" r="r" b="b"/>
                        <a:pathLst>
                          <a:path w="5438140" h="6350">
                            <a:moveTo>
                              <a:pt x="5437632" y="6096"/>
                            </a:moveTo>
                            <a:lnTo>
                              <a:pt x="0" y="6096"/>
                            </a:lnTo>
                            <a:lnTo>
                              <a:pt x="0" y="0"/>
                            </a:lnTo>
                            <a:lnTo>
                              <a:pt x="5437632" y="0"/>
                            </a:lnTo>
                            <a:lnTo>
                              <a:pt x="543763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39999pt;margin-top:95.519997pt;width:428.16pt;height:.48pt;mso-position-horizontal-relative:page;mso-position-vertical-relative:page;z-index:-26610688" id="docshape7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6706304">
              <wp:simplePos x="0" y="0"/>
              <wp:positionH relativeFrom="page">
                <wp:posOffset>1067816</wp:posOffset>
              </wp:positionH>
              <wp:positionV relativeFrom="page">
                <wp:posOffset>924711</wp:posOffset>
              </wp:positionV>
              <wp:extent cx="3804285" cy="28448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804285" cy="284480"/>
                      </a:xfrm>
                      <a:prstGeom prst="rect">
                        <a:avLst/>
                      </a:prstGeom>
                    </wps:spPr>
                    <wps:txbx>
                      <w:txbxContent>
                        <w:p>
                          <w:pPr>
                            <w:spacing w:line="207" w:lineRule="exact" w:before="14"/>
                            <w:ind w:left="20" w:right="0" w:firstLine="0"/>
                            <w:jc w:val="left"/>
                            <w:rPr>
                              <w:b/>
                              <w:sz w:val="18"/>
                            </w:rPr>
                          </w:pPr>
                          <w:r>
                            <w:rPr>
                              <w:b/>
                              <w:sz w:val="18"/>
                            </w:rPr>
                            <w:t>GUAGUAS</w:t>
                          </w:r>
                          <w:r>
                            <w:rPr>
                              <w:b/>
                              <w:spacing w:val="-5"/>
                              <w:sz w:val="18"/>
                            </w:rPr>
                            <w:t> </w:t>
                          </w:r>
                          <w:r>
                            <w:rPr>
                              <w:b/>
                              <w:sz w:val="18"/>
                            </w:rPr>
                            <w:t>MUNICIPALES,</w:t>
                          </w:r>
                          <w:r>
                            <w:rPr>
                              <w:b/>
                              <w:spacing w:val="-3"/>
                              <w:sz w:val="18"/>
                            </w:rPr>
                            <w:t> </w:t>
                          </w:r>
                          <w:r>
                            <w:rPr>
                              <w:b/>
                              <w:spacing w:val="-2"/>
                              <w:sz w:val="18"/>
                            </w:rPr>
                            <w:t>S.A.U.</w:t>
                          </w:r>
                        </w:p>
                        <w:p>
                          <w:pPr>
                            <w:spacing w:line="207" w:lineRule="exact" w:before="0"/>
                            <w:ind w:left="20" w:right="0" w:firstLine="0"/>
                            <w:jc w:val="left"/>
                            <w:rPr>
                              <w:b/>
                              <w:sz w:val="18"/>
                            </w:rPr>
                          </w:pPr>
                          <w:r>
                            <w:rPr>
                              <w:b/>
                              <w:sz w:val="18"/>
                            </w:rPr>
                            <w:t>MEMORIA</w:t>
                          </w:r>
                          <w:r>
                            <w:rPr>
                              <w:b/>
                              <w:spacing w:val="-7"/>
                              <w:sz w:val="18"/>
                            </w:rPr>
                            <w:t> </w:t>
                          </w:r>
                          <w:r>
                            <w:rPr>
                              <w:b/>
                              <w:sz w:val="18"/>
                            </w:rPr>
                            <w:t>DEL</w:t>
                          </w:r>
                          <w:r>
                            <w:rPr>
                              <w:b/>
                              <w:spacing w:val="-1"/>
                              <w:sz w:val="18"/>
                            </w:rPr>
                            <w:t> </w:t>
                          </w:r>
                          <w:r>
                            <w:rPr>
                              <w:b/>
                              <w:sz w:val="18"/>
                            </w:rPr>
                            <w:t>EJERCICIO</w:t>
                          </w:r>
                          <w:r>
                            <w:rPr>
                              <w:b/>
                              <w:spacing w:val="-1"/>
                              <w:sz w:val="18"/>
                            </w:rPr>
                            <w:t> </w:t>
                          </w:r>
                          <w:r>
                            <w:rPr>
                              <w:b/>
                              <w:sz w:val="18"/>
                            </w:rPr>
                            <w:t>CERRADO</w:t>
                          </w:r>
                          <w:r>
                            <w:rPr>
                              <w:b/>
                              <w:spacing w:val="-4"/>
                              <w:sz w:val="18"/>
                            </w:rPr>
                            <w:t> </w:t>
                          </w:r>
                          <w:r>
                            <w:rPr>
                              <w:b/>
                              <w:sz w:val="18"/>
                            </w:rPr>
                            <w:t>EL</w:t>
                          </w:r>
                          <w:r>
                            <w:rPr>
                              <w:b/>
                              <w:spacing w:val="-1"/>
                              <w:sz w:val="18"/>
                            </w:rPr>
                            <w:t> </w:t>
                          </w:r>
                          <w:r>
                            <w:rPr>
                              <w:b/>
                              <w:sz w:val="18"/>
                            </w:rPr>
                            <w:t>31</w:t>
                          </w:r>
                          <w:r>
                            <w:rPr>
                              <w:b/>
                              <w:spacing w:val="-3"/>
                              <w:sz w:val="18"/>
                            </w:rPr>
                            <w:t> </w:t>
                          </w:r>
                          <w:r>
                            <w:rPr>
                              <w:b/>
                              <w:sz w:val="18"/>
                            </w:rPr>
                            <w:t>DE</w:t>
                          </w:r>
                          <w:r>
                            <w:rPr>
                              <w:b/>
                              <w:spacing w:val="-1"/>
                              <w:sz w:val="18"/>
                            </w:rPr>
                            <w:t> </w:t>
                          </w:r>
                          <w:r>
                            <w:rPr>
                              <w:b/>
                              <w:sz w:val="18"/>
                            </w:rPr>
                            <w:t>DICIEMBRE</w:t>
                          </w:r>
                          <w:r>
                            <w:rPr>
                              <w:b/>
                              <w:spacing w:val="-3"/>
                              <w:sz w:val="18"/>
                            </w:rPr>
                            <w:t> </w:t>
                          </w:r>
                          <w:r>
                            <w:rPr>
                              <w:b/>
                              <w:sz w:val="18"/>
                            </w:rPr>
                            <w:t>DE</w:t>
                          </w:r>
                          <w:r>
                            <w:rPr>
                              <w:b/>
                              <w:spacing w:val="-3"/>
                              <w:sz w:val="18"/>
                            </w:rPr>
                            <w:t> </w:t>
                          </w:r>
                          <w:r>
                            <w:rPr>
                              <w:b/>
                              <w:spacing w:val="-2"/>
                              <w:sz w:val="18"/>
                            </w:rPr>
                            <w:t>2025.</w:t>
                          </w:r>
                        </w:p>
                      </w:txbxContent>
                    </wps:txbx>
                    <wps:bodyPr wrap="square" lIns="0" tIns="0" rIns="0" bIns="0" rtlCol="0">
                      <a:noAutofit/>
                    </wps:bodyPr>
                  </wps:wsp>
                </a:graphicData>
              </a:graphic>
            </wp:anchor>
          </w:drawing>
        </mc:Choice>
        <mc:Fallback>
          <w:pict>
            <v:shape style="position:absolute;margin-left:84.080002pt;margin-top:72.811905pt;width:299.55pt;height:22.4pt;mso-position-horizontal-relative:page;mso-position-vertical-relative:page;z-index:-26610176" type="#_x0000_t202" id="docshape76" filled="false" stroked="false">
              <v:textbox inset="0,0,0,0">
                <w:txbxContent>
                  <w:p>
                    <w:pPr>
                      <w:spacing w:line="207" w:lineRule="exact" w:before="14"/>
                      <w:ind w:left="20" w:right="0" w:firstLine="0"/>
                      <w:jc w:val="left"/>
                      <w:rPr>
                        <w:b/>
                        <w:sz w:val="18"/>
                      </w:rPr>
                    </w:pPr>
                    <w:r>
                      <w:rPr>
                        <w:b/>
                        <w:sz w:val="18"/>
                      </w:rPr>
                      <w:t>GUAGUAS</w:t>
                    </w:r>
                    <w:r>
                      <w:rPr>
                        <w:b/>
                        <w:spacing w:val="-5"/>
                        <w:sz w:val="18"/>
                      </w:rPr>
                      <w:t> </w:t>
                    </w:r>
                    <w:r>
                      <w:rPr>
                        <w:b/>
                        <w:sz w:val="18"/>
                      </w:rPr>
                      <w:t>MUNICIPALES,</w:t>
                    </w:r>
                    <w:r>
                      <w:rPr>
                        <w:b/>
                        <w:spacing w:val="-3"/>
                        <w:sz w:val="18"/>
                      </w:rPr>
                      <w:t> </w:t>
                    </w:r>
                    <w:r>
                      <w:rPr>
                        <w:b/>
                        <w:spacing w:val="-2"/>
                        <w:sz w:val="18"/>
                      </w:rPr>
                      <w:t>S.A.U.</w:t>
                    </w:r>
                  </w:p>
                  <w:p>
                    <w:pPr>
                      <w:spacing w:line="207" w:lineRule="exact" w:before="0"/>
                      <w:ind w:left="20" w:right="0" w:firstLine="0"/>
                      <w:jc w:val="left"/>
                      <w:rPr>
                        <w:b/>
                        <w:sz w:val="18"/>
                      </w:rPr>
                    </w:pPr>
                    <w:r>
                      <w:rPr>
                        <w:b/>
                        <w:sz w:val="18"/>
                      </w:rPr>
                      <w:t>MEMORIA</w:t>
                    </w:r>
                    <w:r>
                      <w:rPr>
                        <w:b/>
                        <w:spacing w:val="-7"/>
                        <w:sz w:val="18"/>
                      </w:rPr>
                      <w:t> </w:t>
                    </w:r>
                    <w:r>
                      <w:rPr>
                        <w:b/>
                        <w:sz w:val="18"/>
                      </w:rPr>
                      <w:t>DEL</w:t>
                    </w:r>
                    <w:r>
                      <w:rPr>
                        <w:b/>
                        <w:spacing w:val="-1"/>
                        <w:sz w:val="18"/>
                      </w:rPr>
                      <w:t> </w:t>
                    </w:r>
                    <w:r>
                      <w:rPr>
                        <w:b/>
                        <w:sz w:val="18"/>
                      </w:rPr>
                      <w:t>EJERCICIO</w:t>
                    </w:r>
                    <w:r>
                      <w:rPr>
                        <w:b/>
                        <w:spacing w:val="-1"/>
                        <w:sz w:val="18"/>
                      </w:rPr>
                      <w:t> </w:t>
                    </w:r>
                    <w:r>
                      <w:rPr>
                        <w:b/>
                        <w:sz w:val="18"/>
                      </w:rPr>
                      <w:t>CERRADO</w:t>
                    </w:r>
                    <w:r>
                      <w:rPr>
                        <w:b/>
                        <w:spacing w:val="-4"/>
                        <w:sz w:val="18"/>
                      </w:rPr>
                      <w:t> </w:t>
                    </w:r>
                    <w:r>
                      <w:rPr>
                        <w:b/>
                        <w:sz w:val="18"/>
                      </w:rPr>
                      <w:t>EL</w:t>
                    </w:r>
                    <w:r>
                      <w:rPr>
                        <w:b/>
                        <w:spacing w:val="-1"/>
                        <w:sz w:val="18"/>
                      </w:rPr>
                      <w:t> </w:t>
                    </w:r>
                    <w:r>
                      <w:rPr>
                        <w:b/>
                        <w:sz w:val="18"/>
                      </w:rPr>
                      <w:t>31</w:t>
                    </w:r>
                    <w:r>
                      <w:rPr>
                        <w:b/>
                        <w:spacing w:val="-3"/>
                        <w:sz w:val="18"/>
                      </w:rPr>
                      <w:t> </w:t>
                    </w:r>
                    <w:r>
                      <w:rPr>
                        <w:b/>
                        <w:sz w:val="18"/>
                      </w:rPr>
                      <w:t>DE</w:t>
                    </w:r>
                    <w:r>
                      <w:rPr>
                        <w:b/>
                        <w:spacing w:val="-1"/>
                        <w:sz w:val="18"/>
                      </w:rPr>
                      <w:t> </w:t>
                    </w:r>
                    <w:r>
                      <w:rPr>
                        <w:b/>
                        <w:sz w:val="18"/>
                      </w:rPr>
                      <w:t>DICIEMBRE</w:t>
                    </w:r>
                    <w:r>
                      <w:rPr>
                        <w:b/>
                        <w:spacing w:val="-3"/>
                        <w:sz w:val="18"/>
                      </w:rPr>
                      <w:t> </w:t>
                    </w:r>
                    <w:r>
                      <w:rPr>
                        <w:b/>
                        <w:sz w:val="18"/>
                      </w:rPr>
                      <w:t>DE</w:t>
                    </w:r>
                    <w:r>
                      <w:rPr>
                        <w:b/>
                        <w:spacing w:val="-3"/>
                        <w:sz w:val="18"/>
                      </w:rPr>
                      <w:t> </w:t>
                    </w:r>
                    <w:r>
                      <w:rPr>
                        <w:b/>
                        <w:spacing w:val="-2"/>
                        <w:sz w:val="18"/>
                      </w:rPr>
                      <w:t>2025.</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7840">
          <wp:simplePos x="0" y="0"/>
          <wp:positionH relativeFrom="page">
            <wp:posOffset>989085</wp:posOffset>
          </wp:positionH>
          <wp:positionV relativeFrom="page">
            <wp:posOffset>379475</wp:posOffset>
          </wp:positionV>
          <wp:extent cx="1990334" cy="582167"/>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 cstate="print"/>
                  <a:stretch>
                    <a:fillRect/>
                  </a:stretch>
                </pic:blipFill>
                <pic:spPr>
                  <a:xfrm>
                    <a:off x="0" y="0"/>
                    <a:ext cx="1990334" cy="582167"/>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8864">
          <wp:simplePos x="0" y="0"/>
          <wp:positionH relativeFrom="page">
            <wp:posOffset>989085</wp:posOffset>
          </wp:positionH>
          <wp:positionV relativeFrom="page">
            <wp:posOffset>379475</wp:posOffset>
          </wp:positionV>
          <wp:extent cx="1990334" cy="582167"/>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 cstate="print"/>
                  <a:stretch>
                    <a:fillRect/>
                  </a:stretch>
                </pic:blipFill>
                <pic:spPr>
                  <a:xfrm>
                    <a:off x="0" y="0"/>
                    <a:ext cx="1990334" cy="582167"/>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09376">
          <wp:simplePos x="0" y="0"/>
          <wp:positionH relativeFrom="page">
            <wp:posOffset>989085</wp:posOffset>
          </wp:positionH>
          <wp:positionV relativeFrom="page">
            <wp:posOffset>379475</wp:posOffset>
          </wp:positionV>
          <wp:extent cx="1990334" cy="582167"/>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 cstate="print"/>
                  <a:stretch>
                    <a:fillRect/>
                  </a:stretch>
                </pic:blipFill>
                <pic:spPr>
                  <a:xfrm>
                    <a:off x="0" y="0"/>
                    <a:ext cx="1990334" cy="582167"/>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6710912">
          <wp:simplePos x="0" y="0"/>
          <wp:positionH relativeFrom="page">
            <wp:posOffset>649224</wp:posOffset>
          </wp:positionH>
          <wp:positionV relativeFrom="page">
            <wp:posOffset>243840</wp:posOffset>
          </wp:positionV>
          <wp:extent cx="1828799" cy="518159"/>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 cstate="print"/>
                  <a:stretch>
                    <a:fillRect/>
                  </a:stretch>
                </pic:blipFill>
                <pic:spPr>
                  <a:xfrm>
                    <a:off x="0" y="0"/>
                    <a:ext cx="1828799" cy="518159"/>
                  </a:xfrm>
                  <a:prstGeom prst="rect">
                    <a:avLst/>
                  </a:prstGeom>
                </pic:spPr>
              </pic:pic>
            </a:graphicData>
          </a:graphic>
        </wp:anchor>
      </w:drawing>
    </w:r>
    <w:r>
      <w:rPr/>
      <mc:AlternateContent>
        <mc:Choice Requires="wps">
          <w:drawing>
            <wp:anchor distT="0" distB="0" distL="0" distR="0" allowOverlap="1" layoutInCell="1" locked="0" behindDoc="1" simplePos="0" relativeHeight="476711424">
              <wp:simplePos x="0" y="0"/>
              <wp:positionH relativeFrom="page">
                <wp:posOffset>5170423</wp:posOffset>
              </wp:positionH>
              <wp:positionV relativeFrom="page">
                <wp:posOffset>435885</wp:posOffset>
              </wp:positionV>
              <wp:extent cx="1324610" cy="25717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324610" cy="257175"/>
                      </a:xfrm>
                      <a:prstGeom prst="rect">
                        <a:avLst/>
                      </a:prstGeom>
                    </wps:spPr>
                    <wps:txbx>
                      <w:txbxContent>
                        <w:p>
                          <w:pPr>
                            <w:spacing w:before="15"/>
                            <w:ind w:left="20" w:right="0" w:firstLine="0"/>
                            <w:jc w:val="left"/>
                            <w:rPr>
                              <w:b/>
                              <w:sz w:val="16"/>
                            </w:rPr>
                          </w:pPr>
                          <w:r>
                            <w:rPr>
                              <w:b/>
                              <w:sz w:val="16"/>
                            </w:rPr>
                            <w:t>Guaguas</w:t>
                          </w:r>
                          <w:r>
                            <w:rPr>
                              <w:b/>
                              <w:spacing w:val="-10"/>
                              <w:sz w:val="16"/>
                            </w:rPr>
                            <w:t> </w:t>
                          </w:r>
                          <w:r>
                            <w:rPr>
                              <w:b/>
                              <w:sz w:val="16"/>
                            </w:rPr>
                            <w:t>Municipales,</w:t>
                          </w:r>
                          <w:r>
                            <w:rPr>
                              <w:b/>
                              <w:spacing w:val="-6"/>
                              <w:sz w:val="16"/>
                            </w:rPr>
                            <w:t> </w:t>
                          </w:r>
                          <w:r>
                            <w:rPr>
                              <w:b/>
                              <w:spacing w:val="-4"/>
                              <w:sz w:val="16"/>
                            </w:rPr>
                            <w:t>S.A.</w:t>
                          </w:r>
                        </w:p>
                        <w:p>
                          <w:pPr>
                            <w:spacing w:before="1"/>
                            <w:ind w:left="767" w:right="0" w:firstLine="0"/>
                            <w:jc w:val="left"/>
                            <w:rPr>
                              <w:b/>
                              <w:sz w:val="16"/>
                            </w:rPr>
                          </w:pPr>
                          <w:r>
                            <w:rPr>
                              <w:b/>
                              <w:sz w:val="16"/>
                            </w:rPr>
                            <w:t>E.I.N.F</w:t>
                          </w:r>
                          <w:r>
                            <w:rPr>
                              <w:b/>
                              <w:spacing w:val="-4"/>
                              <w:sz w:val="16"/>
                            </w:rPr>
                            <w:t> </w:t>
                          </w:r>
                          <w:r>
                            <w:rPr>
                              <w:b/>
                              <w:sz w:val="16"/>
                            </w:rPr>
                            <w:t>AÑO</w:t>
                          </w:r>
                          <w:r>
                            <w:rPr>
                              <w:b/>
                              <w:spacing w:val="-5"/>
                              <w:sz w:val="16"/>
                            </w:rPr>
                            <w:t> </w:t>
                          </w:r>
                          <w:r>
                            <w:rPr>
                              <w:b/>
                              <w:spacing w:val="-4"/>
                              <w:sz w:val="16"/>
                            </w:rPr>
                            <w:t>2025</w:t>
                          </w:r>
                        </w:p>
                      </w:txbxContent>
                    </wps:txbx>
                    <wps:bodyPr wrap="square" lIns="0" tIns="0" rIns="0" bIns="0" rtlCol="0">
                      <a:noAutofit/>
                    </wps:bodyPr>
                  </wps:wsp>
                </a:graphicData>
              </a:graphic>
            </wp:anchor>
          </w:drawing>
        </mc:Choice>
        <mc:Fallback>
          <w:pict>
            <v:shape style="position:absolute;margin-left:407.119995pt;margin-top:34.321667pt;width:104.3pt;height:20.25pt;mso-position-horizontal-relative:page;mso-position-vertical-relative:page;z-index:-26605056" type="#_x0000_t202" id="docshape173" filled="false" stroked="false">
              <v:textbox inset="0,0,0,0">
                <w:txbxContent>
                  <w:p>
                    <w:pPr>
                      <w:spacing w:before="15"/>
                      <w:ind w:left="20" w:right="0" w:firstLine="0"/>
                      <w:jc w:val="left"/>
                      <w:rPr>
                        <w:b/>
                        <w:sz w:val="16"/>
                      </w:rPr>
                    </w:pPr>
                    <w:r>
                      <w:rPr>
                        <w:b/>
                        <w:sz w:val="16"/>
                      </w:rPr>
                      <w:t>Guaguas</w:t>
                    </w:r>
                    <w:r>
                      <w:rPr>
                        <w:b/>
                        <w:spacing w:val="-10"/>
                        <w:sz w:val="16"/>
                      </w:rPr>
                      <w:t> </w:t>
                    </w:r>
                    <w:r>
                      <w:rPr>
                        <w:b/>
                        <w:sz w:val="16"/>
                      </w:rPr>
                      <w:t>Municipales,</w:t>
                    </w:r>
                    <w:r>
                      <w:rPr>
                        <w:b/>
                        <w:spacing w:val="-6"/>
                        <w:sz w:val="16"/>
                      </w:rPr>
                      <w:t> </w:t>
                    </w:r>
                    <w:r>
                      <w:rPr>
                        <w:b/>
                        <w:spacing w:val="-4"/>
                        <w:sz w:val="16"/>
                      </w:rPr>
                      <w:t>S.A.</w:t>
                    </w:r>
                  </w:p>
                  <w:p>
                    <w:pPr>
                      <w:spacing w:before="1"/>
                      <w:ind w:left="767" w:right="0" w:firstLine="0"/>
                      <w:jc w:val="left"/>
                      <w:rPr>
                        <w:b/>
                        <w:sz w:val="16"/>
                      </w:rPr>
                    </w:pPr>
                    <w:r>
                      <w:rPr>
                        <w:b/>
                        <w:sz w:val="16"/>
                      </w:rPr>
                      <w:t>E.I.N.F</w:t>
                    </w:r>
                    <w:r>
                      <w:rPr>
                        <w:b/>
                        <w:spacing w:val="-4"/>
                        <w:sz w:val="16"/>
                      </w:rPr>
                      <w:t> </w:t>
                    </w:r>
                    <w:r>
                      <w:rPr>
                        <w:b/>
                        <w:sz w:val="16"/>
                      </w:rPr>
                      <w:t>AÑO</w:t>
                    </w:r>
                    <w:r>
                      <w:rPr>
                        <w:b/>
                        <w:spacing w:val="-5"/>
                        <w:sz w:val="16"/>
                      </w:rPr>
                      <w:t> </w:t>
                    </w:r>
                    <w:r>
                      <w:rPr>
                        <w:b/>
                        <w:spacing w:val="-4"/>
                        <w:sz w:val="16"/>
                      </w:rPr>
                      <w:t>2025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decimal"/>
      <w:lvlText w:val="%1."/>
      <w:lvlJc w:val="left"/>
      <w:pPr>
        <w:ind w:left="2061" w:hanging="360"/>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36">
    <w:multiLevelType w:val="hybridMultilevel"/>
    <w:lvl w:ilvl="0">
      <w:start w:val="0"/>
      <w:numFmt w:val="bullet"/>
      <w:lvlText w:val="•"/>
      <w:lvlJc w:val="left"/>
      <w:pPr>
        <w:ind w:left="2061" w:hanging="207"/>
      </w:pPr>
      <w:rPr>
        <w:rFonts w:hint="default" w:ascii="Z@RA9CD.tmp" w:hAnsi="Z@RA9CD.tmp" w:eastAsia="Z@RA9CD.tmp" w:cs="Z@RA9CD.tmp"/>
        <w:b w:val="0"/>
        <w:bCs w:val="0"/>
        <w:i w:val="0"/>
        <w:iCs w:val="0"/>
        <w:spacing w:val="0"/>
        <w:w w:val="137"/>
        <w:sz w:val="20"/>
        <w:szCs w:val="20"/>
        <w:lang w:val="es-ES" w:eastAsia="en-US" w:bidi="ar-SA"/>
      </w:rPr>
    </w:lvl>
    <w:lvl w:ilvl="1">
      <w:start w:val="0"/>
      <w:numFmt w:val="bullet"/>
      <w:lvlText w:val="•"/>
      <w:lvlJc w:val="left"/>
      <w:pPr>
        <w:ind w:left="2972" w:hanging="207"/>
      </w:pPr>
      <w:rPr>
        <w:rFonts w:hint="default"/>
        <w:lang w:val="es-ES" w:eastAsia="en-US" w:bidi="ar-SA"/>
      </w:rPr>
    </w:lvl>
    <w:lvl w:ilvl="2">
      <w:start w:val="0"/>
      <w:numFmt w:val="bullet"/>
      <w:lvlText w:val="•"/>
      <w:lvlJc w:val="left"/>
      <w:pPr>
        <w:ind w:left="3885" w:hanging="207"/>
      </w:pPr>
      <w:rPr>
        <w:rFonts w:hint="default"/>
        <w:lang w:val="es-ES" w:eastAsia="en-US" w:bidi="ar-SA"/>
      </w:rPr>
    </w:lvl>
    <w:lvl w:ilvl="3">
      <w:start w:val="0"/>
      <w:numFmt w:val="bullet"/>
      <w:lvlText w:val="•"/>
      <w:lvlJc w:val="left"/>
      <w:pPr>
        <w:ind w:left="4797" w:hanging="207"/>
      </w:pPr>
      <w:rPr>
        <w:rFonts w:hint="default"/>
        <w:lang w:val="es-ES" w:eastAsia="en-US" w:bidi="ar-SA"/>
      </w:rPr>
    </w:lvl>
    <w:lvl w:ilvl="4">
      <w:start w:val="0"/>
      <w:numFmt w:val="bullet"/>
      <w:lvlText w:val="•"/>
      <w:lvlJc w:val="left"/>
      <w:pPr>
        <w:ind w:left="5710" w:hanging="207"/>
      </w:pPr>
      <w:rPr>
        <w:rFonts w:hint="default"/>
        <w:lang w:val="es-ES" w:eastAsia="en-US" w:bidi="ar-SA"/>
      </w:rPr>
    </w:lvl>
    <w:lvl w:ilvl="5">
      <w:start w:val="0"/>
      <w:numFmt w:val="bullet"/>
      <w:lvlText w:val="•"/>
      <w:lvlJc w:val="left"/>
      <w:pPr>
        <w:ind w:left="6623" w:hanging="207"/>
      </w:pPr>
      <w:rPr>
        <w:rFonts w:hint="default"/>
        <w:lang w:val="es-ES" w:eastAsia="en-US" w:bidi="ar-SA"/>
      </w:rPr>
    </w:lvl>
    <w:lvl w:ilvl="6">
      <w:start w:val="0"/>
      <w:numFmt w:val="bullet"/>
      <w:lvlText w:val="•"/>
      <w:lvlJc w:val="left"/>
      <w:pPr>
        <w:ind w:left="7535" w:hanging="207"/>
      </w:pPr>
      <w:rPr>
        <w:rFonts w:hint="default"/>
        <w:lang w:val="es-ES" w:eastAsia="en-US" w:bidi="ar-SA"/>
      </w:rPr>
    </w:lvl>
    <w:lvl w:ilvl="7">
      <w:start w:val="0"/>
      <w:numFmt w:val="bullet"/>
      <w:lvlText w:val="•"/>
      <w:lvlJc w:val="left"/>
      <w:pPr>
        <w:ind w:left="8448" w:hanging="207"/>
      </w:pPr>
      <w:rPr>
        <w:rFonts w:hint="default"/>
        <w:lang w:val="es-ES" w:eastAsia="en-US" w:bidi="ar-SA"/>
      </w:rPr>
    </w:lvl>
    <w:lvl w:ilvl="8">
      <w:start w:val="0"/>
      <w:numFmt w:val="bullet"/>
      <w:lvlText w:val="•"/>
      <w:lvlJc w:val="left"/>
      <w:pPr>
        <w:ind w:left="9361" w:hanging="207"/>
      </w:pPr>
      <w:rPr>
        <w:rFonts w:hint="default"/>
        <w:lang w:val="es-ES" w:eastAsia="en-US" w:bidi="ar-SA"/>
      </w:rPr>
    </w:lvl>
  </w:abstractNum>
  <w:abstractNum w:abstractNumId="48">
    <w:multiLevelType w:val="hybridMultilevel"/>
    <w:lvl w:ilvl="0">
      <w:start w:val="1"/>
      <w:numFmt w:val="decimal"/>
      <w:lvlText w:val="%1."/>
      <w:lvlJc w:val="left"/>
      <w:pPr>
        <w:ind w:left="1341" w:hanging="708"/>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061" w:hanging="360"/>
      </w:pPr>
      <w:rPr>
        <w:rFonts w:hint="default" w:ascii="Z@RA9CD.tmp" w:hAnsi="Z@RA9CD.tmp" w:eastAsia="Z@RA9CD.tmp" w:cs="Z@RA9CD.tmp"/>
        <w:b w:val="0"/>
        <w:bCs w:val="0"/>
        <w:i w:val="0"/>
        <w:iCs w:val="0"/>
        <w:spacing w:val="0"/>
        <w:w w:val="137"/>
        <w:sz w:val="20"/>
        <w:szCs w:val="20"/>
        <w:lang w:val="es-ES" w:eastAsia="en-US" w:bidi="ar-SA"/>
      </w:rPr>
    </w:lvl>
    <w:lvl w:ilvl="2">
      <w:start w:val="0"/>
      <w:numFmt w:val="bullet"/>
      <w:lvlText w:val="•"/>
      <w:lvlJc w:val="left"/>
      <w:pPr>
        <w:ind w:left="2253" w:hanging="360"/>
      </w:pPr>
      <w:rPr>
        <w:rFonts w:hint="default"/>
        <w:lang w:val="es-ES" w:eastAsia="en-US" w:bidi="ar-SA"/>
      </w:rPr>
    </w:lvl>
    <w:lvl w:ilvl="3">
      <w:start w:val="0"/>
      <w:numFmt w:val="bullet"/>
      <w:lvlText w:val="•"/>
      <w:lvlJc w:val="left"/>
      <w:pPr>
        <w:ind w:left="2447" w:hanging="360"/>
      </w:pPr>
      <w:rPr>
        <w:rFonts w:hint="default"/>
        <w:lang w:val="es-ES" w:eastAsia="en-US" w:bidi="ar-SA"/>
      </w:rPr>
    </w:lvl>
    <w:lvl w:ilvl="4">
      <w:start w:val="0"/>
      <w:numFmt w:val="bullet"/>
      <w:lvlText w:val="•"/>
      <w:lvlJc w:val="left"/>
      <w:pPr>
        <w:ind w:left="2641" w:hanging="360"/>
      </w:pPr>
      <w:rPr>
        <w:rFonts w:hint="default"/>
        <w:lang w:val="es-ES" w:eastAsia="en-US" w:bidi="ar-SA"/>
      </w:rPr>
    </w:lvl>
    <w:lvl w:ilvl="5">
      <w:start w:val="0"/>
      <w:numFmt w:val="bullet"/>
      <w:lvlText w:val="•"/>
      <w:lvlJc w:val="left"/>
      <w:pPr>
        <w:ind w:left="2835" w:hanging="360"/>
      </w:pPr>
      <w:rPr>
        <w:rFonts w:hint="default"/>
        <w:lang w:val="es-ES" w:eastAsia="en-US" w:bidi="ar-SA"/>
      </w:rPr>
    </w:lvl>
    <w:lvl w:ilvl="6">
      <w:start w:val="0"/>
      <w:numFmt w:val="bullet"/>
      <w:lvlText w:val="•"/>
      <w:lvlJc w:val="left"/>
      <w:pPr>
        <w:ind w:left="3029" w:hanging="360"/>
      </w:pPr>
      <w:rPr>
        <w:rFonts w:hint="default"/>
        <w:lang w:val="es-ES" w:eastAsia="en-US" w:bidi="ar-SA"/>
      </w:rPr>
    </w:lvl>
    <w:lvl w:ilvl="7">
      <w:start w:val="0"/>
      <w:numFmt w:val="bullet"/>
      <w:lvlText w:val="•"/>
      <w:lvlJc w:val="left"/>
      <w:pPr>
        <w:ind w:left="3223" w:hanging="360"/>
      </w:pPr>
      <w:rPr>
        <w:rFonts w:hint="default"/>
        <w:lang w:val="es-ES" w:eastAsia="en-US" w:bidi="ar-SA"/>
      </w:rPr>
    </w:lvl>
    <w:lvl w:ilvl="8">
      <w:start w:val="0"/>
      <w:numFmt w:val="bullet"/>
      <w:lvlText w:val="•"/>
      <w:lvlJc w:val="left"/>
      <w:pPr>
        <w:ind w:left="3417" w:hanging="360"/>
      </w:pPr>
      <w:rPr>
        <w:rFonts w:hint="default"/>
        <w:lang w:val="es-ES" w:eastAsia="en-US" w:bidi="ar-SA"/>
      </w:rPr>
    </w:lvl>
  </w:abstractNum>
  <w:abstractNum w:abstractNumId="47">
    <w:multiLevelType w:val="hybridMultilevel"/>
    <w:lvl w:ilvl="0">
      <w:start w:val="7"/>
      <w:numFmt w:val="decimal"/>
      <w:lvlText w:val="%1"/>
      <w:lvlJc w:val="left"/>
      <w:pPr>
        <w:ind w:left="1727" w:hanging="387"/>
        <w:jc w:val="left"/>
      </w:pPr>
      <w:rPr>
        <w:rFonts w:hint="default"/>
        <w:lang w:val="es-ES" w:eastAsia="en-US" w:bidi="ar-SA"/>
      </w:rPr>
    </w:lvl>
    <w:lvl w:ilvl="1">
      <w:start w:val="1"/>
      <w:numFmt w:val="decimal"/>
      <w:lvlText w:val="%1.%2."/>
      <w:lvlJc w:val="left"/>
      <w:pPr>
        <w:ind w:left="1727" w:hanging="387"/>
        <w:jc w:val="left"/>
      </w:pPr>
      <w:rPr>
        <w:rFonts w:hint="default" w:ascii="Arial" w:hAnsi="Arial" w:eastAsia="Arial" w:cs="Arial"/>
        <w:b/>
        <w:bCs/>
        <w:i w:val="0"/>
        <w:iCs w:val="0"/>
        <w:spacing w:val="-2"/>
        <w:w w:val="99"/>
        <w:sz w:val="20"/>
        <w:szCs w:val="20"/>
        <w:lang w:val="es-ES" w:eastAsia="en-US" w:bidi="ar-SA"/>
      </w:rPr>
    </w:lvl>
    <w:lvl w:ilvl="2">
      <w:start w:val="0"/>
      <w:numFmt w:val="bullet"/>
      <w:lvlText w:val="-"/>
      <w:lvlJc w:val="left"/>
      <w:pPr>
        <w:ind w:left="1624" w:hanging="283"/>
      </w:pPr>
      <w:rPr>
        <w:rFonts w:hint="default" w:ascii="Arial" w:hAnsi="Arial" w:eastAsia="Arial" w:cs="Arial"/>
        <w:b w:val="0"/>
        <w:bCs w:val="0"/>
        <w:i w:val="0"/>
        <w:iCs w:val="0"/>
        <w:spacing w:val="0"/>
        <w:w w:val="99"/>
        <w:sz w:val="20"/>
        <w:szCs w:val="20"/>
        <w:lang w:val="es-ES" w:eastAsia="en-US" w:bidi="ar-SA"/>
      </w:rPr>
    </w:lvl>
    <w:lvl w:ilvl="3">
      <w:start w:val="0"/>
      <w:numFmt w:val="bullet"/>
      <w:lvlText w:val="•"/>
      <w:lvlJc w:val="left"/>
      <w:pPr>
        <w:ind w:left="3823" w:hanging="283"/>
      </w:pPr>
      <w:rPr>
        <w:rFonts w:hint="default"/>
        <w:lang w:val="es-ES" w:eastAsia="en-US" w:bidi="ar-SA"/>
      </w:rPr>
    </w:lvl>
    <w:lvl w:ilvl="4">
      <w:start w:val="0"/>
      <w:numFmt w:val="bullet"/>
      <w:lvlText w:val="•"/>
      <w:lvlJc w:val="left"/>
      <w:pPr>
        <w:ind w:left="4875" w:hanging="283"/>
      </w:pPr>
      <w:rPr>
        <w:rFonts w:hint="default"/>
        <w:lang w:val="es-ES" w:eastAsia="en-US" w:bidi="ar-SA"/>
      </w:rPr>
    </w:lvl>
    <w:lvl w:ilvl="5">
      <w:start w:val="0"/>
      <w:numFmt w:val="bullet"/>
      <w:lvlText w:val="•"/>
      <w:lvlJc w:val="left"/>
      <w:pPr>
        <w:ind w:left="5927" w:hanging="283"/>
      </w:pPr>
      <w:rPr>
        <w:rFonts w:hint="default"/>
        <w:lang w:val="es-ES" w:eastAsia="en-US" w:bidi="ar-SA"/>
      </w:rPr>
    </w:lvl>
    <w:lvl w:ilvl="6">
      <w:start w:val="0"/>
      <w:numFmt w:val="bullet"/>
      <w:lvlText w:val="•"/>
      <w:lvlJc w:val="left"/>
      <w:pPr>
        <w:ind w:left="6979" w:hanging="283"/>
      </w:pPr>
      <w:rPr>
        <w:rFonts w:hint="default"/>
        <w:lang w:val="es-ES" w:eastAsia="en-US" w:bidi="ar-SA"/>
      </w:rPr>
    </w:lvl>
    <w:lvl w:ilvl="7">
      <w:start w:val="0"/>
      <w:numFmt w:val="bullet"/>
      <w:lvlText w:val="•"/>
      <w:lvlJc w:val="left"/>
      <w:pPr>
        <w:ind w:left="8030" w:hanging="283"/>
      </w:pPr>
      <w:rPr>
        <w:rFonts w:hint="default"/>
        <w:lang w:val="es-ES" w:eastAsia="en-US" w:bidi="ar-SA"/>
      </w:rPr>
    </w:lvl>
    <w:lvl w:ilvl="8">
      <w:start w:val="0"/>
      <w:numFmt w:val="bullet"/>
      <w:lvlText w:val="•"/>
      <w:lvlJc w:val="left"/>
      <w:pPr>
        <w:ind w:left="9082" w:hanging="283"/>
      </w:pPr>
      <w:rPr>
        <w:rFonts w:hint="default"/>
        <w:lang w:val="es-ES" w:eastAsia="en-US" w:bidi="ar-SA"/>
      </w:rPr>
    </w:lvl>
  </w:abstractNum>
  <w:abstractNum w:abstractNumId="46">
    <w:multiLevelType w:val="hybridMultilevel"/>
    <w:lvl w:ilvl="0">
      <w:start w:val="0"/>
      <w:numFmt w:val="bullet"/>
      <w:lvlText w:val="-"/>
      <w:lvlJc w:val="left"/>
      <w:pPr>
        <w:ind w:left="2061" w:hanging="360"/>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45">
    <w:multiLevelType w:val="hybridMultilevel"/>
    <w:lvl w:ilvl="0">
      <w:start w:val="5"/>
      <w:numFmt w:val="decimal"/>
      <w:lvlText w:val="%1"/>
      <w:lvlJc w:val="left"/>
      <w:pPr>
        <w:ind w:left="1730" w:hanging="389"/>
        <w:jc w:val="left"/>
      </w:pPr>
      <w:rPr>
        <w:rFonts w:hint="default"/>
        <w:lang w:val="es-ES" w:eastAsia="en-US" w:bidi="ar-SA"/>
      </w:rPr>
    </w:lvl>
    <w:lvl w:ilvl="1">
      <w:start w:val="4"/>
      <w:numFmt w:val="decimal"/>
      <w:lvlText w:val="%1.%2."/>
      <w:lvlJc w:val="left"/>
      <w:pPr>
        <w:ind w:left="1730" w:hanging="389"/>
        <w:jc w:val="left"/>
      </w:pPr>
      <w:rPr>
        <w:rFonts w:hint="default" w:ascii="Arial" w:hAnsi="Arial" w:eastAsia="Arial" w:cs="Arial"/>
        <w:b/>
        <w:bCs/>
        <w:i w:val="0"/>
        <w:iCs w:val="0"/>
        <w:spacing w:val="-2"/>
        <w:w w:val="99"/>
        <w:sz w:val="20"/>
        <w:szCs w:val="20"/>
        <w:lang w:val="es-ES" w:eastAsia="en-US" w:bidi="ar-SA"/>
      </w:rPr>
    </w:lvl>
    <w:lvl w:ilvl="2">
      <w:start w:val="0"/>
      <w:numFmt w:val="bullet"/>
      <w:lvlText w:val="•"/>
      <w:lvlJc w:val="left"/>
      <w:pPr>
        <w:ind w:left="3629" w:hanging="389"/>
      </w:pPr>
      <w:rPr>
        <w:rFonts w:hint="default"/>
        <w:lang w:val="es-ES" w:eastAsia="en-US" w:bidi="ar-SA"/>
      </w:rPr>
    </w:lvl>
    <w:lvl w:ilvl="3">
      <w:start w:val="0"/>
      <w:numFmt w:val="bullet"/>
      <w:lvlText w:val="•"/>
      <w:lvlJc w:val="left"/>
      <w:pPr>
        <w:ind w:left="4573" w:hanging="389"/>
      </w:pPr>
      <w:rPr>
        <w:rFonts w:hint="default"/>
        <w:lang w:val="es-ES" w:eastAsia="en-US" w:bidi="ar-SA"/>
      </w:rPr>
    </w:lvl>
    <w:lvl w:ilvl="4">
      <w:start w:val="0"/>
      <w:numFmt w:val="bullet"/>
      <w:lvlText w:val="•"/>
      <w:lvlJc w:val="left"/>
      <w:pPr>
        <w:ind w:left="5518" w:hanging="389"/>
      </w:pPr>
      <w:rPr>
        <w:rFonts w:hint="default"/>
        <w:lang w:val="es-ES" w:eastAsia="en-US" w:bidi="ar-SA"/>
      </w:rPr>
    </w:lvl>
    <w:lvl w:ilvl="5">
      <w:start w:val="0"/>
      <w:numFmt w:val="bullet"/>
      <w:lvlText w:val="•"/>
      <w:lvlJc w:val="left"/>
      <w:pPr>
        <w:ind w:left="6463" w:hanging="389"/>
      </w:pPr>
      <w:rPr>
        <w:rFonts w:hint="default"/>
        <w:lang w:val="es-ES" w:eastAsia="en-US" w:bidi="ar-SA"/>
      </w:rPr>
    </w:lvl>
    <w:lvl w:ilvl="6">
      <w:start w:val="0"/>
      <w:numFmt w:val="bullet"/>
      <w:lvlText w:val="•"/>
      <w:lvlJc w:val="left"/>
      <w:pPr>
        <w:ind w:left="7407" w:hanging="389"/>
      </w:pPr>
      <w:rPr>
        <w:rFonts w:hint="default"/>
        <w:lang w:val="es-ES" w:eastAsia="en-US" w:bidi="ar-SA"/>
      </w:rPr>
    </w:lvl>
    <w:lvl w:ilvl="7">
      <w:start w:val="0"/>
      <w:numFmt w:val="bullet"/>
      <w:lvlText w:val="•"/>
      <w:lvlJc w:val="left"/>
      <w:pPr>
        <w:ind w:left="8352" w:hanging="389"/>
      </w:pPr>
      <w:rPr>
        <w:rFonts w:hint="default"/>
        <w:lang w:val="es-ES" w:eastAsia="en-US" w:bidi="ar-SA"/>
      </w:rPr>
    </w:lvl>
    <w:lvl w:ilvl="8">
      <w:start w:val="0"/>
      <w:numFmt w:val="bullet"/>
      <w:lvlText w:val="•"/>
      <w:lvlJc w:val="left"/>
      <w:pPr>
        <w:ind w:left="9297" w:hanging="389"/>
      </w:pPr>
      <w:rPr>
        <w:rFonts w:hint="default"/>
        <w:lang w:val="es-ES" w:eastAsia="en-US" w:bidi="ar-SA"/>
      </w:rPr>
    </w:lvl>
  </w:abstractNum>
  <w:abstractNum w:abstractNumId="44">
    <w:multiLevelType w:val="hybridMultilevel"/>
    <w:lvl w:ilvl="0">
      <w:start w:val="5"/>
      <w:numFmt w:val="decimal"/>
      <w:lvlText w:val="%1"/>
      <w:lvlJc w:val="left"/>
      <w:pPr>
        <w:ind w:left="1341" w:hanging="412"/>
        <w:jc w:val="left"/>
      </w:pPr>
      <w:rPr>
        <w:rFonts w:hint="default"/>
        <w:lang w:val="es-ES" w:eastAsia="en-US" w:bidi="ar-SA"/>
      </w:rPr>
    </w:lvl>
    <w:lvl w:ilvl="1">
      <w:start w:val="2"/>
      <w:numFmt w:val="decimal"/>
      <w:lvlText w:val="%1.%2"/>
      <w:lvlJc w:val="left"/>
      <w:pPr>
        <w:ind w:left="1341" w:hanging="412"/>
        <w:jc w:val="left"/>
      </w:pPr>
      <w:rPr>
        <w:rFonts w:hint="default" w:ascii="Arial" w:hAnsi="Arial" w:eastAsia="Arial" w:cs="Arial"/>
        <w:b/>
        <w:bCs/>
        <w:i w:val="0"/>
        <w:iCs w:val="0"/>
        <w:spacing w:val="-2"/>
        <w:w w:val="99"/>
        <w:sz w:val="20"/>
        <w:szCs w:val="20"/>
        <w:lang w:val="es-ES" w:eastAsia="en-US" w:bidi="ar-SA"/>
      </w:rPr>
    </w:lvl>
    <w:lvl w:ilvl="2">
      <w:start w:val="0"/>
      <w:numFmt w:val="bullet"/>
      <w:lvlText w:val="•"/>
      <w:lvlJc w:val="left"/>
      <w:pPr>
        <w:ind w:left="3309" w:hanging="412"/>
      </w:pPr>
      <w:rPr>
        <w:rFonts w:hint="default"/>
        <w:lang w:val="es-ES" w:eastAsia="en-US" w:bidi="ar-SA"/>
      </w:rPr>
    </w:lvl>
    <w:lvl w:ilvl="3">
      <w:start w:val="0"/>
      <w:numFmt w:val="bullet"/>
      <w:lvlText w:val="•"/>
      <w:lvlJc w:val="left"/>
      <w:pPr>
        <w:ind w:left="4293" w:hanging="412"/>
      </w:pPr>
      <w:rPr>
        <w:rFonts w:hint="default"/>
        <w:lang w:val="es-ES" w:eastAsia="en-US" w:bidi="ar-SA"/>
      </w:rPr>
    </w:lvl>
    <w:lvl w:ilvl="4">
      <w:start w:val="0"/>
      <w:numFmt w:val="bullet"/>
      <w:lvlText w:val="•"/>
      <w:lvlJc w:val="left"/>
      <w:pPr>
        <w:ind w:left="5278" w:hanging="412"/>
      </w:pPr>
      <w:rPr>
        <w:rFonts w:hint="default"/>
        <w:lang w:val="es-ES" w:eastAsia="en-US" w:bidi="ar-SA"/>
      </w:rPr>
    </w:lvl>
    <w:lvl w:ilvl="5">
      <w:start w:val="0"/>
      <w:numFmt w:val="bullet"/>
      <w:lvlText w:val="•"/>
      <w:lvlJc w:val="left"/>
      <w:pPr>
        <w:ind w:left="6263" w:hanging="412"/>
      </w:pPr>
      <w:rPr>
        <w:rFonts w:hint="default"/>
        <w:lang w:val="es-ES" w:eastAsia="en-US" w:bidi="ar-SA"/>
      </w:rPr>
    </w:lvl>
    <w:lvl w:ilvl="6">
      <w:start w:val="0"/>
      <w:numFmt w:val="bullet"/>
      <w:lvlText w:val="•"/>
      <w:lvlJc w:val="left"/>
      <w:pPr>
        <w:ind w:left="7247" w:hanging="412"/>
      </w:pPr>
      <w:rPr>
        <w:rFonts w:hint="default"/>
        <w:lang w:val="es-ES" w:eastAsia="en-US" w:bidi="ar-SA"/>
      </w:rPr>
    </w:lvl>
    <w:lvl w:ilvl="7">
      <w:start w:val="0"/>
      <w:numFmt w:val="bullet"/>
      <w:lvlText w:val="•"/>
      <w:lvlJc w:val="left"/>
      <w:pPr>
        <w:ind w:left="8232" w:hanging="412"/>
      </w:pPr>
      <w:rPr>
        <w:rFonts w:hint="default"/>
        <w:lang w:val="es-ES" w:eastAsia="en-US" w:bidi="ar-SA"/>
      </w:rPr>
    </w:lvl>
    <w:lvl w:ilvl="8">
      <w:start w:val="0"/>
      <w:numFmt w:val="bullet"/>
      <w:lvlText w:val="•"/>
      <w:lvlJc w:val="left"/>
      <w:pPr>
        <w:ind w:left="9217" w:hanging="412"/>
      </w:pPr>
      <w:rPr>
        <w:rFonts w:hint="default"/>
        <w:lang w:val="es-ES" w:eastAsia="en-US" w:bidi="ar-SA"/>
      </w:rPr>
    </w:lvl>
  </w:abstractNum>
  <w:abstractNum w:abstractNumId="43">
    <w:multiLevelType w:val="hybridMultilevel"/>
    <w:lvl w:ilvl="0">
      <w:start w:val="5"/>
      <w:numFmt w:val="decimal"/>
      <w:lvlText w:val="%1"/>
      <w:lvlJc w:val="left"/>
      <w:pPr>
        <w:ind w:left="1730" w:hanging="389"/>
        <w:jc w:val="left"/>
      </w:pPr>
      <w:rPr>
        <w:rFonts w:hint="default"/>
        <w:lang w:val="es-ES" w:eastAsia="en-US" w:bidi="ar-SA"/>
      </w:rPr>
    </w:lvl>
    <w:lvl w:ilvl="1">
      <w:start w:val="1"/>
      <w:numFmt w:val="decimal"/>
      <w:lvlText w:val="%1.%2."/>
      <w:lvlJc w:val="left"/>
      <w:pPr>
        <w:ind w:left="1730" w:hanging="389"/>
        <w:jc w:val="left"/>
      </w:pPr>
      <w:rPr>
        <w:rFonts w:hint="default" w:ascii="Arial" w:hAnsi="Arial" w:eastAsia="Arial" w:cs="Arial"/>
        <w:b/>
        <w:bCs/>
        <w:i w:val="0"/>
        <w:iCs w:val="0"/>
        <w:spacing w:val="-2"/>
        <w:w w:val="99"/>
        <w:sz w:val="20"/>
        <w:szCs w:val="20"/>
        <w:lang w:val="es-ES" w:eastAsia="en-US" w:bidi="ar-SA"/>
      </w:rPr>
    </w:lvl>
    <w:lvl w:ilvl="2">
      <w:start w:val="0"/>
      <w:numFmt w:val="bullet"/>
      <w:lvlText w:val="•"/>
      <w:lvlJc w:val="left"/>
      <w:pPr>
        <w:ind w:left="3629" w:hanging="389"/>
      </w:pPr>
      <w:rPr>
        <w:rFonts w:hint="default"/>
        <w:lang w:val="es-ES" w:eastAsia="en-US" w:bidi="ar-SA"/>
      </w:rPr>
    </w:lvl>
    <w:lvl w:ilvl="3">
      <w:start w:val="0"/>
      <w:numFmt w:val="bullet"/>
      <w:lvlText w:val="•"/>
      <w:lvlJc w:val="left"/>
      <w:pPr>
        <w:ind w:left="4573" w:hanging="389"/>
      </w:pPr>
      <w:rPr>
        <w:rFonts w:hint="default"/>
        <w:lang w:val="es-ES" w:eastAsia="en-US" w:bidi="ar-SA"/>
      </w:rPr>
    </w:lvl>
    <w:lvl w:ilvl="4">
      <w:start w:val="0"/>
      <w:numFmt w:val="bullet"/>
      <w:lvlText w:val="•"/>
      <w:lvlJc w:val="left"/>
      <w:pPr>
        <w:ind w:left="5518" w:hanging="389"/>
      </w:pPr>
      <w:rPr>
        <w:rFonts w:hint="default"/>
        <w:lang w:val="es-ES" w:eastAsia="en-US" w:bidi="ar-SA"/>
      </w:rPr>
    </w:lvl>
    <w:lvl w:ilvl="5">
      <w:start w:val="0"/>
      <w:numFmt w:val="bullet"/>
      <w:lvlText w:val="•"/>
      <w:lvlJc w:val="left"/>
      <w:pPr>
        <w:ind w:left="6463" w:hanging="389"/>
      </w:pPr>
      <w:rPr>
        <w:rFonts w:hint="default"/>
        <w:lang w:val="es-ES" w:eastAsia="en-US" w:bidi="ar-SA"/>
      </w:rPr>
    </w:lvl>
    <w:lvl w:ilvl="6">
      <w:start w:val="0"/>
      <w:numFmt w:val="bullet"/>
      <w:lvlText w:val="•"/>
      <w:lvlJc w:val="left"/>
      <w:pPr>
        <w:ind w:left="7407" w:hanging="389"/>
      </w:pPr>
      <w:rPr>
        <w:rFonts w:hint="default"/>
        <w:lang w:val="es-ES" w:eastAsia="en-US" w:bidi="ar-SA"/>
      </w:rPr>
    </w:lvl>
    <w:lvl w:ilvl="7">
      <w:start w:val="0"/>
      <w:numFmt w:val="bullet"/>
      <w:lvlText w:val="•"/>
      <w:lvlJc w:val="left"/>
      <w:pPr>
        <w:ind w:left="8352" w:hanging="389"/>
      </w:pPr>
      <w:rPr>
        <w:rFonts w:hint="default"/>
        <w:lang w:val="es-ES" w:eastAsia="en-US" w:bidi="ar-SA"/>
      </w:rPr>
    </w:lvl>
    <w:lvl w:ilvl="8">
      <w:start w:val="0"/>
      <w:numFmt w:val="bullet"/>
      <w:lvlText w:val="•"/>
      <w:lvlJc w:val="left"/>
      <w:pPr>
        <w:ind w:left="9297" w:hanging="389"/>
      </w:pPr>
      <w:rPr>
        <w:rFonts w:hint="default"/>
        <w:lang w:val="es-ES" w:eastAsia="en-US" w:bidi="ar-SA"/>
      </w:rPr>
    </w:lvl>
  </w:abstractNum>
  <w:abstractNum w:abstractNumId="42">
    <w:multiLevelType w:val="hybridMultilevel"/>
    <w:lvl w:ilvl="0">
      <w:start w:val="1"/>
      <w:numFmt w:val="decimal"/>
      <w:lvlText w:val="%1."/>
      <w:lvlJc w:val="left"/>
      <w:pPr>
        <w:ind w:left="2421" w:hanging="360"/>
        <w:jc w:val="left"/>
      </w:pPr>
      <w:rPr>
        <w:rFonts w:hint="default" w:ascii="Arial" w:hAnsi="Arial" w:eastAsia="Arial" w:cs="Arial"/>
        <w:b w:val="0"/>
        <w:bCs w:val="0"/>
        <w:i w:val="0"/>
        <w:iCs w:val="0"/>
        <w:spacing w:val="-2"/>
        <w:w w:val="99"/>
        <w:sz w:val="20"/>
        <w:szCs w:val="20"/>
        <w:lang w:val="es-ES" w:eastAsia="en-US" w:bidi="ar-SA"/>
      </w:rPr>
    </w:lvl>
    <w:lvl w:ilvl="1">
      <w:start w:val="1"/>
      <w:numFmt w:val="lowerLetter"/>
      <w:lvlText w:val="%2)"/>
      <w:lvlJc w:val="left"/>
      <w:pPr>
        <w:ind w:left="2421" w:hanging="360"/>
        <w:jc w:val="left"/>
      </w:pPr>
      <w:rPr>
        <w:rFonts w:hint="default" w:ascii="Arial" w:hAnsi="Arial" w:eastAsia="Arial" w:cs="Arial"/>
        <w:b w:val="0"/>
        <w:bCs w:val="0"/>
        <w:i w:val="0"/>
        <w:iCs w:val="0"/>
        <w:spacing w:val="-2"/>
        <w:w w:val="99"/>
        <w:sz w:val="20"/>
        <w:szCs w:val="20"/>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130" w:hanging="360"/>
      </w:pPr>
      <w:rPr>
        <w:rFonts w:hint="default"/>
        <w:lang w:val="es-ES" w:eastAsia="en-US" w:bidi="ar-SA"/>
      </w:rPr>
    </w:lvl>
    <w:lvl w:ilvl="4">
      <w:start w:val="0"/>
      <w:numFmt w:val="bullet"/>
      <w:lvlText w:val="•"/>
      <w:lvlJc w:val="left"/>
      <w:pPr>
        <w:ind w:left="4700" w:hanging="360"/>
      </w:pPr>
      <w:rPr>
        <w:rFonts w:hint="default"/>
        <w:lang w:val="es-ES" w:eastAsia="en-US" w:bidi="ar-SA"/>
      </w:rPr>
    </w:lvl>
    <w:lvl w:ilvl="5">
      <w:start w:val="0"/>
      <w:numFmt w:val="bullet"/>
      <w:lvlText w:val="•"/>
      <w:lvlJc w:val="left"/>
      <w:pPr>
        <w:ind w:left="5270" w:hanging="360"/>
      </w:pPr>
      <w:rPr>
        <w:rFonts w:hint="default"/>
        <w:lang w:val="es-ES" w:eastAsia="en-US" w:bidi="ar-SA"/>
      </w:rPr>
    </w:lvl>
    <w:lvl w:ilvl="6">
      <w:start w:val="0"/>
      <w:numFmt w:val="bullet"/>
      <w:lvlText w:val="•"/>
      <w:lvlJc w:val="left"/>
      <w:pPr>
        <w:ind w:left="5840" w:hanging="360"/>
      </w:pPr>
      <w:rPr>
        <w:rFonts w:hint="default"/>
        <w:lang w:val="es-ES" w:eastAsia="en-US" w:bidi="ar-SA"/>
      </w:rPr>
    </w:lvl>
    <w:lvl w:ilvl="7">
      <w:start w:val="0"/>
      <w:numFmt w:val="bullet"/>
      <w:lvlText w:val="•"/>
      <w:lvlJc w:val="left"/>
      <w:pPr>
        <w:ind w:left="6410" w:hanging="360"/>
      </w:pPr>
      <w:rPr>
        <w:rFonts w:hint="default"/>
        <w:lang w:val="es-ES" w:eastAsia="en-US" w:bidi="ar-SA"/>
      </w:rPr>
    </w:lvl>
    <w:lvl w:ilvl="8">
      <w:start w:val="0"/>
      <w:numFmt w:val="bullet"/>
      <w:lvlText w:val="•"/>
      <w:lvlJc w:val="left"/>
      <w:pPr>
        <w:ind w:left="6980" w:hanging="360"/>
      </w:pPr>
      <w:rPr>
        <w:rFonts w:hint="default"/>
        <w:lang w:val="es-ES" w:eastAsia="en-US" w:bidi="ar-SA"/>
      </w:rPr>
    </w:lvl>
  </w:abstractNum>
  <w:abstractNum w:abstractNumId="41">
    <w:multiLevelType w:val="hybridMultilevel"/>
    <w:lvl w:ilvl="0">
      <w:start w:val="1"/>
      <w:numFmt w:val="upperRoman"/>
      <w:lvlText w:val="%1."/>
      <w:lvlJc w:val="left"/>
      <w:pPr>
        <w:ind w:left="3141" w:hanging="471"/>
        <w:jc w:val="right"/>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3944" w:hanging="471"/>
      </w:pPr>
      <w:rPr>
        <w:rFonts w:hint="default"/>
        <w:lang w:val="es-ES" w:eastAsia="en-US" w:bidi="ar-SA"/>
      </w:rPr>
    </w:lvl>
    <w:lvl w:ilvl="2">
      <w:start w:val="0"/>
      <w:numFmt w:val="bullet"/>
      <w:lvlText w:val="•"/>
      <w:lvlJc w:val="left"/>
      <w:pPr>
        <w:ind w:left="4749" w:hanging="471"/>
      </w:pPr>
      <w:rPr>
        <w:rFonts w:hint="default"/>
        <w:lang w:val="es-ES" w:eastAsia="en-US" w:bidi="ar-SA"/>
      </w:rPr>
    </w:lvl>
    <w:lvl w:ilvl="3">
      <w:start w:val="0"/>
      <w:numFmt w:val="bullet"/>
      <w:lvlText w:val="•"/>
      <w:lvlJc w:val="left"/>
      <w:pPr>
        <w:ind w:left="5553" w:hanging="471"/>
      </w:pPr>
      <w:rPr>
        <w:rFonts w:hint="default"/>
        <w:lang w:val="es-ES" w:eastAsia="en-US" w:bidi="ar-SA"/>
      </w:rPr>
    </w:lvl>
    <w:lvl w:ilvl="4">
      <w:start w:val="0"/>
      <w:numFmt w:val="bullet"/>
      <w:lvlText w:val="•"/>
      <w:lvlJc w:val="left"/>
      <w:pPr>
        <w:ind w:left="6358" w:hanging="471"/>
      </w:pPr>
      <w:rPr>
        <w:rFonts w:hint="default"/>
        <w:lang w:val="es-ES" w:eastAsia="en-US" w:bidi="ar-SA"/>
      </w:rPr>
    </w:lvl>
    <w:lvl w:ilvl="5">
      <w:start w:val="0"/>
      <w:numFmt w:val="bullet"/>
      <w:lvlText w:val="•"/>
      <w:lvlJc w:val="left"/>
      <w:pPr>
        <w:ind w:left="7163" w:hanging="471"/>
      </w:pPr>
      <w:rPr>
        <w:rFonts w:hint="default"/>
        <w:lang w:val="es-ES" w:eastAsia="en-US" w:bidi="ar-SA"/>
      </w:rPr>
    </w:lvl>
    <w:lvl w:ilvl="6">
      <w:start w:val="0"/>
      <w:numFmt w:val="bullet"/>
      <w:lvlText w:val="•"/>
      <w:lvlJc w:val="left"/>
      <w:pPr>
        <w:ind w:left="7967" w:hanging="471"/>
      </w:pPr>
      <w:rPr>
        <w:rFonts w:hint="default"/>
        <w:lang w:val="es-ES" w:eastAsia="en-US" w:bidi="ar-SA"/>
      </w:rPr>
    </w:lvl>
    <w:lvl w:ilvl="7">
      <w:start w:val="0"/>
      <w:numFmt w:val="bullet"/>
      <w:lvlText w:val="•"/>
      <w:lvlJc w:val="left"/>
      <w:pPr>
        <w:ind w:left="8772" w:hanging="471"/>
      </w:pPr>
      <w:rPr>
        <w:rFonts w:hint="default"/>
        <w:lang w:val="es-ES" w:eastAsia="en-US" w:bidi="ar-SA"/>
      </w:rPr>
    </w:lvl>
    <w:lvl w:ilvl="8">
      <w:start w:val="0"/>
      <w:numFmt w:val="bullet"/>
      <w:lvlText w:val="•"/>
      <w:lvlJc w:val="left"/>
      <w:pPr>
        <w:ind w:left="9577" w:hanging="471"/>
      </w:pPr>
      <w:rPr>
        <w:rFonts w:hint="default"/>
        <w:lang w:val="es-ES" w:eastAsia="en-US" w:bidi="ar-SA"/>
      </w:rPr>
    </w:lvl>
  </w:abstractNum>
  <w:abstractNum w:abstractNumId="40">
    <w:multiLevelType w:val="hybridMultilevel"/>
    <w:lvl w:ilvl="0">
      <w:start w:val="1"/>
      <w:numFmt w:val="decimal"/>
      <w:lvlText w:val="%1."/>
      <w:lvlJc w:val="left"/>
      <w:pPr>
        <w:ind w:left="2061" w:hanging="360"/>
        <w:jc w:val="right"/>
      </w:pPr>
      <w:rPr>
        <w:rFonts w:hint="default" w:ascii="Arial" w:hAnsi="Arial" w:eastAsia="Arial" w:cs="Arial"/>
        <w:b w:val="0"/>
        <w:bCs w:val="0"/>
        <w:i w:val="0"/>
        <w:iCs w:val="0"/>
        <w:spacing w:val="-2"/>
        <w:w w:val="99"/>
        <w:sz w:val="20"/>
        <w:szCs w:val="20"/>
        <w:lang w:val="es-ES" w:eastAsia="en-US" w:bidi="ar-SA"/>
      </w:rPr>
    </w:lvl>
    <w:lvl w:ilvl="1">
      <w:start w:val="1"/>
      <w:numFmt w:val="lowerLetter"/>
      <w:lvlText w:val="%2."/>
      <w:lvlJc w:val="left"/>
      <w:pPr>
        <w:ind w:left="2781" w:hanging="360"/>
        <w:jc w:val="left"/>
      </w:pPr>
      <w:rPr>
        <w:rFonts w:hint="default" w:ascii="Arial" w:hAnsi="Arial" w:eastAsia="Arial" w:cs="Arial"/>
        <w:b w:val="0"/>
        <w:bCs w:val="0"/>
        <w:i w:val="0"/>
        <w:iCs w:val="0"/>
        <w:spacing w:val="-2"/>
        <w:w w:val="99"/>
        <w:sz w:val="20"/>
        <w:szCs w:val="20"/>
        <w:lang w:val="es-ES" w:eastAsia="en-US" w:bidi="ar-SA"/>
      </w:rPr>
    </w:lvl>
    <w:lvl w:ilvl="2">
      <w:start w:val="0"/>
      <w:numFmt w:val="bullet"/>
      <w:lvlText w:val="•"/>
      <w:lvlJc w:val="left"/>
      <w:pPr>
        <w:ind w:left="371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582" w:hanging="360"/>
      </w:pPr>
      <w:rPr>
        <w:rFonts w:hint="default"/>
        <w:lang w:val="es-ES" w:eastAsia="en-US" w:bidi="ar-SA"/>
      </w:rPr>
    </w:lvl>
    <w:lvl w:ilvl="5">
      <w:start w:val="0"/>
      <w:numFmt w:val="bullet"/>
      <w:lvlText w:val="•"/>
      <w:lvlJc w:val="left"/>
      <w:pPr>
        <w:ind w:left="6516" w:hanging="360"/>
      </w:pPr>
      <w:rPr>
        <w:rFonts w:hint="default"/>
        <w:lang w:val="es-ES" w:eastAsia="en-US" w:bidi="ar-SA"/>
      </w:rPr>
    </w:lvl>
    <w:lvl w:ilvl="6">
      <w:start w:val="0"/>
      <w:numFmt w:val="bullet"/>
      <w:lvlText w:val="•"/>
      <w:lvlJc w:val="left"/>
      <w:pPr>
        <w:ind w:left="7450" w:hanging="360"/>
      </w:pPr>
      <w:rPr>
        <w:rFonts w:hint="default"/>
        <w:lang w:val="es-ES" w:eastAsia="en-US" w:bidi="ar-SA"/>
      </w:rPr>
    </w:lvl>
    <w:lvl w:ilvl="7">
      <w:start w:val="0"/>
      <w:numFmt w:val="bullet"/>
      <w:lvlText w:val="•"/>
      <w:lvlJc w:val="left"/>
      <w:pPr>
        <w:ind w:left="8384" w:hanging="360"/>
      </w:pPr>
      <w:rPr>
        <w:rFonts w:hint="default"/>
        <w:lang w:val="es-ES" w:eastAsia="en-US" w:bidi="ar-SA"/>
      </w:rPr>
    </w:lvl>
    <w:lvl w:ilvl="8">
      <w:start w:val="0"/>
      <w:numFmt w:val="bullet"/>
      <w:lvlText w:val="•"/>
      <w:lvlJc w:val="left"/>
      <w:pPr>
        <w:ind w:left="9318" w:hanging="360"/>
      </w:pPr>
      <w:rPr>
        <w:rFonts w:hint="default"/>
        <w:lang w:val="es-ES" w:eastAsia="en-US" w:bidi="ar-SA"/>
      </w:rPr>
    </w:lvl>
  </w:abstractNum>
  <w:abstractNum w:abstractNumId="39">
    <w:multiLevelType w:val="hybridMultilevel"/>
    <w:lvl w:ilvl="0">
      <w:start w:val="0"/>
      <w:numFmt w:val="bullet"/>
      <w:lvlText w:val="•"/>
      <w:lvlJc w:val="left"/>
      <w:pPr>
        <w:ind w:left="1701" w:hanging="360"/>
      </w:pPr>
      <w:rPr>
        <w:rFonts w:hint="default" w:ascii="Z@RA9CD.tmp" w:hAnsi="Z@RA9CD.tmp" w:eastAsia="Z@RA9CD.tmp" w:cs="Z@RA9CD.tmp"/>
        <w:b w:val="0"/>
        <w:bCs w:val="0"/>
        <w:i w:val="0"/>
        <w:iCs w:val="0"/>
        <w:spacing w:val="0"/>
        <w:w w:val="137"/>
        <w:sz w:val="20"/>
        <w:szCs w:val="20"/>
        <w:lang w:val="es-ES" w:eastAsia="en-US" w:bidi="ar-SA"/>
      </w:rPr>
    </w:lvl>
    <w:lvl w:ilvl="1">
      <w:start w:val="0"/>
      <w:numFmt w:val="bullet"/>
      <w:lvlText w:val="•"/>
      <w:lvlJc w:val="left"/>
      <w:pPr>
        <w:ind w:left="2648" w:hanging="360"/>
      </w:pPr>
      <w:rPr>
        <w:rFonts w:hint="default"/>
        <w:lang w:val="es-ES" w:eastAsia="en-US" w:bidi="ar-SA"/>
      </w:rPr>
    </w:lvl>
    <w:lvl w:ilvl="2">
      <w:start w:val="0"/>
      <w:numFmt w:val="bullet"/>
      <w:lvlText w:val="•"/>
      <w:lvlJc w:val="left"/>
      <w:pPr>
        <w:ind w:left="3597" w:hanging="360"/>
      </w:pPr>
      <w:rPr>
        <w:rFonts w:hint="default"/>
        <w:lang w:val="es-ES" w:eastAsia="en-US" w:bidi="ar-SA"/>
      </w:rPr>
    </w:lvl>
    <w:lvl w:ilvl="3">
      <w:start w:val="0"/>
      <w:numFmt w:val="bullet"/>
      <w:lvlText w:val="•"/>
      <w:lvlJc w:val="left"/>
      <w:pPr>
        <w:ind w:left="4545" w:hanging="360"/>
      </w:pPr>
      <w:rPr>
        <w:rFonts w:hint="default"/>
        <w:lang w:val="es-ES" w:eastAsia="en-US" w:bidi="ar-SA"/>
      </w:rPr>
    </w:lvl>
    <w:lvl w:ilvl="4">
      <w:start w:val="0"/>
      <w:numFmt w:val="bullet"/>
      <w:lvlText w:val="•"/>
      <w:lvlJc w:val="left"/>
      <w:pPr>
        <w:ind w:left="5494" w:hanging="360"/>
      </w:pPr>
      <w:rPr>
        <w:rFonts w:hint="default"/>
        <w:lang w:val="es-ES" w:eastAsia="en-US" w:bidi="ar-SA"/>
      </w:rPr>
    </w:lvl>
    <w:lvl w:ilvl="5">
      <w:start w:val="0"/>
      <w:numFmt w:val="bullet"/>
      <w:lvlText w:val="•"/>
      <w:lvlJc w:val="left"/>
      <w:pPr>
        <w:ind w:left="6443" w:hanging="360"/>
      </w:pPr>
      <w:rPr>
        <w:rFonts w:hint="default"/>
        <w:lang w:val="es-ES" w:eastAsia="en-US" w:bidi="ar-SA"/>
      </w:rPr>
    </w:lvl>
    <w:lvl w:ilvl="6">
      <w:start w:val="0"/>
      <w:numFmt w:val="bullet"/>
      <w:lvlText w:val="•"/>
      <w:lvlJc w:val="left"/>
      <w:pPr>
        <w:ind w:left="7391" w:hanging="360"/>
      </w:pPr>
      <w:rPr>
        <w:rFonts w:hint="default"/>
        <w:lang w:val="es-ES" w:eastAsia="en-US" w:bidi="ar-SA"/>
      </w:rPr>
    </w:lvl>
    <w:lvl w:ilvl="7">
      <w:start w:val="0"/>
      <w:numFmt w:val="bullet"/>
      <w:lvlText w:val="•"/>
      <w:lvlJc w:val="left"/>
      <w:pPr>
        <w:ind w:left="8340" w:hanging="360"/>
      </w:pPr>
      <w:rPr>
        <w:rFonts w:hint="default"/>
        <w:lang w:val="es-ES" w:eastAsia="en-US" w:bidi="ar-SA"/>
      </w:rPr>
    </w:lvl>
    <w:lvl w:ilvl="8">
      <w:start w:val="0"/>
      <w:numFmt w:val="bullet"/>
      <w:lvlText w:val="•"/>
      <w:lvlJc w:val="left"/>
      <w:pPr>
        <w:ind w:left="9289" w:hanging="360"/>
      </w:pPr>
      <w:rPr>
        <w:rFonts w:hint="default"/>
        <w:lang w:val="es-ES" w:eastAsia="en-US" w:bidi="ar-SA"/>
      </w:rPr>
    </w:lvl>
  </w:abstractNum>
  <w:abstractNum w:abstractNumId="38">
    <w:multiLevelType w:val="hybridMultilevel"/>
    <w:lvl w:ilvl="0">
      <w:start w:val="1"/>
      <w:numFmt w:val="decimal"/>
      <w:lvlText w:val="%1."/>
      <w:lvlJc w:val="left"/>
      <w:pPr>
        <w:ind w:left="2061" w:hanging="360"/>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35">
    <w:multiLevelType w:val="hybridMultilevel"/>
    <w:lvl w:ilvl="0">
      <w:start w:val="0"/>
      <w:numFmt w:val="bullet"/>
      <w:lvlText w:val="•"/>
      <w:lvlJc w:val="left"/>
      <w:pPr>
        <w:ind w:left="2061" w:hanging="360"/>
      </w:pPr>
      <w:rPr>
        <w:rFonts w:hint="default" w:ascii="Z@RA9CD.tmp" w:hAnsi="Z@RA9CD.tmp" w:eastAsia="Z@RA9CD.tmp" w:cs="Z@RA9CD.tmp"/>
        <w:b w:val="0"/>
        <w:bCs w:val="0"/>
        <w:i w:val="0"/>
        <w:iCs w:val="0"/>
        <w:spacing w:val="0"/>
        <w:w w:val="137"/>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34">
    <w:multiLevelType w:val="hybridMultilevel"/>
    <w:lvl w:ilvl="0">
      <w:start w:val="0"/>
      <w:numFmt w:val="bullet"/>
      <w:lvlText w:val="•"/>
      <w:lvlJc w:val="left"/>
      <w:pPr>
        <w:ind w:left="2061" w:hanging="360"/>
      </w:pPr>
      <w:rPr>
        <w:rFonts w:hint="default" w:ascii="Z@RA9CD.tmp" w:hAnsi="Z@RA9CD.tmp" w:eastAsia="Z@RA9CD.tmp" w:cs="Z@RA9CD.tmp"/>
        <w:b w:val="0"/>
        <w:bCs w:val="0"/>
        <w:i w:val="0"/>
        <w:iCs w:val="0"/>
        <w:spacing w:val="0"/>
        <w:w w:val="137"/>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33">
    <w:multiLevelType w:val="hybridMultilevel"/>
    <w:lvl w:ilvl="0">
      <w:start w:val="0"/>
      <w:numFmt w:val="bullet"/>
      <w:lvlText w:val="-"/>
      <w:lvlJc w:val="left"/>
      <w:pPr>
        <w:ind w:left="2062" w:hanging="361"/>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2972" w:hanging="361"/>
      </w:pPr>
      <w:rPr>
        <w:rFonts w:hint="default"/>
        <w:lang w:val="es-ES" w:eastAsia="en-US" w:bidi="ar-SA"/>
      </w:rPr>
    </w:lvl>
    <w:lvl w:ilvl="2">
      <w:start w:val="0"/>
      <w:numFmt w:val="bullet"/>
      <w:lvlText w:val="•"/>
      <w:lvlJc w:val="left"/>
      <w:pPr>
        <w:ind w:left="3885" w:hanging="361"/>
      </w:pPr>
      <w:rPr>
        <w:rFonts w:hint="default"/>
        <w:lang w:val="es-ES" w:eastAsia="en-US" w:bidi="ar-SA"/>
      </w:rPr>
    </w:lvl>
    <w:lvl w:ilvl="3">
      <w:start w:val="0"/>
      <w:numFmt w:val="bullet"/>
      <w:lvlText w:val="•"/>
      <w:lvlJc w:val="left"/>
      <w:pPr>
        <w:ind w:left="4797" w:hanging="361"/>
      </w:pPr>
      <w:rPr>
        <w:rFonts w:hint="default"/>
        <w:lang w:val="es-ES" w:eastAsia="en-US" w:bidi="ar-SA"/>
      </w:rPr>
    </w:lvl>
    <w:lvl w:ilvl="4">
      <w:start w:val="0"/>
      <w:numFmt w:val="bullet"/>
      <w:lvlText w:val="•"/>
      <w:lvlJc w:val="left"/>
      <w:pPr>
        <w:ind w:left="5710" w:hanging="361"/>
      </w:pPr>
      <w:rPr>
        <w:rFonts w:hint="default"/>
        <w:lang w:val="es-ES" w:eastAsia="en-US" w:bidi="ar-SA"/>
      </w:rPr>
    </w:lvl>
    <w:lvl w:ilvl="5">
      <w:start w:val="0"/>
      <w:numFmt w:val="bullet"/>
      <w:lvlText w:val="•"/>
      <w:lvlJc w:val="left"/>
      <w:pPr>
        <w:ind w:left="6623" w:hanging="361"/>
      </w:pPr>
      <w:rPr>
        <w:rFonts w:hint="default"/>
        <w:lang w:val="es-ES" w:eastAsia="en-US" w:bidi="ar-SA"/>
      </w:rPr>
    </w:lvl>
    <w:lvl w:ilvl="6">
      <w:start w:val="0"/>
      <w:numFmt w:val="bullet"/>
      <w:lvlText w:val="•"/>
      <w:lvlJc w:val="left"/>
      <w:pPr>
        <w:ind w:left="7535" w:hanging="361"/>
      </w:pPr>
      <w:rPr>
        <w:rFonts w:hint="default"/>
        <w:lang w:val="es-ES" w:eastAsia="en-US" w:bidi="ar-SA"/>
      </w:rPr>
    </w:lvl>
    <w:lvl w:ilvl="7">
      <w:start w:val="0"/>
      <w:numFmt w:val="bullet"/>
      <w:lvlText w:val="•"/>
      <w:lvlJc w:val="left"/>
      <w:pPr>
        <w:ind w:left="8448" w:hanging="361"/>
      </w:pPr>
      <w:rPr>
        <w:rFonts w:hint="default"/>
        <w:lang w:val="es-ES" w:eastAsia="en-US" w:bidi="ar-SA"/>
      </w:rPr>
    </w:lvl>
    <w:lvl w:ilvl="8">
      <w:start w:val="0"/>
      <w:numFmt w:val="bullet"/>
      <w:lvlText w:val="•"/>
      <w:lvlJc w:val="left"/>
      <w:pPr>
        <w:ind w:left="9361" w:hanging="361"/>
      </w:pPr>
      <w:rPr>
        <w:rFonts w:hint="default"/>
        <w:lang w:val="es-ES" w:eastAsia="en-US" w:bidi="ar-SA"/>
      </w:rPr>
    </w:lvl>
  </w:abstractNum>
  <w:abstractNum w:abstractNumId="32">
    <w:multiLevelType w:val="hybridMultilevel"/>
    <w:lvl w:ilvl="0">
      <w:start w:val="0"/>
      <w:numFmt w:val="bullet"/>
      <w:lvlText w:val="•"/>
      <w:lvlJc w:val="left"/>
      <w:pPr>
        <w:ind w:left="2061" w:hanging="360"/>
      </w:pPr>
      <w:rPr>
        <w:rFonts w:hint="default" w:ascii="Z@RA9CD.tmp" w:hAnsi="Z@RA9CD.tmp" w:eastAsia="Z@RA9CD.tmp" w:cs="Z@RA9CD.tmp"/>
        <w:b w:val="0"/>
        <w:bCs w:val="0"/>
        <w:i w:val="0"/>
        <w:iCs w:val="0"/>
        <w:spacing w:val="0"/>
        <w:w w:val="137"/>
        <w:sz w:val="20"/>
        <w:szCs w:val="20"/>
        <w:lang w:val="es-ES" w:eastAsia="en-US" w:bidi="ar-SA"/>
      </w:rPr>
    </w:lvl>
    <w:lvl w:ilvl="1">
      <w:start w:val="0"/>
      <w:numFmt w:val="bullet"/>
      <w:lvlText w:val="•"/>
      <w:lvlJc w:val="left"/>
      <w:pPr>
        <w:ind w:left="2972" w:hanging="360"/>
      </w:pPr>
      <w:rPr>
        <w:rFonts w:hint="default"/>
        <w:lang w:val="es-ES" w:eastAsia="en-US" w:bidi="ar-SA"/>
      </w:rPr>
    </w:lvl>
    <w:lvl w:ilvl="2">
      <w:start w:val="0"/>
      <w:numFmt w:val="bullet"/>
      <w:lvlText w:val="•"/>
      <w:lvlJc w:val="left"/>
      <w:pPr>
        <w:ind w:left="3885" w:hanging="360"/>
      </w:pPr>
      <w:rPr>
        <w:rFonts w:hint="default"/>
        <w:lang w:val="es-ES" w:eastAsia="en-US" w:bidi="ar-SA"/>
      </w:rPr>
    </w:lvl>
    <w:lvl w:ilvl="3">
      <w:start w:val="0"/>
      <w:numFmt w:val="bullet"/>
      <w:lvlText w:val="•"/>
      <w:lvlJc w:val="left"/>
      <w:pPr>
        <w:ind w:left="4797" w:hanging="360"/>
      </w:pPr>
      <w:rPr>
        <w:rFonts w:hint="default"/>
        <w:lang w:val="es-ES" w:eastAsia="en-US" w:bidi="ar-SA"/>
      </w:rPr>
    </w:lvl>
    <w:lvl w:ilvl="4">
      <w:start w:val="0"/>
      <w:numFmt w:val="bullet"/>
      <w:lvlText w:val="•"/>
      <w:lvlJc w:val="left"/>
      <w:pPr>
        <w:ind w:left="5710" w:hanging="360"/>
      </w:pPr>
      <w:rPr>
        <w:rFonts w:hint="default"/>
        <w:lang w:val="es-ES" w:eastAsia="en-US" w:bidi="ar-SA"/>
      </w:rPr>
    </w:lvl>
    <w:lvl w:ilvl="5">
      <w:start w:val="0"/>
      <w:numFmt w:val="bullet"/>
      <w:lvlText w:val="•"/>
      <w:lvlJc w:val="left"/>
      <w:pPr>
        <w:ind w:left="6623" w:hanging="360"/>
      </w:pPr>
      <w:rPr>
        <w:rFonts w:hint="default"/>
        <w:lang w:val="es-ES" w:eastAsia="en-US" w:bidi="ar-SA"/>
      </w:rPr>
    </w:lvl>
    <w:lvl w:ilvl="6">
      <w:start w:val="0"/>
      <w:numFmt w:val="bullet"/>
      <w:lvlText w:val="•"/>
      <w:lvlJc w:val="left"/>
      <w:pPr>
        <w:ind w:left="7535" w:hanging="360"/>
      </w:pPr>
      <w:rPr>
        <w:rFonts w:hint="default"/>
        <w:lang w:val="es-ES" w:eastAsia="en-US" w:bidi="ar-SA"/>
      </w:rPr>
    </w:lvl>
    <w:lvl w:ilvl="7">
      <w:start w:val="0"/>
      <w:numFmt w:val="bullet"/>
      <w:lvlText w:val="•"/>
      <w:lvlJc w:val="left"/>
      <w:pPr>
        <w:ind w:left="8448" w:hanging="360"/>
      </w:pPr>
      <w:rPr>
        <w:rFonts w:hint="default"/>
        <w:lang w:val="es-ES" w:eastAsia="en-US" w:bidi="ar-SA"/>
      </w:rPr>
    </w:lvl>
    <w:lvl w:ilvl="8">
      <w:start w:val="0"/>
      <w:numFmt w:val="bullet"/>
      <w:lvlText w:val="•"/>
      <w:lvlJc w:val="left"/>
      <w:pPr>
        <w:ind w:left="9361" w:hanging="360"/>
      </w:pPr>
      <w:rPr>
        <w:rFonts w:hint="default"/>
        <w:lang w:val="es-ES" w:eastAsia="en-US" w:bidi="ar-SA"/>
      </w:rPr>
    </w:lvl>
  </w:abstractNum>
  <w:abstractNum w:abstractNumId="31">
    <w:multiLevelType w:val="hybridMultilevel"/>
    <w:lvl w:ilvl="0">
      <w:start w:val="0"/>
      <w:numFmt w:val="bullet"/>
      <w:lvlText w:val="•"/>
      <w:lvlJc w:val="left"/>
      <w:pPr>
        <w:ind w:left="2048" w:hanging="708"/>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2954" w:hanging="708"/>
      </w:pPr>
      <w:rPr>
        <w:rFonts w:hint="default"/>
        <w:lang w:val="es-ES" w:eastAsia="en-US" w:bidi="ar-SA"/>
      </w:rPr>
    </w:lvl>
    <w:lvl w:ilvl="2">
      <w:start w:val="0"/>
      <w:numFmt w:val="bullet"/>
      <w:lvlText w:val="•"/>
      <w:lvlJc w:val="left"/>
      <w:pPr>
        <w:ind w:left="3869" w:hanging="708"/>
      </w:pPr>
      <w:rPr>
        <w:rFonts w:hint="default"/>
        <w:lang w:val="es-ES" w:eastAsia="en-US" w:bidi="ar-SA"/>
      </w:rPr>
    </w:lvl>
    <w:lvl w:ilvl="3">
      <w:start w:val="0"/>
      <w:numFmt w:val="bullet"/>
      <w:lvlText w:val="•"/>
      <w:lvlJc w:val="left"/>
      <w:pPr>
        <w:ind w:left="4783" w:hanging="708"/>
      </w:pPr>
      <w:rPr>
        <w:rFonts w:hint="default"/>
        <w:lang w:val="es-ES" w:eastAsia="en-US" w:bidi="ar-SA"/>
      </w:rPr>
    </w:lvl>
    <w:lvl w:ilvl="4">
      <w:start w:val="0"/>
      <w:numFmt w:val="bullet"/>
      <w:lvlText w:val="•"/>
      <w:lvlJc w:val="left"/>
      <w:pPr>
        <w:ind w:left="5698" w:hanging="708"/>
      </w:pPr>
      <w:rPr>
        <w:rFonts w:hint="default"/>
        <w:lang w:val="es-ES" w:eastAsia="en-US" w:bidi="ar-SA"/>
      </w:rPr>
    </w:lvl>
    <w:lvl w:ilvl="5">
      <w:start w:val="0"/>
      <w:numFmt w:val="bullet"/>
      <w:lvlText w:val="•"/>
      <w:lvlJc w:val="left"/>
      <w:pPr>
        <w:ind w:left="6613" w:hanging="708"/>
      </w:pPr>
      <w:rPr>
        <w:rFonts w:hint="default"/>
        <w:lang w:val="es-ES" w:eastAsia="en-US" w:bidi="ar-SA"/>
      </w:rPr>
    </w:lvl>
    <w:lvl w:ilvl="6">
      <w:start w:val="0"/>
      <w:numFmt w:val="bullet"/>
      <w:lvlText w:val="•"/>
      <w:lvlJc w:val="left"/>
      <w:pPr>
        <w:ind w:left="7527" w:hanging="708"/>
      </w:pPr>
      <w:rPr>
        <w:rFonts w:hint="default"/>
        <w:lang w:val="es-ES" w:eastAsia="en-US" w:bidi="ar-SA"/>
      </w:rPr>
    </w:lvl>
    <w:lvl w:ilvl="7">
      <w:start w:val="0"/>
      <w:numFmt w:val="bullet"/>
      <w:lvlText w:val="•"/>
      <w:lvlJc w:val="left"/>
      <w:pPr>
        <w:ind w:left="8442" w:hanging="708"/>
      </w:pPr>
      <w:rPr>
        <w:rFonts w:hint="default"/>
        <w:lang w:val="es-ES" w:eastAsia="en-US" w:bidi="ar-SA"/>
      </w:rPr>
    </w:lvl>
    <w:lvl w:ilvl="8">
      <w:start w:val="0"/>
      <w:numFmt w:val="bullet"/>
      <w:lvlText w:val="•"/>
      <w:lvlJc w:val="left"/>
      <w:pPr>
        <w:ind w:left="9357" w:hanging="708"/>
      </w:pPr>
      <w:rPr>
        <w:rFonts w:hint="default"/>
        <w:lang w:val="es-ES" w:eastAsia="en-US" w:bidi="ar-SA"/>
      </w:rPr>
    </w:lvl>
  </w:abstractNum>
  <w:abstractNum w:abstractNumId="30">
    <w:multiLevelType w:val="hybridMultilevel"/>
    <w:lvl w:ilvl="0">
      <w:start w:val="1"/>
      <w:numFmt w:val="decimal"/>
      <w:lvlText w:val="%1."/>
      <w:lvlJc w:val="left"/>
      <w:pPr>
        <w:ind w:left="1561" w:hanging="221"/>
        <w:jc w:val="left"/>
      </w:pPr>
      <w:rPr>
        <w:rFonts w:hint="default" w:ascii="Arial" w:hAnsi="Arial" w:eastAsia="Arial" w:cs="Arial"/>
        <w:b/>
        <w:bCs/>
        <w:i w:val="0"/>
        <w:iCs w:val="0"/>
        <w:spacing w:val="-2"/>
        <w:w w:val="99"/>
        <w:sz w:val="20"/>
        <w:szCs w:val="20"/>
        <w:lang w:val="es-ES" w:eastAsia="en-US" w:bidi="ar-SA"/>
      </w:rPr>
    </w:lvl>
    <w:lvl w:ilvl="1">
      <w:start w:val="1"/>
      <w:numFmt w:val="decimal"/>
      <w:lvlText w:val="%1.%2"/>
      <w:lvlJc w:val="left"/>
      <w:pPr>
        <w:ind w:left="1672" w:hanging="332"/>
        <w:jc w:val="left"/>
      </w:pPr>
      <w:rPr>
        <w:rFonts w:hint="default" w:ascii="Arial" w:hAnsi="Arial" w:eastAsia="Arial" w:cs="Arial"/>
        <w:b/>
        <w:bCs/>
        <w:i w:val="0"/>
        <w:iCs w:val="0"/>
        <w:spacing w:val="-2"/>
        <w:w w:val="99"/>
        <w:sz w:val="20"/>
        <w:szCs w:val="20"/>
        <w:lang w:val="es-ES" w:eastAsia="en-US" w:bidi="ar-SA"/>
      </w:rPr>
    </w:lvl>
    <w:lvl w:ilvl="2">
      <w:start w:val="1"/>
      <w:numFmt w:val="decimal"/>
      <w:lvlText w:val="%1.%2.%3."/>
      <w:lvlJc w:val="left"/>
      <w:pPr>
        <w:ind w:left="1895" w:hanging="554"/>
        <w:jc w:val="left"/>
      </w:pPr>
      <w:rPr>
        <w:rFonts w:hint="default" w:ascii="Arial" w:hAnsi="Arial" w:eastAsia="Arial" w:cs="Arial"/>
        <w:b/>
        <w:bCs/>
        <w:i w:val="0"/>
        <w:iCs w:val="0"/>
        <w:spacing w:val="-2"/>
        <w:w w:val="99"/>
        <w:sz w:val="20"/>
        <w:szCs w:val="20"/>
        <w:lang w:val="es-ES" w:eastAsia="en-US" w:bidi="ar-SA"/>
      </w:rPr>
    </w:lvl>
    <w:lvl w:ilvl="3">
      <w:start w:val="1"/>
      <w:numFmt w:val="upperRoman"/>
      <w:lvlText w:val="%4."/>
      <w:lvlJc w:val="left"/>
      <w:pPr>
        <w:ind w:left="3321" w:hanging="471"/>
        <w:jc w:val="right"/>
      </w:pPr>
      <w:rPr>
        <w:rFonts w:hint="default" w:ascii="Arial" w:hAnsi="Arial" w:eastAsia="Arial" w:cs="Arial"/>
        <w:b w:val="0"/>
        <w:bCs w:val="0"/>
        <w:i w:val="0"/>
        <w:iCs w:val="0"/>
        <w:spacing w:val="0"/>
        <w:w w:val="99"/>
        <w:sz w:val="20"/>
        <w:szCs w:val="20"/>
        <w:lang w:val="es-ES" w:eastAsia="en-US" w:bidi="ar-SA"/>
      </w:rPr>
    </w:lvl>
    <w:lvl w:ilvl="4">
      <w:start w:val="0"/>
      <w:numFmt w:val="bullet"/>
      <w:lvlText w:val="•"/>
      <w:lvlJc w:val="left"/>
      <w:pPr>
        <w:ind w:left="4443" w:hanging="471"/>
      </w:pPr>
      <w:rPr>
        <w:rFonts w:hint="default"/>
        <w:lang w:val="es-ES" w:eastAsia="en-US" w:bidi="ar-SA"/>
      </w:rPr>
    </w:lvl>
    <w:lvl w:ilvl="5">
      <w:start w:val="0"/>
      <w:numFmt w:val="bullet"/>
      <w:lvlText w:val="•"/>
      <w:lvlJc w:val="left"/>
      <w:pPr>
        <w:ind w:left="5567" w:hanging="471"/>
      </w:pPr>
      <w:rPr>
        <w:rFonts w:hint="default"/>
        <w:lang w:val="es-ES" w:eastAsia="en-US" w:bidi="ar-SA"/>
      </w:rPr>
    </w:lvl>
    <w:lvl w:ilvl="6">
      <w:start w:val="0"/>
      <w:numFmt w:val="bullet"/>
      <w:lvlText w:val="•"/>
      <w:lvlJc w:val="left"/>
      <w:pPr>
        <w:ind w:left="6691" w:hanging="471"/>
      </w:pPr>
      <w:rPr>
        <w:rFonts w:hint="default"/>
        <w:lang w:val="es-ES" w:eastAsia="en-US" w:bidi="ar-SA"/>
      </w:rPr>
    </w:lvl>
    <w:lvl w:ilvl="7">
      <w:start w:val="0"/>
      <w:numFmt w:val="bullet"/>
      <w:lvlText w:val="•"/>
      <w:lvlJc w:val="left"/>
      <w:pPr>
        <w:ind w:left="7815" w:hanging="471"/>
      </w:pPr>
      <w:rPr>
        <w:rFonts w:hint="default"/>
        <w:lang w:val="es-ES" w:eastAsia="en-US" w:bidi="ar-SA"/>
      </w:rPr>
    </w:lvl>
    <w:lvl w:ilvl="8">
      <w:start w:val="0"/>
      <w:numFmt w:val="bullet"/>
      <w:lvlText w:val="•"/>
      <w:lvlJc w:val="left"/>
      <w:pPr>
        <w:ind w:left="8938" w:hanging="471"/>
      </w:pPr>
      <w:rPr>
        <w:rFonts w:hint="default"/>
        <w:lang w:val="es-ES" w:eastAsia="en-US" w:bidi="ar-SA"/>
      </w:rPr>
    </w:lvl>
  </w:abstractNum>
  <w:abstractNum w:abstractNumId="29">
    <w:multiLevelType w:val="hybridMultilevel"/>
    <w:lvl w:ilvl="0">
      <w:start w:val="7"/>
      <w:numFmt w:val="decimal"/>
      <w:lvlText w:val="%1"/>
      <w:lvlJc w:val="left"/>
      <w:pPr>
        <w:ind w:left="1931" w:hanging="369"/>
        <w:jc w:val="left"/>
      </w:pPr>
      <w:rPr>
        <w:rFonts w:hint="default"/>
        <w:lang w:val="es-ES" w:eastAsia="en-US" w:bidi="ar-SA"/>
      </w:rPr>
    </w:lvl>
    <w:lvl w:ilvl="1">
      <w:start w:val="1"/>
      <w:numFmt w:val="decimal"/>
      <w:lvlText w:val="%1.%2."/>
      <w:lvlJc w:val="left"/>
      <w:pPr>
        <w:ind w:left="1931" w:hanging="369"/>
        <w:jc w:val="left"/>
      </w:pPr>
      <w:rPr>
        <w:rFonts w:hint="default" w:ascii="Arial" w:hAnsi="Arial" w:eastAsia="Arial" w:cs="Arial"/>
        <w:b w:val="0"/>
        <w:bCs w:val="0"/>
        <w:i w:val="0"/>
        <w:iCs w:val="0"/>
        <w:spacing w:val="-1"/>
        <w:w w:val="99"/>
        <w:sz w:val="19"/>
        <w:szCs w:val="19"/>
        <w:lang w:val="es-ES" w:eastAsia="en-US" w:bidi="ar-SA"/>
      </w:rPr>
    </w:lvl>
    <w:lvl w:ilvl="2">
      <w:start w:val="0"/>
      <w:numFmt w:val="bullet"/>
      <w:lvlText w:val="•"/>
      <w:lvlJc w:val="left"/>
      <w:pPr>
        <w:ind w:left="3789" w:hanging="369"/>
      </w:pPr>
      <w:rPr>
        <w:rFonts w:hint="default"/>
        <w:lang w:val="es-ES" w:eastAsia="en-US" w:bidi="ar-SA"/>
      </w:rPr>
    </w:lvl>
    <w:lvl w:ilvl="3">
      <w:start w:val="0"/>
      <w:numFmt w:val="bullet"/>
      <w:lvlText w:val="•"/>
      <w:lvlJc w:val="left"/>
      <w:pPr>
        <w:ind w:left="4713" w:hanging="369"/>
      </w:pPr>
      <w:rPr>
        <w:rFonts w:hint="default"/>
        <w:lang w:val="es-ES" w:eastAsia="en-US" w:bidi="ar-SA"/>
      </w:rPr>
    </w:lvl>
    <w:lvl w:ilvl="4">
      <w:start w:val="0"/>
      <w:numFmt w:val="bullet"/>
      <w:lvlText w:val="•"/>
      <w:lvlJc w:val="left"/>
      <w:pPr>
        <w:ind w:left="5638" w:hanging="369"/>
      </w:pPr>
      <w:rPr>
        <w:rFonts w:hint="default"/>
        <w:lang w:val="es-ES" w:eastAsia="en-US" w:bidi="ar-SA"/>
      </w:rPr>
    </w:lvl>
    <w:lvl w:ilvl="5">
      <w:start w:val="0"/>
      <w:numFmt w:val="bullet"/>
      <w:lvlText w:val="•"/>
      <w:lvlJc w:val="left"/>
      <w:pPr>
        <w:ind w:left="6563" w:hanging="369"/>
      </w:pPr>
      <w:rPr>
        <w:rFonts w:hint="default"/>
        <w:lang w:val="es-ES" w:eastAsia="en-US" w:bidi="ar-SA"/>
      </w:rPr>
    </w:lvl>
    <w:lvl w:ilvl="6">
      <w:start w:val="0"/>
      <w:numFmt w:val="bullet"/>
      <w:lvlText w:val="•"/>
      <w:lvlJc w:val="left"/>
      <w:pPr>
        <w:ind w:left="7487" w:hanging="369"/>
      </w:pPr>
      <w:rPr>
        <w:rFonts w:hint="default"/>
        <w:lang w:val="es-ES" w:eastAsia="en-US" w:bidi="ar-SA"/>
      </w:rPr>
    </w:lvl>
    <w:lvl w:ilvl="7">
      <w:start w:val="0"/>
      <w:numFmt w:val="bullet"/>
      <w:lvlText w:val="•"/>
      <w:lvlJc w:val="left"/>
      <w:pPr>
        <w:ind w:left="8412" w:hanging="369"/>
      </w:pPr>
      <w:rPr>
        <w:rFonts w:hint="default"/>
        <w:lang w:val="es-ES" w:eastAsia="en-US" w:bidi="ar-SA"/>
      </w:rPr>
    </w:lvl>
    <w:lvl w:ilvl="8">
      <w:start w:val="0"/>
      <w:numFmt w:val="bullet"/>
      <w:lvlText w:val="•"/>
      <w:lvlJc w:val="left"/>
      <w:pPr>
        <w:ind w:left="9337" w:hanging="369"/>
      </w:pPr>
      <w:rPr>
        <w:rFonts w:hint="default"/>
        <w:lang w:val="es-ES" w:eastAsia="en-US" w:bidi="ar-SA"/>
      </w:rPr>
    </w:lvl>
  </w:abstractNum>
  <w:abstractNum w:abstractNumId="28">
    <w:multiLevelType w:val="hybridMultilevel"/>
    <w:lvl w:ilvl="0">
      <w:start w:val="5"/>
      <w:numFmt w:val="decimal"/>
      <w:lvlText w:val="%1"/>
      <w:lvlJc w:val="left"/>
      <w:pPr>
        <w:ind w:left="1931" w:hanging="369"/>
        <w:jc w:val="left"/>
      </w:pPr>
      <w:rPr>
        <w:rFonts w:hint="default"/>
        <w:lang w:val="es-ES" w:eastAsia="en-US" w:bidi="ar-SA"/>
      </w:rPr>
    </w:lvl>
    <w:lvl w:ilvl="1">
      <w:start w:val="4"/>
      <w:numFmt w:val="decimal"/>
      <w:lvlText w:val="%1.%2."/>
      <w:lvlJc w:val="left"/>
      <w:pPr>
        <w:ind w:left="1931" w:hanging="369"/>
        <w:jc w:val="left"/>
      </w:pPr>
      <w:rPr>
        <w:rFonts w:hint="default" w:ascii="Arial" w:hAnsi="Arial" w:eastAsia="Arial" w:cs="Arial"/>
        <w:b w:val="0"/>
        <w:bCs w:val="0"/>
        <w:i w:val="0"/>
        <w:iCs w:val="0"/>
        <w:spacing w:val="-1"/>
        <w:w w:val="99"/>
        <w:sz w:val="19"/>
        <w:szCs w:val="19"/>
        <w:lang w:val="es-ES" w:eastAsia="en-US" w:bidi="ar-SA"/>
      </w:rPr>
    </w:lvl>
    <w:lvl w:ilvl="2">
      <w:start w:val="0"/>
      <w:numFmt w:val="bullet"/>
      <w:lvlText w:val="•"/>
      <w:lvlJc w:val="left"/>
      <w:pPr>
        <w:ind w:left="3789" w:hanging="369"/>
      </w:pPr>
      <w:rPr>
        <w:rFonts w:hint="default"/>
        <w:lang w:val="es-ES" w:eastAsia="en-US" w:bidi="ar-SA"/>
      </w:rPr>
    </w:lvl>
    <w:lvl w:ilvl="3">
      <w:start w:val="0"/>
      <w:numFmt w:val="bullet"/>
      <w:lvlText w:val="•"/>
      <w:lvlJc w:val="left"/>
      <w:pPr>
        <w:ind w:left="4713" w:hanging="369"/>
      </w:pPr>
      <w:rPr>
        <w:rFonts w:hint="default"/>
        <w:lang w:val="es-ES" w:eastAsia="en-US" w:bidi="ar-SA"/>
      </w:rPr>
    </w:lvl>
    <w:lvl w:ilvl="4">
      <w:start w:val="0"/>
      <w:numFmt w:val="bullet"/>
      <w:lvlText w:val="•"/>
      <w:lvlJc w:val="left"/>
      <w:pPr>
        <w:ind w:left="5638" w:hanging="369"/>
      </w:pPr>
      <w:rPr>
        <w:rFonts w:hint="default"/>
        <w:lang w:val="es-ES" w:eastAsia="en-US" w:bidi="ar-SA"/>
      </w:rPr>
    </w:lvl>
    <w:lvl w:ilvl="5">
      <w:start w:val="0"/>
      <w:numFmt w:val="bullet"/>
      <w:lvlText w:val="•"/>
      <w:lvlJc w:val="left"/>
      <w:pPr>
        <w:ind w:left="6563" w:hanging="369"/>
      </w:pPr>
      <w:rPr>
        <w:rFonts w:hint="default"/>
        <w:lang w:val="es-ES" w:eastAsia="en-US" w:bidi="ar-SA"/>
      </w:rPr>
    </w:lvl>
    <w:lvl w:ilvl="6">
      <w:start w:val="0"/>
      <w:numFmt w:val="bullet"/>
      <w:lvlText w:val="•"/>
      <w:lvlJc w:val="left"/>
      <w:pPr>
        <w:ind w:left="7487" w:hanging="369"/>
      </w:pPr>
      <w:rPr>
        <w:rFonts w:hint="default"/>
        <w:lang w:val="es-ES" w:eastAsia="en-US" w:bidi="ar-SA"/>
      </w:rPr>
    </w:lvl>
    <w:lvl w:ilvl="7">
      <w:start w:val="0"/>
      <w:numFmt w:val="bullet"/>
      <w:lvlText w:val="•"/>
      <w:lvlJc w:val="left"/>
      <w:pPr>
        <w:ind w:left="8412" w:hanging="369"/>
      </w:pPr>
      <w:rPr>
        <w:rFonts w:hint="default"/>
        <w:lang w:val="es-ES" w:eastAsia="en-US" w:bidi="ar-SA"/>
      </w:rPr>
    </w:lvl>
    <w:lvl w:ilvl="8">
      <w:start w:val="0"/>
      <w:numFmt w:val="bullet"/>
      <w:lvlText w:val="•"/>
      <w:lvlJc w:val="left"/>
      <w:pPr>
        <w:ind w:left="9337" w:hanging="369"/>
      </w:pPr>
      <w:rPr>
        <w:rFonts w:hint="default"/>
        <w:lang w:val="es-ES" w:eastAsia="en-US" w:bidi="ar-SA"/>
      </w:rPr>
    </w:lvl>
  </w:abstractNum>
  <w:abstractNum w:abstractNumId="27">
    <w:multiLevelType w:val="hybridMultilevel"/>
    <w:lvl w:ilvl="0">
      <w:start w:val="5"/>
      <w:numFmt w:val="decimal"/>
      <w:lvlText w:val="%1"/>
      <w:lvlJc w:val="left"/>
      <w:pPr>
        <w:ind w:left="1562" w:hanging="317"/>
        <w:jc w:val="left"/>
      </w:pPr>
      <w:rPr>
        <w:rFonts w:hint="default"/>
        <w:lang w:val="es-ES" w:eastAsia="en-US" w:bidi="ar-SA"/>
      </w:rPr>
    </w:lvl>
    <w:lvl w:ilvl="1">
      <w:start w:val="2"/>
      <w:numFmt w:val="decimal"/>
      <w:lvlText w:val="%1.%2"/>
      <w:lvlJc w:val="left"/>
      <w:pPr>
        <w:ind w:left="1562" w:hanging="317"/>
        <w:jc w:val="left"/>
      </w:pPr>
      <w:rPr>
        <w:rFonts w:hint="default" w:ascii="Arial" w:hAnsi="Arial" w:eastAsia="Arial" w:cs="Arial"/>
        <w:b w:val="0"/>
        <w:bCs w:val="0"/>
        <w:i w:val="0"/>
        <w:iCs w:val="0"/>
        <w:spacing w:val="-1"/>
        <w:w w:val="99"/>
        <w:sz w:val="19"/>
        <w:szCs w:val="19"/>
        <w:lang w:val="es-ES" w:eastAsia="en-US" w:bidi="ar-SA"/>
      </w:rPr>
    </w:lvl>
    <w:lvl w:ilvl="2">
      <w:start w:val="0"/>
      <w:numFmt w:val="bullet"/>
      <w:lvlText w:val="•"/>
      <w:lvlJc w:val="left"/>
      <w:pPr>
        <w:ind w:left="3485" w:hanging="317"/>
      </w:pPr>
      <w:rPr>
        <w:rFonts w:hint="default"/>
        <w:lang w:val="es-ES" w:eastAsia="en-US" w:bidi="ar-SA"/>
      </w:rPr>
    </w:lvl>
    <w:lvl w:ilvl="3">
      <w:start w:val="0"/>
      <w:numFmt w:val="bullet"/>
      <w:lvlText w:val="•"/>
      <w:lvlJc w:val="left"/>
      <w:pPr>
        <w:ind w:left="4447" w:hanging="317"/>
      </w:pPr>
      <w:rPr>
        <w:rFonts w:hint="default"/>
        <w:lang w:val="es-ES" w:eastAsia="en-US" w:bidi="ar-SA"/>
      </w:rPr>
    </w:lvl>
    <w:lvl w:ilvl="4">
      <w:start w:val="0"/>
      <w:numFmt w:val="bullet"/>
      <w:lvlText w:val="•"/>
      <w:lvlJc w:val="left"/>
      <w:pPr>
        <w:ind w:left="5410" w:hanging="317"/>
      </w:pPr>
      <w:rPr>
        <w:rFonts w:hint="default"/>
        <w:lang w:val="es-ES" w:eastAsia="en-US" w:bidi="ar-SA"/>
      </w:rPr>
    </w:lvl>
    <w:lvl w:ilvl="5">
      <w:start w:val="0"/>
      <w:numFmt w:val="bullet"/>
      <w:lvlText w:val="•"/>
      <w:lvlJc w:val="left"/>
      <w:pPr>
        <w:ind w:left="6373" w:hanging="317"/>
      </w:pPr>
      <w:rPr>
        <w:rFonts w:hint="default"/>
        <w:lang w:val="es-ES" w:eastAsia="en-US" w:bidi="ar-SA"/>
      </w:rPr>
    </w:lvl>
    <w:lvl w:ilvl="6">
      <w:start w:val="0"/>
      <w:numFmt w:val="bullet"/>
      <w:lvlText w:val="•"/>
      <w:lvlJc w:val="left"/>
      <w:pPr>
        <w:ind w:left="7335" w:hanging="317"/>
      </w:pPr>
      <w:rPr>
        <w:rFonts w:hint="default"/>
        <w:lang w:val="es-ES" w:eastAsia="en-US" w:bidi="ar-SA"/>
      </w:rPr>
    </w:lvl>
    <w:lvl w:ilvl="7">
      <w:start w:val="0"/>
      <w:numFmt w:val="bullet"/>
      <w:lvlText w:val="•"/>
      <w:lvlJc w:val="left"/>
      <w:pPr>
        <w:ind w:left="8298" w:hanging="317"/>
      </w:pPr>
      <w:rPr>
        <w:rFonts w:hint="default"/>
        <w:lang w:val="es-ES" w:eastAsia="en-US" w:bidi="ar-SA"/>
      </w:rPr>
    </w:lvl>
    <w:lvl w:ilvl="8">
      <w:start w:val="0"/>
      <w:numFmt w:val="bullet"/>
      <w:lvlText w:val="•"/>
      <w:lvlJc w:val="left"/>
      <w:pPr>
        <w:ind w:left="9261" w:hanging="317"/>
      </w:pPr>
      <w:rPr>
        <w:rFonts w:hint="default"/>
        <w:lang w:val="es-ES" w:eastAsia="en-US" w:bidi="ar-SA"/>
      </w:rPr>
    </w:lvl>
  </w:abstractNum>
  <w:abstractNum w:abstractNumId="26">
    <w:multiLevelType w:val="hybridMultilevel"/>
    <w:lvl w:ilvl="0">
      <w:start w:val="5"/>
      <w:numFmt w:val="decimal"/>
      <w:lvlText w:val="%1"/>
      <w:lvlJc w:val="left"/>
      <w:pPr>
        <w:ind w:left="1931" w:hanging="369"/>
        <w:jc w:val="left"/>
      </w:pPr>
      <w:rPr>
        <w:rFonts w:hint="default"/>
        <w:lang w:val="es-ES" w:eastAsia="en-US" w:bidi="ar-SA"/>
      </w:rPr>
    </w:lvl>
    <w:lvl w:ilvl="1">
      <w:start w:val="1"/>
      <w:numFmt w:val="decimal"/>
      <w:lvlText w:val="%1.%2."/>
      <w:lvlJc w:val="left"/>
      <w:pPr>
        <w:ind w:left="1931" w:hanging="369"/>
        <w:jc w:val="left"/>
      </w:pPr>
      <w:rPr>
        <w:rFonts w:hint="default" w:ascii="Arial" w:hAnsi="Arial" w:eastAsia="Arial" w:cs="Arial"/>
        <w:b w:val="0"/>
        <w:bCs w:val="0"/>
        <w:i w:val="0"/>
        <w:iCs w:val="0"/>
        <w:spacing w:val="-1"/>
        <w:w w:val="99"/>
        <w:sz w:val="19"/>
        <w:szCs w:val="19"/>
        <w:lang w:val="es-ES" w:eastAsia="en-US" w:bidi="ar-SA"/>
      </w:rPr>
    </w:lvl>
    <w:lvl w:ilvl="2">
      <w:start w:val="0"/>
      <w:numFmt w:val="bullet"/>
      <w:lvlText w:val="•"/>
      <w:lvlJc w:val="left"/>
      <w:pPr>
        <w:ind w:left="3789" w:hanging="369"/>
      </w:pPr>
      <w:rPr>
        <w:rFonts w:hint="default"/>
        <w:lang w:val="es-ES" w:eastAsia="en-US" w:bidi="ar-SA"/>
      </w:rPr>
    </w:lvl>
    <w:lvl w:ilvl="3">
      <w:start w:val="0"/>
      <w:numFmt w:val="bullet"/>
      <w:lvlText w:val="•"/>
      <w:lvlJc w:val="left"/>
      <w:pPr>
        <w:ind w:left="4713" w:hanging="369"/>
      </w:pPr>
      <w:rPr>
        <w:rFonts w:hint="default"/>
        <w:lang w:val="es-ES" w:eastAsia="en-US" w:bidi="ar-SA"/>
      </w:rPr>
    </w:lvl>
    <w:lvl w:ilvl="4">
      <w:start w:val="0"/>
      <w:numFmt w:val="bullet"/>
      <w:lvlText w:val="•"/>
      <w:lvlJc w:val="left"/>
      <w:pPr>
        <w:ind w:left="5638" w:hanging="369"/>
      </w:pPr>
      <w:rPr>
        <w:rFonts w:hint="default"/>
        <w:lang w:val="es-ES" w:eastAsia="en-US" w:bidi="ar-SA"/>
      </w:rPr>
    </w:lvl>
    <w:lvl w:ilvl="5">
      <w:start w:val="0"/>
      <w:numFmt w:val="bullet"/>
      <w:lvlText w:val="•"/>
      <w:lvlJc w:val="left"/>
      <w:pPr>
        <w:ind w:left="6563" w:hanging="369"/>
      </w:pPr>
      <w:rPr>
        <w:rFonts w:hint="default"/>
        <w:lang w:val="es-ES" w:eastAsia="en-US" w:bidi="ar-SA"/>
      </w:rPr>
    </w:lvl>
    <w:lvl w:ilvl="6">
      <w:start w:val="0"/>
      <w:numFmt w:val="bullet"/>
      <w:lvlText w:val="•"/>
      <w:lvlJc w:val="left"/>
      <w:pPr>
        <w:ind w:left="7487" w:hanging="369"/>
      </w:pPr>
      <w:rPr>
        <w:rFonts w:hint="default"/>
        <w:lang w:val="es-ES" w:eastAsia="en-US" w:bidi="ar-SA"/>
      </w:rPr>
    </w:lvl>
    <w:lvl w:ilvl="7">
      <w:start w:val="0"/>
      <w:numFmt w:val="bullet"/>
      <w:lvlText w:val="•"/>
      <w:lvlJc w:val="left"/>
      <w:pPr>
        <w:ind w:left="8412" w:hanging="369"/>
      </w:pPr>
      <w:rPr>
        <w:rFonts w:hint="default"/>
        <w:lang w:val="es-ES" w:eastAsia="en-US" w:bidi="ar-SA"/>
      </w:rPr>
    </w:lvl>
    <w:lvl w:ilvl="8">
      <w:start w:val="0"/>
      <w:numFmt w:val="bullet"/>
      <w:lvlText w:val="•"/>
      <w:lvlJc w:val="left"/>
      <w:pPr>
        <w:ind w:left="9337" w:hanging="369"/>
      </w:pPr>
      <w:rPr>
        <w:rFonts w:hint="default"/>
        <w:lang w:val="es-ES" w:eastAsia="en-US" w:bidi="ar-SA"/>
      </w:rPr>
    </w:lvl>
  </w:abstractNum>
  <w:abstractNum w:abstractNumId="25">
    <w:multiLevelType w:val="hybridMultilevel"/>
    <w:lvl w:ilvl="0">
      <w:start w:val="4"/>
      <w:numFmt w:val="decimal"/>
      <w:lvlText w:val="%1"/>
      <w:lvlJc w:val="left"/>
      <w:pPr>
        <w:ind w:left="1780" w:hanging="476"/>
        <w:jc w:val="left"/>
      </w:pPr>
      <w:rPr>
        <w:rFonts w:hint="default"/>
        <w:lang w:val="es-ES" w:eastAsia="en-US" w:bidi="ar-SA"/>
      </w:rPr>
    </w:lvl>
    <w:lvl w:ilvl="1">
      <w:start w:val="8"/>
      <w:numFmt w:val="decimal"/>
      <w:lvlText w:val="%1.%2"/>
      <w:lvlJc w:val="left"/>
      <w:pPr>
        <w:ind w:left="1780" w:hanging="476"/>
        <w:jc w:val="left"/>
      </w:pPr>
      <w:rPr>
        <w:rFonts w:hint="default"/>
        <w:lang w:val="es-ES" w:eastAsia="en-US" w:bidi="ar-SA"/>
      </w:rPr>
    </w:lvl>
    <w:lvl w:ilvl="2">
      <w:start w:val="1"/>
      <w:numFmt w:val="decimal"/>
      <w:lvlText w:val="%1.%2.%3"/>
      <w:lvlJc w:val="left"/>
      <w:pPr>
        <w:ind w:left="1780" w:hanging="476"/>
        <w:jc w:val="left"/>
      </w:pPr>
      <w:rPr>
        <w:rFonts w:hint="default" w:ascii="Arial" w:hAnsi="Arial" w:eastAsia="Arial" w:cs="Arial"/>
        <w:b w:val="0"/>
        <w:bCs w:val="0"/>
        <w:i w:val="0"/>
        <w:iCs w:val="0"/>
        <w:spacing w:val="-1"/>
        <w:w w:val="99"/>
        <w:sz w:val="19"/>
        <w:szCs w:val="19"/>
        <w:lang w:val="es-ES" w:eastAsia="en-US" w:bidi="ar-SA"/>
      </w:rPr>
    </w:lvl>
    <w:lvl w:ilvl="3">
      <w:start w:val="0"/>
      <w:numFmt w:val="bullet"/>
      <w:lvlText w:val="•"/>
      <w:lvlJc w:val="left"/>
      <w:pPr>
        <w:ind w:left="4601" w:hanging="476"/>
      </w:pPr>
      <w:rPr>
        <w:rFonts w:hint="default"/>
        <w:lang w:val="es-ES" w:eastAsia="en-US" w:bidi="ar-SA"/>
      </w:rPr>
    </w:lvl>
    <w:lvl w:ilvl="4">
      <w:start w:val="0"/>
      <w:numFmt w:val="bullet"/>
      <w:lvlText w:val="•"/>
      <w:lvlJc w:val="left"/>
      <w:pPr>
        <w:ind w:left="5542" w:hanging="476"/>
      </w:pPr>
      <w:rPr>
        <w:rFonts w:hint="default"/>
        <w:lang w:val="es-ES" w:eastAsia="en-US" w:bidi="ar-SA"/>
      </w:rPr>
    </w:lvl>
    <w:lvl w:ilvl="5">
      <w:start w:val="0"/>
      <w:numFmt w:val="bullet"/>
      <w:lvlText w:val="•"/>
      <w:lvlJc w:val="left"/>
      <w:pPr>
        <w:ind w:left="6483" w:hanging="476"/>
      </w:pPr>
      <w:rPr>
        <w:rFonts w:hint="default"/>
        <w:lang w:val="es-ES" w:eastAsia="en-US" w:bidi="ar-SA"/>
      </w:rPr>
    </w:lvl>
    <w:lvl w:ilvl="6">
      <w:start w:val="0"/>
      <w:numFmt w:val="bullet"/>
      <w:lvlText w:val="•"/>
      <w:lvlJc w:val="left"/>
      <w:pPr>
        <w:ind w:left="7423" w:hanging="476"/>
      </w:pPr>
      <w:rPr>
        <w:rFonts w:hint="default"/>
        <w:lang w:val="es-ES" w:eastAsia="en-US" w:bidi="ar-SA"/>
      </w:rPr>
    </w:lvl>
    <w:lvl w:ilvl="7">
      <w:start w:val="0"/>
      <w:numFmt w:val="bullet"/>
      <w:lvlText w:val="•"/>
      <w:lvlJc w:val="left"/>
      <w:pPr>
        <w:ind w:left="8364" w:hanging="476"/>
      </w:pPr>
      <w:rPr>
        <w:rFonts w:hint="default"/>
        <w:lang w:val="es-ES" w:eastAsia="en-US" w:bidi="ar-SA"/>
      </w:rPr>
    </w:lvl>
    <w:lvl w:ilvl="8">
      <w:start w:val="0"/>
      <w:numFmt w:val="bullet"/>
      <w:lvlText w:val="•"/>
      <w:lvlJc w:val="left"/>
      <w:pPr>
        <w:ind w:left="9305" w:hanging="476"/>
      </w:pPr>
      <w:rPr>
        <w:rFonts w:hint="default"/>
        <w:lang w:val="es-ES" w:eastAsia="en-US" w:bidi="ar-SA"/>
      </w:rPr>
    </w:lvl>
  </w:abstractNum>
  <w:abstractNum w:abstractNumId="24">
    <w:multiLevelType w:val="hybridMultilevel"/>
    <w:lvl w:ilvl="0">
      <w:start w:val="1"/>
      <w:numFmt w:val="decimal"/>
      <w:lvlText w:val="%1."/>
      <w:lvlJc w:val="left"/>
      <w:pPr>
        <w:ind w:left="1552" w:hanging="211"/>
        <w:jc w:val="left"/>
      </w:pPr>
      <w:rPr>
        <w:rFonts w:hint="default" w:ascii="Arial" w:hAnsi="Arial" w:eastAsia="Arial" w:cs="Arial"/>
        <w:b w:val="0"/>
        <w:bCs w:val="0"/>
        <w:i w:val="0"/>
        <w:iCs w:val="0"/>
        <w:spacing w:val="-1"/>
        <w:w w:val="99"/>
        <w:sz w:val="19"/>
        <w:szCs w:val="19"/>
        <w:lang w:val="es-ES" w:eastAsia="en-US" w:bidi="ar-SA"/>
      </w:rPr>
    </w:lvl>
    <w:lvl w:ilvl="1">
      <w:start w:val="1"/>
      <w:numFmt w:val="decimal"/>
      <w:lvlText w:val="%1.%2"/>
      <w:lvlJc w:val="left"/>
      <w:pPr>
        <w:ind w:left="1878" w:hanging="317"/>
        <w:jc w:val="left"/>
      </w:pPr>
      <w:rPr>
        <w:rFonts w:hint="default" w:ascii="Arial" w:hAnsi="Arial" w:eastAsia="Arial" w:cs="Arial"/>
        <w:b w:val="0"/>
        <w:bCs w:val="0"/>
        <w:i w:val="0"/>
        <w:iCs w:val="0"/>
        <w:spacing w:val="-1"/>
        <w:w w:val="99"/>
        <w:sz w:val="19"/>
        <w:szCs w:val="19"/>
        <w:lang w:val="es-ES" w:eastAsia="en-US" w:bidi="ar-SA"/>
      </w:rPr>
    </w:lvl>
    <w:lvl w:ilvl="2">
      <w:start w:val="1"/>
      <w:numFmt w:val="decimal"/>
      <w:lvlText w:val="%1.%2.%3."/>
      <w:lvlJc w:val="left"/>
      <w:pPr>
        <w:ind w:left="2307" w:hanging="527"/>
        <w:jc w:val="left"/>
      </w:pPr>
      <w:rPr>
        <w:rFonts w:hint="default" w:ascii="Arial" w:hAnsi="Arial" w:eastAsia="Arial" w:cs="Arial"/>
        <w:b w:val="0"/>
        <w:bCs w:val="0"/>
        <w:i w:val="0"/>
        <w:iCs w:val="0"/>
        <w:spacing w:val="-1"/>
        <w:w w:val="99"/>
        <w:sz w:val="19"/>
        <w:szCs w:val="19"/>
        <w:lang w:val="es-ES" w:eastAsia="en-US" w:bidi="ar-SA"/>
      </w:rPr>
    </w:lvl>
    <w:lvl w:ilvl="3">
      <w:start w:val="0"/>
      <w:numFmt w:val="bullet"/>
      <w:lvlText w:val="•"/>
      <w:lvlJc w:val="left"/>
      <w:pPr>
        <w:ind w:left="3410" w:hanging="527"/>
      </w:pPr>
      <w:rPr>
        <w:rFonts w:hint="default"/>
        <w:lang w:val="es-ES" w:eastAsia="en-US" w:bidi="ar-SA"/>
      </w:rPr>
    </w:lvl>
    <w:lvl w:ilvl="4">
      <w:start w:val="0"/>
      <w:numFmt w:val="bullet"/>
      <w:lvlText w:val="•"/>
      <w:lvlJc w:val="left"/>
      <w:pPr>
        <w:ind w:left="4521" w:hanging="527"/>
      </w:pPr>
      <w:rPr>
        <w:rFonts w:hint="default"/>
        <w:lang w:val="es-ES" w:eastAsia="en-US" w:bidi="ar-SA"/>
      </w:rPr>
    </w:lvl>
    <w:lvl w:ilvl="5">
      <w:start w:val="0"/>
      <w:numFmt w:val="bullet"/>
      <w:lvlText w:val="•"/>
      <w:lvlJc w:val="left"/>
      <w:pPr>
        <w:ind w:left="5632" w:hanging="527"/>
      </w:pPr>
      <w:rPr>
        <w:rFonts w:hint="default"/>
        <w:lang w:val="es-ES" w:eastAsia="en-US" w:bidi="ar-SA"/>
      </w:rPr>
    </w:lvl>
    <w:lvl w:ilvl="6">
      <w:start w:val="0"/>
      <w:numFmt w:val="bullet"/>
      <w:lvlText w:val="•"/>
      <w:lvlJc w:val="left"/>
      <w:pPr>
        <w:ind w:left="6743" w:hanging="527"/>
      </w:pPr>
      <w:rPr>
        <w:rFonts w:hint="default"/>
        <w:lang w:val="es-ES" w:eastAsia="en-US" w:bidi="ar-SA"/>
      </w:rPr>
    </w:lvl>
    <w:lvl w:ilvl="7">
      <w:start w:val="0"/>
      <w:numFmt w:val="bullet"/>
      <w:lvlText w:val="•"/>
      <w:lvlJc w:val="left"/>
      <w:pPr>
        <w:ind w:left="7854" w:hanging="527"/>
      </w:pPr>
      <w:rPr>
        <w:rFonts w:hint="default"/>
        <w:lang w:val="es-ES" w:eastAsia="en-US" w:bidi="ar-SA"/>
      </w:rPr>
    </w:lvl>
    <w:lvl w:ilvl="8">
      <w:start w:val="0"/>
      <w:numFmt w:val="bullet"/>
      <w:lvlText w:val="•"/>
      <w:lvlJc w:val="left"/>
      <w:pPr>
        <w:ind w:left="8964" w:hanging="527"/>
      </w:pPr>
      <w:rPr>
        <w:rFonts w:hint="default"/>
        <w:lang w:val="es-ES" w:eastAsia="en-US" w:bidi="ar-SA"/>
      </w:rPr>
    </w:lvl>
  </w:abstractNum>
  <w:abstractNum w:abstractNumId="23">
    <w:multiLevelType w:val="hybridMultilevel"/>
    <w:lvl w:ilvl="0">
      <w:start w:val="0"/>
      <w:numFmt w:val="bullet"/>
      <w:lvlText w:val=""/>
      <w:lvlJc w:val="left"/>
      <w:pPr>
        <w:ind w:left="2059" w:hanging="361"/>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2972" w:hanging="361"/>
      </w:pPr>
      <w:rPr>
        <w:rFonts w:hint="default"/>
        <w:lang w:val="es-ES" w:eastAsia="en-US" w:bidi="ar-SA"/>
      </w:rPr>
    </w:lvl>
    <w:lvl w:ilvl="2">
      <w:start w:val="0"/>
      <w:numFmt w:val="bullet"/>
      <w:lvlText w:val="•"/>
      <w:lvlJc w:val="left"/>
      <w:pPr>
        <w:ind w:left="3885" w:hanging="361"/>
      </w:pPr>
      <w:rPr>
        <w:rFonts w:hint="default"/>
        <w:lang w:val="es-ES" w:eastAsia="en-US" w:bidi="ar-SA"/>
      </w:rPr>
    </w:lvl>
    <w:lvl w:ilvl="3">
      <w:start w:val="0"/>
      <w:numFmt w:val="bullet"/>
      <w:lvlText w:val="•"/>
      <w:lvlJc w:val="left"/>
      <w:pPr>
        <w:ind w:left="4797" w:hanging="361"/>
      </w:pPr>
      <w:rPr>
        <w:rFonts w:hint="default"/>
        <w:lang w:val="es-ES" w:eastAsia="en-US" w:bidi="ar-SA"/>
      </w:rPr>
    </w:lvl>
    <w:lvl w:ilvl="4">
      <w:start w:val="0"/>
      <w:numFmt w:val="bullet"/>
      <w:lvlText w:val="•"/>
      <w:lvlJc w:val="left"/>
      <w:pPr>
        <w:ind w:left="5710" w:hanging="361"/>
      </w:pPr>
      <w:rPr>
        <w:rFonts w:hint="default"/>
        <w:lang w:val="es-ES" w:eastAsia="en-US" w:bidi="ar-SA"/>
      </w:rPr>
    </w:lvl>
    <w:lvl w:ilvl="5">
      <w:start w:val="0"/>
      <w:numFmt w:val="bullet"/>
      <w:lvlText w:val="•"/>
      <w:lvlJc w:val="left"/>
      <w:pPr>
        <w:ind w:left="6623" w:hanging="361"/>
      </w:pPr>
      <w:rPr>
        <w:rFonts w:hint="default"/>
        <w:lang w:val="es-ES" w:eastAsia="en-US" w:bidi="ar-SA"/>
      </w:rPr>
    </w:lvl>
    <w:lvl w:ilvl="6">
      <w:start w:val="0"/>
      <w:numFmt w:val="bullet"/>
      <w:lvlText w:val="•"/>
      <w:lvlJc w:val="left"/>
      <w:pPr>
        <w:ind w:left="7535" w:hanging="361"/>
      </w:pPr>
      <w:rPr>
        <w:rFonts w:hint="default"/>
        <w:lang w:val="es-ES" w:eastAsia="en-US" w:bidi="ar-SA"/>
      </w:rPr>
    </w:lvl>
    <w:lvl w:ilvl="7">
      <w:start w:val="0"/>
      <w:numFmt w:val="bullet"/>
      <w:lvlText w:val="•"/>
      <w:lvlJc w:val="left"/>
      <w:pPr>
        <w:ind w:left="8448" w:hanging="361"/>
      </w:pPr>
      <w:rPr>
        <w:rFonts w:hint="default"/>
        <w:lang w:val="es-ES" w:eastAsia="en-US" w:bidi="ar-SA"/>
      </w:rPr>
    </w:lvl>
    <w:lvl w:ilvl="8">
      <w:start w:val="0"/>
      <w:numFmt w:val="bullet"/>
      <w:lvlText w:val="•"/>
      <w:lvlJc w:val="left"/>
      <w:pPr>
        <w:ind w:left="9361" w:hanging="361"/>
      </w:pPr>
      <w:rPr>
        <w:rFonts w:hint="default"/>
        <w:lang w:val="es-ES" w:eastAsia="en-US" w:bidi="ar-SA"/>
      </w:rPr>
    </w:lvl>
  </w:abstractNum>
  <w:abstractNum w:abstractNumId="22">
    <w:multiLevelType w:val="hybridMultilevel"/>
    <w:lvl w:ilvl="0">
      <w:start w:val="13"/>
      <w:numFmt w:val="decimal"/>
      <w:lvlText w:val="%1"/>
      <w:lvlJc w:val="left"/>
      <w:pPr>
        <w:ind w:left="1783" w:hanging="442"/>
        <w:jc w:val="left"/>
      </w:pPr>
      <w:rPr>
        <w:rFonts w:hint="default" w:ascii="Arial" w:hAnsi="Arial" w:eastAsia="Arial" w:cs="Arial"/>
        <w:b/>
        <w:bCs/>
        <w:i w:val="0"/>
        <w:iCs w:val="0"/>
        <w:spacing w:val="-2"/>
        <w:w w:val="90"/>
        <w:sz w:val="20"/>
        <w:szCs w:val="20"/>
        <w:u w:val="single" w:color="000000"/>
        <w:lang w:val="es-ES" w:eastAsia="en-US" w:bidi="ar-SA"/>
      </w:rPr>
    </w:lvl>
    <w:lvl w:ilvl="1">
      <w:start w:val="1"/>
      <w:numFmt w:val="decimal"/>
      <w:lvlText w:val="%1.%2."/>
      <w:lvlJc w:val="left"/>
      <w:pPr>
        <w:ind w:left="2049" w:hanging="534"/>
        <w:jc w:val="left"/>
      </w:pPr>
      <w:rPr>
        <w:rFonts w:hint="default"/>
        <w:spacing w:val="-2"/>
        <w:w w:val="99"/>
        <w:lang w:val="es-ES" w:eastAsia="en-US" w:bidi="ar-SA"/>
      </w:rPr>
    </w:lvl>
    <w:lvl w:ilvl="2">
      <w:start w:val="0"/>
      <w:numFmt w:val="bullet"/>
      <w:lvlText w:val="-"/>
      <w:lvlJc w:val="left"/>
      <w:pPr>
        <w:ind w:left="2421" w:hanging="534"/>
      </w:pPr>
      <w:rPr>
        <w:rFonts w:hint="default" w:ascii="Tahoma" w:hAnsi="Tahoma" w:eastAsia="Tahoma" w:cs="Tahoma"/>
        <w:b/>
        <w:bCs/>
        <w:i w:val="0"/>
        <w:iCs w:val="0"/>
        <w:spacing w:val="0"/>
        <w:w w:val="99"/>
        <w:sz w:val="20"/>
        <w:szCs w:val="20"/>
        <w:lang w:val="es-ES" w:eastAsia="en-US" w:bidi="ar-SA"/>
      </w:rPr>
    </w:lvl>
    <w:lvl w:ilvl="3">
      <w:start w:val="0"/>
      <w:numFmt w:val="bullet"/>
      <w:lvlText w:val="•"/>
      <w:lvlJc w:val="left"/>
      <w:pPr>
        <w:ind w:left="2420" w:hanging="534"/>
      </w:pPr>
      <w:rPr>
        <w:rFonts w:hint="default"/>
        <w:lang w:val="es-ES" w:eastAsia="en-US" w:bidi="ar-SA"/>
      </w:rPr>
    </w:lvl>
    <w:lvl w:ilvl="4">
      <w:start w:val="0"/>
      <w:numFmt w:val="bullet"/>
      <w:lvlText w:val="•"/>
      <w:lvlJc w:val="left"/>
      <w:pPr>
        <w:ind w:left="2540" w:hanging="534"/>
      </w:pPr>
      <w:rPr>
        <w:rFonts w:hint="default"/>
        <w:lang w:val="es-ES" w:eastAsia="en-US" w:bidi="ar-SA"/>
      </w:rPr>
    </w:lvl>
    <w:lvl w:ilvl="5">
      <w:start w:val="0"/>
      <w:numFmt w:val="bullet"/>
      <w:lvlText w:val="•"/>
      <w:lvlJc w:val="left"/>
      <w:pPr>
        <w:ind w:left="3981" w:hanging="534"/>
      </w:pPr>
      <w:rPr>
        <w:rFonts w:hint="default"/>
        <w:lang w:val="es-ES" w:eastAsia="en-US" w:bidi="ar-SA"/>
      </w:rPr>
    </w:lvl>
    <w:lvl w:ilvl="6">
      <w:start w:val="0"/>
      <w:numFmt w:val="bullet"/>
      <w:lvlText w:val="•"/>
      <w:lvlJc w:val="left"/>
      <w:pPr>
        <w:ind w:left="5422" w:hanging="534"/>
      </w:pPr>
      <w:rPr>
        <w:rFonts w:hint="default"/>
        <w:lang w:val="es-ES" w:eastAsia="en-US" w:bidi="ar-SA"/>
      </w:rPr>
    </w:lvl>
    <w:lvl w:ilvl="7">
      <w:start w:val="0"/>
      <w:numFmt w:val="bullet"/>
      <w:lvlText w:val="•"/>
      <w:lvlJc w:val="left"/>
      <w:pPr>
        <w:ind w:left="6863" w:hanging="534"/>
      </w:pPr>
      <w:rPr>
        <w:rFonts w:hint="default"/>
        <w:lang w:val="es-ES" w:eastAsia="en-US" w:bidi="ar-SA"/>
      </w:rPr>
    </w:lvl>
    <w:lvl w:ilvl="8">
      <w:start w:val="0"/>
      <w:numFmt w:val="bullet"/>
      <w:lvlText w:val="•"/>
      <w:lvlJc w:val="left"/>
      <w:pPr>
        <w:ind w:left="8304" w:hanging="534"/>
      </w:pPr>
      <w:rPr>
        <w:rFonts w:hint="default"/>
        <w:lang w:val="es-ES" w:eastAsia="en-US" w:bidi="ar-SA"/>
      </w:rPr>
    </w:lvl>
  </w:abstractNum>
  <w:abstractNum w:abstractNumId="21">
    <w:multiLevelType w:val="hybridMultilevel"/>
    <w:lvl w:ilvl="0">
      <w:start w:val="12"/>
      <w:numFmt w:val="decimal"/>
      <w:lvlText w:val="%1"/>
      <w:lvlJc w:val="left"/>
      <w:pPr>
        <w:ind w:left="2409" w:hanging="500"/>
        <w:jc w:val="left"/>
      </w:pPr>
      <w:rPr>
        <w:rFonts w:hint="default"/>
        <w:lang w:val="es-ES" w:eastAsia="en-US" w:bidi="ar-SA"/>
      </w:rPr>
    </w:lvl>
    <w:lvl w:ilvl="1">
      <w:start w:val="2"/>
      <w:numFmt w:val="decimal"/>
      <w:lvlText w:val="%1.%2."/>
      <w:lvlJc w:val="left"/>
      <w:pPr>
        <w:ind w:left="2409" w:hanging="500"/>
        <w:jc w:val="right"/>
      </w:pPr>
      <w:rPr>
        <w:rFonts w:hint="default"/>
        <w:spacing w:val="-2"/>
        <w:w w:val="95"/>
        <w:lang w:val="es-ES" w:eastAsia="en-US" w:bidi="ar-SA"/>
      </w:rPr>
    </w:lvl>
    <w:lvl w:ilvl="2">
      <w:start w:val="0"/>
      <w:numFmt w:val="bullet"/>
      <w:lvlText w:val="•"/>
      <w:lvlJc w:val="left"/>
      <w:pPr>
        <w:ind w:left="4157" w:hanging="500"/>
      </w:pPr>
      <w:rPr>
        <w:rFonts w:hint="default"/>
        <w:lang w:val="es-ES" w:eastAsia="en-US" w:bidi="ar-SA"/>
      </w:rPr>
    </w:lvl>
    <w:lvl w:ilvl="3">
      <w:start w:val="0"/>
      <w:numFmt w:val="bullet"/>
      <w:lvlText w:val="•"/>
      <w:lvlJc w:val="left"/>
      <w:pPr>
        <w:ind w:left="5035" w:hanging="500"/>
      </w:pPr>
      <w:rPr>
        <w:rFonts w:hint="default"/>
        <w:lang w:val="es-ES" w:eastAsia="en-US" w:bidi="ar-SA"/>
      </w:rPr>
    </w:lvl>
    <w:lvl w:ilvl="4">
      <w:start w:val="0"/>
      <w:numFmt w:val="bullet"/>
      <w:lvlText w:val="•"/>
      <w:lvlJc w:val="left"/>
      <w:pPr>
        <w:ind w:left="5914" w:hanging="500"/>
      </w:pPr>
      <w:rPr>
        <w:rFonts w:hint="default"/>
        <w:lang w:val="es-ES" w:eastAsia="en-US" w:bidi="ar-SA"/>
      </w:rPr>
    </w:lvl>
    <w:lvl w:ilvl="5">
      <w:start w:val="0"/>
      <w:numFmt w:val="bullet"/>
      <w:lvlText w:val="•"/>
      <w:lvlJc w:val="left"/>
      <w:pPr>
        <w:ind w:left="6793" w:hanging="500"/>
      </w:pPr>
      <w:rPr>
        <w:rFonts w:hint="default"/>
        <w:lang w:val="es-ES" w:eastAsia="en-US" w:bidi="ar-SA"/>
      </w:rPr>
    </w:lvl>
    <w:lvl w:ilvl="6">
      <w:start w:val="0"/>
      <w:numFmt w:val="bullet"/>
      <w:lvlText w:val="•"/>
      <w:lvlJc w:val="left"/>
      <w:pPr>
        <w:ind w:left="7671" w:hanging="500"/>
      </w:pPr>
      <w:rPr>
        <w:rFonts w:hint="default"/>
        <w:lang w:val="es-ES" w:eastAsia="en-US" w:bidi="ar-SA"/>
      </w:rPr>
    </w:lvl>
    <w:lvl w:ilvl="7">
      <w:start w:val="0"/>
      <w:numFmt w:val="bullet"/>
      <w:lvlText w:val="•"/>
      <w:lvlJc w:val="left"/>
      <w:pPr>
        <w:ind w:left="8550" w:hanging="500"/>
      </w:pPr>
      <w:rPr>
        <w:rFonts w:hint="default"/>
        <w:lang w:val="es-ES" w:eastAsia="en-US" w:bidi="ar-SA"/>
      </w:rPr>
    </w:lvl>
    <w:lvl w:ilvl="8">
      <w:start w:val="0"/>
      <w:numFmt w:val="bullet"/>
      <w:lvlText w:val="•"/>
      <w:lvlJc w:val="left"/>
      <w:pPr>
        <w:ind w:left="9429" w:hanging="500"/>
      </w:pPr>
      <w:rPr>
        <w:rFonts w:hint="default"/>
        <w:lang w:val="es-ES" w:eastAsia="en-US" w:bidi="ar-SA"/>
      </w:rPr>
    </w:lvl>
  </w:abstractNum>
  <w:abstractNum w:abstractNumId="20">
    <w:multiLevelType w:val="hybridMultilevel"/>
    <w:lvl w:ilvl="0">
      <w:start w:val="10"/>
      <w:numFmt w:val="decimal"/>
      <w:lvlText w:val="%1"/>
      <w:lvlJc w:val="left"/>
      <w:pPr>
        <w:ind w:left="1728" w:hanging="387"/>
        <w:jc w:val="left"/>
      </w:pPr>
      <w:rPr>
        <w:rFonts w:hint="default" w:ascii="Arial" w:hAnsi="Arial" w:eastAsia="Arial" w:cs="Arial"/>
        <w:b/>
        <w:bCs/>
        <w:i w:val="0"/>
        <w:iCs w:val="0"/>
        <w:spacing w:val="-2"/>
        <w:w w:val="99"/>
        <w:sz w:val="20"/>
        <w:szCs w:val="20"/>
        <w:u w:val="single" w:color="000000"/>
        <w:lang w:val="es-ES" w:eastAsia="en-US" w:bidi="ar-SA"/>
      </w:rPr>
    </w:lvl>
    <w:lvl w:ilvl="1">
      <w:start w:val="12"/>
      <w:numFmt w:val="decimal"/>
      <w:lvlText w:val="%2."/>
      <w:lvlJc w:val="left"/>
      <w:pPr>
        <w:ind w:left="1975" w:hanging="277"/>
        <w:jc w:val="left"/>
      </w:pPr>
      <w:rPr>
        <w:rFonts w:hint="default" w:ascii="Arial" w:hAnsi="Arial" w:eastAsia="Arial" w:cs="Arial"/>
        <w:b/>
        <w:bCs/>
        <w:i w:val="0"/>
        <w:iCs w:val="0"/>
        <w:spacing w:val="-2"/>
        <w:w w:val="99"/>
        <w:sz w:val="18"/>
        <w:szCs w:val="18"/>
        <w:u w:val="single" w:color="000000"/>
        <w:lang w:val="es-ES" w:eastAsia="en-US" w:bidi="ar-SA"/>
      </w:rPr>
    </w:lvl>
    <w:lvl w:ilvl="2">
      <w:start w:val="1"/>
      <w:numFmt w:val="decimal"/>
      <w:lvlText w:val="%2.%3"/>
      <w:lvlJc w:val="left"/>
      <w:pPr>
        <w:ind w:left="2019" w:hanging="396"/>
        <w:jc w:val="left"/>
      </w:pPr>
      <w:rPr>
        <w:rFonts w:hint="default" w:ascii="Arial" w:hAnsi="Arial" w:eastAsia="Arial" w:cs="Arial"/>
        <w:b w:val="0"/>
        <w:bCs w:val="0"/>
        <w:i w:val="0"/>
        <w:iCs w:val="0"/>
        <w:spacing w:val="-2"/>
        <w:w w:val="99"/>
        <w:sz w:val="18"/>
        <w:szCs w:val="18"/>
        <w:lang w:val="es-ES" w:eastAsia="en-US" w:bidi="ar-SA"/>
      </w:rPr>
    </w:lvl>
    <w:lvl w:ilvl="3">
      <w:start w:val="0"/>
      <w:numFmt w:val="bullet"/>
      <w:lvlText w:val="•"/>
      <w:lvlJc w:val="left"/>
      <w:pPr>
        <w:ind w:left="3165" w:hanging="396"/>
      </w:pPr>
      <w:rPr>
        <w:rFonts w:hint="default"/>
        <w:lang w:val="es-ES" w:eastAsia="en-US" w:bidi="ar-SA"/>
      </w:rPr>
    </w:lvl>
    <w:lvl w:ilvl="4">
      <w:start w:val="0"/>
      <w:numFmt w:val="bullet"/>
      <w:lvlText w:val="•"/>
      <w:lvlJc w:val="left"/>
      <w:pPr>
        <w:ind w:left="4311" w:hanging="396"/>
      </w:pPr>
      <w:rPr>
        <w:rFonts w:hint="default"/>
        <w:lang w:val="es-ES" w:eastAsia="en-US" w:bidi="ar-SA"/>
      </w:rPr>
    </w:lvl>
    <w:lvl w:ilvl="5">
      <w:start w:val="0"/>
      <w:numFmt w:val="bullet"/>
      <w:lvlText w:val="•"/>
      <w:lvlJc w:val="left"/>
      <w:pPr>
        <w:ind w:left="5457" w:hanging="396"/>
      </w:pPr>
      <w:rPr>
        <w:rFonts w:hint="default"/>
        <w:lang w:val="es-ES" w:eastAsia="en-US" w:bidi="ar-SA"/>
      </w:rPr>
    </w:lvl>
    <w:lvl w:ilvl="6">
      <w:start w:val="0"/>
      <w:numFmt w:val="bullet"/>
      <w:lvlText w:val="•"/>
      <w:lvlJc w:val="left"/>
      <w:pPr>
        <w:ind w:left="6603" w:hanging="396"/>
      </w:pPr>
      <w:rPr>
        <w:rFonts w:hint="default"/>
        <w:lang w:val="es-ES" w:eastAsia="en-US" w:bidi="ar-SA"/>
      </w:rPr>
    </w:lvl>
    <w:lvl w:ilvl="7">
      <w:start w:val="0"/>
      <w:numFmt w:val="bullet"/>
      <w:lvlText w:val="•"/>
      <w:lvlJc w:val="left"/>
      <w:pPr>
        <w:ind w:left="7749" w:hanging="396"/>
      </w:pPr>
      <w:rPr>
        <w:rFonts w:hint="default"/>
        <w:lang w:val="es-ES" w:eastAsia="en-US" w:bidi="ar-SA"/>
      </w:rPr>
    </w:lvl>
    <w:lvl w:ilvl="8">
      <w:start w:val="0"/>
      <w:numFmt w:val="bullet"/>
      <w:lvlText w:val="•"/>
      <w:lvlJc w:val="left"/>
      <w:pPr>
        <w:ind w:left="8894" w:hanging="396"/>
      </w:pPr>
      <w:rPr>
        <w:rFonts w:hint="default"/>
        <w:lang w:val="es-ES" w:eastAsia="en-US" w:bidi="ar-SA"/>
      </w:rPr>
    </w:lvl>
  </w:abstractNum>
  <w:abstractNum w:abstractNumId="19">
    <w:multiLevelType w:val="hybridMultilevel"/>
    <w:lvl w:ilvl="0">
      <w:start w:val="1"/>
      <w:numFmt w:val="lowerLetter"/>
      <w:lvlText w:val="%1)"/>
      <w:lvlJc w:val="left"/>
      <w:pPr>
        <w:ind w:left="2128" w:hanging="360"/>
        <w:jc w:val="left"/>
      </w:pPr>
      <w:rPr>
        <w:rFonts w:hint="default" w:ascii="Tahoma" w:hAnsi="Tahoma" w:eastAsia="Tahoma" w:cs="Tahoma"/>
        <w:b w:val="0"/>
        <w:bCs w:val="0"/>
        <w:i w:val="0"/>
        <w:iCs w:val="0"/>
        <w:spacing w:val="0"/>
        <w:w w:val="99"/>
        <w:sz w:val="20"/>
        <w:szCs w:val="20"/>
        <w:lang w:val="es-ES" w:eastAsia="en-US" w:bidi="ar-SA"/>
      </w:rPr>
    </w:lvl>
    <w:lvl w:ilvl="1">
      <w:start w:val="1"/>
      <w:numFmt w:val="decimal"/>
      <w:lvlText w:val="%2)"/>
      <w:lvlJc w:val="left"/>
      <w:pPr>
        <w:ind w:left="2050" w:hanging="282"/>
        <w:jc w:val="right"/>
      </w:pPr>
      <w:rPr>
        <w:rFonts w:hint="default" w:ascii="Arial" w:hAnsi="Arial" w:eastAsia="Arial" w:cs="Arial"/>
        <w:b w:val="0"/>
        <w:bCs w:val="0"/>
        <w:i w:val="0"/>
        <w:iCs w:val="0"/>
        <w:spacing w:val="-4"/>
        <w:w w:val="99"/>
        <w:sz w:val="20"/>
        <w:szCs w:val="20"/>
        <w:lang w:val="es-ES" w:eastAsia="en-US" w:bidi="ar-SA"/>
      </w:rPr>
    </w:lvl>
    <w:lvl w:ilvl="2">
      <w:start w:val="0"/>
      <w:numFmt w:val="bullet"/>
      <w:lvlText w:val="•"/>
      <w:lvlJc w:val="left"/>
      <w:pPr>
        <w:ind w:left="3127" w:hanging="282"/>
      </w:pPr>
      <w:rPr>
        <w:rFonts w:hint="default"/>
        <w:lang w:val="es-ES" w:eastAsia="en-US" w:bidi="ar-SA"/>
      </w:rPr>
    </w:lvl>
    <w:lvl w:ilvl="3">
      <w:start w:val="0"/>
      <w:numFmt w:val="bullet"/>
      <w:lvlText w:val="•"/>
      <w:lvlJc w:val="left"/>
      <w:pPr>
        <w:ind w:left="4134" w:hanging="282"/>
      </w:pPr>
      <w:rPr>
        <w:rFonts w:hint="default"/>
        <w:lang w:val="es-ES" w:eastAsia="en-US" w:bidi="ar-SA"/>
      </w:rPr>
    </w:lvl>
    <w:lvl w:ilvl="4">
      <w:start w:val="0"/>
      <w:numFmt w:val="bullet"/>
      <w:lvlText w:val="•"/>
      <w:lvlJc w:val="left"/>
      <w:pPr>
        <w:ind w:left="5142" w:hanging="282"/>
      </w:pPr>
      <w:rPr>
        <w:rFonts w:hint="default"/>
        <w:lang w:val="es-ES" w:eastAsia="en-US" w:bidi="ar-SA"/>
      </w:rPr>
    </w:lvl>
    <w:lvl w:ilvl="5">
      <w:start w:val="0"/>
      <w:numFmt w:val="bullet"/>
      <w:lvlText w:val="•"/>
      <w:lvlJc w:val="left"/>
      <w:pPr>
        <w:ind w:left="6149" w:hanging="282"/>
      </w:pPr>
      <w:rPr>
        <w:rFonts w:hint="default"/>
        <w:lang w:val="es-ES" w:eastAsia="en-US" w:bidi="ar-SA"/>
      </w:rPr>
    </w:lvl>
    <w:lvl w:ilvl="6">
      <w:start w:val="0"/>
      <w:numFmt w:val="bullet"/>
      <w:lvlText w:val="•"/>
      <w:lvlJc w:val="left"/>
      <w:pPr>
        <w:ind w:left="7156" w:hanging="282"/>
      </w:pPr>
      <w:rPr>
        <w:rFonts w:hint="default"/>
        <w:lang w:val="es-ES" w:eastAsia="en-US" w:bidi="ar-SA"/>
      </w:rPr>
    </w:lvl>
    <w:lvl w:ilvl="7">
      <w:start w:val="0"/>
      <w:numFmt w:val="bullet"/>
      <w:lvlText w:val="•"/>
      <w:lvlJc w:val="left"/>
      <w:pPr>
        <w:ind w:left="8164" w:hanging="282"/>
      </w:pPr>
      <w:rPr>
        <w:rFonts w:hint="default"/>
        <w:lang w:val="es-ES" w:eastAsia="en-US" w:bidi="ar-SA"/>
      </w:rPr>
    </w:lvl>
    <w:lvl w:ilvl="8">
      <w:start w:val="0"/>
      <w:numFmt w:val="bullet"/>
      <w:lvlText w:val="•"/>
      <w:lvlJc w:val="left"/>
      <w:pPr>
        <w:ind w:left="9171" w:hanging="282"/>
      </w:pPr>
      <w:rPr>
        <w:rFonts w:hint="default"/>
        <w:lang w:val="es-ES" w:eastAsia="en-US" w:bidi="ar-SA"/>
      </w:rPr>
    </w:lvl>
  </w:abstractNum>
  <w:abstractNum w:abstractNumId="18">
    <w:multiLevelType w:val="hybridMultilevel"/>
    <w:lvl w:ilvl="0">
      <w:start w:val="9"/>
      <w:numFmt w:val="decimal"/>
      <w:lvlText w:val="%1"/>
      <w:lvlJc w:val="left"/>
      <w:pPr>
        <w:ind w:left="2087" w:hanging="387"/>
        <w:jc w:val="left"/>
      </w:pPr>
      <w:rPr>
        <w:rFonts w:hint="default"/>
        <w:lang w:val="es-ES" w:eastAsia="en-US" w:bidi="ar-SA"/>
      </w:rPr>
    </w:lvl>
    <w:lvl w:ilvl="1">
      <w:start w:val="2"/>
      <w:numFmt w:val="decimal"/>
      <w:lvlText w:val="%1.%2"/>
      <w:lvlJc w:val="left"/>
      <w:pPr>
        <w:ind w:left="2087" w:hanging="387"/>
        <w:jc w:val="left"/>
      </w:pPr>
      <w:rPr>
        <w:rFonts w:hint="default" w:ascii="Arial" w:hAnsi="Arial" w:eastAsia="Arial" w:cs="Arial"/>
        <w:b w:val="0"/>
        <w:bCs w:val="0"/>
        <w:i w:val="0"/>
        <w:iCs w:val="0"/>
        <w:spacing w:val="-2"/>
        <w:w w:val="93"/>
        <w:sz w:val="20"/>
        <w:szCs w:val="20"/>
        <w:u w:val="single" w:color="000000"/>
        <w:lang w:val="es-ES" w:eastAsia="en-US" w:bidi="ar-SA"/>
      </w:rPr>
    </w:lvl>
    <w:lvl w:ilvl="2">
      <w:start w:val="0"/>
      <w:numFmt w:val="bullet"/>
      <w:lvlText w:val="•"/>
      <w:lvlJc w:val="left"/>
      <w:pPr>
        <w:ind w:left="3901" w:hanging="387"/>
      </w:pPr>
      <w:rPr>
        <w:rFonts w:hint="default"/>
        <w:lang w:val="es-ES" w:eastAsia="en-US" w:bidi="ar-SA"/>
      </w:rPr>
    </w:lvl>
    <w:lvl w:ilvl="3">
      <w:start w:val="0"/>
      <w:numFmt w:val="bullet"/>
      <w:lvlText w:val="•"/>
      <w:lvlJc w:val="left"/>
      <w:pPr>
        <w:ind w:left="4811" w:hanging="387"/>
      </w:pPr>
      <w:rPr>
        <w:rFonts w:hint="default"/>
        <w:lang w:val="es-ES" w:eastAsia="en-US" w:bidi="ar-SA"/>
      </w:rPr>
    </w:lvl>
    <w:lvl w:ilvl="4">
      <w:start w:val="0"/>
      <w:numFmt w:val="bullet"/>
      <w:lvlText w:val="•"/>
      <w:lvlJc w:val="left"/>
      <w:pPr>
        <w:ind w:left="5722" w:hanging="387"/>
      </w:pPr>
      <w:rPr>
        <w:rFonts w:hint="default"/>
        <w:lang w:val="es-ES" w:eastAsia="en-US" w:bidi="ar-SA"/>
      </w:rPr>
    </w:lvl>
    <w:lvl w:ilvl="5">
      <w:start w:val="0"/>
      <w:numFmt w:val="bullet"/>
      <w:lvlText w:val="•"/>
      <w:lvlJc w:val="left"/>
      <w:pPr>
        <w:ind w:left="6633" w:hanging="387"/>
      </w:pPr>
      <w:rPr>
        <w:rFonts w:hint="default"/>
        <w:lang w:val="es-ES" w:eastAsia="en-US" w:bidi="ar-SA"/>
      </w:rPr>
    </w:lvl>
    <w:lvl w:ilvl="6">
      <w:start w:val="0"/>
      <w:numFmt w:val="bullet"/>
      <w:lvlText w:val="•"/>
      <w:lvlJc w:val="left"/>
      <w:pPr>
        <w:ind w:left="7543" w:hanging="387"/>
      </w:pPr>
      <w:rPr>
        <w:rFonts w:hint="default"/>
        <w:lang w:val="es-ES" w:eastAsia="en-US" w:bidi="ar-SA"/>
      </w:rPr>
    </w:lvl>
    <w:lvl w:ilvl="7">
      <w:start w:val="0"/>
      <w:numFmt w:val="bullet"/>
      <w:lvlText w:val="•"/>
      <w:lvlJc w:val="left"/>
      <w:pPr>
        <w:ind w:left="8454" w:hanging="387"/>
      </w:pPr>
      <w:rPr>
        <w:rFonts w:hint="default"/>
        <w:lang w:val="es-ES" w:eastAsia="en-US" w:bidi="ar-SA"/>
      </w:rPr>
    </w:lvl>
    <w:lvl w:ilvl="8">
      <w:start w:val="0"/>
      <w:numFmt w:val="bullet"/>
      <w:lvlText w:val="•"/>
      <w:lvlJc w:val="left"/>
      <w:pPr>
        <w:ind w:left="9365" w:hanging="387"/>
      </w:pPr>
      <w:rPr>
        <w:rFonts w:hint="default"/>
        <w:lang w:val="es-ES" w:eastAsia="en-US" w:bidi="ar-SA"/>
      </w:rPr>
    </w:lvl>
  </w:abstractNum>
  <w:abstractNum w:abstractNumId="17">
    <w:multiLevelType w:val="hybridMultilevel"/>
    <w:lvl w:ilvl="0">
      <w:start w:val="1"/>
      <w:numFmt w:val="lowerLetter"/>
      <w:lvlText w:val="%1)"/>
      <w:lvlJc w:val="left"/>
      <w:pPr>
        <w:ind w:left="2155" w:hanging="361"/>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721" w:hanging="361"/>
      </w:pPr>
      <w:rPr>
        <w:rFonts w:hint="default" w:ascii="Symbol" w:hAnsi="Symbol" w:eastAsia="Symbol" w:cs="Symbol"/>
        <w:b w:val="0"/>
        <w:bCs w:val="0"/>
        <w:i w:val="0"/>
        <w:iCs w:val="0"/>
        <w:spacing w:val="0"/>
        <w:w w:val="99"/>
        <w:sz w:val="20"/>
        <w:szCs w:val="20"/>
        <w:lang w:val="es-ES" w:eastAsia="en-US" w:bidi="ar-SA"/>
      </w:rPr>
    </w:lvl>
    <w:lvl w:ilvl="2">
      <w:start w:val="1"/>
      <w:numFmt w:val="decimal"/>
      <w:lvlText w:val="%3."/>
      <w:lvlJc w:val="left"/>
      <w:pPr>
        <w:ind w:left="4101" w:hanging="361"/>
        <w:jc w:val="left"/>
      </w:pPr>
      <w:rPr>
        <w:rFonts w:hint="default" w:ascii="Arial" w:hAnsi="Arial" w:eastAsia="Arial" w:cs="Arial"/>
        <w:b w:val="0"/>
        <w:bCs w:val="0"/>
        <w:i w:val="0"/>
        <w:iCs w:val="0"/>
        <w:spacing w:val="-2"/>
        <w:w w:val="99"/>
        <w:sz w:val="20"/>
        <w:szCs w:val="20"/>
        <w:lang w:val="es-ES" w:eastAsia="en-US" w:bidi="ar-SA"/>
      </w:rPr>
    </w:lvl>
    <w:lvl w:ilvl="3">
      <w:start w:val="0"/>
      <w:numFmt w:val="bullet"/>
      <w:lvlText w:val="•"/>
      <w:lvlJc w:val="left"/>
      <w:pPr>
        <w:ind w:left="4985" w:hanging="361"/>
      </w:pPr>
      <w:rPr>
        <w:rFonts w:hint="default"/>
        <w:lang w:val="es-ES" w:eastAsia="en-US" w:bidi="ar-SA"/>
      </w:rPr>
    </w:lvl>
    <w:lvl w:ilvl="4">
      <w:start w:val="0"/>
      <w:numFmt w:val="bullet"/>
      <w:lvlText w:val="•"/>
      <w:lvlJc w:val="left"/>
      <w:pPr>
        <w:ind w:left="5871" w:hanging="361"/>
      </w:pPr>
      <w:rPr>
        <w:rFonts w:hint="default"/>
        <w:lang w:val="es-ES" w:eastAsia="en-US" w:bidi="ar-SA"/>
      </w:rPr>
    </w:lvl>
    <w:lvl w:ilvl="5">
      <w:start w:val="0"/>
      <w:numFmt w:val="bullet"/>
      <w:lvlText w:val="•"/>
      <w:lvlJc w:val="left"/>
      <w:pPr>
        <w:ind w:left="6757" w:hanging="361"/>
      </w:pPr>
      <w:rPr>
        <w:rFonts w:hint="default"/>
        <w:lang w:val="es-ES" w:eastAsia="en-US" w:bidi="ar-SA"/>
      </w:rPr>
    </w:lvl>
    <w:lvl w:ilvl="6">
      <w:start w:val="0"/>
      <w:numFmt w:val="bullet"/>
      <w:lvlText w:val="•"/>
      <w:lvlJc w:val="left"/>
      <w:pPr>
        <w:ind w:left="7643" w:hanging="361"/>
      </w:pPr>
      <w:rPr>
        <w:rFonts w:hint="default"/>
        <w:lang w:val="es-ES" w:eastAsia="en-US" w:bidi="ar-SA"/>
      </w:rPr>
    </w:lvl>
    <w:lvl w:ilvl="7">
      <w:start w:val="0"/>
      <w:numFmt w:val="bullet"/>
      <w:lvlText w:val="•"/>
      <w:lvlJc w:val="left"/>
      <w:pPr>
        <w:ind w:left="8529" w:hanging="361"/>
      </w:pPr>
      <w:rPr>
        <w:rFonts w:hint="default"/>
        <w:lang w:val="es-ES" w:eastAsia="en-US" w:bidi="ar-SA"/>
      </w:rPr>
    </w:lvl>
    <w:lvl w:ilvl="8">
      <w:start w:val="0"/>
      <w:numFmt w:val="bullet"/>
      <w:lvlText w:val="•"/>
      <w:lvlJc w:val="left"/>
      <w:pPr>
        <w:ind w:left="9414" w:hanging="361"/>
      </w:pPr>
      <w:rPr>
        <w:rFonts w:hint="default"/>
        <w:lang w:val="es-ES" w:eastAsia="en-US" w:bidi="ar-SA"/>
      </w:rPr>
    </w:lvl>
  </w:abstractNum>
  <w:abstractNum w:abstractNumId="16">
    <w:multiLevelType w:val="hybridMultilevel"/>
    <w:lvl w:ilvl="0">
      <w:start w:val="1"/>
      <w:numFmt w:val="lowerLetter"/>
      <w:lvlText w:val="%1)"/>
      <w:lvlJc w:val="left"/>
      <w:pPr>
        <w:ind w:left="1908" w:hanging="284"/>
        <w:jc w:val="left"/>
      </w:pPr>
      <w:rPr>
        <w:rFonts w:hint="default" w:ascii="Tahoma" w:hAnsi="Tahoma" w:eastAsia="Tahoma" w:cs="Tahoma"/>
        <w:b w:val="0"/>
        <w:bCs w:val="0"/>
        <w:i w:val="0"/>
        <w:iCs w:val="0"/>
        <w:spacing w:val="0"/>
        <w:w w:val="99"/>
        <w:sz w:val="20"/>
        <w:szCs w:val="20"/>
        <w:lang w:val="es-ES" w:eastAsia="en-US" w:bidi="ar-SA"/>
      </w:rPr>
    </w:lvl>
    <w:lvl w:ilvl="1">
      <w:start w:val="1"/>
      <w:numFmt w:val="decimal"/>
      <w:lvlText w:val="%1.%2)"/>
      <w:lvlJc w:val="left"/>
      <w:pPr>
        <w:ind w:left="1908" w:hanging="454"/>
        <w:jc w:val="left"/>
      </w:pPr>
      <w:rPr>
        <w:rFonts w:hint="default" w:ascii="Arial" w:hAnsi="Arial" w:eastAsia="Arial" w:cs="Arial"/>
        <w:b w:val="0"/>
        <w:bCs w:val="0"/>
        <w:i w:val="0"/>
        <w:iCs w:val="0"/>
        <w:spacing w:val="-2"/>
        <w:w w:val="99"/>
        <w:sz w:val="20"/>
        <w:szCs w:val="20"/>
        <w:lang w:val="es-ES" w:eastAsia="en-US" w:bidi="ar-SA"/>
      </w:rPr>
    </w:lvl>
    <w:lvl w:ilvl="2">
      <w:start w:val="0"/>
      <w:numFmt w:val="bullet"/>
      <w:lvlText w:val="•"/>
      <w:lvlJc w:val="left"/>
      <w:pPr>
        <w:ind w:left="3757" w:hanging="454"/>
      </w:pPr>
      <w:rPr>
        <w:rFonts w:hint="default"/>
        <w:lang w:val="es-ES" w:eastAsia="en-US" w:bidi="ar-SA"/>
      </w:rPr>
    </w:lvl>
    <w:lvl w:ilvl="3">
      <w:start w:val="0"/>
      <w:numFmt w:val="bullet"/>
      <w:lvlText w:val="•"/>
      <w:lvlJc w:val="left"/>
      <w:pPr>
        <w:ind w:left="4685" w:hanging="454"/>
      </w:pPr>
      <w:rPr>
        <w:rFonts w:hint="default"/>
        <w:lang w:val="es-ES" w:eastAsia="en-US" w:bidi="ar-SA"/>
      </w:rPr>
    </w:lvl>
    <w:lvl w:ilvl="4">
      <w:start w:val="0"/>
      <w:numFmt w:val="bullet"/>
      <w:lvlText w:val="•"/>
      <w:lvlJc w:val="left"/>
      <w:pPr>
        <w:ind w:left="5614" w:hanging="454"/>
      </w:pPr>
      <w:rPr>
        <w:rFonts w:hint="default"/>
        <w:lang w:val="es-ES" w:eastAsia="en-US" w:bidi="ar-SA"/>
      </w:rPr>
    </w:lvl>
    <w:lvl w:ilvl="5">
      <w:start w:val="0"/>
      <w:numFmt w:val="bullet"/>
      <w:lvlText w:val="•"/>
      <w:lvlJc w:val="left"/>
      <w:pPr>
        <w:ind w:left="6543" w:hanging="454"/>
      </w:pPr>
      <w:rPr>
        <w:rFonts w:hint="default"/>
        <w:lang w:val="es-ES" w:eastAsia="en-US" w:bidi="ar-SA"/>
      </w:rPr>
    </w:lvl>
    <w:lvl w:ilvl="6">
      <w:start w:val="0"/>
      <w:numFmt w:val="bullet"/>
      <w:lvlText w:val="•"/>
      <w:lvlJc w:val="left"/>
      <w:pPr>
        <w:ind w:left="7471" w:hanging="454"/>
      </w:pPr>
      <w:rPr>
        <w:rFonts w:hint="default"/>
        <w:lang w:val="es-ES" w:eastAsia="en-US" w:bidi="ar-SA"/>
      </w:rPr>
    </w:lvl>
    <w:lvl w:ilvl="7">
      <w:start w:val="0"/>
      <w:numFmt w:val="bullet"/>
      <w:lvlText w:val="•"/>
      <w:lvlJc w:val="left"/>
      <w:pPr>
        <w:ind w:left="8400" w:hanging="454"/>
      </w:pPr>
      <w:rPr>
        <w:rFonts w:hint="default"/>
        <w:lang w:val="es-ES" w:eastAsia="en-US" w:bidi="ar-SA"/>
      </w:rPr>
    </w:lvl>
    <w:lvl w:ilvl="8">
      <w:start w:val="0"/>
      <w:numFmt w:val="bullet"/>
      <w:lvlText w:val="•"/>
      <w:lvlJc w:val="left"/>
      <w:pPr>
        <w:ind w:left="9329" w:hanging="454"/>
      </w:pPr>
      <w:rPr>
        <w:rFonts w:hint="default"/>
        <w:lang w:val="es-ES" w:eastAsia="en-US" w:bidi="ar-SA"/>
      </w:rPr>
    </w:lvl>
  </w:abstractNum>
  <w:abstractNum w:abstractNumId="15">
    <w:multiLevelType w:val="hybridMultilevel"/>
    <w:lvl w:ilvl="0">
      <w:start w:val="1"/>
      <w:numFmt w:val="lowerLetter"/>
      <w:lvlText w:val="%1)"/>
      <w:lvlJc w:val="left"/>
      <w:pPr>
        <w:ind w:left="3000" w:hanging="361"/>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3818" w:hanging="361"/>
      </w:pPr>
      <w:rPr>
        <w:rFonts w:hint="default"/>
        <w:lang w:val="es-ES" w:eastAsia="en-US" w:bidi="ar-SA"/>
      </w:rPr>
    </w:lvl>
    <w:lvl w:ilvl="2">
      <w:start w:val="0"/>
      <w:numFmt w:val="bullet"/>
      <w:lvlText w:val="•"/>
      <w:lvlJc w:val="left"/>
      <w:pPr>
        <w:ind w:left="4637" w:hanging="361"/>
      </w:pPr>
      <w:rPr>
        <w:rFonts w:hint="default"/>
        <w:lang w:val="es-ES" w:eastAsia="en-US" w:bidi="ar-SA"/>
      </w:rPr>
    </w:lvl>
    <w:lvl w:ilvl="3">
      <w:start w:val="0"/>
      <w:numFmt w:val="bullet"/>
      <w:lvlText w:val="•"/>
      <w:lvlJc w:val="left"/>
      <w:pPr>
        <w:ind w:left="5455" w:hanging="361"/>
      </w:pPr>
      <w:rPr>
        <w:rFonts w:hint="default"/>
        <w:lang w:val="es-ES" w:eastAsia="en-US" w:bidi="ar-SA"/>
      </w:rPr>
    </w:lvl>
    <w:lvl w:ilvl="4">
      <w:start w:val="0"/>
      <w:numFmt w:val="bullet"/>
      <w:lvlText w:val="•"/>
      <w:lvlJc w:val="left"/>
      <w:pPr>
        <w:ind w:left="6274" w:hanging="361"/>
      </w:pPr>
      <w:rPr>
        <w:rFonts w:hint="default"/>
        <w:lang w:val="es-ES" w:eastAsia="en-US" w:bidi="ar-SA"/>
      </w:rPr>
    </w:lvl>
    <w:lvl w:ilvl="5">
      <w:start w:val="0"/>
      <w:numFmt w:val="bullet"/>
      <w:lvlText w:val="•"/>
      <w:lvlJc w:val="left"/>
      <w:pPr>
        <w:ind w:left="7093" w:hanging="361"/>
      </w:pPr>
      <w:rPr>
        <w:rFonts w:hint="default"/>
        <w:lang w:val="es-ES" w:eastAsia="en-US" w:bidi="ar-SA"/>
      </w:rPr>
    </w:lvl>
    <w:lvl w:ilvl="6">
      <w:start w:val="0"/>
      <w:numFmt w:val="bullet"/>
      <w:lvlText w:val="•"/>
      <w:lvlJc w:val="left"/>
      <w:pPr>
        <w:ind w:left="7911" w:hanging="361"/>
      </w:pPr>
      <w:rPr>
        <w:rFonts w:hint="default"/>
        <w:lang w:val="es-ES" w:eastAsia="en-US" w:bidi="ar-SA"/>
      </w:rPr>
    </w:lvl>
    <w:lvl w:ilvl="7">
      <w:start w:val="0"/>
      <w:numFmt w:val="bullet"/>
      <w:lvlText w:val="•"/>
      <w:lvlJc w:val="left"/>
      <w:pPr>
        <w:ind w:left="8730" w:hanging="361"/>
      </w:pPr>
      <w:rPr>
        <w:rFonts w:hint="default"/>
        <w:lang w:val="es-ES" w:eastAsia="en-US" w:bidi="ar-SA"/>
      </w:rPr>
    </w:lvl>
    <w:lvl w:ilvl="8">
      <w:start w:val="0"/>
      <w:numFmt w:val="bullet"/>
      <w:lvlText w:val="•"/>
      <w:lvlJc w:val="left"/>
      <w:pPr>
        <w:ind w:left="9549" w:hanging="361"/>
      </w:pPr>
      <w:rPr>
        <w:rFonts w:hint="default"/>
        <w:lang w:val="es-ES" w:eastAsia="en-US" w:bidi="ar-SA"/>
      </w:rPr>
    </w:lvl>
  </w:abstractNum>
  <w:abstractNum w:abstractNumId="14">
    <w:multiLevelType w:val="hybridMultilevel"/>
    <w:lvl w:ilvl="0">
      <w:start w:val="1"/>
      <w:numFmt w:val="lowerLetter"/>
      <w:lvlText w:val="%1)"/>
      <w:lvlJc w:val="left"/>
      <w:pPr>
        <w:ind w:left="3000" w:hanging="361"/>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3818" w:hanging="361"/>
      </w:pPr>
      <w:rPr>
        <w:rFonts w:hint="default"/>
        <w:lang w:val="es-ES" w:eastAsia="en-US" w:bidi="ar-SA"/>
      </w:rPr>
    </w:lvl>
    <w:lvl w:ilvl="2">
      <w:start w:val="0"/>
      <w:numFmt w:val="bullet"/>
      <w:lvlText w:val="•"/>
      <w:lvlJc w:val="left"/>
      <w:pPr>
        <w:ind w:left="4637" w:hanging="361"/>
      </w:pPr>
      <w:rPr>
        <w:rFonts w:hint="default"/>
        <w:lang w:val="es-ES" w:eastAsia="en-US" w:bidi="ar-SA"/>
      </w:rPr>
    </w:lvl>
    <w:lvl w:ilvl="3">
      <w:start w:val="0"/>
      <w:numFmt w:val="bullet"/>
      <w:lvlText w:val="•"/>
      <w:lvlJc w:val="left"/>
      <w:pPr>
        <w:ind w:left="5455" w:hanging="361"/>
      </w:pPr>
      <w:rPr>
        <w:rFonts w:hint="default"/>
        <w:lang w:val="es-ES" w:eastAsia="en-US" w:bidi="ar-SA"/>
      </w:rPr>
    </w:lvl>
    <w:lvl w:ilvl="4">
      <w:start w:val="0"/>
      <w:numFmt w:val="bullet"/>
      <w:lvlText w:val="•"/>
      <w:lvlJc w:val="left"/>
      <w:pPr>
        <w:ind w:left="6274" w:hanging="361"/>
      </w:pPr>
      <w:rPr>
        <w:rFonts w:hint="default"/>
        <w:lang w:val="es-ES" w:eastAsia="en-US" w:bidi="ar-SA"/>
      </w:rPr>
    </w:lvl>
    <w:lvl w:ilvl="5">
      <w:start w:val="0"/>
      <w:numFmt w:val="bullet"/>
      <w:lvlText w:val="•"/>
      <w:lvlJc w:val="left"/>
      <w:pPr>
        <w:ind w:left="7093" w:hanging="361"/>
      </w:pPr>
      <w:rPr>
        <w:rFonts w:hint="default"/>
        <w:lang w:val="es-ES" w:eastAsia="en-US" w:bidi="ar-SA"/>
      </w:rPr>
    </w:lvl>
    <w:lvl w:ilvl="6">
      <w:start w:val="0"/>
      <w:numFmt w:val="bullet"/>
      <w:lvlText w:val="•"/>
      <w:lvlJc w:val="left"/>
      <w:pPr>
        <w:ind w:left="7911" w:hanging="361"/>
      </w:pPr>
      <w:rPr>
        <w:rFonts w:hint="default"/>
        <w:lang w:val="es-ES" w:eastAsia="en-US" w:bidi="ar-SA"/>
      </w:rPr>
    </w:lvl>
    <w:lvl w:ilvl="7">
      <w:start w:val="0"/>
      <w:numFmt w:val="bullet"/>
      <w:lvlText w:val="•"/>
      <w:lvlJc w:val="left"/>
      <w:pPr>
        <w:ind w:left="8730" w:hanging="361"/>
      </w:pPr>
      <w:rPr>
        <w:rFonts w:hint="default"/>
        <w:lang w:val="es-ES" w:eastAsia="en-US" w:bidi="ar-SA"/>
      </w:rPr>
    </w:lvl>
    <w:lvl w:ilvl="8">
      <w:start w:val="0"/>
      <w:numFmt w:val="bullet"/>
      <w:lvlText w:val="•"/>
      <w:lvlJc w:val="left"/>
      <w:pPr>
        <w:ind w:left="9549" w:hanging="361"/>
      </w:pPr>
      <w:rPr>
        <w:rFonts w:hint="default"/>
        <w:lang w:val="es-ES" w:eastAsia="en-US" w:bidi="ar-SA"/>
      </w:rPr>
    </w:lvl>
  </w:abstractNum>
  <w:abstractNum w:abstractNumId="13">
    <w:multiLevelType w:val="hybridMultilevel"/>
    <w:lvl w:ilvl="0">
      <w:start w:val="1"/>
      <w:numFmt w:val="lowerLetter"/>
      <w:lvlText w:val="%1)"/>
      <w:lvlJc w:val="left"/>
      <w:pPr>
        <w:ind w:left="1768" w:hanging="253"/>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2702" w:hanging="253"/>
      </w:pPr>
      <w:rPr>
        <w:rFonts w:hint="default"/>
        <w:lang w:val="es-ES" w:eastAsia="en-US" w:bidi="ar-SA"/>
      </w:rPr>
    </w:lvl>
    <w:lvl w:ilvl="2">
      <w:start w:val="0"/>
      <w:numFmt w:val="bullet"/>
      <w:lvlText w:val="•"/>
      <w:lvlJc w:val="left"/>
      <w:pPr>
        <w:ind w:left="3645" w:hanging="253"/>
      </w:pPr>
      <w:rPr>
        <w:rFonts w:hint="default"/>
        <w:lang w:val="es-ES" w:eastAsia="en-US" w:bidi="ar-SA"/>
      </w:rPr>
    </w:lvl>
    <w:lvl w:ilvl="3">
      <w:start w:val="0"/>
      <w:numFmt w:val="bullet"/>
      <w:lvlText w:val="•"/>
      <w:lvlJc w:val="left"/>
      <w:pPr>
        <w:ind w:left="4587" w:hanging="253"/>
      </w:pPr>
      <w:rPr>
        <w:rFonts w:hint="default"/>
        <w:lang w:val="es-ES" w:eastAsia="en-US" w:bidi="ar-SA"/>
      </w:rPr>
    </w:lvl>
    <w:lvl w:ilvl="4">
      <w:start w:val="0"/>
      <w:numFmt w:val="bullet"/>
      <w:lvlText w:val="•"/>
      <w:lvlJc w:val="left"/>
      <w:pPr>
        <w:ind w:left="5530" w:hanging="253"/>
      </w:pPr>
      <w:rPr>
        <w:rFonts w:hint="default"/>
        <w:lang w:val="es-ES" w:eastAsia="en-US" w:bidi="ar-SA"/>
      </w:rPr>
    </w:lvl>
    <w:lvl w:ilvl="5">
      <w:start w:val="0"/>
      <w:numFmt w:val="bullet"/>
      <w:lvlText w:val="•"/>
      <w:lvlJc w:val="left"/>
      <w:pPr>
        <w:ind w:left="6473" w:hanging="253"/>
      </w:pPr>
      <w:rPr>
        <w:rFonts w:hint="default"/>
        <w:lang w:val="es-ES" w:eastAsia="en-US" w:bidi="ar-SA"/>
      </w:rPr>
    </w:lvl>
    <w:lvl w:ilvl="6">
      <w:start w:val="0"/>
      <w:numFmt w:val="bullet"/>
      <w:lvlText w:val="•"/>
      <w:lvlJc w:val="left"/>
      <w:pPr>
        <w:ind w:left="7415" w:hanging="253"/>
      </w:pPr>
      <w:rPr>
        <w:rFonts w:hint="default"/>
        <w:lang w:val="es-ES" w:eastAsia="en-US" w:bidi="ar-SA"/>
      </w:rPr>
    </w:lvl>
    <w:lvl w:ilvl="7">
      <w:start w:val="0"/>
      <w:numFmt w:val="bullet"/>
      <w:lvlText w:val="•"/>
      <w:lvlJc w:val="left"/>
      <w:pPr>
        <w:ind w:left="8358" w:hanging="253"/>
      </w:pPr>
      <w:rPr>
        <w:rFonts w:hint="default"/>
        <w:lang w:val="es-ES" w:eastAsia="en-US" w:bidi="ar-SA"/>
      </w:rPr>
    </w:lvl>
    <w:lvl w:ilvl="8">
      <w:start w:val="0"/>
      <w:numFmt w:val="bullet"/>
      <w:lvlText w:val="•"/>
      <w:lvlJc w:val="left"/>
      <w:pPr>
        <w:ind w:left="9301" w:hanging="253"/>
      </w:pPr>
      <w:rPr>
        <w:rFonts w:hint="default"/>
        <w:lang w:val="es-ES" w:eastAsia="en-US" w:bidi="ar-SA"/>
      </w:rPr>
    </w:lvl>
  </w:abstractNum>
  <w:abstractNum w:abstractNumId="12">
    <w:multiLevelType w:val="hybridMultilevel"/>
    <w:lvl w:ilvl="0">
      <w:start w:val="4"/>
      <w:numFmt w:val="decimal"/>
      <w:lvlText w:val="%1"/>
      <w:lvlJc w:val="left"/>
      <w:pPr>
        <w:ind w:left="2088" w:hanging="387"/>
        <w:jc w:val="left"/>
      </w:pPr>
      <w:rPr>
        <w:rFonts w:hint="default"/>
        <w:lang w:val="es-ES" w:eastAsia="en-US" w:bidi="ar-SA"/>
      </w:rPr>
    </w:lvl>
    <w:lvl w:ilvl="1">
      <w:start w:val="8"/>
      <w:numFmt w:val="decimal"/>
      <w:lvlText w:val="%1.%2."/>
      <w:lvlJc w:val="left"/>
      <w:pPr>
        <w:ind w:left="2088" w:hanging="387"/>
        <w:jc w:val="right"/>
      </w:pPr>
      <w:rPr>
        <w:rFonts w:hint="default"/>
        <w:spacing w:val="-2"/>
        <w:w w:val="94"/>
        <w:u w:val="single" w:color="000000"/>
        <w:lang w:val="es-ES" w:eastAsia="en-US" w:bidi="ar-SA"/>
      </w:rPr>
    </w:lvl>
    <w:lvl w:ilvl="2">
      <w:start w:val="1"/>
      <w:numFmt w:val="lowerRoman"/>
      <w:lvlText w:val="%3."/>
      <w:lvlJc w:val="left"/>
      <w:pPr>
        <w:ind w:left="2474" w:hanging="383"/>
        <w:jc w:val="right"/>
      </w:pPr>
      <w:rPr>
        <w:rFonts w:hint="default" w:ascii="Arial" w:hAnsi="Arial" w:eastAsia="Arial" w:cs="Arial"/>
        <w:b w:val="0"/>
        <w:bCs w:val="0"/>
        <w:i w:val="0"/>
        <w:iCs w:val="0"/>
        <w:spacing w:val="-1"/>
        <w:w w:val="99"/>
        <w:sz w:val="20"/>
        <w:szCs w:val="20"/>
        <w:lang w:val="es-ES" w:eastAsia="en-US" w:bidi="ar-SA"/>
      </w:rPr>
    </w:lvl>
    <w:lvl w:ilvl="3">
      <w:start w:val="0"/>
      <w:numFmt w:val="bullet"/>
      <w:lvlText w:val="•"/>
      <w:lvlJc w:val="left"/>
      <w:pPr>
        <w:ind w:left="4414" w:hanging="383"/>
      </w:pPr>
      <w:rPr>
        <w:rFonts w:hint="default"/>
        <w:lang w:val="es-ES" w:eastAsia="en-US" w:bidi="ar-SA"/>
      </w:rPr>
    </w:lvl>
    <w:lvl w:ilvl="4">
      <w:start w:val="0"/>
      <w:numFmt w:val="bullet"/>
      <w:lvlText w:val="•"/>
      <w:lvlJc w:val="left"/>
      <w:pPr>
        <w:ind w:left="5382" w:hanging="383"/>
      </w:pPr>
      <w:rPr>
        <w:rFonts w:hint="default"/>
        <w:lang w:val="es-ES" w:eastAsia="en-US" w:bidi="ar-SA"/>
      </w:rPr>
    </w:lvl>
    <w:lvl w:ilvl="5">
      <w:start w:val="0"/>
      <w:numFmt w:val="bullet"/>
      <w:lvlText w:val="•"/>
      <w:lvlJc w:val="left"/>
      <w:pPr>
        <w:ind w:left="6349" w:hanging="383"/>
      </w:pPr>
      <w:rPr>
        <w:rFonts w:hint="default"/>
        <w:lang w:val="es-ES" w:eastAsia="en-US" w:bidi="ar-SA"/>
      </w:rPr>
    </w:lvl>
    <w:lvl w:ilvl="6">
      <w:start w:val="0"/>
      <w:numFmt w:val="bullet"/>
      <w:lvlText w:val="•"/>
      <w:lvlJc w:val="left"/>
      <w:pPr>
        <w:ind w:left="7316" w:hanging="383"/>
      </w:pPr>
      <w:rPr>
        <w:rFonts w:hint="default"/>
        <w:lang w:val="es-ES" w:eastAsia="en-US" w:bidi="ar-SA"/>
      </w:rPr>
    </w:lvl>
    <w:lvl w:ilvl="7">
      <w:start w:val="0"/>
      <w:numFmt w:val="bullet"/>
      <w:lvlText w:val="•"/>
      <w:lvlJc w:val="left"/>
      <w:pPr>
        <w:ind w:left="8284" w:hanging="383"/>
      </w:pPr>
      <w:rPr>
        <w:rFonts w:hint="default"/>
        <w:lang w:val="es-ES" w:eastAsia="en-US" w:bidi="ar-SA"/>
      </w:rPr>
    </w:lvl>
    <w:lvl w:ilvl="8">
      <w:start w:val="0"/>
      <w:numFmt w:val="bullet"/>
      <w:lvlText w:val="•"/>
      <w:lvlJc w:val="left"/>
      <w:pPr>
        <w:ind w:left="9251" w:hanging="383"/>
      </w:pPr>
      <w:rPr>
        <w:rFonts w:hint="default"/>
        <w:lang w:val="es-ES" w:eastAsia="en-US" w:bidi="ar-SA"/>
      </w:rPr>
    </w:lvl>
  </w:abstractNum>
  <w:abstractNum w:abstractNumId="11">
    <w:multiLevelType w:val="hybridMultilevel"/>
    <w:lvl w:ilvl="0">
      <w:start w:val="1"/>
      <w:numFmt w:val="lowerLetter"/>
      <w:lvlText w:val="%1)"/>
      <w:lvlJc w:val="left"/>
      <w:pPr>
        <w:ind w:left="2762" w:hanging="361"/>
        <w:jc w:val="left"/>
      </w:pPr>
      <w:rPr>
        <w:rFonts w:hint="default" w:ascii="Arial" w:hAnsi="Arial" w:eastAsia="Arial" w:cs="Arial"/>
        <w:b w:val="0"/>
        <w:bCs w:val="0"/>
        <w:i w:val="0"/>
        <w:iCs w:val="0"/>
        <w:spacing w:val="-2"/>
        <w:w w:val="99"/>
        <w:sz w:val="20"/>
        <w:szCs w:val="20"/>
        <w:lang w:val="es-ES" w:eastAsia="en-US" w:bidi="ar-SA"/>
      </w:rPr>
    </w:lvl>
    <w:lvl w:ilvl="1">
      <w:start w:val="0"/>
      <w:numFmt w:val="bullet"/>
      <w:lvlText w:val="•"/>
      <w:lvlJc w:val="left"/>
      <w:pPr>
        <w:ind w:left="3602" w:hanging="361"/>
      </w:pPr>
      <w:rPr>
        <w:rFonts w:hint="default"/>
        <w:lang w:val="es-ES" w:eastAsia="en-US" w:bidi="ar-SA"/>
      </w:rPr>
    </w:lvl>
    <w:lvl w:ilvl="2">
      <w:start w:val="0"/>
      <w:numFmt w:val="bullet"/>
      <w:lvlText w:val="•"/>
      <w:lvlJc w:val="left"/>
      <w:pPr>
        <w:ind w:left="4445" w:hanging="361"/>
      </w:pPr>
      <w:rPr>
        <w:rFonts w:hint="default"/>
        <w:lang w:val="es-ES" w:eastAsia="en-US" w:bidi="ar-SA"/>
      </w:rPr>
    </w:lvl>
    <w:lvl w:ilvl="3">
      <w:start w:val="0"/>
      <w:numFmt w:val="bullet"/>
      <w:lvlText w:val="•"/>
      <w:lvlJc w:val="left"/>
      <w:pPr>
        <w:ind w:left="5287" w:hanging="361"/>
      </w:pPr>
      <w:rPr>
        <w:rFonts w:hint="default"/>
        <w:lang w:val="es-ES" w:eastAsia="en-US" w:bidi="ar-SA"/>
      </w:rPr>
    </w:lvl>
    <w:lvl w:ilvl="4">
      <w:start w:val="0"/>
      <w:numFmt w:val="bullet"/>
      <w:lvlText w:val="•"/>
      <w:lvlJc w:val="left"/>
      <w:pPr>
        <w:ind w:left="6130" w:hanging="361"/>
      </w:pPr>
      <w:rPr>
        <w:rFonts w:hint="default"/>
        <w:lang w:val="es-ES" w:eastAsia="en-US" w:bidi="ar-SA"/>
      </w:rPr>
    </w:lvl>
    <w:lvl w:ilvl="5">
      <w:start w:val="0"/>
      <w:numFmt w:val="bullet"/>
      <w:lvlText w:val="•"/>
      <w:lvlJc w:val="left"/>
      <w:pPr>
        <w:ind w:left="6973" w:hanging="361"/>
      </w:pPr>
      <w:rPr>
        <w:rFonts w:hint="default"/>
        <w:lang w:val="es-ES" w:eastAsia="en-US" w:bidi="ar-SA"/>
      </w:rPr>
    </w:lvl>
    <w:lvl w:ilvl="6">
      <w:start w:val="0"/>
      <w:numFmt w:val="bullet"/>
      <w:lvlText w:val="•"/>
      <w:lvlJc w:val="left"/>
      <w:pPr>
        <w:ind w:left="7815" w:hanging="361"/>
      </w:pPr>
      <w:rPr>
        <w:rFonts w:hint="default"/>
        <w:lang w:val="es-ES" w:eastAsia="en-US" w:bidi="ar-SA"/>
      </w:rPr>
    </w:lvl>
    <w:lvl w:ilvl="7">
      <w:start w:val="0"/>
      <w:numFmt w:val="bullet"/>
      <w:lvlText w:val="•"/>
      <w:lvlJc w:val="left"/>
      <w:pPr>
        <w:ind w:left="8658" w:hanging="361"/>
      </w:pPr>
      <w:rPr>
        <w:rFonts w:hint="default"/>
        <w:lang w:val="es-ES" w:eastAsia="en-US" w:bidi="ar-SA"/>
      </w:rPr>
    </w:lvl>
    <w:lvl w:ilvl="8">
      <w:start w:val="0"/>
      <w:numFmt w:val="bullet"/>
      <w:lvlText w:val="•"/>
      <w:lvlJc w:val="left"/>
      <w:pPr>
        <w:ind w:left="9501" w:hanging="361"/>
      </w:pPr>
      <w:rPr>
        <w:rFonts w:hint="default"/>
        <w:lang w:val="es-ES" w:eastAsia="en-US" w:bidi="ar-SA"/>
      </w:rPr>
    </w:lvl>
  </w:abstractNum>
  <w:abstractNum w:abstractNumId="10">
    <w:multiLevelType w:val="hybridMultilevel"/>
    <w:lvl w:ilvl="0">
      <w:start w:val="0"/>
      <w:numFmt w:val="bullet"/>
      <w:lvlText w:val="-"/>
      <w:lvlJc w:val="left"/>
      <w:pPr>
        <w:ind w:left="2409" w:hanging="360"/>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2760" w:hanging="360"/>
      </w:pPr>
      <w:rPr>
        <w:rFonts w:hint="default" w:ascii="Calibri" w:hAnsi="Calibri" w:eastAsia="Calibri" w:cs="Calibri"/>
        <w:b w:val="0"/>
        <w:bCs w:val="0"/>
        <w:i w:val="0"/>
        <w:iCs w:val="0"/>
        <w:spacing w:val="0"/>
        <w:w w:val="99"/>
        <w:sz w:val="20"/>
        <w:szCs w:val="20"/>
        <w:lang w:val="es-ES" w:eastAsia="en-US" w:bidi="ar-SA"/>
      </w:rPr>
    </w:lvl>
    <w:lvl w:ilvl="2">
      <w:start w:val="0"/>
      <w:numFmt w:val="bullet"/>
      <w:lvlText w:val=""/>
      <w:lvlJc w:val="left"/>
      <w:pPr>
        <w:ind w:left="3477" w:hanging="361"/>
      </w:pPr>
      <w:rPr>
        <w:rFonts w:hint="default" w:ascii="Symbol" w:hAnsi="Symbol" w:eastAsia="Symbol" w:cs="Symbol"/>
        <w:b w:val="0"/>
        <w:bCs w:val="0"/>
        <w:i w:val="0"/>
        <w:iCs w:val="0"/>
        <w:spacing w:val="0"/>
        <w:w w:val="99"/>
        <w:sz w:val="20"/>
        <w:szCs w:val="20"/>
        <w:lang w:val="es-ES" w:eastAsia="en-US" w:bidi="ar-SA"/>
      </w:rPr>
    </w:lvl>
    <w:lvl w:ilvl="3">
      <w:start w:val="0"/>
      <w:numFmt w:val="bullet"/>
      <w:lvlText w:val="•"/>
      <w:lvlJc w:val="left"/>
      <w:pPr>
        <w:ind w:left="4443" w:hanging="361"/>
      </w:pPr>
      <w:rPr>
        <w:rFonts w:hint="default"/>
        <w:lang w:val="es-ES" w:eastAsia="en-US" w:bidi="ar-SA"/>
      </w:rPr>
    </w:lvl>
    <w:lvl w:ilvl="4">
      <w:start w:val="0"/>
      <w:numFmt w:val="bullet"/>
      <w:lvlText w:val="•"/>
      <w:lvlJc w:val="left"/>
      <w:pPr>
        <w:ind w:left="5406" w:hanging="361"/>
      </w:pPr>
      <w:rPr>
        <w:rFonts w:hint="default"/>
        <w:lang w:val="es-ES" w:eastAsia="en-US" w:bidi="ar-SA"/>
      </w:rPr>
    </w:lvl>
    <w:lvl w:ilvl="5">
      <w:start w:val="0"/>
      <w:numFmt w:val="bullet"/>
      <w:lvlText w:val="•"/>
      <w:lvlJc w:val="left"/>
      <w:pPr>
        <w:ind w:left="6369" w:hanging="361"/>
      </w:pPr>
      <w:rPr>
        <w:rFonts w:hint="default"/>
        <w:lang w:val="es-ES" w:eastAsia="en-US" w:bidi="ar-SA"/>
      </w:rPr>
    </w:lvl>
    <w:lvl w:ilvl="6">
      <w:start w:val="0"/>
      <w:numFmt w:val="bullet"/>
      <w:lvlText w:val="•"/>
      <w:lvlJc w:val="left"/>
      <w:pPr>
        <w:ind w:left="7333" w:hanging="361"/>
      </w:pPr>
      <w:rPr>
        <w:rFonts w:hint="default"/>
        <w:lang w:val="es-ES" w:eastAsia="en-US" w:bidi="ar-SA"/>
      </w:rPr>
    </w:lvl>
    <w:lvl w:ilvl="7">
      <w:start w:val="0"/>
      <w:numFmt w:val="bullet"/>
      <w:lvlText w:val="•"/>
      <w:lvlJc w:val="left"/>
      <w:pPr>
        <w:ind w:left="8296" w:hanging="361"/>
      </w:pPr>
      <w:rPr>
        <w:rFonts w:hint="default"/>
        <w:lang w:val="es-ES" w:eastAsia="en-US" w:bidi="ar-SA"/>
      </w:rPr>
    </w:lvl>
    <w:lvl w:ilvl="8">
      <w:start w:val="0"/>
      <w:numFmt w:val="bullet"/>
      <w:lvlText w:val="•"/>
      <w:lvlJc w:val="left"/>
      <w:pPr>
        <w:ind w:left="9259" w:hanging="361"/>
      </w:pPr>
      <w:rPr>
        <w:rFonts w:hint="default"/>
        <w:lang w:val="es-ES" w:eastAsia="en-US" w:bidi="ar-SA"/>
      </w:rPr>
    </w:lvl>
  </w:abstractNum>
  <w:abstractNum w:abstractNumId="9">
    <w:multiLevelType w:val="hybridMultilevel"/>
    <w:lvl w:ilvl="0">
      <w:start w:val="0"/>
      <w:numFmt w:val="bullet"/>
      <w:lvlText w:val="-"/>
      <w:lvlJc w:val="left"/>
      <w:pPr>
        <w:ind w:left="3117" w:hanging="360"/>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3477" w:hanging="361"/>
      </w:pPr>
      <w:rPr>
        <w:rFonts w:hint="default" w:ascii="Symbol" w:hAnsi="Symbol" w:eastAsia="Symbol" w:cs="Symbol"/>
        <w:b w:val="0"/>
        <w:bCs w:val="0"/>
        <w:i w:val="0"/>
        <w:iCs w:val="0"/>
        <w:spacing w:val="0"/>
        <w:w w:val="99"/>
        <w:sz w:val="20"/>
        <w:szCs w:val="20"/>
        <w:lang w:val="es-ES" w:eastAsia="en-US" w:bidi="ar-SA"/>
      </w:rPr>
    </w:lvl>
    <w:lvl w:ilvl="2">
      <w:start w:val="0"/>
      <w:numFmt w:val="bullet"/>
      <w:lvlText w:val="•"/>
      <w:lvlJc w:val="left"/>
      <w:pPr>
        <w:ind w:left="4336" w:hanging="361"/>
      </w:pPr>
      <w:rPr>
        <w:rFonts w:hint="default"/>
        <w:lang w:val="es-ES" w:eastAsia="en-US" w:bidi="ar-SA"/>
      </w:rPr>
    </w:lvl>
    <w:lvl w:ilvl="3">
      <w:start w:val="0"/>
      <w:numFmt w:val="bullet"/>
      <w:lvlText w:val="•"/>
      <w:lvlJc w:val="left"/>
      <w:pPr>
        <w:ind w:left="5192" w:hanging="361"/>
      </w:pPr>
      <w:rPr>
        <w:rFonts w:hint="default"/>
        <w:lang w:val="es-ES" w:eastAsia="en-US" w:bidi="ar-SA"/>
      </w:rPr>
    </w:lvl>
    <w:lvl w:ilvl="4">
      <w:start w:val="0"/>
      <w:numFmt w:val="bullet"/>
      <w:lvlText w:val="•"/>
      <w:lvlJc w:val="left"/>
      <w:pPr>
        <w:ind w:left="6048" w:hanging="361"/>
      </w:pPr>
      <w:rPr>
        <w:rFonts w:hint="default"/>
        <w:lang w:val="es-ES" w:eastAsia="en-US" w:bidi="ar-SA"/>
      </w:rPr>
    </w:lvl>
    <w:lvl w:ilvl="5">
      <w:start w:val="0"/>
      <w:numFmt w:val="bullet"/>
      <w:lvlText w:val="•"/>
      <w:lvlJc w:val="left"/>
      <w:pPr>
        <w:ind w:left="6905" w:hanging="361"/>
      </w:pPr>
      <w:rPr>
        <w:rFonts w:hint="default"/>
        <w:lang w:val="es-ES" w:eastAsia="en-US" w:bidi="ar-SA"/>
      </w:rPr>
    </w:lvl>
    <w:lvl w:ilvl="6">
      <w:start w:val="0"/>
      <w:numFmt w:val="bullet"/>
      <w:lvlText w:val="•"/>
      <w:lvlJc w:val="left"/>
      <w:pPr>
        <w:ind w:left="7761" w:hanging="361"/>
      </w:pPr>
      <w:rPr>
        <w:rFonts w:hint="default"/>
        <w:lang w:val="es-ES" w:eastAsia="en-US" w:bidi="ar-SA"/>
      </w:rPr>
    </w:lvl>
    <w:lvl w:ilvl="7">
      <w:start w:val="0"/>
      <w:numFmt w:val="bullet"/>
      <w:lvlText w:val="•"/>
      <w:lvlJc w:val="left"/>
      <w:pPr>
        <w:ind w:left="8617" w:hanging="361"/>
      </w:pPr>
      <w:rPr>
        <w:rFonts w:hint="default"/>
        <w:lang w:val="es-ES" w:eastAsia="en-US" w:bidi="ar-SA"/>
      </w:rPr>
    </w:lvl>
    <w:lvl w:ilvl="8">
      <w:start w:val="0"/>
      <w:numFmt w:val="bullet"/>
      <w:lvlText w:val="•"/>
      <w:lvlJc w:val="left"/>
      <w:pPr>
        <w:ind w:left="9473" w:hanging="361"/>
      </w:pPr>
      <w:rPr>
        <w:rFonts w:hint="default"/>
        <w:lang w:val="es-ES" w:eastAsia="en-US" w:bidi="ar-SA"/>
      </w:rPr>
    </w:lvl>
  </w:abstractNum>
  <w:abstractNum w:abstractNumId="7">
    <w:multiLevelType w:val="hybridMultilevel"/>
    <w:lvl w:ilvl="0">
      <w:start w:val="1"/>
      <w:numFmt w:val="lowerLetter"/>
      <w:lvlText w:val="%1)"/>
      <w:lvlJc w:val="left"/>
      <w:pPr>
        <w:ind w:left="2579" w:hanging="360"/>
        <w:jc w:val="left"/>
      </w:pPr>
      <w:rPr>
        <w:rFonts w:hint="default" w:ascii="Tahoma" w:hAnsi="Tahoma" w:eastAsia="Tahoma" w:cs="Tahoma"/>
        <w:b w:val="0"/>
        <w:bCs w:val="0"/>
        <w:i w:val="0"/>
        <w:iCs w:val="0"/>
        <w:spacing w:val="0"/>
        <w:w w:val="99"/>
        <w:sz w:val="20"/>
        <w:szCs w:val="20"/>
        <w:lang w:val="es-ES" w:eastAsia="en-US" w:bidi="ar-SA"/>
      </w:rPr>
    </w:lvl>
    <w:lvl w:ilvl="1">
      <w:start w:val="0"/>
      <w:numFmt w:val="bullet"/>
      <w:lvlText w:val="•"/>
      <w:lvlJc w:val="left"/>
      <w:pPr>
        <w:ind w:left="3440" w:hanging="360"/>
      </w:pPr>
      <w:rPr>
        <w:rFonts w:hint="default"/>
        <w:lang w:val="es-ES" w:eastAsia="en-US" w:bidi="ar-SA"/>
      </w:rPr>
    </w:lvl>
    <w:lvl w:ilvl="2">
      <w:start w:val="0"/>
      <w:numFmt w:val="bullet"/>
      <w:lvlText w:val="•"/>
      <w:lvlJc w:val="left"/>
      <w:pPr>
        <w:ind w:left="4301" w:hanging="360"/>
      </w:pPr>
      <w:rPr>
        <w:rFonts w:hint="default"/>
        <w:lang w:val="es-ES" w:eastAsia="en-US" w:bidi="ar-SA"/>
      </w:rPr>
    </w:lvl>
    <w:lvl w:ilvl="3">
      <w:start w:val="0"/>
      <w:numFmt w:val="bullet"/>
      <w:lvlText w:val="•"/>
      <w:lvlJc w:val="left"/>
      <w:pPr>
        <w:ind w:left="5161" w:hanging="360"/>
      </w:pPr>
      <w:rPr>
        <w:rFonts w:hint="default"/>
        <w:lang w:val="es-ES" w:eastAsia="en-US" w:bidi="ar-SA"/>
      </w:rPr>
    </w:lvl>
    <w:lvl w:ilvl="4">
      <w:start w:val="0"/>
      <w:numFmt w:val="bullet"/>
      <w:lvlText w:val="•"/>
      <w:lvlJc w:val="left"/>
      <w:pPr>
        <w:ind w:left="6022" w:hanging="360"/>
      </w:pPr>
      <w:rPr>
        <w:rFonts w:hint="default"/>
        <w:lang w:val="es-ES" w:eastAsia="en-US" w:bidi="ar-SA"/>
      </w:rPr>
    </w:lvl>
    <w:lvl w:ilvl="5">
      <w:start w:val="0"/>
      <w:numFmt w:val="bullet"/>
      <w:lvlText w:val="•"/>
      <w:lvlJc w:val="left"/>
      <w:pPr>
        <w:ind w:left="6883" w:hanging="360"/>
      </w:pPr>
      <w:rPr>
        <w:rFonts w:hint="default"/>
        <w:lang w:val="es-ES" w:eastAsia="en-US" w:bidi="ar-SA"/>
      </w:rPr>
    </w:lvl>
    <w:lvl w:ilvl="6">
      <w:start w:val="0"/>
      <w:numFmt w:val="bullet"/>
      <w:lvlText w:val="•"/>
      <w:lvlJc w:val="left"/>
      <w:pPr>
        <w:ind w:left="7743" w:hanging="360"/>
      </w:pPr>
      <w:rPr>
        <w:rFonts w:hint="default"/>
        <w:lang w:val="es-ES" w:eastAsia="en-US" w:bidi="ar-SA"/>
      </w:rPr>
    </w:lvl>
    <w:lvl w:ilvl="7">
      <w:start w:val="0"/>
      <w:numFmt w:val="bullet"/>
      <w:lvlText w:val="•"/>
      <w:lvlJc w:val="left"/>
      <w:pPr>
        <w:ind w:left="8604" w:hanging="360"/>
      </w:pPr>
      <w:rPr>
        <w:rFonts w:hint="default"/>
        <w:lang w:val="es-ES" w:eastAsia="en-US" w:bidi="ar-SA"/>
      </w:rPr>
    </w:lvl>
    <w:lvl w:ilvl="8">
      <w:start w:val="0"/>
      <w:numFmt w:val="bullet"/>
      <w:lvlText w:val="•"/>
      <w:lvlJc w:val="left"/>
      <w:pPr>
        <w:ind w:left="9465" w:hanging="360"/>
      </w:pPr>
      <w:rPr>
        <w:rFonts w:hint="default"/>
        <w:lang w:val="es-ES" w:eastAsia="en-US" w:bidi="ar-SA"/>
      </w:rPr>
    </w:lvl>
  </w:abstractNum>
  <w:abstractNum w:abstractNumId="8">
    <w:multiLevelType w:val="hybridMultilevel"/>
    <w:lvl w:ilvl="0">
      <w:start w:val="0"/>
      <w:numFmt w:val="bullet"/>
      <w:lvlText w:val="-"/>
      <w:lvlJc w:val="left"/>
      <w:pPr>
        <w:ind w:left="2488" w:hanging="361"/>
      </w:pPr>
      <w:rPr>
        <w:rFonts w:hint="default" w:ascii="Arial" w:hAnsi="Arial" w:eastAsia="Arial" w:cs="Arial"/>
        <w:b w:val="0"/>
        <w:bCs w:val="0"/>
        <w:i w:val="0"/>
        <w:iCs w:val="0"/>
        <w:spacing w:val="0"/>
        <w:w w:val="99"/>
        <w:sz w:val="20"/>
        <w:szCs w:val="20"/>
        <w:lang w:val="es-ES" w:eastAsia="en-US" w:bidi="ar-SA"/>
      </w:rPr>
    </w:lvl>
    <w:lvl w:ilvl="1">
      <w:start w:val="0"/>
      <w:numFmt w:val="bullet"/>
      <w:lvlText w:val="•"/>
      <w:lvlJc w:val="left"/>
      <w:pPr>
        <w:ind w:left="3350" w:hanging="361"/>
      </w:pPr>
      <w:rPr>
        <w:rFonts w:hint="default"/>
        <w:lang w:val="es-ES" w:eastAsia="en-US" w:bidi="ar-SA"/>
      </w:rPr>
    </w:lvl>
    <w:lvl w:ilvl="2">
      <w:start w:val="0"/>
      <w:numFmt w:val="bullet"/>
      <w:lvlText w:val="•"/>
      <w:lvlJc w:val="left"/>
      <w:pPr>
        <w:ind w:left="4221" w:hanging="361"/>
      </w:pPr>
      <w:rPr>
        <w:rFonts w:hint="default"/>
        <w:lang w:val="es-ES" w:eastAsia="en-US" w:bidi="ar-SA"/>
      </w:rPr>
    </w:lvl>
    <w:lvl w:ilvl="3">
      <w:start w:val="0"/>
      <w:numFmt w:val="bullet"/>
      <w:lvlText w:val="•"/>
      <w:lvlJc w:val="left"/>
      <w:pPr>
        <w:ind w:left="5091" w:hanging="361"/>
      </w:pPr>
      <w:rPr>
        <w:rFonts w:hint="default"/>
        <w:lang w:val="es-ES" w:eastAsia="en-US" w:bidi="ar-SA"/>
      </w:rPr>
    </w:lvl>
    <w:lvl w:ilvl="4">
      <w:start w:val="0"/>
      <w:numFmt w:val="bullet"/>
      <w:lvlText w:val="•"/>
      <w:lvlJc w:val="left"/>
      <w:pPr>
        <w:ind w:left="5962" w:hanging="361"/>
      </w:pPr>
      <w:rPr>
        <w:rFonts w:hint="default"/>
        <w:lang w:val="es-ES" w:eastAsia="en-US" w:bidi="ar-SA"/>
      </w:rPr>
    </w:lvl>
    <w:lvl w:ilvl="5">
      <w:start w:val="0"/>
      <w:numFmt w:val="bullet"/>
      <w:lvlText w:val="•"/>
      <w:lvlJc w:val="left"/>
      <w:pPr>
        <w:ind w:left="6833" w:hanging="361"/>
      </w:pPr>
      <w:rPr>
        <w:rFonts w:hint="default"/>
        <w:lang w:val="es-ES" w:eastAsia="en-US" w:bidi="ar-SA"/>
      </w:rPr>
    </w:lvl>
    <w:lvl w:ilvl="6">
      <w:start w:val="0"/>
      <w:numFmt w:val="bullet"/>
      <w:lvlText w:val="•"/>
      <w:lvlJc w:val="left"/>
      <w:pPr>
        <w:ind w:left="7703" w:hanging="361"/>
      </w:pPr>
      <w:rPr>
        <w:rFonts w:hint="default"/>
        <w:lang w:val="es-ES" w:eastAsia="en-US" w:bidi="ar-SA"/>
      </w:rPr>
    </w:lvl>
    <w:lvl w:ilvl="7">
      <w:start w:val="0"/>
      <w:numFmt w:val="bullet"/>
      <w:lvlText w:val="•"/>
      <w:lvlJc w:val="left"/>
      <w:pPr>
        <w:ind w:left="8574" w:hanging="361"/>
      </w:pPr>
      <w:rPr>
        <w:rFonts w:hint="default"/>
        <w:lang w:val="es-ES" w:eastAsia="en-US" w:bidi="ar-SA"/>
      </w:rPr>
    </w:lvl>
    <w:lvl w:ilvl="8">
      <w:start w:val="0"/>
      <w:numFmt w:val="bullet"/>
      <w:lvlText w:val="•"/>
      <w:lvlJc w:val="left"/>
      <w:pPr>
        <w:ind w:left="9445" w:hanging="361"/>
      </w:pPr>
      <w:rPr>
        <w:rFonts w:hint="default"/>
        <w:lang w:val="es-ES" w:eastAsia="en-US" w:bidi="ar-SA"/>
      </w:rPr>
    </w:lvl>
  </w:abstractNum>
  <w:abstractNum w:abstractNumId="6">
    <w:multiLevelType w:val="hybridMultilevel"/>
    <w:lvl w:ilvl="0">
      <w:start w:val="4"/>
      <w:numFmt w:val="decimal"/>
      <w:lvlText w:val="%1"/>
      <w:lvlJc w:val="left"/>
      <w:pPr>
        <w:ind w:left="2099" w:hanging="332"/>
        <w:jc w:val="left"/>
      </w:pPr>
      <w:rPr>
        <w:rFonts w:hint="default"/>
        <w:lang w:val="es-ES" w:eastAsia="en-US" w:bidi="ar-SA"/>
      </w:rPr>
    </w:lvl>
    <w:lvl w:ilvl="1">
      <w:start w:val="6"/>
      <w:numFmt w:val="decimal"/>
      <w:lvlText w:val="%1.%2"/>
      <w:lvlJc w:val="left"/>
      <w:pPr>
        <w:ind w:left="2099" w:hanging="332"/>
        <w:jc w:val="right"/>
      </w:pPr>
      <w:rPr>
        <w:rFonts w:hint="default" w:ascii="Arial" w:hAnsi="Arial" w:eastAsia="Arial" w:cs="Arial"/>
        <w:b w:val="0"/>
        <w:bCs w:val="0"/>
        <w:i w:val="0"/>
        <w:iCs w:val="0"/>
        <w:spacing w:val="-2"/>
        <w:w w:val="99"/>
        <w:sz w:val="20"/>
        <w:szCs w:val="20"/>
        <w:lang w:val="es-ES" w:eastAsia="en-US" w:bidi="ar-SA"/>
      </w:rPr>
    </w:lvl>
    <w:lvl w:ilvl="2">
      <w:start w:val="1"/>
      <w:numFmt w:val="decimal"/>
      <w:lvlText w:val="%1.%2.%3."/>
      <w:lvlJc w:val="left"/>
      <w:pPr>
        <w:ind w:left="2348" w:hanging="554"/>
        <w:jc w:val="left"/>
      </w:pPr>
      <w:rPr>
        <w:rFonts w:hint="default" w:ascii="Arial" w:hAnsi="Arial" w:eastAsia="Arial" w:cs="Arial"/>
        <w:b w:val="0"/>
        <w:bCs w:val="0"/>
        <w:i w:val="0"/>
        <w:iCs w:val="0"/>
        <w:spacing w:val="-2"/>
        <w:w w:val="97"/>
        <w:sz w:val="20"/>
        <w:szCs w:val="20"/>
        <w:u w:val="single" w:color="000000"/>
        <w:lang w:val="es-ES" w:eastAsia="en-US" w:bidi="ar-SA"/>
      </w:rPr>
    </w:lvl>
    <w:lvl w:ilvl="3">
      <w:start w:val="0"/>
      <w:numFmt w:val="bullet"/>
      <w:lvlText w:val="-"/>
      <w:lvlJc w:val="left"/>
      <w:pPr>
        <w:ind w:left="2760" w:hanging="360"/>
      </w:pPr>
      <w:rPr>
        <w:rFonts w:hint="default" w:ascii="Calibri" w:hAnsi="Calibri" w:eastAsia="Calibri" w:cs="Calibri"/>
        <w:b w:val="0"/>
        <w:bCs w:val="0"/>
        <w:i w:val="0"/>
        <w:iCs w:val="0"/>
        <w:spacing w:val="0"/>
        <w:w w:val="99"/>
        <w:sz w:val="20"/>
        <w:szCs w:val="20"/>
        <w:lang w:val="es-ES" w:eastAsia="en-US" w:bidi="ar-SA"/>
      </w:rPr>
    </w:lvl>
    <w:lvl w:ilvl="4">
      <w:start w:val="0"/>
      <w:numFmt w:val="bullet"/>
      <w:lvlText w:val=""/>
      <w:lvlJc w:val="left"/>
      <w:pPr>
        <w:ind w:left="3477" w:hanging="361"/>
      </w:pPr>
      <w:rPr>
        <w:rFonts w:hint="default" w:ascii="Symbol" w:hAnsi="Symbol" w:eastAsia="Symbol" w:cs="Symbol"/>
        <w:b w:val="0"/>
        <w:bCs w:val="0"/>
        <w:i w:val="0"/>
        <w:iCs w:val="0"/>
        <w:spacing w:val="0"/>
        <w:w w:val="99"/>
        <w:sz w:val="20"/>
        <w:szCs w:val="20"/>
        <w:lang w:val="es-ES" w:eastAsia="en-US" w:bidi="ar-SA"/>
      </w:rPr>
    </w:lvl>
    <w:lvl w:ilvl="5">
      <w:start w:val="0"/>
      <w:numFmt w:val="bullet"/>
      <w:lvlText w:val="•"/>
      <w:lvlJc w:val="left"/>
      <w:pPr>
        <w:ind w:left="5681" w:hanging="361"/>
      </w:pPr>
      <w:rPr>
        <w:rFonts w:hint="default"/>
        <w:lang w:val="es-ES" w:eastAsia="en-US" w:bidi="ar-SA"/>
      </w:rPr>
    </w:lvl>
    <w:lvl w:ilvl="6">
      <w:start w:val="0"/>
      <w:numFmt w:val="bullet"/>
      <w:lvlText w:val="•"/>
      <w:lvlJc w:val="left"/>
      <w:pPr>
        <w:ind w:left="6782" w:hanging="361"/>
      </w:pPr>
      <w:rPr>
        <w:rFonts w:hint="default"/>
        <w:lang w:val="es-ES" w:eastAsia="en-US" w:bidi="ar-SA"/>
      </w:rPr>
    </w:lvl>
    <w:lvl w:ilvl="7">
      <w:start w:val="0"/>
      <w:numFmt w:val="bullet"/>
      <w:lvlText w:val="•"/>
      <w:lvlJc w:val="left"/>
      <w:pPr>
        <w:ind w:left="7883" w:hanging="361"/>
      </w:pPr>
      <w:rPr>
        <w:rFonts w:hint="default"/>
        <w:lang w:val="es-ES" w:eastAsia="en-US" w:bidi="ar-SA"/>
      </w:rPr>
    </w:lvl>
    <w:lvl w:ilvl="8">
      <w:start w:val="0"/>
      <w:numFmt w:val="bullet"/>
      <w:lvlText w:val="•"/>
      <w:lvlJc w:val="left"/>
      <w:pPr>
        <w:ind w:left="8984" w:hanging="361"/>
      </w:pPr>
      <w:rPr>
        <w:rFonts w:hint="default"/>
        <w:lang w:val="es-ES" w:eastAsia="en-US" w:bidi="ar-SA"/>
      </w:rPr>
    </w:lvl>
  </w:abstractNum>
  <w:abstractNum w:abstractNumId="5">
    <w:multiLevelType w:val="hybridMultilevel"/>
    <w:lvl w:ilvl="0">
      <w:start w:val="0"/>
      <w:numFmt w:val="bullet"/>
      <w:lvlText w:val=""/>
      <w:lvlJc w:val="left"/>
      <w:pPr>
        <w:ind w:left="2769" w:hanging="36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3602" w:hanging="360"/>
      </w:pPr>
      <w:rPr>
        <w:rFonts w:hint="default"/>
        <w:lang w:val="es-ES" w:eastAsia="en-US" w:bidi="ar-SA"/>
      </w:rPr>
    </w:lvl>
    <w:lvl w:ilvl="2">
      <w:start w:val="0"/>
      <w:numFmt w:val="bullet"/>
      <w:lvlText w:val="•"/>
      <w:lvlJc w:val="left"/>
      <w:pPr>
        <w:ind w:left="4445" w:hanging="360"/>
      </w:pPr>
      <w:rPr>
        <w:rFonts w:hint="default"/>
        <w:lang w:val="es-ES" w:eastAsia="en-US" w:bidi="ar-SA"/>
      </w:rPr>
    </w:lvl>
    <w:lvl w:ilvl="3">
      <w:start w:val="0"/>
      <w:numFmt w:val="bullet"/>
      <w:lvlText w:val="•"/>
      <w:lvlJc w:val="left"/>
      <w:pPr>
        <w:ind w:left="5287" w:hanging="360"/>
      </w:pPr>
      <w:rPr>
        <w:rFonts w:hint="default"/>
        <w:lang w:val="es-ES" w:eastAsia="en-US" w:bidi="ar-SA"/>
      </w:rPr>
    </w:lvl>
    <w:lvl w:ilvl="4">
      <w:start w:val="0"/>
      <w:numFmt w:val="bullet"/>
      <w:lvlText w:val="•"/>
      <w:lvlJc w:val="left"/>
      <w:pPr>
        <w:ind w:left="6130" w:hanging="360"/>
      </w:pPr>
      <w:rPr>
        <w:rFonts w:hint="default"/>
        <w:lang w:val="es-ES" w:eastAsia="en-US" w:bidi="ar-SA"/>
      </w:rPr>
    </w:lvl>
    <w:lvl w:ilvl="5">
      <w:start w:val="0"/>
      <w:numFmt w:val="bullet"/>
      <w:lvlText w:val="•"/>
      <w:lvlJc w:val="left"/>
      <w:pPr>
        <w:ind w:left="6973" w:hanging="360"/>
      </w:pPr>
      <w:rPr>
        <w:rFonts w:hint="default"/>
        <w:lang w:val="es-ES" w:eastAsia="en-US" w:bidi="ar-SA"/>
      </w:rPr>
    </w:lvl>
    <w:lvl w:ilvl="6">
      <w:start w:val="0"/>
      <w:numFmt w:val="bullet"/>
      <w:lvlText w:val="•"/>
      <w:lvlJc w:val="left"/>
      <w:pPr>
        <w:ind w:left="7815" w:hanging="360"/>
      </w:pPr>
      <w:rPr>
        <w:rFonts w:hint="default"/>
        <w:lang w:val="es-ES" w:eastAsia="en-US" w:bidi="ar-SA"/>
      </w:rPr>
    </w:lvl>
    <w:lvl w:ilvl="7">
      <w:start w:val="0"/>
      <w:numFmt w:val="bullet"/>
      <w:lvlText w:val="•"/>
      <w:lvlJc w:val="left"/>
      <w:pPr>
        <w:ind w:left="8658" w:hanging="360"/>
      </w:pPr>
      <w:rPr>
        <w:rFonts w:hint="default"/>
        <w:lang w:val="es-ES" w:eastAsia="en-US" w:bidi="ar-SA"/>
      </w:rPr>
    </w:lvl>
    <w:lvl w:ilvl="8">
      <w:start w:val="0"/>
      <w:numFmt w:val="bullet"/>
      <w:lvlText w:val="•"/>
      <w:lvlJc w:val="left"/>
      <w:pPr>
        <w:ind w:left="9501" w:hanging="360"/>
      </w:pPr>
      <w:rPr>
        <w:rFonts w:hint="default"/>
        <w:lang w:val="es-ES" w:eastAsia="en-US" w:bidi="ar-SA"/>
      </w:rPr>
    </w:lvl>
  </w:abstractNum>
  <w:abstractNum w:abstractNumId="4">
    <w:multiLevelType w:val="hybridMultilevel"/>
    <w:lvl w:ilvl="0">
      <w:start w:val="0"/>
      <w:numFmt w:val="bullet"/>
      <w:lvlText w:val="-"/>
      <w:lvlJc w:val="left"/>
      <w:pPr>
        <w:ind w:left="2409" w:hanging="361"/>
      </w:pPr>
      <w:rPr>
        <w:rFonts w:hint="default" w:ascii="Z@RA9CD.tmp" w:hAnsi="Z@RA9CD.tmp" w:eastAsia="Z@RA9CD.tmp" w:cs="Z@RA9CD.tmp"/>
        <w:b w:val="0"/>
        <w:bCs w:val="0"/>
        <w:i w:val="0"/>
        <w:iCs w:val="0"/>
        <w:spacing w:val="0"/>
        <w:w w:val="59"/>
        <w:sz w:val="20"/>
        <w:szCs w:val="20"/>
        <w:lang w:val="es-ES" w:eastAsia="en-US" w:bidi="ar-SA"/>
      </w:rPr>
    </w:lvl>
    <w:lvl w:ilvl="1">
      <w:start w:val="0"/>
      <w:numFmt w:val="bullet"/>
      <w:lvlText w:val="•"/>
      <w:lvlJc w:val="left"/>
      <w:pPr>
        <w:ind w:left="3278" w:hanging="361"/>
      </w:pPr>
      <w:rPr>
        <w:rFonts w:hint="default"/>
        <w:lang w:val="es-ES" w:eastAsia="en-US" w:bidi="ar-SA"/>
      </w:rPr>
    </w:lvl>
    <w:lvl w:ilvl="2">
      <w:start w:val="0"/>
      <w:numFmt w:val="bullet"/>
      <w:lvlText w:val="•"/>
      <w:lvlJc w:val="left"/>
      <w:pPr>
        <w:ind w:left="4157" w:hanging="361"/>
      </w:pPr>
      <w:rPr>
        <w:rFonts w:hint="default"/>
        <w:lang w:val="es-ES" w:eastAsia="en-US" w:bidi="ar-SA"/>
      </w:rPr>
    </w:lvl>
    <w:lvl w:ilvl="3">
      <w:start w:val="0"/>
      <w:numFmt w:val="bullet"/>
      <w:lvlText w:val="•"/>
      <w:lvlJc w:val="left"/>
      <w:pPr>
        <w:ind w:left="5035" w:hanging="361"/>
      </w:pPr>
      <w:rPr>
        <w:rFonts w:hint="default"/>
        <w:lang w:val="es-ES" w:eastAsia="en-US" w:bidi="ar-SA"/>
      </w:rPr>
    </w:lvl>
    <w:lvl w:ilvl="4">
      <w:start w:val="0"/>
      <w:numFmt w:val="bullet"/>
      <w:lvlText w:val="•"/>
      <w:lvlJc w:val="left"/>
      <w:pPr>
        <w:ind w:left="5914" w:hanging="361"/>
      </w:pPr>
      <w:rPr>
        <w:rFonts w:hint="default"/>
        <w:lang w:val="es-ES" w:eastAsia="en-US" w:bidi="ar-SA"/>
      </w:rPr>
    </w:lvl>
    <w:lvl w:ilvl="5">
      <w:start w:val="0"/>
      <w:numFmt w:val="bullet"/>
      <w:lvlText w:val="•"/>
      <w:lvlJc w:val="left"/>
      <w:pPr>
        <w:ind w:left="6793" w:hanging="361"/>
      </w:pPr>
      <w:rPr>
        <w:rFonts w:hint="default"/>
        <w:lang w:val="es-ES" w:eastAsia="en-US" w:bidi="ar-SA"/>
      </w:rPr>
    </w:lvl>
    <w:lvl w:ilvl="6">
      <w:start w:val="0"/>
      <w:numFmt w:val="bullet"/>
      <w:lvlText w:val="•"/>
      <w:lvlJc w:val="left"/>
      <w:pPr>
        <w:ind w:left="7671" w:hanging="361"/>
      </w:pPr>
      <w:rPr>
        <w:rFonts w:hint="default"/>
        <w:lang w:val="es-ES" w:eastAsia="en-US" w:bidi="ar-SA"/>
      </w:rPr>
    </w:lvl>
    <w:lvl w:ilvl="7">
      <w:start w:val="0"/>
      <w:numFmt w:val="bullet"/>
      <w:lvlText w:val="•"/>
      <w:lvlJc w:val="left"/>
      <w:pPr>
        <w:ind w:left="8550" w:hanging="361"/>
      </w:pPr>
      <w:rPr>
        <w:rFonts w:hint="default"/>
        <w:lang w:val="es-ES" w:eastAsia="en-US" w:bidi="ar-SA"/>
      </w:rPr>
    </w:lvl>
    <w:lvl w:ilvl="8">
      <w:start w:val="0"/>
      <w:numFmt w:val="bullet"/>
      <w:lvlText w:val="•"/>
      <w:lvlJc w:val="left"/>
      <w:pPr>
        <w:ind w:left="9429" w:hanging="361"/>
      </w:pPr>
      <w:rPr>
        <w:rFonts w:hint="default"/>
        <w:lang w:val="es-ES" w:eastAsia="en-US" w:bidi="ar-SA"/>
      </w:rPr>
    </w:lvl>
  </w:abstractNum>
  <w:abstractNum w:abstractNumId="3">
    <w:multiLevelType w:val="hybridMultilevel"/>
    <w:lvl w:ilvl="0">
      <w:start w:val="1"/>
      <w:numFmt w:val="decimal"/>
      <w:lvlText w:val="%1."/>
      <w:lvlJc w:val="left"/>
      <w:pPr>
        <w:ind w:left="1701" w:hanging="360"/>
        <w:jc w:val="left"/>
      </w:pPr>
      <w:rPr>
        <w:rFonts w:hint="default" w:ascii="Arial" w:hAnsi="Arial" w:eastAsia="Arial" w:cs="Arial"/>
        <w:b/>
        <w:bCs/>
        <w:i w:val="0"/>
        <w:iCs w:val="0"/>
        <w:spacing w:val="-1"/>
        <w:w w:val="100"/>
        <w:sz w:val="18"/>
        <w:szCs w:val="18"/>
        <w:lang w:val="es-ES" w:eastAsia="en-US" w:bidi="ar-SA"/>
      </w:rPr>
    </w:lvl>
    <w:lvl w:ilvl="1">
      <w:start w:val="1"/>
      <w:numFmt w:val="decimal"/>
      <w:lvlText w:val="%1.%2."/>
      <w:lvlJc w:val="left"/>
      <w:pPr>
        <w:ind w:left="2248" w:hanging="454"/>
        <w:jc w:val="left"/>
      </w:pPr>
      <w:rPr>
        <w:rFonts w:hint="default"/>
        <w:spacing w:val="-2"/>
        <w:w w:val="100"/>
        <w:lang w:val="es-ES" w:eastAsia="en-US" w:bidi="ar-SA"/>
      </w:rPr>
    </w:lvl>
    <w:lvl w:ilvl="2">
      <w:start w:val="0"/>
      <w:numFmt w:val="bullet"/>
      <w:lvlText w:val=""/>
      <w:lvlJc w:val="left"/>
      <w:pPr>
        <w:ind w:left="2613" w:hanging="454"/>
      </w:pPr>
      <w:rPr>
        <w:rFonts w:hint="default" w:ascii="Symbol" w:hAnsi="Symbol" w:eastAsia="Symbol" w:cs="Symbol"/>
        <w:b w:val="0"/>
        <w:bCs w:val="0"/>
        <w:i w:val="0"/>
        <w:iCs w:val="0"/>
        <w:spacing w:val="0"/>
        <w:w w:val="99"/>
        <w:sz w:val="20"/>
        <w:szCs w:val="20"/>
        <w:lang w:val="es-ES" w:eastAsia="en-US" w:bidi="ar-SA"/>
      </w:rPr>
    </w:lvl>
    <w:lvl w:ilvl="3">
      <w:start w:val="0"/>
      <w:numFmt w:val="bullet"/>
      <w:lvlText w:val="•"/>
      <w:lvlJc w:val="left"/>
      <w:pPr>
        <w:ind w:left="2620" w:hanging="454"/>
      </w:pPr>
      <w:rPr>
        <w:rFonts w:hint="default"/>
        <w:lang w:val="es-ES" w:eastAsia="en-US" w:bidi="ar-SA"/>
      </w:rPr>
    </w:lvl>
    <w:lvl w:ilvl="4">
      <w:start w:val="0"/>
      <w:numFmt w:val="bullet"/>
      <w:lvlText w:val="•"/>
      <w:lvlJc w:val="left"/>
      <w:pPr>
        <w:ind w:left="3843" w:hanging="454"/>
      </w:pPr>
      <w:rPr>
        <w:rFonts w:hint="default"/>
        <w:lang w:val="es-ES" w:eastAsia="en-US" w:bidi="ar-SA"/>
      </w:rPr>
    </w:lvl>
    <w:lvl w:ilvl="5">
      <w:start w:val="0"/>
      <w:numFmt w:val="bullet"/>
      <w:lvlText w:val="•"/>
      <w:lvlJc w:val="left"/>
      <w:pPr>
        <w:ind w:left="5067" w:hanging="454"/>
      </w:pPr>
      <w:rPr>
        <w:rFonts w:hint="default"/>
        <w:lang w:val="es-ES" w:eastAsia="en-US" w:bidi="ar-SA"/>
      </w:rPr>
    </w:lvl>
    <w:lvl w:ilvl="6">
      <w:start w:val="0"/>
      <w:numFmt w:val="bullet"/>
      <w:lvlText w:val="•"/>
      <w:lvlJc w:val="left"/>
      <w:pPr>
        <w:ind w:left="6291" w:hanging="454"/>
      </w:pPr>
      <w:rPr>
        <w:rFonts w:hint="default"/>
        <w:lang w:val="es-ES" w:eastAsia="en-US" w:bidi="ar-SA"/>
      </w:rPr>
    </w:lvl>
    <w:lvl w:ilvl="7">
      <w:start w:val="0"/>
      <w:numFmt w:val="bullet"/>
      <w:lvlText w:val="•"/>
      <w:lvlJc w:val="left"/>
      <w:pPr>
        <w:ind w:left="7515" w:hanging="454"/>
      </w:pPr>
      <w:rPr>
        <w:rFonts w:hint="default"/>
        <w:lang w:val="es-ES" w:eastAsia="en-US" w:bidi="ar-SA"/>
      </w:rPr>
    </w:lvl>
    <w:lvl w:ilvl="8">
      <w:start w:val="0"/>
      <w:numFmt w:val="bullet"/>
      <w:lvlText w:val="•"/>
      <w:lvlJc w:val="left"/>
      <w:pPr>
        <w:ind w:left="8738" w:hanging="454"/>
      </w:pPr>
      <w:rPr>
        <w:rFonts w:hint="default"/>
        <w:lang w:val="es-ES" w:eastAsia="en-US" w:bidi="ar-SA"/>
      </w:rPr>
    </w:lvl>
  </w:abstractNum>
  <w:abstractNum w:abstractNumId="2">
    <w:multiLevelType w:val="hybridMultilevel"/>
    <w:lvl w:ilvl="0">
      <w:start w:val="0"/>
      <w:numFmt w:val="bullet"/>
      <w:lvlText w:val=""/>
      <w:lvlJc w:val="left"/>
      <w:pPr>
        <w:ind w:left="1046" w:hanging="281"/>
      </w:pPr>
      <w:rPr>
        <w:rFonts w:hint="default" w:ascii="Symbol" w:hAnsi="Symbol" w:eastAsia="Symbol" w:cs="Symbol"/>
        <w:b w:val="0"/>
        <w:bCs w:val="0"/>
        <w:i w:val="0"/>
        <w:iCs w:val="0"/>
        <w:spacing w:val="0"/>
        <w:w w:val="100"/>
        <w:sz w:val="16"/>
        <w:szCs w:val="16"/>
        <w:lang w:val="es-ES" w:eastAsia="en-US" w:bidi="ar-SA"/>
      </w:rPr>
    </w:lvl>
    <w:lvl w:ilvl="1">
      <w:start w:val="0"/>
      <w:numFmt w:val="bullet"/>
      <w:lvlText w:val="•"/>
      <w:lvlJc w:val="left"/>
      <w:pPr>
        <w:ind w:left="1944" w:hanging="281"/>
      </w:pPr>
      <w:rPr>
        <w:rFonts w:hint="default"/>
        <w:lang w:val="es-ES" w:eastAsia="en-US" w:bidi="ar-SA"/>
      </w:rPr>
    </w:lvl>
    <w:lvl w:ilvl="2">
      <w:start w:val="0"/>
      <w:numFmt w:val="bullet"/>
      <w:lvlText w:val="•"/>
      <w:lvlJc w:val="left"/>
      <w:pPr>
        <w:ind w:left="2848" w:hanging="281"/>
      </w:pPr>
      <w:rPr>
        <w:rFonts w:hint="default"/>
        <w:lang w:val="es-ES" w:eastAsia="en-US" w:bidi="ar-SA"/>
      </w:rPr>
    </w:lvl>
    <w:lvl w:ilvl="3">
      <w:start w:val="0"/>
      <w:numFmt w:val="bullet"/>
      <w:lvlText w:val="•"/>
      <w:lvlJc w:val="left"/>
      <w:pPr>
        <w:ind w:left="3752" w:hanging="281"/>
      </w:pPr>
      <w:rPr>
        <w:rFonts w:hint="default"/>
        <w:lang w:val="es-ES" w:eastAsia="en-US" w:bidi="ar-SA"/>
      </w:rPr>
    </w:lvl>
    <w:lvl w:ilvl="4">
      <w:start w:val="0"/>
      <w:numFmt w:val="bullet"/>
      <w:lvlText w:val="•"/>
      <w:lvlJc w:val="left"/>
      <w:pPr>
        <w:ind w:left="4656" w:hanging="281"/>
      </w:pPr>
      <w:rPr>
        <w:rFonts w:hint="default"/>
        <w:lang w:val="es-ES" w:eastAsia="en-US" w:bidi="ar-SA"/>
      </w:rPr>
    </w:lvl>
    <w:lvl w:ilvl="5">
      <w:start w:val="0"/>
      <w:numFmt w:val="bullet"/>
      <w:lvlText w:val="•"/>
      <w:lvlJc w:val="left"/>
      <w:pPr>
        <w:ind w:left="5560" w:hanging="281"/>
      </w:pPr>
      <w:rPr>
        <w:rFonts w:hint="default"/>
        <w:lang w:val="es-ES" w:eastAsia="en-US" w:bidi="ar-SA"/>
      </w:rPr>
    </w:lvl>
    <w:lvl w:ilvl="6">
      <w:start w:val="0"/>
      <w:numFmt w:val="bullet"/>
      <w:lvlText w:val="•"/>
      <w:lvlJc w:val="left"/>
      <w:pPr>
        <w:ind w:left="6464" w:hanging="281"/>
      </w:pPr>
      <w:rPr>
        <w:rFonts w:hint="default"/>
        <w:lang w:val="es-ES" w:eastAsia="en-US" w:bidi="ar-SA"/>
      </w:rPr>
    </w:lvl>
    <w:lvl w:ilvl="7">
      <w:start w:val="0"/>
      <w:numFmt w:val="bullet"/>
      <w:lvlText w:val="•"/>
      <w:lvlJc w:val="left"/>
      <w:pPr>
        <w:ind w:left="7368" w:hanging="281"/>
      </w:pPr>
      <w:rPr>
        <w:rFonts w:hint="default"/>
        <w:lang w:val="es-ES" w:eastAsia="en-US" w:bidi="ar-SA"/>
      </w:rPr>
    </w:lvl>
    <w:lvl w:ilvl="8">
      <w:start w:val="0"/>
      <w:numFmt w:val="bullet"/>
      <w:lvlText w:val="•"/>
      <w:lvlJc w:val="left"/>
      <w:pPr>
        <w:ind w:left="8272" w:hanging="281"/>
      </w:pPr>
      <w:rPr>
        <w:rFonts w:hint="default"/>
        <w:lang w:val="es-ES" w:eastAsia="en-US" w:bidi="ar-SA"/>
      </w:rPr>
    </w:lvl>
  </w:abstractNum>
  <w:abstractNum w:abstractNumId="1">
    <w:multiLevelType w:val="hybridMultilevel"/>
    <w:lvl w:ilvl="0">
      <w:start w:val="1"/>
      <w:numFmt w:val="lowerLetter"/>
      <w:lvlText w:val="%1)"/>
      <w:lvlJc w:val="left"/>
      <w:pPr>
        <w:ind w:left="1190" w:hanging="360"/>
        <w:jc w:val="left"/>
      </w:pPr>
      <w:rPr>
        <w:rFonts w:hint="default" w:ascii="Century Gothic" w:hAnsi="Century Gothic" w:eastAsia="Century Gothic" w:cs="Century Gothic"/>
        <w:b w:val="0"/>
        <w:bCs w:val="0"/>
        <w:i w:val="0"/>
        <w:iCs w:val="0"/>
        <w:spacing w:val="0"/>
        <w:w w:val="99"/>
        <w:sz w:val="19"/>
        <w:szCs w:val="19"/>
        <w:lang w:val="es-ES" w:eastAsia="en-US" w:bidi="ar-SA"/>
      </w:rPr>
    </w:lvl>
    <w:lvl w:ilvl="1">
      <w:start w:val="0"/>
      <w:numFmt w:val="bullet"/>
      <w:lvlText w:val="•"/>
      <w:lvlJc w:val="left"/>
      <w:pPr>
        <w:ind w:left="2088" w:hanging="360"/>
      </w:pPr>
      <w:rPr>
        <w:rFonts w:hint="default"/>
        <w:lang w:val="es-ES" w:eastAsia="en-US" w:bidi="ar-SA"/>
      </w:rPr>
    </w:lvl>
    <w:lvl w:ilvl="2">
      <w:start w:val="0"/>
      <w:numFmt w:val="bullet"/>
      <w:lvlText w:val="•"/>
      <w:lvlJc w:val="left"/>
      <w:pPr>
        <w:ind w:left="2976" w:hanging="360"/>
      </w:pPr>
      <w:rPr>
        <w:rFonts w:hint="default"/>
        <w:lang w:val="es-ES" w:eastAsia="en-US" w:bidi="ar-SA"/>
      </w:rPr>
    </w:lvl>
    <w:lvl w:ilvl="3">
      <w:start w:val="0"/>
      <w:numFmt w:val="bullet"/>
      <w:lvlText w:val="•"/>
      <w:lvlJc w:val="left"/>
      <w:pPr>
        <w:ind w:left="3864" w:hanging="360"/>
      </w:pPr>
      <w:rPr>
        <w:rFonts w:hint="default"/>
        <w:lang w:val="es-ES" w:eastAsia="en-US" w:bidi="ar-SA"/>
      </w:rPr>
    </w:lvl>
    <w:lvl w:ilvl="4">
      <w:start w:val="0"/>
      <w:numFmt w:val="bullet"/>
      <w:lvlText w:val="•"/>
      <w:lvlJc w:val="left"/>
      <w:pPr>
        <w:ind w:left="4752" w:hanging="360"/>
      </w:pPr>
      <w:rPr>
        <w:rFonts w:hint="default"/>
        <w:lang w:val="es-ES" w:eastAsia="en-US" w:bidi="ar-SA"/>
      </w:rPr>
    </w:lvl>
    <w:lvl w:ilvl="5">
      <w:start w:val="0"/>
      <w:numFmt w:val="bullet"/>
      <w:lvlText w:val="•"/>
      <w:lvlJc w:val="left"/>
      <w:pPr>
        <w:ind w:left="5640" w:hanging="360"/>
      </w:pPr>
      <w:rPr>
        <w:rFonts w:hint="default"/>
        <w:lang w:val="es-ES" w:eastAsia="en-US" w:bidi="ar-SA"/>
      </w:rPr>
    </w:lvl>
    <w:lvl w:ilvl="6">
      <w:start w:val="0"/>
      <w:numFmt w:val="bullet"/>
      <w:lvlText w:val="•"/>
      <w:lvlJc w:val="left"/>
      <w:pPr>
        <w:ind w:left="6528" w:hanging="360"/>
      </w:pPr>
      <w:rPr>
        <w:rFonts w:hint="default"/>
        <w:lang w:val="es-ES" w:eastAsia="en-US" w:bidi="ar-SA"/>
      </w:rPr>
    </w:lvl>
    <w:lvl w:ilvl="7">
      <w:start w:val="0"/>
      <w:numFmt w:val="bullet"/>
      <w:lvlText w:val="•"/>
      <w:lvlJc w:val="left"/>
      <w:pPr>
        <w:ind w:left="7416" w:hanging="360"/>
      </w:pPr>
      <w:rPr>
        <w:rFonts w:hint="default"/>
        <w:lang w:val="es-ES" w:eastAsia="en-US" w:bidi="ar-SA"/>
      </w:rPr>
    </w:lvl>
    <w:lvl w:ilvl="8">
      <w:start w:val="0"/>
      <w:numFmt w:val="bullet"/>
      <w:lvlText w:val="•"/>
      <w:lvlJc w:val="left"/>
      <w:pPr>
        <w:ind w:left="8304" w:hanging="360"/>
      </w:pPr>
      <w:rPr>
        <w:rFonts w:hint="default"/>
        <w:lang w:val="es-ES" w:eastAsia="en-US" w:bidi="ar-SA"/>
      </w:rPr>
    </w:lvl>
  </w:abstractNum>
  <w:abstractNum w:abstractNumId="0">
    <w:multiLevelType w:val="hybridMultilevel"/>
    <w:lvl w:ilvl="0">
      <w:start w:val="1"/>
      <w:numFmt w:val="decimal"/>
      <w:lvlText w:val="%1."/>
      <w:lvlJc w:val="left"/>
      <w:pPr>
        <w:ind w:left="766" w:hanging="221"/>
        <w:jc w:val="left"/>
      </w:pPr>
      <w:rPr>
        <w:rFonts w:hint="default" w:ascii="Century Gothic" w:hAnsi="Century Gothic" w:eastAsia="Century Gothic" w:cs="Century Gothic"/>
        <w:b/>
        <w:bCs/>
        <w:i w:val="0"/>
        <w:iCs w:val="0"/>
        <w:spacing w:val="-1"/>
        <w:w w:val="99"/>
        <w:sz w:val="19"/>
        <w:szCs w:val="19"/>
        <w:lang w:val="es-ES" w:eastAsia="en-US" w:bidi="ar-SA"/>
      </w:rPr>
    </w:lvl>
    <w:lvl w:ilvl="1">
      <w:start w:val="1"/>
      <w:numFmt w:val="decimal"/>
      <w:lvlText w:val="%1.%2"/>
      <w:lvlJc w:val="left"/>
      <w:pPr>
        <w:ind w:left="1118" w:hanging="360"/>
        <w:jc w:val="left"/>
      </w:pPr>
      <w:rPr>
        <w:rFonts w:hint="default" w:ascii="Century Gothic" w:hAnsi="Century Gothic" w:eastAsia="Century Gothic" w:cs="Century Gothic"/>
        <w:b/>
        <w:bCs/>
        <w:i w:val="0"/>
        <w:iCs w:val="0"/>
        <w:spacing w:val="-1"/>
        <w:w w:val="99"/>
        <w:sz w:val="19"/>
        <w:szCs w:val="19"/>
        <w:lang w:val="es-ES" w:eastAsia="en-US" w:bidi="ar-SA"/>
      </w:rPr>
    </w:lvl>
    <w:lvl w:ilvl="2">
      <w:start w:val="0"/>
      <w:numFmt w:val="bullet"/>
      <w:lvlText w:val="•"/>
      <w:lvlJc w:val="left"/>
      <w:pPr>
        <w:ind w:left="2115" w:hanging="360"/>
      </w:pPr>
      <w:rPr>
        <w:rFonts w:hint="default"/>
        <w:lang w:val="es-ES" w:eastAsia="en-US" w:bidi="ar-SA"/>
      </w:rPr>
    </w:lvl>
    <w:lvl w:ilvl="3">
      <w:start w:val="0"/>
      <w:numFmt w:val="bullet"/>
      <w:lvlText w:val="•"/>
      <w:lvlJc w:val="left"/>
      <w:pPr>
        <w:ind w:left="3111" w:hanging="360"/>
      </w:pPr>
      <w:rPr>
        <w:rFonts w:hint="default"/>
        <w:lang w:val="es-ES" w:eastAsia="en-US" w:bidi="ar-SA"/>
      </w:rPr>
    </w:lvl>
    <w:lvl w:ilvl="4">
      <w:start w:val="0"/>
      <w:numFmt w:val="bullet"/>
      <w:lvlText w:val="•"/>
      <w:lvlJc w:val="left"/>
      <w:pPr>
        <w:ind w:left="4106" w:hanging="360"/>
      </w:pPr>
      <w:rPr>
        <w:rFonts w:hint="default"/>
        <w:lang w:val="es-ES" w:eastAsia="en-US" w:bidi="ar-SA"/>
      </w:rPr>
    </w:lvl>
    <w:lvl w:ilvl="5">
      <w:start w:val="0"/>
      <w:numFmt w:val="bullet"/>
      <w:lvlText w:val="•"/>
      <w:lvlJc w:val="left"/>
      <w:pPr>
        <w:ind w:left="5102" w:hanging="360"/>
      </w:pPr>
      <w:rPr>
        <w:rFonts w:hint="default"/>
        <w:lang w:val="es-ES" w:eastAsia="en-US" w:bidi="ar-SA"/>
      </w:rPr>
    </w:lvl>
    <w:lvl w:ilvl="6">
      <w:start w:val="0"/>
      <w:numFmt w:val="bullet"/>
      <w:lvlText w:val="•"/>
      <w:lvlJc w:val="left"/>
      <w:pPr>
        <w:ind w:left="6097" w:hanging="360"/>
      </w:pPr>
      <w:rPr>
        <w:rFonts w:hint="default"/>
        <w:lang w:val="es-ES" w:eastAsia="en-US" w:bidi="ar-SA"/>
      </w:rPr>
    </w:lvl>
    <w:lvl w:ilvl="7">
      <w:start w:val="0"/>
      <w:numFmt w:val="bullet"/>
      <w:lvlText w:val="•"/>
      <w:lvlJc w:val="left"/>
      <w:pPr>
        <w:ind w:left="7093" w:hanging="360"/>
      </w:pPr>
      <w:rPr>
        <w:rFonts w:hint="default"/>
        <w:lang w:val="es-ES" w:eastAsia="en-US" w:bidi="ar-SA"/>
      </w:rPr>
    </w:lvl>
    <w:lvl w:ilvl="8">
      <w:start w:val="0"/>
      <w:numFmt w:val="bullet"/>
      <w:lvlText w:val="•"/>
      <w:lvlJc w:val="left"/>
      <w:pPr>
        <w:ind w:left="8088" w:hanging="360"/>
      </w:pPr>
      <w:rPr>
        <w:rFonts w:hint="default"/>
        <w:lang w:val="es-ES" w:eastAsia="en-US" w:bidi="ar-SA"/>
      </w:rPr>
    </w:lvl>
  </w:abstractNum>
  <w:num w:numId="38">
    <w:abstractNumId w:val="37"/>
  </w:num>
  <w:num w:numId="37">
    <w:abstractNumId w:val="36"/>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31"/>
      <w:ind w:left="1549" w:hanging="208"/>
    </w:pPr>
    <w:rPr>
      <w:rFonts w:ascii="Arial" w:hAnsi="Arial" w:eastAsia="Arial" w:cs="Arial"/>
      <w:sz w:val="19"/>
      <w:szCs w:val="19"/>
      <w:lang w:val="es-ES" w:eastAsia="en-US" w:bidi="ar-SA"/>
    </w:rPr>
  </w:style>
  <w:style w:styleId="TOC2" w:type="paragraph">
    <w:name w:val="TOC 2"/>
    <w:basedOn w:val="Normal"/>
    <w:uiPriority w:val="1"/>
    <w:qFormat/>
    <w:pPr>
      <w:spacing w:before="34"/>
      <w:ind w:left="1876" w:hanging="314"/>
    </w:pPr>
    <w:rPr>
      <w:rFonts w:ascii="Arial" w:hAnsi="Arial" w:eastAsia="Arial" w:cs="Arial"/>
      <w:sz w:val="19"/>
      <w:szCs w:val="19"/>
      <w:lang w:val="es-ES" w:eastAsia="en-US" w:bidi="ar-SA"/>
    </w:rPr>
  </w:style>
  <w:style w:styleId="TOC3" w:type="paragraph">
    <w:name w:val="TOC 3"/>
    <w:basedOn w:val="Normal"/>
    <w:uiPriority w:val="1"/>
    <w:qFormat/>
    <w:pPr>
      <w:spacing w:before="33"/>
      <w:ind w:left="1780" w:hanging="523"/>
    </w:pPr>
    <w:rPr>
      <w:rFonts w:ascii="Arial" w:hAnsi="Arial" w:eastAsia="Arial" w:cs="Arial"/>
      <w:sz w:val="19"/>
      <w:szCs w:val="19"/>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ind w:left="2726" w:right="2207" w:hanging="236"/>
      <w:outlineLvl w:val="1"/>
    </w:pPr>
    <w:rPr>
      <w:rFonts w:ascii="Arial" w:hAnsi="Arial" w:eastAsia="Arial" w:cs="Arial"/>
      <w:b/>
      <w:bCs/>
      <w:sz w:val="24"/>
      <w:szCs w:val="24"/>
      <w:u w:val="single" w:color="000000"/>
      <w:lang w:val="es-ES" w:eastAsia="en-US" w:bidi="ar-SA"/>
    </w:rPr>
  </w:style>
  <w:style w:styleId="Heading2" w:type="paragraph">
    <w:name w:val="Heading 2"/>
    <w:basedOn w:val="Normal"/>
    <w:uiPriority w:val="1"/>
    <w:qFormat/>
    <w:pPr>
      <w:outlineLvl w:val="2"/>
    </w:pPr>
    <w:rPr>
      <w:rFonts w:ascii="Arial" w:hAnsi="Arial" w:eastAsia="Arial" w:cs="Arial"/>
      <w:b/>
      <w:bCs/>
      <w:sz w:val="20"/>
      <w:szCs w:val="20"/>
      <w:u w:val="single" w:color="000000"/>
      <w:lang w:val="es-ES" w:eastAsia="en-US" w:bidi="ar-SA"/>
    </w:rPr>
  </w:style>
  <w:style w:styleId="Heading3" w:type="paragraph">
    <w:name w:val="Heading 3"/>
    <w:basedOn w:val="Normal"/>
    <w:uiPriority w:val="1"/>
    <w:qFormat/>
    <w:pPr>
      <w:ind w:left="1670"/>
      <w:outlineLvl w:val="3"/>
    </w:pPr>
    <w:rPr>
      <w:rFonts w:ascii="Arial" w:hAnsi="Arial" w:eastAsia="Arial" w:cs="Arial"/>
      <w:b/>
      <w:bCs/>
      <w:sz w:val="20"/>
      <w:szCs w:val="20"/>
      <w:lang w:val="es-ES" w:eastAsia="en-US" w:bidi="ar-SA"/>
    </w:rPr>
  </w:style>
  <w:style w:styleId="Heading4" w:type="paragraph">
    <w:name w:val="Heading 4"/>
    <w:basedOn w:val="Normal"/>
    <w:uiPriority w:val="1"/>
    <w:qFormat/>
    <w:pPr>
      <w:ind w:left="2049"/>
      <w:outlineLvl w:val="4"/>
    </w:pPr>
    <w:rPr>
      <w:rFonts w:ascii="Arial" w:hAnsi="Arial" w:eastAsia="Arial" w:cs="Arial"/>
      <w:b/>
      <w:bCs/>
      <w:i/>
      <w:iCs/>
      <w:sz w:val="20"/>
      <w:szCs w:val="20"/>
      <w:u w:val="single" w:color="000000"/>
      <w:lang w:val="es-ES" w:eastAsia="en-US" w:bidi="ar-SA"/>
    </w:rPr>
  </w:style>
  <w:style w:styleId="ListParagraph" w:type="paragraph">
    <w:name w:val="List Paragraph"/>
    <w:basedOn w:val="Normal"/>
    <w:uiPriority w:val="1"/>
    <w:qFormat/>
    <w:pPr>
      <w:ind w:left="2061" w:hanging="36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https://guaguas.sedelectronica.es/" TargetMode="External" Type="http://schemas.openxmlformats.org/officeDocument/2006/relationships/hyperlink"/><Relationship Id="rId11" Target="media/image4.png" Type="http://schemas.openxmlformats.org/officeDocument/2006/relationships/image"/><Relationship Id="rId12" Target="header3.xml" Type="http://schemas.openxmlformats.org/officeDocument/2006/relationships/header"/><Relationship Id="rId13" Target="footer3.xml" Type="http://schemas.openxmlformats.org/officeDocument/2006/relationships/footer"/><Relationship Id="rId14" Target="header4.xml" Type="http://schemas.openxmlformats.org/officeDocument/2006/relationships/header"/><Relationship Id="rId15" Target="footer4.xml" Type="http://schemas.openxmlformats.org/officeDocument/2006/relationships/footer"/><Relationship Id="rId16" Target="header5.xml" Type="http://schemas.openxmlformats.org/officeDocument/2006/relationships/header"/><Relationship Id="rId17" Target="footer5.xml" Type="http://schemas.openxmlformats.org/officeDocument/2006/relationships/footer"/><Relationship Id="rId18" Target="header6.xml" Type="http://schemas.openxmlformats.org/officeDocument/2006/relationships/header"/><Relationship Id="rId19" Target="footer6.xml" Type="http://schemas.openxmlformats.org/officeDocument/2006/relationships/footer"/><Relationship Id="rId2" Target="fontTable.xml" Type="http://schemas.openxmlformats.org/officeDocument/2006/relationships/fontTable"/><Relationship Id="rId20" Target="media/image5.png" Type="http://schemas.openxmlformats.org/officeDocument/2006/relationships/image"/><Relationship Id="rId21" Target="header7.xml" Type="http://schemas.openxmlformats.org/officeDocument/2006/relationships/header"/><Relationship Id="rId22" Target="footer7.xml" Type="http://schemas.openxmlformats.org/officeDocument/2006/relationships/footer"/><Relationship Id="rId23" Target="header8.xml" Type="http://schemas.openxmlformats.org/officeDocument/2006/relationships/header"/><Relationship Id="rId24" Target="footer8.xml" Type="http://schemas.openxmlformats.org/officeDocument/2006/relationships/footer"/><Relationship Id="rId25" Target="header9.xml" Type="http://schemas.openxmlformats.org/officeDocument/2006/relationships/header"/><Relationship Id="rId26" Target="footer9.xml" Type="http://schemas.openxmlformats.org/officeDocument/2006/relationships/footer"/><Relationship Id="rId27" Target="header10.xml" Type="http://schemas.openxmlformats.org/officeDocument/2006/relationships/header"/><Relationship Id="rId28" Target="footer10.xml" Type="http://schemas.openxmlformats.org/officeDocument/2006/relationships/footer"/><Relationship Id="rId29" Target="media/image8.png" Type="http://schemas.openxmlformats.org/officeDocument/2006/relationships/image"/><Relationship Id="rId3" Target="theme/theme1.xml" Type="http://schemas.openxmlformats.org/officeDocument/2006/relationships/theme"/><Relationship Id="rId30" Target="media/image9.png" Type="http://schemas.openxmlformats.org/officeDocument/2006/relationships/image"/><Relationship Id="rId31" Target="media/image10.png" Type="http://schemas.openxmlformats.org/officeDocument/2006/relationships/image"/><Relationship Id="rId32" Target="media/image11.png" Type="http://schemas.openxmlformats.org/officeDocument/2006/relationships/image"/><Relationship Id="rId33" Target="https://www.miteco.gob.es/es/cambio-climatico/temas/mitigacion-politicas-y-" TargetMode="External" Type="http://schemas.openxmlformats.org/officeDocument/2006/relationships/hyperlink"/><Relationship Id="rId34" Target="https://www.guaguas.com/atencion-al-cliente/sugerencias-y-reclamaciones)" TargetMode="External" Type="http://schemas.openxmlformats.org/officeDocument/2006/relationships/hyperlink"/><Relationship Id="rId35" Target="media/image12.jpeg" Type="http://schemas.openxmlformats.org/officeDocument/2006/relationships/image"/><Relationship Id="rId36" Target="media/image13.jpeg" Type="http://schemas.openxmlformats.org/officeDocument/2006/relationships/image"/><Relationship Id="rId37" Target="media/image14.jpeg" Type="http://schemas.openxmlformats.org/officeDocument/2006/relationships/image"/><Relationship Id="rId38" Target="numbering.xml" Type="http://schemas.openxmlformats.org/officeDocument/2006/relationships/numbering"/><Relationship Id="rId4" Target="settings.xml" Type="http://schemas.openxmlformats.org/officeDocument/2006/relationships/settings"/><Relationship Id="rId5" Target="header1.xml" Type="http://schemas.openxmlformats.org/officeDocument/2006/relationships/header"/><Relationship Id="rId6" Target="footer1.xml" Type="http://schemas.openxmlformats.org/officeDocument/2006/relationships/footer"/><Relationship Id="rId7" Target="media/image2.png" Type="http://schemas.openxmlformats.org/officeDocument/2006/relationships/image"/><Relationship Id="rId8" Target="header2.xml" Type="http://schemas.openxmlformats.org/officeDocument/2006/relationships/header"/><Relationship Id="rId9" Target="footer2.xml" Type="http://schemas.openxmlformats.org/officeDocument/2006/relationships/footer"/></Relationships>
</file>

<file path=word/_rels/footer10.xml.rels><?xml version="1.0" encoding="UTF-8" standalone="no"?><Relationships xmlns="http://schemas.openxmlformats.org/package/2006/relationships"><Relationship Id="rId1" Target="media/image5.png" Type="http://schemas.openxmlformats.org/officeDocument/2006/relationships/image"/></Relationships>
</file>

<file path=word/_rels/footer3.xml.rels><?xml version="1.0" encoding="UTF-8" standalone="no"?><Relationships xmlns="http://schemas.openxmlformats.org/package/2006/relationships"><Relationship Id="rId1" Target="media/image4.png" Type="http://schemas.openxmlformats.org/officeDocument/2006/relationships/image"/></Relationships>
</file>

<file path=word/_rels/footer4.xml.rels><?xml version="1.0" encoding="UTF-8" standalone="no"?><Relationships xmlns="http://schemas.openxmlformats.org/package/2006/relationships"><Relationship Id="rId1" Target="media/image4.png" Type="http://schemas.openxmlformats.org/officeDocument/2006/relationships/image"/></Relationships>
</file>

<file path=word/_rels/footer5.xml.rels><?xml version="1.0" encoding="UTF-8" standalone="no"?><Relationships xmlns="http://schemas.openxmlformats.org/package/2006/relationships"><Relationship Id="rId1" Target="media/image4.png" Type="http://schemas.openxmlformats.org/officeDocument/2006/relationships/image"/></Relationships>
</file>

<file path=word/_rels/footer8.xml.rels><?xml version="1.0" encoding="UTF-8" standalone="no"?><Relationships xmlns="http://schemas.openxmlformats.org/package/2006/relationships"><Relationship Id="rId1" Target="media/image5.png" Type="http://schemas.openxmlformats.org/officeDocument/2006/relationships/image"/></Relationships>
</file>

<file path=word/_rels/footer9.xml.rels><?xml version="1.0" encoding="UTF-8" standalone="no"?><Relationships xmlns="http://schemas.openxmlformats.org/package/2006/relationships"><Relationship Id="rId1" Target="media/image5.png" Type="http://schemas.openxmlformats.org/officeDocument/2006/relationships/image"/></Relationships>
</file>

<file path=word/_rels/header1.xml.rels><?xml version="1.0" encoding="UTF-8" standalone="no"?><Relationships xmlns="http://schemas.openxmlformats.org/package/2006/relationships"><Relationship Id="rId1" Target="media/image1.png" Type="http://schemas.openxmlformats.org/officeDocument/2006/relationships/image"/></Relationships>
</file>

<file path=word/_rels/header10.xml.rels><?xml version="1.0" encoding="UTF-8" standalone="no"?><Relationships xmlns="http://schemas.openxmlformats.org/package/2006/relationships"><Relationship Id="rId1" Target="media/image7.png" Type="http://schemas.openxmlformats.org/officeDocument/2006/relationships/image"/></Relationships>
</file>

<file path=word/_rels/header2.xml.rels><?xml version="1.0" encoding="UTF-8" standalone="no"?><Relationships xmlns="http://schemas.openxmlformats.org/package/2006/relationships"><Relationship Id="rId1" Target="media/image3.jpeg" Type="http://schemas.openxmlformats.org/officeDocument/2006/relationships/image"/></Relationships>
</file>

<file path=word/_rels/header3.xml.rels><?xml version="1.0" encoding="UTF-8" standalone="no"?><Relationships xmlns="http://schemas.openxmlformats.org/package/2006/relationships"><Relationship Id="rId1" Target="media/image3.jpeg" Type="http://schemas.openxmlformats.org/officeDocument/2006/relationships/image"/></Relationships>
</file>

<file path=word/_rels/header4.xml.rels><?xml version="1.0" encoding="UTF-8" standalone="no"?><Relationships xmlns="http://schemas.openxmlformats.org/package/2006/relationships"><Relationship Id="rId1" Target="media/image3.jpeg" Type="http://schemas.openxmlformats.org/officeDocument/2006/relationships/image"/></Relationships>
</file>

<file path=word/_rels/header5.xml.rels><?xml version="1.0" encoding="UTF-8" standalone="no"?><Relationships xmlns="http://schemas.openxmlformats.org/package/2006/relationships"><Relationship Id="rId1" Target="media/image3.jpeg" Type="http://schemas.openxmlformats.org/officeDocument/2006/relationships/image"/></Relationships>
</file>

<file path=word/_rels/header6.xml.rels><?xml version="1.0" encoding="UTF-8" standalone="no"?><Relationships xmlns="http://schemas.openxmlformats.org/package/2006/relationships"><Relationship Id="rId1" Target="media/image3.jpeg" Type="http://schemas.openxmlformats.org/officeDocument/2006/relationships/image"/></Relationships>
</file>

<file path=word/_rels/header7.xml.rels><?xml version="1.0" encoding="UTF-8" standalone="no"?><Relationships xmlns="http://schemas.openxmlformats.org/package/2006/relationships"><Relationship Id="rId1" Target="media/image3.jpeg" Type="http://schemas.openxmlformats.org/officeDocument/2006/relationships/image"/></Relationships>
</file>

<file path=word/_rels/header8.xml.rels><?xml version="1.0" encoding="UTF-8" standalone="no"?><Relationships xmlns="http://schemas.openxmlformats.org/package/2006/relationships"><Relationship Id="rId1" Target="media/image3.jpeg" Type="http://schemas.openxmlformats.org/officeDocument/2006/relationships/image"/></Relationships>
</file>

<file path=word/_rels/header9.xml.rels><?xml version="1.0" encoding="UTF-8" standalone="no"?><Relationships xmlns="http://schemas.openxmlformats.org/package/2006/relationships"><Relationship Id="rId1" Target="media/image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
  <DocSecurity>0</DocSecurity>
  <ScaleCrop>false</ScaleCrop>
  <LinksUpToDate>false</LinksUpToDate>
  <SharedDoc>false</SharedDoc>
  <HyperlinksChanged>false</HyperlinksChanged>
  <AppVersion>12.0000</AppVersion>
  <Company/>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